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1CE7" w:rsidRDefault="00DD6023" w:rsidP="00B24712">
      <w:pPr>
        <w:spacing w:line="360" w:lineRule="auto"/>
      </w:pPr>
      <w:r w:rsidRPr="00DD6023">
        <w:rPr>
          <w:b/>
          <w:u w:val="single"/>
        </w:rPr>
        <w:t xml:space="preserve">The Role of Mentoring and Performance Development in the Workplace </w:t>
      </w:r>
      <w:r>
        <w:rPr>
          <w:b/>
          <w:u w:val="single"/>
        </w:rPr>
        <w:t>–</w:t>
      </w:r>
      <w:r w:rsidRPr="00DD6023">
        <w:rPr>
          <w:b/>
          <w:u w:val="single"/>
        </w:rPr>
        <w:t xml:space="preserve"> CPD</w:t>
      </w:r>
      <w:r>
        <w:rPr>
          <w:b/>
          <w:u w:val="single"/>
        </w:rPr>
        <w:br/>
      </w:r>
      <w:r w:rsidR="00217D17">
        <w:rPr>
          <w:b/>
        </w:rPr>
        <w:br/>
      </w:r>
      <w:r w:rsidR="00217D17">
        <w:t>This essay will be looking at continuing professional development, as well as exploring the role of mentoring and coaching and how this can be used in a wide range of sectors and in different workplace environments. It will also look at reflectivity and ho</w:t>
      </w:r>
      <w:r w:rsidR="00217D17">
        <w:t>w this can work hand in hand with continuing professional development practi</w:t>
      </w:r>
      <w:r w:rsidR="00B24712">
        <w:t>c</w:t>
      </w:r>
      <w:r w:rsidR="00217D17">
        <w:t>es such as mentoring. It will then discuss why there is an increased use of mentoring and coaching within the national health services, as well as policies on mentoring in the hea</w:t>
      </w:r>
      <w:r w:rsidR="00217D17">
        <w:t xml:space="preserve">lth sector and a similar sector to my own personal mentoring experience, that being an educational environment. Throughout, it will </w:t>
      </w:r>
      <w:proofErr w:type="gramStart"/>
      <w:r w:rsidR="00217D17">
        <w:t>refer back</w:t>
      </w:r>
      <w:proofErr w:type="gramEnd"/>
      <w:r w:rsidR="00217D17">
        <w:t xml:space="preserve"> to my own personal experience in my job role</w:t>
      </w:r>
      <w:r w:rsidR="00217D17">
        <w:t xml:space="preserve"> and compare how mentoring skills were carried out. Lastly it will p</w:t>
      </w:r>
      <w:r w:rsidR="00217D17">
        <w:t>rovide recommendations for contin</w:t>
      </w:r>
      <w:r w:rsidR="00217D17">
        <w:t>uing professional development.</w:t>
      </w:r>
      <w:r w:rsidR="00217D17">
        <w:br/>
      </w:r>
      <w:r w:rsidR="00217D17">
        <w:br/>
        <w:t>In terms of my own experience as a mentor, I had the opportunity to carry out mentoring sessions in my role as a community play worker within a local primary school. My role as a mentor consi</w:t>
      </w:r>
      <w:r w:rsidR="00217D17">
        <w:t>sted of mentoring other members of staff within the school about the importance of play in a child’s learning environment and how to incorporate more enriched filled play environments. Refer to the appendix, part 1, for a more in depth explanation of my pe</w:t>
      </w:r>
      <w:r w:rsidR="00217D17">
        <w:t>rsonal mentoring experience.</w:t>
      </w:r>
      <w:r w:rsidR="00217D17">
        <w:br/>
      </w:r>
      <w:r w:rsidR="00217D17">
        <w:br/>
        <w:t>Continuing professional development (CPD), otherwise referred to as continuing professional education, is where formal or structured courses or activities take place to help individuals develop their skills, professional devel</w:t>
      </w:r>
      <w:r w:rsidR="00217D17">
        <w:t xml:space="preserve">opment, and encourage </w:t>
      </w:r>
      <w:r w:rsidR="00B24712">
        <w:t>self-reflection</w:t>
      </w:r>
      <w:r w:rsidR="00217D17">
        <w:t xml:space="preserve"> via educational courses (Friedman, 2012). Continuing professional development can also be informal and unstructured, such as discussions, social </w:t>
      </w:r>
      <w:r w:rsidR="00B24712">
        <w:t>gatherings,</w:t>
      </w:r>
      <w:r w:rsidR="00217D17">
        <w:t xml:space="preserve"> and mentoring (Holder, 2019). CPD is especially important with</w:t>
      </w:r>
      <w:r w:rsidR="00217D17">
        <w:t xml:space="preserve">in the health and social care sector as it encourages a lifelong process of learning for the practitioner, therefore continuously improving the quality of the service provided (The Health Foundation, 2012). CPD encourages a lifelong process of learning by </w:t>
      </w:r>
      <w:r w:rsidR="00217D17">
        <w:t xml:space="preserve">providing the opportunities to maintain up to date knowledge and allows an individual to </w:t>
      </w:r>
      <w:r w:rsidR="00B24712">
        <w:t>self-reflect</w:t>
      </w:r>
      <w:r w:rsidR="00217D17">
        <w:t>, resulting in improved personal skills and development (Drude et al, 2019). According to Vuuren and Nel (2013), CPD continuously improves the quality of t</w:t>
      </w:r>
      <w:r w:rsidR="00217D17">
        <w:t>he service provided in the healthcare practice, with it providing opportunities to maintain up to date knowledge, while improving their personal skills, and personal development. Vuuren and Nel (2013) comments would suggest that the reason why my manager w</w:t>
      </w:r>
      <w:r w:rsidR="00217D17">
        <w:t xml:space="preserve">anted me to carry out the mentoring sessions with the other members of staff within the school, was to provide the staff with more up to date </w:t>
      </w:r>
      <w:r w:rsidR="00217D17">
        <w:lastRenderedPageBreak/>
        <w:t>knowledge on play and the benefits it can have on the children, their behaviour and academic performance. My manag</w:t>
      </w:r>
      <w:r w:rsidR="00217D17">
        <w:t>er instructed me to carry out mentoring within my role as a result of members of staff within primary schools forgetting the importance play has on a child’s development, as many teachers seem to focus more on them progressing academically, and maintaining</w:t>
      </w:r>
      <w:r w:rsidR="00217D17">
        <w:t xml:space="preserve"> good behaviour. This information is also backed up by research, showing the importance of mentoring to help support teachers create enrichment filled play sessions.</w:t>
      </w:r>
      <w:r w:rsidR="00217D17">
        <w:br/>
      </w:r>
      <w:r w:rsidR="00217D17">
        <w:rPr>
          <w:shd w:val="clear" w:color="auto" w:fill="EDC8FF"/>
        </w:rPr>
        <w:br/>
      </w:r>
      <w:r w:rsidR="00217D17">
        <w:t xml:space="preserve">Reflectivity is defined as the process where one understands how their own influence and </w:t>
      </w:r>
      <w:r w:rsidR="00217D17">
        <w:t>actions can have an impact, which leads to a greater self-understanding and self-change (Goldie, 2017). Reflective practice is a form of reflection which is often applied to those in a professional context, to go further than reflecting mentally, to addres</w:t>
      </w:r>
      <w:r w:rsidR="00217D17">
        <w:t>s complex problems, or issues in place, with it resulting in improving the professional practice (Tremblay et al, 2013). It has also been considered that reflexivity is a crucial factor for improving a professional's knowledge and practice (Pawar and Ansco</w:t>
      </w:r>
      <w:r w:rsidR="00217D17">
        <w:t>mb, 2015). Reflectivity is important throughout the process of continuing professional development, as without reflectivity one would not learn how to improve their knowledge and skill set (Neary and Johnson, 2016).</w:t>
      </w:r>
      <w:r w:rsidR="00217D17">
        <w:br/>
      </w:r>
      <w:r w:rsidR="00217D17">
        <w:br/>
        <w:t>My current role is working as a play wo</w:t>
      </w:r>
      <w:r w:rsidR="00217D17">
        <w:t xml:space="preserve">rker in a local primary school in Neath. As part of this role I was asked to carry out </w:t>
      </w:r>
      <w:proofErr w:type="gramStart"/>
      <w:r w:rsidR="00217D17">
        <w:t>a number of</w:t>
      </w:r>
      <w:proofErr w:type="gramEnd"/>
      <w:r w:rsidR="00217D17">
        <w:t xml:space="preserve"> mentoring sessions with other staff members, to help further develop their understanding of play. Reflectivity was observed in the mentoring sessions with th</w:t>
      </w:r>
      <w:r w:rsidR="00217D17">
        <w:t>e staff at the school, as the aim of the mentoring sessions was to improve the other staff members knowledge on play, and work together to create more enrichment filled play sessions, so that going forward the teachers will have improved and up to date kno</w:t>
      </w:r>
      <w:r w:rsidR="00217D17">
        <w:t xml:space="preserve">wledge of what play activities the children need, and specifically why they would benefit from each activity. This would therefore improve the practice and the learning environment for the children. A specific example of where reflectivity was observed in </w:t>
      </w:r>
      <w:r w:rsidR="00217D17">
        <w:t xml:space="preserve">the mentoring sessions, were how the teachers would discuss what they had taken from the mentoring sessions so far, and how they had implemented them. We would then discuss new ways in which they could change existing play </w:t>
      </w:r>
      <w:r w:rsidR="00B24712">
        <w:t>sessions and</w:t>
      </w:r>
      <w:r w:rsidR="00217D17">
        <w:t xml:space="preserve"> incorporate new ide</w:t>
      </w:r>
      <w:r w:rsidR="00217D17">
        <w:t>as into them. Whilst doing this I would also take the opportunity to teach them how to identify different play types such as locomotor, mastery, and discovery play, and identify new ways to use them within the classroom, and the school as a whole. Please r</w:t>
      </w:r>
      <w:r w:rsidR="00217D17">
        <w:t>efer to the appendix, part 2, to view the different play types help sheet, which was used in the mentoring sessions.</w:t>
      </w:r>
      <w:r w:rsidR="00217D17">
        <w:br/>
      </w:r>
      <w:r w:rsidR="00217D17">
        <w:br/>
      </w:r>
      <w:r w:rsidR="00217D17">
        <w:lastRenderedPageBreak/>
        <w:t>According to Eby et al (2010), there is a lack of consensus on the definition of mentoring, with it being ‘heavily debated’ in some fields</w:t>
      </w:r>
      <w:r w:rsidR="00217D17">
        <w:t xml:space="preserve"> of work. It is highlighted by Eby et al (2010) that no two mentoring relationships are the same, due to factors such as the duration of mentoring, as well as the end goal of mentoring that may differ across different relationships and different work setti</w:t>
      </w:r>
      <w:r w:rsidR="00217D17">
        <w:t>ngs. An example of this is how my mentoring experience with the staff in the primary school has so far been a shorter duration compared to me being mentored throughout university by staff members, where I have studied for the last 3 years. The end goal als</w:t>
      </w:r>
      <w:r w:rsidR="00217D17">
        <w:t>o differs, as my end goal is to improve and educate other members of staff about play, for them to better implement it in the future learning environment, whereas in university when I have been mentored it has been to support my learning development and to</w:t>
      </w:r>
      <w:r w:rsidR="00217D17">
        <w:t xml:space="preserve"> help me improve academically. However, there is a similarity with the main factor being that there is a mentor and a mentee, who work towards a goal. This is further iterated by Minton (2016), who suggests mentoring is where an individual with greater kno</w:t>
      </w:r>
      <w:r w:rsidR="00217D17">
        <w:t>wledge or experience helps to support and encourage people to develop their skills, improve their performance, and maximise their potential.  Allen et al (2009) proclaim that mentoring has evolved over the years, with it now being conducted in a range of s</w:t>
      </w:r>
      <w:r w:rsidR="00217D17">
        <w:t>ettings, some on the basis of giving moral support, while others are more in a counselling setting depending on the complexity of the needs of the mentee in question, with some needing more support and guidance than others (Edwards and Neumann, 2014).</w:t>
      </w:r>
      <w:r w:rsidR="00217D17">
        <w:br/>
      </w:r>
      <w:r w:rsidR="00217D17">
        <w:br/>
        <w:t>Acc</w:t>
      </w:r>
      <w:r w:rsidR="00217D17">
        <w:t>ording to Brockbank and McGill (2006), it is important to recognise that mentoring is not the same as coaching or counselling. While mentors do tend to share life experiences and learnt knowledge in the field of context, it is not intended in a directive a</w:t>
      </w:r>
      <w:r w:rsidR="00217D17">
        <w:t xml:space="preserve">pproach to take control of the relationship between them and the mentee (University of Reading, 2020). Coaching on the other hand tends to typically require minimal and controlled sharing of experiences, but the main skills used in mentoring, coaching and </w:t>
      </w:r>
      <w:r w:rsidR="00217D17">
        <w:t>counselling such as empathy, listening and asking questions overlap, which is why there is sometimes confusion between the three (Parsloe and Leedham, 2017).</w:t>
      </w:r>
      <w:r w:rsidR="00217D17">
        <w:br/>
      </w:r>
      <w:r w:rsidR="00217D17">
        <w:br/>
        <w:t>Mentoring and coaching are becoming more widely used CPD practices within the health sector and n</w:t>
      </w:r>
      <w:r w:rsidR="00217D17">
        <w:t>ational health service, due to some arguing that it is required to keep staff members up to date with knowledge and skills, but also that it increases job satisfaction and stimulation (Social Care Wales, 2018). It is also argued that CPD in the workplace h</w:t>
      </w:r>
      <w:r w:rsidR="00217D17">
        <w:t xml:space="preserve">elps individuals feel more fulfilled in their role by helping them reflect and improve their skills and knowledge, with it also providing an opportunity to progress through their career more efficiently (McDonnell and Zutchi, </w:t>
      </w:r>
      <w:r w:rsidR="00217D17">
        <w:lastRenderedPageBreak/>
        <w:t>2006). Some of the ways CPD ca</w:t>
      </w:r>
      <w:r w:rsidR="00217D17">
        <w:t>n be observed in the workplace is by workshops, mentoring, e-learning, coaching, and one which is often observed in the health care setting is shadowing (Mills, 2013). Shadowing is a learning technique where the learner will closely follow a member of an o</w:t>
      </w:r>
      <w:r w:rsidR="00217D17">
        <w:t>rganisation over an extended period of time in an attempt to learn from observation, while also having the opportunity to watch first hand, and ask questions if needed (Bate and Robert, 2007). The shadowing mentoring technique is most commonly observed amo</w:t>
      </w:r>
      <w:r w:rsidR="00217D17">
        <w:t>ng students studying to go into a health care sector due to the benefits linked to the specific technique of learning, however it is also observed with those who have qualified in the sector and are doing it as a form of continuing their professional devel</w:t>
      </w:r>
      <w:r w:rsidR="00217D17">
        <w:t>opment (Haroun, 2016).</w:t>
      </w:r>
      <w:r w:rsidR="00217D17">
        <w:br/>
      </w:r>
      <w:r w:rsidR="00217D17">
        <w:br/>
        <w:t>As well as CPD practices being widely observed through multiple sectors, some workplaces also have mentoring policies in place. The Fun Foundations Day Nursery (2020) mentoring policy for example, provides a consistent approach to m</w:t>
      </w:r>
      <w:r w:rsidR="00217D17">
        <w:t xml:space="preserve">entoring in their workplace. The policy sets out a framework to support the development of mentoring practices, based on the best principles to work hand in hand with the organisation's overall strategic plan and annual review process (Fun Foundations Day </w:t>
      </w:r>
      <w:r w:rsidR="00217D17">
        <w:t xml:space="preserve">Nursery, 2020). The organisation uses mentoring as a tool for </w:t>
      </w:r>
      <w:r w:rsidR="00B24712">
        <w:t>self-directed</w:t>
      </w:r>
      <w:r w:rsidR="00217D17">
        <w:t xml:space="preserve"> learning, with mentees being mentored by members of the team with more experience in an attempt to transfer skills and knowledge, therefore encouraging the development of professio</w:t>
      </w:r>
      <w:r w:rsidR="00217D17">
        <w:t>nal learning (Fun Foundations Day Nursery, 2020). The policy also highlights how mentoring is a valued element in the process of staff development at the organisation in order for staff to continue their professional learning and develop their skills, enab</w:t>
      </w:r>
      <w:r w:rsidR="00217D17">
        <w:t>ling them with an opportunity to provide a better service (Fun Foundations Day Nursery, 2020).</w:t>
      </w:r>
      <w:r w:rsidR="00217D17">
        <w:br/>
      </w:r>
      <w:r w:rsidR="00217D17">
        <w:br/>
        <w:t>Another company which has a mentoring policy is the National Health Service South West Leadership Academy (NHS SWLA) (2017). The NHS SWLA (2017) provides a fram</w:t>
      </w:r>
      <w:r w:rsidR="00217D17">
        <w:t>ework for all those who take part in the practice of coaching or mentoring in the health care sector, providing support and guidance for the best practice and in turn following the highest of ethical standards. The policy exists to provide a pathway for th</w:t>
      </w:r>
      <w:r w:rsidR="00217D17">
        <w:t xml:space="preserve">ose within the health care sector who have been identified as needing guidance with their professional development or those who have been referred as part of their appraisal review (NHS SWLA, 2017). It is also encouraged for individuals in the health care </w:t>
      </w:r>
      <w:r w:rsidR="00217D17">
        <w:t xml:space="preserve">sector who are attending leadership and management training to attend mentoring and coaching sessions, in order to gain more experience and take it forward into their own practice (NHS SWLA, 2017). Overall the policy outlines the structure and </w:t>
      </w:r>
      <w:r w:rsidR="00217D17">
        <w:lastRenderedPageBreak/>
        <w:t>requirements</w:t>
      </w:r>
      <w:r w:rsidR="00217D17">
        <w:t xml:space="preserve"> of the sessions, despite the need of the client, such as maintaining confidentiality, professionalism and ethical standards, but the policy exists to advocate continuing professional development within the national health service, and the health sector as</w:t>
      </w:r>
      <w:r w:rsidR="00217D17">
        <w:t xml:space="preserve"> a whole (NHS SWLA, 2017).</w:t>
      </w:r>
      <w:r w:rsidR="00217D17">
        <w:br/>
      </w:r>
      <w:r w:rsidR="00217D17">
        <w:br/>
        <w:t xml:space="preserve">These two policies were constructed upon the idea of similar practice, such as improving the staff members skills and continuing their professional development, however they both differ slightly in terms of approach to suit the </w:t>
      </w:r>
      <w:r w:rsidR="00217D17">
        <w:t xml:space="preserve">needs of the organisation. An example of this is how Fun Foundations Day Nursery (2020) mentoring policy is in place to continue the professional development of all staff members by holding regular mentoring sessions, </w:t>
      </w:r>
      <w:r w:rsidR="00B24712">
        <w:t>whereas</w:t>
      </w:r>
      <w:r w:rsidR="00217D17">
        <w:t xml:space="preserve"> NHS SWLA (2017) coaching and </w:t>
      </w:r>
      <w:r w:rsidR="00217D17">
        <w:t xml:space="preserve">mentoring policy is more for individuals in the health sector who have been identified as needing extra guidance and mentoring to develop their professional learning. The way the mentoring sessions were carried out in my job role were more along the lines </w:t>
      </w:r>
      <w:r w:rsidR="00217D17">
        <w:t>of the Fun Foundations Day Nursery (2020) approach, by providing guidance to the other members of staff, and informing them with the up to date knowledge of play and the benefits of it, in comparison to NHS SWLA (2017) approach, such as carrying out mentor</w:t>
      </w:r>
      <w:r w:rsidR="00217D17">
        <w:t>ing sessions with members of staff who I believed needed the sessions more than others.</w:t>
      </w:r>
      <w:r w:rsidR="00217D17">
        <w:br/>
      </w:r>
      <w:r w:rsidR="00217D17">
        <w:br/>
        <w:t>Upon me gaining the experience of mentoring in my job role, it has highlighted to me how it can be used as a useful tool in terms of continuing professional developmen</w:t>
      </w:r>
      <w:r w:rsidR="00217D17">
        <w:t xml:space="preserve">t, both for the mentor and mentee. I believe like my confidence skills alone have increased dramatically due to mentoring people being outside my comfort zone, as well as it </w:t>
      </w:r>
      <w:proofErr w:type="gramStart"/>
      <w:r w:rsidR="00217D17">
        <w:t>having</w:t>
      </w:r>
      <w:proofErr w:type="gramEnd"/>
      <w:r w:rsidR="00217D17">
        <w:t xml:space="preserve"> taught me how to communicate more efficiently and improved my listening ski</w:t>
      </w:r>
      <w:r w:rsidR="00217D17">
        <w:t>lls. This experience and research has also shown me the benefits of mentoring in the workplace, and how it can positively affect me and my colleagues going forward.</w:t>
      </w:r>
      <w:r w:rsidR="00217D17">
        <w:br/>
      </w:r>
      <w:r w:rsidR="00217D17">
        <w:br/>
        <w:t>As a recommendation for myself, going forward in both an academic environment and my workp</w:t>
      </w:r>
      <w:r w:rsidR="00217D17">
        <w:t xml:space="preserve">lace, I will use reflectivity more often to </w:t>
      </w:r>
      <w:r w:rsidR="00B24712">
        <w:t>self-reflect</w:t>
      </w:r>
      <w:r w:rsidR="00217D17">
        <w:t xml:space="preserve"> on my work, and take up the opportunity for mentoring where possible to continue my professional development. If given the opportunity to provide feedback to my manager in work, or a course director </w:t>
      </w:r>
      <w:r w:rsidR="00217D17">
        <w:t>in my academic studies, I will also recommend that more mentoring takes place and encourage reflectivity.</w:t>
      </w:r>
      <w:r w:rsidR="00217D17">
        <w:br/>
      </w:r>
      <w:r w:rsidR="00B24712">
        <w:br/>
      </w:r>
      <w:r w:rsidR="00B24712">
        <w:br/>
      </w:r>
      <w:r w:rsidR="00B24712">
        <w:lastRenderedPageBreak/>
        <w:br/>
      </w:r>
      <w:r w:rsidR="00217D17">
        <w:rPr>
          <w:b/>
        </w:rPr>
        <w:t>References</w:t>
      </w:r>
    </w:p>
    <w:p w:rsidR="003B1CE7" w:rsidRDefault="00217D17" w:rsidP="00B24712">
      <w:pPr>
        <w:spacing w:before="240" w:after="240" w:line="360" w:lineRule="auto"/>
        <w:rPr>
          <w:b/>
        </w:rPr>
      </w:pPr>
      <w:r>
        <w:t xml:space="preserve">Allen, T.D., Finklestein, L.M., and Poteet, M.L. (2009). </w:t>
      </w:r>
      <w:r>
        <w:rPr>
          <w:i/>
        </w:rPr>
        <w:t>Designing Workplace Mentoring Programs</w:t>
      </w:r>
      <w:r>
        <w:t>. West Sussex: Blackwell Publishing. Page</w:t>
      </w:r>
      <w:r>
        <w:t xml:space="preserve"> 71-83.</w:t>
      </w:r>
      <w:r>
        <w:br/>
      </w:r>
      <w:r>
        <w:br/>
        <w:t xml:space="preserve">Bate, P., and Robert, G. (2007). </w:t>
      </w:r>
      <w:r>
        <w:rPr>
          <w:i/>
        </w:rPr>
        <w:t>Bringing User Experience to Healthcare Experience</w:t>
      </w:r>
      <w:r>
        <w:t>. Oxon: Radcliffe Publishing Ltd. Page 89.</w:t>
      </w:r>
      <w:r>
        <w:br/>
      </w:r>
      <w:r>
        <w:br/>
        <w:t xml:space="preserve">Brockbank, A., and McGill, I. (2006). </w:t>
      </w:r>
      <w:r>
        <w:rPr>
          <w:i/>
        </w:rPr>
        <w:t>Facilitating Reflective Learning Through Mentoring and Coaching</w:t>
      </w:r>
      <w:r>
        <w:t>. London: Kogan Page</w:t>
      </w:r>
      <w:r>
        <w:t xml:space="preserve"> Publishing. Page 1-82.</w:t>
      </w:r>
      <w:r>
        <w:br/>
      </w:r>
      <w:r>
        <w:br/>
        <w:t xml:space="preserve">Drude, K.P., Maheu, M., and Hilty, D.M. (2019). ‘Continuing Professional Development: Reflections on a Lifelong Learning Process’. In, Liu, H.Y., and Hilty, D. </w:t>
      </w:r>
      <w:r>
        <w:rPr>
          <w:i/>
        </w:rPr>
        <w:t>Professional Development for Psychiatrists</w:t>
      </w:r>
      <w:r>
        <w:t>. Pennsylvania: Elsevier Publ</w:t>
      </w:r>
      <w:r>
        <w:t>ishing. Page 448.</w:t>
      </w:r>
      <w:r>
        <w:br/>
      </w:r>
      <w:r>
        <w:br/>
        <w:t xml:space="preserve">Eby, L.T., Rhodes, J.E., and Allen, T.D. (2010). ‘Part I: Introduction - Chapter 2: Definition and Evolution of Mentoring’, In Allen, T.D., and Eby, L.T., </w:t>
      </w:r>
      <w:r>
        <w:rPr>
          <w:i/>
        </w:rPr>
        <w:t>The Blackwell Handbook of Mentoring</w:t>
      </w:r>
      <w:r>
        <w:t>. West Sussex: Blackwell Publishing. Page 9-10.</w:t>
      </w:r>
      <w:r>
        <w:rPr>
          <w:highlight w:val="cyan"/>
        </w:rPr>
        <w:br/>
      </w:r>
      <w:r>
        <w:rPr>
          <w:highlight w:val="cyan"/>
        </w:rPr>
        <w:br/>
      </w:r>
      <w:r>
        <w:t xml:space="preserve">Edwards, S., and Neumann, B. (2014). </w:t>
      </w:r>
      <w:r>
        <w:rPr>
          <w:i/>
        </w:rPr>
        <w:t>Organic Mentoring</w:t>
      </w:r>
      <w:r>
        <w:t>. Michigan: Kregal Publications. Page 102-104.</w:t>
      </w:r>
      <w:r>
        <w:br/>
      </w:r>
      <w:r>
        <w:br/>
        <w:t xml:space="preserve">Friedman, A.L. (2012). </w:t>
      </w:r>
      <w:r>
        <w:rPr>
          <w:i/>
        </w:rPr>
        <w:t>Continuing Professional Development</w:t>
      </w:r>
      <w:r>
        <w:t>. Oxon: Routledge. Pages 1-50.</w:t>
      </w:r>
      <w:r>
        <w:br/>
      </w:r>
      <w:r>
        <w:br/>
        <w:t xml:space="preserve">Fun Foundations Day Nursery. (2020). </w:t>
      </w:r>
      <w:r>
        <w:rPr>
          <w:i/>
        </w:rPr>
        <w:t>Mentoring Policy and Proc</w:t>
      </w:r>
      <w:r>
        <w:rPr>
          <w:i/>
        </w:rPr>
        <w:t>edure</w:t>
      </w:r>
      <w:r>
        <w:t>. Available online at http://www.funfoundationsdaynursery.co.uk/downloads/policies/Mentoring-Policy-and-Procedure.pdf [Accessed on 18/05/</w:t>
      </w:r>
      <w:proofErr w:type="gramStart"/>
      <w:r>
        <w:t>20 ]</w:t>
      </w:r>
      <w:proofErr w:type="gramEnd"/>
      <w:r>
        <w:br/>
      </w:r>
      <w:r>
        <w:br/>
      </w:r>
      <w:r>
        <w:rPr>
          <w:highlight w:val="white"/>
        </w:rPr>
        <w:t xml:space="preserve">Goldie J. (2017). Do training and CPD foster truly reflective </w:t>
      </w:r>
      <w:proofErr w:type="gramStart"/>
      <w:r>
        <w:rPr>
          <w:highlight w:val="white"/>
        </w:rPr>
        <w:t>GPs?.</w:t>
      </w:r>
      <w:proofErr w:type="gramEnd"/>
      <w:r>
        <w:rPr>
          <w:highlight w:val="white"/>
        </w:rPr>
        <w:t xml:space="preserve"> </w:t>
      </w:r>
      <w:r>
        <w:rPr>
          <w:i/>
          <w:highlight w:val="white"/>
        </w:rPr>
        <w:t xml:space="preserve">The British </w:t>
      </w:r>
      <w:r>
        <w:rPr>
          <w:i/>
        </w:rPr>
        <w:t xml:space="preserve">journal of general </w:t>
      </w:r>
      <w:proofErr w:type="gramStart"/>
      <w:r>
        <w:rPr>
          <w:i/>
        </w:rPr>
        <w:t xml:space="preserve">practice </w:t>
      </w:r>
      <w:r>
        <w:rPr>
          <w:i/>
        </w:rPr>
        <w:t>:</w:t>
      </w:r>
      <w:proofErr w:type="gramEnd"/>
      <w:r>
        <w:rPr>
          <w:i/>
        </w:rPr>
        <w:t xml:space="preserve"> The journal of the Royal College of General Practitioners</w:t>
      </w:r>
      <w:r>
        <w:t xml:space="preserve">, </w:t>
      </w:r>
      <w:r>
        <w:rPr>
          <w:i/>
        </w:rPr>
        <w:t>67</w:t>
      </w:r>
      <w:r>
        <w:t>(655), Page 83.</w:t>
      </w:r>
      <w:r>
        <w:br/>
      </w:r>
      <w:r>
        <w:br/>
        <w:t xml:space="preserve">Haroun, L. (2016). </w:t>
      </w:r>
      <w:r>
        <w:rPr>
          <w:i/>
        </w:rPr>
        <w:t>Career Development for Health Professionals</w:t>
      </w:r>
      <w:r>
        <w:t>. 4th Edition. Missouri, Elsevier Publishing. Page 17.</w:t>
      </w:r>
      <w:r>
        <w:br/>
      </w:r>
      <w:r>
        <w:lastRenderedPageBreak/>
        <w:br/>
        <w:t>Holder, A.M.B. (2019). ‘Part 16: Microaggressions: Workpla</w:t>
      </w:r>
      <w:r>
        <w:t xml:space="preserve">ce Interventions.’ In Torino, G.C., Rivera, D.P., Capodilupo, C.M., Nadal, K.L., and Sue, D.W., </w:t>
      </w:r>
      <w:r>
        <w:rPr>
          <w:i/>
        </w:rPr>
        <w:t>Microaggression Theory</w:t>
      </w:r>
      <w:r>
        <w:t>. Hoboken: John Wiley and Sons Inc. Page 271-272.</w:t>
      </w:r>
      <w:r>
        <w:br/>
      </w:r>
      <w:r>
        <w:br/>
        <w:t xml:space="preserve">McDonnell, F., and Zutchi, H. (2006). </w:t>
      </w:r>
      <w:r>
        <w:rPr>
          <w:i/>
        </w:rPr>
        <w:t xml:space="preserve">Continuing Professional Development Strategy for </w:t>
      </w:r>
      <w:r>
        <w:rPr>
          <w:i/>
        </w:rPr>
        <w:t>the Social Care Workforce</w:t>
      </w:r>
      <w:r>
        <w:t>. Available online at https://dera.ioe.ac.uk/8333/1/CPD_strategy_webedn_links.pdf [Accessed on 18/05/20]</w:t>
      </w:r>
      <w:r>
        <w:br/>
      </w:r>
      <w:r>
        <w:br/>
        <w:t xml:space="preserve">Mills, C. (2013). </w:t>
      </w:r>
      <w:r>
        <w:rPr>
          <w:i/>
        </w:rPr>
        <w:t>Keeping your Professional Development Continuous</w:t>
      </w:r>
      <w:r>
        <w:t>. Online news article available at https://www.theguardian.</w:t>
      </w:r>
      <w:r>
        <w:t>com/careers/careers-blog/keeping-professional-development-continuous [Accessed on 18/05/20]</w:t>
      </w:r>
      <w:r>
        <w:br/>
      </w:r>
      <w:r>
        <w:br/>
        <w:t xml:space="preserve">Minton, A. (2016). ‘Part 1: Section 6: Supporting Learners Through Mentoring in the Workplace’. In Mumford, J., and Roodhouse, S. </w:t>
      </w:r>
      <w:r>
        <w:rPr>
          <w:i/>
        </w:rPr>
        <w:t>Understanding Work-Based Learning</w:t>
      </w:r>
      <w:r>
        <w:t>. Oxon: Routledge Publishing. Page 62.</w:t>
      </w:r>
      <w:r>
        <w:br/>
      </w:r>
      <w:r>
        <w:br/>
        <w:t xml:space="preserve">National Health Service South West Leadership Academy (NHS SWLA). (2016). </w:t>
      </w:r>
      <w:r>
        <w:rPr>
          <w:i/>
        </w:rPr>
        <w:t>Coaching and Mentoring Policy</w:t>
      </w:r>
      <w:r>
        <w:t>. Available online at https://www.southwestleadership.nhs.uk/wp-content/uploads/2017/02/Coaching-and-Mentoring-Po</w:t>
      </w:r>
      <w:r>
        <w:t>licy.pdf [Accessed on 18/05/20]</w:t>
      </w:r>
      <w:r>
        <w:br/>
      </w:r>
      <w:r>
        <w:br/>
        <w:t xml:space="preserve">Neary, S., and Johnson, C. (2016). </w:t>
      </w:r>
      <w:r>
        <w:rPr>
          <w:i/>
        </w:rPr>
        <w:t>CPD for the Career Development Professional</w:t>
      </w:r>
      <w:r>
        <w:t>. Bath: Trotman Publishing. Page 1-192.</w:t>
      </w:r>
      <w:r>
        <w:br/>
      </w:r>
      <w:r>
        <w:br/>
        <w:t xml:space="preserve">Parsloe, E., and Leedham, M. (2017). </w:t>
      </w:r>
      <w:r>
        <w:rPr>
          <w:i/>
        </w:rPr>
        <w:t>Coaching and Mentoring</w:t>
      </w:r>
      <w:r>
        <w:t>. 3rd Edition. London: Kogan Page Limited. Pa</w:t>
      </w:r>
      <w:r>
        <w:t>ge 3-278.</w:t>
      </w:r>
      <w:r>
        <w:br/>
      </w:r>
      <w:r>
        <w:br/>
        <w:t xml:space="preserve">Pawar, M., and Anscomb, A.W. (2015). </w:t>
      </w:r>
      <w:r>
        <w:rPr>
          <w:i/>
        </w:rPr>
        <w:t>Social Work Practice Methods</w:t>
      </w:r>
      <w:r>
        <w:t>. Port Melbourne: Cambridge University Press. Page 38-42.</w:t>
      </w:r>
      <w:r>
        <w:br/>
      </w:r>
      <w:r>
        <w:br/>
        <w:t xml:space="preserve">Social Care Wales. (2018). </w:t>
      </w:r>
      <w:r>
        <w:rPr>
          <w:i/>
        </w:rPr>
        <w:t>Continuing Professional Development Toolkit for Social Care, Early Years and Childcare</w:t>
      </w:r>
      <w:r>
        <w:t>. Availa</w:t>
      </w:r>
      <w:r>
        <w:t>ble online at https://socialcare.wales/cms_assets/file-uploads/CCPD-toolkit-for-social-care-ENGv01.pdf [Accessed on 20/05/20]</w:t>
      </w:r>
      <w:r>
        <w:br/>
      </w:r>
      <w:r>
        <w:br/>
      </w:r>
      <w:r>
        <w:lastRenderedPageBreak/>
        <w:t xml:space="preserve">The Health Foundation. (2012). </w:t>
      </w:r>
      <w:r>
        <w:rPr>
          <w:i/>
        </w:rPr>
        <w:t>Quality Improvement Training for Healthcare Professionals</w:t>
      </w:r>
      <w:r>
        <w:t>. Available at https://www.health.org.uk/</w:t>
      </w:r>
      <w:r>
        <w:t>sites/default/files/QualityImprovementTrainingForHealthcareProfessionals.pdf [Accessed on 18/05/20]</w:t>
      </w:r>
      <w:r>
        <w:br/>
      </w:r>
      <w:r>
        <w:br/>
        <w:t>Tremblay, M.C., Richard, L., Brousselle, A., and Beaudet, N. (2013). Learning reflexively from a health promotion professional development program in Canad</w:t>
      </w:r>
      <w:r>
        <w:t xml:space="preserve">a. </w:t>
      </w:r>
      <w:r>
        <w:rPr>
          <w:i/>
        </w:rPr>
        <w:t>Health Promotion International Journal</w:t>
      </w:r>
      <w:r>
        <w:t>, 29(3), Page 539.</w:t>
      </w:r>
      <w:r>
        <w:br/>
      </w:r>
      <w:r>
        <w:br/>
        <w:t xml:space="preserve">University of Reading. (2020). </w:t>
      </w:r>
      <w:r>
        <w:rPr>
          <w:i/>
        </w:rPr>
        <w:t>Mentoring: Definition and Principles</w:t>
      </w:r>
      <w:r>
        <w:t>. Available online at https://www.reading.ac.uk/engageinmentoring/what-is-mentoring/eim-definitions.aspx [Accessed 02/05/20]</w:t>
      </w:r>
      <w:r>
        <w:br/>
      </w:r>
      <w:r>
        <w:rPr>
          <w:shd w:val="clear" w:color="auto" w:fill="EDC8FF"/>
        </w:rPr>
        <w:br/>
      </w:r>
      <w:r>
        <w:t>Vu</w:t>
      </w:r>
      <w:r>
        <w:t xml:space="preserve">uren, S.V., and Nel, M. (2013). A Clinical Skills Unit: Addressing the need for Continued Professional Development (CPD) in Allied Health Professions. </w:t>
      </w:r>
      <w:r>
        <w:rPr>
          <w:i/>
        </w:rPr>
        <w:t>South African Journal of Occupational Therapy</w:t>
      </w:r>
      <w:r>
        <w:t>, 43(3), Page 41-45.</w:t>
      </w:r>
      <w:r>
        <w:br/>
      </w:r>
      <w:r>
        <w:br/>
      </w:r>
      <w:r>
        <w:br/>
      </w:r>
      <w:r>
        <w:br/>
      </w:r>
      <w:r>
        <w:br/>
      </w:r>
      <w:r>
        <w:br/>
      </w:r>
      <w:r>
        <w:br/>
      </w:r>
      <w:r>
        <w:br/>
      </w:r>
      <w:r>
        <w:br/>
      </w:r>
      <w:r>
        <w:br/>
      </w:r>
      <w:r>
        <w:br/>
      </w:r>
      <w:r>
        <w:br/>
      </w:r>
      <w:r>
        <w:br/>
      </w:r>
      <w:r>
        <w:br/>
      </w:r>
      <w:r>
        <w:br/>
      </w:r>
      <w:r>
        <w:br/>
      </w:r>
      <w:r>
        <w:br/>
      </w:r>
      <w:r w:rsidR="00B24712">
        <w:br/>
      </w:r>
      <w:r w:rsidR="00B24712">
        <w:br/>
      </w:r>
      <w:r>
        <w:rPr>
          <w:b/>
          <w:u w:val="single"/>
        </w:rPr>
        <w:lastRenderedPageBreak/>
        <w:t>A</w:t>
      </w:r>
      <w:r>
        <w:rPr>
          <w:b/>
          <w:u w:val="single"/>
        </w:rPr>
        <w:t>pp</w:t>
      </w:r>
      <w:r>
        <w:rPr>
          <w:b/>
          <w:u w:val="single"/>
        </w:rPr>
        <w:t>endix</w:t>
      </w:r>
      <w:r>
        <w:rPr>
          <w:b/>
        </w:rPr>
        <w:br/>
      </w:r>
      <w:r>
        <w:rPr>
          <w:b/>
        </w:rPr>
        <w:br/>
        <w:t>Part 1 - Mentoring Reflection Sheet</w:t>
      </w:r>
    </w:p>
    <w:tbl>
      <w:tblPr>
        <w:tblStyle w:val="a"/>
        <w:tblW w:w="9570" w:type="dxa"/>
        <w:tblInd w:w="-5" w:type="dxa"/>
        <w:tblBorders>
          <w:top w:val="nil"/>
          <w:left w:val="nil"/>
          <w:bottom w:val="nil"/>
          <w:right w:val="nil"/>
          <w:insideH w:val="nil"/>
          <w:insideV w:val="nil"/>
        </w:tblBorders>
        <w:tblLayout w:type="fixed"/>
        <w:tblLook w:val="0600" w:firstRow="0" w:lastRow="0" w:firstColumn="0" w:lastColumn="0" w:noHBand="1" w:noVBand="1"/>
      </w:tblPr>
      <w:tblGrid>
        <w:gridCol w:w="2025"/>
        <w:gridCol w:w="7545"/>
      </w:tblGrid>
      <w:tr w:rsidR="003B1CE7">
        <w:trPr>
          <w:trHeight w:val="1260"/>
        </w:trPr>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B1CE7" w:rsidRDefault="00217D17">
            <w:pPr>
              <w:spacing w:before="240"/>
              <w:rPr>
                <w:b/>
              </w:rPr>
            </w:pPr>
            <w:r>
              <w:rPr>
                <w:b/>
              </w:rPr>
              <w:t>Date and time</w:t>
            </w:r>
          </w:p>
        </w:tc>
        <w:tc>
          <w:tcPr>
            <w:tcW w:w="75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3B1CE7" w:rsidRDefault="00217D17">
            <w:pPr>
              <w:spacing w:before="240"/>
            </w:pPr>
            <w:r>
              <w:t>3</w:t>
            </w:r>
            <w:r>
              <w:rPr>
                <w:vertAlign w:val="superscript"/>
              </w:rPr>
              <w:t>rd</w:t>
            </w:r>
            <w:r>
              <w:t xml:space="preserve"> February – 17</w:t>
            </w:r>
            <w:r>
              <w:rPr>
                <w:vertAlign w:val="superscript"/>
              </w:rPr>
              <w:t>th</w:t>
            </w:r>
            <w:r>
              <w:t xml:space="preserve"> February (30 minute/hour sessions - times and dates varied depending on when the teachers were free for a mentoring session)</w:t>
            </w:r>
          </w:p>
        </w:tc>
      </w:tr>
      <w:tr w:rsidR="003B1CE7">
        <w:trPr>
          <w:trHeight w:val="5885"/>
        </w:trPr>
        <w:tc>
          <w:tcPr>
            <w:tcW w:w="20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B1CE7" w:rsidRDefault="00217D17">
            <w:pPr>
              <w:spacing w:before="240"/>
              <w:rPr>
                <w:b/>
              </w:rPr>
            </w:pPr>
            <w:r>
              <w:rPr>
                <w:b/>
              </w:rPr>
              <w:t>Give an overview of the setting such as mentoring, VI</w:t>
            </w:r>
            <w:r>
              <w:rPr>
                <w:b/>
              </w:rPr>
              <w:t>VA, wider support etc.  State how long the session took and importantly what the purpose of the session was.</w:t>
            </w:r>
          </w:p>
        </w:tc>
        <w:tc>
          <w:tcPr>
            <w:tcW w:w="7545" w:type="dxa"/>
            <w:tcBorders>
              <w:top w:val="nil"/>
              <w:left w:val="nil"/>
              <w:bottom w:val="single" w:sz="8" w:space="0" w:color="000000"/>
              <w:right w:val="single" w:sz="8" w:space="0" w:color="000000"/>
            </w:tcBorders>
            <w:tcMar>
              <w:top w:w="100" w:type="dxa"/>
              <w:left w:w="100" w:type="dxa"/>
              <w:bottom w:w="100" w:type="dxa"/>
              <w:right w:w="100" w:type="dxa"/>
            </w:tcMar>
          </w:tcPr>
          <w:p w:rsidR="003B1CE7" w:rsidRDefault="00217D17">
            <w:pPr>
              <w:spacing w:before="240"/>
            </w:pPr>
            <w:r>
              <w:t>I carried out my mentoring sessions in my job role. I work as a community play worker in a primary school in Neath Port Talbot. My job role is under a pilot scheme meaning that it is only running until July 2020 unless the project is deemed successful, and</w:t>
            </w:r>
            <w:r>
              <w:t xml:space="preserve"> funding is granted for the following academic year. In my role I work independently to provide more play opportunities for the children in the school as research has found that more play can benefit a child’s development as well as provide a positive impa</w:t>
            </w:r>
            <w:r>
              <w:t>ct on the children’s learning. The school I work in reached out to the council to part take in this project after finding out the many benefits that could come of it, as well as admitting they have numerous students who could benefit from this (such as chi</w:t>
            </w:r>
            <w:r>
              <w:t>ldren with behavioural problems, children with low self-esteem, and for children who struggle making friends and playing with others). As my job is part of a pilot study and there is uncertainty as to whether I will be back in September providing a play se</w:t>
            </w:r>
            <w:r>
              <w:t xml:space="preserve">rvice, part of my job role is to provide mentoring to other members of staff within the school such as the teachers and lunchtime supervisors, so that if the pilot scheme does not continue the teachers would have learnt valuable information and resources, </w:t>
            </w:r>
            <w:r>
              <w:t>to enable them to continue some of the play opportunities in the following academic year.</w:t>
            </w:r>
          </w:p>
        </w:tc>
      </w:tr>
      <w:tr w:rsidR="003B1CE7">
        <w:trPr>
          <w:trHeight w:val="7620"/>
        </w:trPr>
        <w:tc>
          <w:tcPr>
            <w:tcW w:w="20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B1CE7" w:rsidRDefault="00217D17">
            <w:pPr>
              <w:spacing w:before="240"/>
              <w:rPr>
                <w:b/>
              </w:rPr>
            </w:pPr>
            <w:r>
              <w:rPr>
                <w:b/>
              </w:rPr>
              <w:lastRenderedPageBreak/>
              <w:t>Reflect on if you feel the session met its aim and could be considered a success.  Think in terms of how well you passed information on or helped the mentee to reflect on their own practice and learning.</w:t>
            </w:r>
          </w:p>
        </w:tc>
        <w:tc>
          <w:tcPr>
            <w:tcW w:w="7545" w:type="dxa"/>
            <w:tcBorders>
              <w:top w:val="nil"/>
              <w:left w:val="nil"/>
              <w:bottom w:val="single" w:sz="8" w:space="0" w:color="000000"/>
              <w:right w:val="single" w:sz="8" w:space="0" w:color="000000"/>
            </w:tcBorders>
            <w:tcMar>
              <w:top w:w="100" w:type="dxa"/>
              <w:left w:w="100" w:type="dxa"/>
              <w:bottom w:w="100" w:type="dxa"/>
              <w:right w:w="100" w:type="dxa"/>
            </w:tcMar>
          </w:tcPr>
          <w:p w:rsidR="003B1CE7" w:rsidRDefault="00217D17">
            <w:pPr>
              <w:spacing w:before="240"/>
            </w:pPr>
            <w:r>
              <w:t xml:space="preserve">Overall, I believe the sessions have gone well with </w:t>
            </w:r>
            <w:r>
              <w:t xml:space="preserve">the given circumstances. The original aim was to provide the staff at the school with more information and techniques for play opportunities so that they would be able to continue them in the future. Due to the school being such a small school with only a </w:t>
            </w:r>
            <w:r>
              <w:t>small team of staff, it was a struggle to try to organise free time with members of staff to which I could sit down with them and have a mentoring session. This was therefore a barrier as on top of doing my own play sessions with the children, as well as p</w:t>
            </w:r>
            <w:r>
              <w:t>aperwork, there would be very few opportunities to carry out a mentoring session where we could sit for an hour or longer. I think the sessions will be much more successful by July 2020, as by then multiple mentoring sessions would have taken place, howeve</w:t>
            </w:r>
            <w:r>
              <w:t xml:space="preserve">r </w:t>
            </w:r>
            <w:proofErr w:type="gramStart"/>
            <w:r>
              <w:t>at the moment</w:t>
            </w:r>
            <w:proofErr w:type="gramEnd"/>
            <w:r>
              <w:t xml:space="preserve"> I think more mentoring sessions are needed, as 10 hours so far isn’t enough. I think I did well to pass on information to the best of my ability, as well as answering questions and providing guidance where necessary. However as mentioned ab</w:t>
            </w:r>
            <w:r>
              <w:t>ove, I think more mentoring sessions are needed for the teachers to gain a better understanding of their own practise and reflect more on previous techniques and new ones, to create the best opportunity of play going forward.</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tc>
      </w:tr>
      <w:tr w:rsidR="003B1CE7">
        <w:trPr>
          <w:trHeight w:val="8315"/>
        </w:trPr>
        <w:tc>
          <w:tcPr>
            <w:tcW w:w="20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B1CE7" w:rsidRDefault="00217D17">
            <w:pPr>
              <w:spacing w:before="240"/>
              <w:rPr>
                <w:b/>
              </w:rPr>
            </w:pPr>
            <w:r>
              <w:rPr>
                <w:b/>
              </w:rPr>
              <w:lastRenderedPageBreak/>
              <w:t>Reflection on what you learned from the experience and if/how you feel your skills are developing.</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p w:rsidR="003B1CE7" w:rsidRDefault="00217D17">
            <w:pPr>
              <w:spacing w:before="240"/>
            </w:pPr>
            <w:r>
              <w:t xml:space="preserve"> </w:t>
            </w:r>
          </w:p>
        </w:tc>
        <w:tc>
          <w:tcPr>
            <w:tcW w:w="7545" w:type="dxa"/>
            <w:tcBorders>
              <w:top w:val="nil"/>
              <w:left w:val="nil"/>
              <w:bottom w:val="single" w:sz="8" w:space="0" w:color="000000"/>
              <w:right w:val="single" w:sz="8" w:space="0" w:color="000000"/>
            </w:tcBorders>
            <w:tcMar>
              <w:top w:w="100" w:type="dxa"/>
              <w:left w:w="100" w:type="dxa"/>
              <w:bottom w:w="100" w:type="dxa"/>
              <w:right w:w="100" w:type="dxa"/>
            </w:tcMar>
          </w:tcPr>
          <w:p w:rsidR="003B1CE7" w:rsidRDefault="00217D17">
            <w:pPr>
              <w:spacing w:before="240"/>
            </w:pPr>
            <w:r>
              <w:t xml:space="preserve">To reflect on the experience, I have </w:t>
            </w:r>
            <w:proofErr w:type="gramStart"/>
            <w:r>
              <w:t>definitely developed</w:t>
            </w:r>
            <w:proofErr w:type="gramEnd"/>
            <w:r>
              <w:t xml:space="preserve"> my communication skills, as well as increasing my confidence when communicating with others</w:t>
            </w:r>
            <w:r>
              <w:t>. Originally this would have been something out of my comfort zone, especially due to me mentoring members of staff who were older than me and had more experience in the school environment. However due to this being my job, I understood that it was somethi</w:t>
            </w:r>
            <w:r>
              <w:t>ng I must do, and I had to jump into the opportunity despite it not being something I was experienced in. I also feel like my listening skills have improved greatly, as well as my problem solving skills, as I not only had to use these skills in the mentori</w:t>
            </w:r>
            <w:r>
              <w:t>ng sessions themselves, but I also had to use these skills to try organise the sessions, and work around the possible barriers. Despite it being out of my comfort zone at first, it is slowly becoming a more natural process to me and I feel that from this e</w:t>
            </w:r>
            <w:r>
              <w:t>xperience, that by July this will almost be second nature to me.</w:t>
            </w:r>
          </w:p>
          <w:p w:rsidR="003B1CE7" w:rsidRDefault="00217D17">
            <w:pPr>
              <w:spacing w:before="240"/>
            </w:pPr>
            <w:r>
              <w:t>I have also learned that not everyone is open to new ideas and possibilities with some members of staff being more hesitant to the project and less co-operative, however I have found that pat</w:t>
            </w:r>
            <w:r>
              <w:t>ience is important and just like mentoring originally being out of my comfort zone, this may be out of theirs too. My manager also informed me at the start of this project that it may take a while for all staff to thoroughly understand the aim of the proje</w:t>
            </w:r>
            <w:r>
              <w:t>ct, with some members of staff thinking I was going in to change what they already do/make adjustments to what they are used to. These comments made more sense to me as the time went on as it became apparent which members of staff were really open minded t</w:t>
            </w:r>
            <w:r>
              <w:t>o the project, and some others which didn’t understand as much and portrayed quite a closed character throughout the mentoring sessions.</w:t>
            </w:r>
          </w:p>
        </w:tc>
      </w:tr>
    </w:tbl>
    <w:p w:rsidR="003B1CE7" w:rsidRDefault="00217D17">
      <w:pPr>
        <w:spacing w:before="240" w:after="240"/>
        <w:rPr>
          <w:b/>
        </w:rPr>
      </w:pPr>
      <w:r>
        <w:rPr>
          <w:b/>
        </w:rPr>
        <w:t xml:space="preserve"> </w:t>
      </w:r>
    </w:p>
    <w:p w:rsidR="003B1CE7" w:rsidRDefault="00217D17">
      <w:pPr>
        <w:spacing w:before="240" w:after="240"/>
      </w:pPr>
      <w:r>
        <w:rPr>
          <w:b/>
        </w:rPr>
        <w:br/>
      </w:r>
      <w:r>
        <w:rPr>
          <w:b/>
        </w:rPr>
        <w:br/>
      </w:r>
      <w:r>
        <w:rPr>
          <w:b/>
        </w:rPr>
        <w:br/>
      </w:r>
      <w:r>
        <w:rPr>
          <w:b/>
        </w:rPr>
        <w:br/>
      </w:r>
      <w:r>
        <w:rPr>
          <w:b/>
        </w:rPr>
        <w:br/>
      </w:r>
      <w:r>
        <w:rPr>
          <w:b/>
        </w:rPr>
        <w:br/>
      </w:r>
      <w:r>
        <w:rPr>
          <w:b/>
        </w:rPr>
        <w:br/>
      </w:r>
      <w:r>
        <w:rPr>
          <w:b/>
        </w:rPr>
        <w:lastRenderedPageBreak/>
        <w:t>Part 2 - 16 Play Types Help Sheet</w:t>
      </w:r>
      <w:r>
        <w:br/>
      </w:r>
      <w:r>
        <w:rPr>
          <w:noProof/>
        </w:rPr>
        <w:drawing>
          <wp:inline distT="114300" distB="114300" distL="114300" distR="114300">
            <wp:extent cx="5238750" cy="6800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238750" cy="6800850"/>
                    </a:xfrm>
                    <a:prstGeom prst="rect">
                      <a:avLst/>
                    </a:prstGeom>
                    <a:ln/>
                  </pic:spPr>
                </pic:pic>
              </a:graphicData>
            </a:graphic>
          </wp:inline>
        </w:drawing>
      </w:r>
    </w:p>
    <w:sectPr w:rsidR="003B1CE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CE7"/>
    <w:rsid w:val="00217D17"/>
    <w:rsid w:val="003B1CE7"/>
    <w:rsid w:val="003E0F7E"/>
    <w:rsid w:val="006D1DC9"/>
    <w:rsid w:val="00B24712"/>
    <w:rsid w:val="00DD6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CAD6"/>
  <w15:docId w15:val="{86737A94-A45D-47F7-B9B2-B0A8B802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1419</TotalTime>
  <Pages>12</Pages>
  <Words>3463</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Zoé Thomas Kift</dc:creator>
  <cp:lastModifiedBy>Zoe Thomas (1707905)</cp:lastModifiedBy>
  <cp:revision>3</cp:revision>
  <dcterms:created xsi:type="dcterms:W3CDTF">2020-05-24T13:47:00Z</dcterms:created>
  <dcterms:modified xsi:type="dcterms:W3CDTF">2020-05-25T13:25:00Z</dcterms:modified>
</cp:coreProperties>
</file>