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5026" w:type="dxa"/>
        <w:tblInd w:w="-714" w:type="dxa"/>
        <w:tblLook w:val="04A0" w:firstRow="1" w:lastRow="0" w:firstColumn="1" w:lastColumn="0" w:noHBand="0" w:noVBand="1"/>
      </w:tblPr>
      <w:tblGrid>
        <w:gridCol w:w="1405"/>
        <w:gridCol w:w="12551"/>
        <w:gridCol w:w="1681"/>
        <w:gridCol w:w="2104"/>
      </w:tblGrid>
      <w:tr w:rsidR="006067BA" w14:paraId="2CC2B6A7" w14:textId="78F97877" w:rsidTr="00EC65A1">
        <w:tc>
          <w:tcPr>
            <w:tcW w:w="2205" w:type="dxa"/>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7860" w:type="dxa"/>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2857" w:type="dxa"/>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2104" w:type="dxa"/>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EC65A1">
        <w:tc>
          <w:tcPr>
            <w:tcW w:w="2205" w:type="dxa"/>
          </w:tcPr>
          <w:p w14:paraId="289B6002" w14:textId="25103141" w:rsidR="00152AA0" w:rsidRDefault="00200F48" w:rsidP="00C61465">
            <w:pPr>
              <w:rPr>
                <w:sz w:val="28"/>
                <w:szCs w:val="28"/>
              </w:rPr>
            </w:pPr>
            <w:r>
              <w:rPr>
                <w:rFonts w:ascii="Source Sans Pro" w:hAnsi="Source Sans Pro"/>
                <w:b/>
                <w:bCs/>
                <w:caps/>
                <w:color w:val="6D6D6D"/>
                <w:spacing w:val="12"/>
                <w:sz w:val="17"/>
                <w:szCs w:val="17"/>
                <w:shd w:val="clear" w:color="auto" w:fill="FFFFFF"/>
              </w:rPr>
              <w:t>Articl</w:t>
            </w:r>
            <w:r>
              <w:rPr>
                <w:rFonts w:ascii="Source Sans Pro" w:hAnsi="Source Sans Pro"/>
                <w:b/>
                <w:bCs/>
                <w:caps/>
                <w:color w:val="6D6D6D"/>
                <w:spacing w:val="12"/>
                <w:sz w:val="17"/>
                <w:szCs w:val="17"/>
                <w:shd w:val="clear" w:color="auto" w:fill="FFFFFF"/>
              </w:rPr>
              <w:t xml:space="preserve"> </w:t>
            </w:r>
            <w:r>
              <w:rPr>
                <w:rFonts w:ascii="Source Sans Pro" w:hAnsi="Source Sans Pro"/>
                <w:color w:val="3A3A3A"/>
                <w:sz w:val="23"/>
                <w:szCs w:val="23"/>
                <w:shd w:val="clear" w:color="auto" w:fill="FFFFFF"/>
              </w:rPr>
              <w:t>essential in the knowledge</w:t>
            </w:r>
          </w:p>
        </w:tc>
        <w:tc>
          <w:tcPr>
            <w:tcW w:w="7860" w:type="dxa"/>
          </w:tcPr>
          <w:p w14:paraId="53B34447" w14:textId="77777777" w:rsidR="006067BA" w:rsidRPr="00200F48" w:rsidRDefault="006067BA" w:rsidP="000A1AD2">
            <w:pPr>
              <w:jc w:val="center"/>
              <w:rPr>
                <w:sz w:val="12"/>
                <w:szCs w:val="12"/>
              </w:rPr>
            </w:pPr>
          </w:p>
          <w:p w14:paraId="3E776B45" w14:textId="77777777" w:rsidR="00D5429C" w:rsidRPr="00200F48" w:rsidRDefault="00D5429C" w:rsidP="000A1AD2">
            <w:pPr>
              <w:jc w:val="center"/>
              <w:rPr>
                <w:sz w:val="12"/>
                <w:szCs w:val="12"/>
              </w:rPr>
            </w:pPr>
          </w:p>
          <w:p w14:paraId="6F895CEC" w14:textId="5B50797C" w:rsidR="00D5429C" w:rsidRPr="00200F48" w:rsidRDefault="00200F48" w:rsidP="000A1AD2">
            <w:pPr>
              <w:jc w:val="center"/>
              <w:rPr>
                <w:sz w:val="12"/>
                <w:szCs w:val="12"/>
              </w:rPr>
            </w:pPr>
            <w:r w:rsidRPr="00200F48">
              <w:rPr>
                <w:sz w:val="12"/>
                <w:szCs w:val="12"/>
              </w:rPr>
              <w:t>https://librarysearch.uwtsd.ac.uk/permalink/44WHELF_UWTSD/1bmis16/cdi_umn_agecon_oai_ageconsearch_umn_edu_156423</w:t>
            </w:r>
          </w:p>
          <w:p w14:paraId="6BBEEEA9" w14:textId="77777777" w:rsidR="00D5429C" w:rsidRPr="00200F48" w:rsidRDefault="00D5429C" w:rsidP="000A1AD2">
            <w:pPr>
              <w:jc w:val="center"/>
              <w:rPr>
                <w:sz w:val="12"/>
                <w:szCs w:val="12"/>
              </w:rPr>
            </w:pPr>
          </w:p>
        </w:tc>
        <w:tc>
          <w:tcPr>
            <w:tcW w:w="2857" w:type="dxa"/>
          </w:tcPr>
          <w:p w14:paraId="16D6C39B" w14:textId="4650B2E0" w:rsidR="00E91CAA" w:rsidRDefault="00E91CAA" w:rsidP="00200F48">
            <w:pPr>
              <w:rPr>
                <w:sz w:val="28"/>
                <w:szCs w:val="28"/>
              </w:rPr>
            </w:pPr>
            <w:r>
              <w:rPr>
                <w:sz w:val="28"/>
                <w:szCs w:val="28"/>
              </w:rPr>
              <w:t xml:space="preserve"> </w:t>
            </w:r>
            <w:r w:rsidR="00200F48">
              <w:rPr>
                <w:sz w:val="28"/>
                <w:szCs w:val="28"/>
              </w:rPr>
              <w:t xml:space="preserve">Online library </w:t>
            </w:r>
          </w:p>
        </w:tc>
        <w:tc>
          <w:tcPr>
            <w:tcW w:w="2104" w:type="dxa"/>
          </w:tcPr>
          <w:p w14:paraId="1BC1B255" w14:textId="25A45CCD" w:rsidR="006067BA" w:rsidRDefault="00200F48" w:rsidP="000A1AD2">
            <w:pPr>
              <w:jc w:val="center"/>
              <w:rPr>
                <w:sz w:val="28"/>
                <w:szCs w:val="28"/>
              </w:rPr>
            </w:pPr>
            <w:r w:rsidRPr="00D5429C">
              <w:rPr>
                <w:i/>
                <w:iCs/>
                <w:sz w:val="28"/>
                <w:szCs w:val="28"/>
              </w:rPr>
              <w:t>employability skills</w:t>
            </w:r>
          </w:p>
        </w:tc>
      </w:tr>
      <w:tr w:rsidR="006067BA" w14:paraId="03EAE282" w14:textId="70E325E4" w:rsidTr="00EC65A1">
        <w:trPr>
          <w:trHeight w:val="85"/>
        </w:trPr>
        <w:tc>
          <w:tcPr>
            <w:tcW w:w="2205" w:type="dxa"/>
          </w:tcPr>
          <w:p w14:paraId="4777939F" w14:textId="408B7EE9" w:rsidR="006067BA" w:rsidRDefault="002A53C8" w:rsidP="006067BA">
            <w:pPr>
              <w:rPr>
                <w:sz w:val="28"/>
                <w:szCs w:val="28"/>
              </w:rPr>
            </w:pPr>
            <w:r>
              <w:rPr>
                <w:sz w:val="28"/>
                <w:szCs w:val="28"/>
              </w:rPr>
              <w:t>web</w:t>
            </w:r>
          </w:p>
        </w:tc>
        <w:tc>
          <w:tcPr>
            <w:tcW w:w="7860" w:type="dxa"/>
          </w:tcPr>
          <w:p w14:paraId="4952EE23" w14:textId="77777777" w:rsidR="006067BA" w:rsidRDefault="006067BA" w:rsidP="000A1AD2">
            <w:pPr>
              <w:jc w:val="center"/>
              <w:rPr>
                <w:sz w:val="28"/>
                <w:szCs w:val="28"/>
              </w:rPr>
            </w:pPr>
          </w:p>
          <w:p w14:paraId="00BB30DF" w14:textId="31A302E2" w:rsidR="00D5429C" w:rsidRDefault="00D804B4" w:rsidP="000A1AD2">
            <w:pPr>
              <w:jc w:val="center"/>
              <w:rPr>
                <w:sz w:val="28"/>
                <w:szCs w:val="28"/>
              </w:rPr>
            </w:pPr>
            <w:r w:rsidRPr="00D804B4">
              <w:rPr>
                <w:sz w:val="28"/>
                <w:szCs w:val="28"/>
              </w:rPr>
              <w:t>https://librarysearch.uwtsd.ac.uk/permalink/44WHELF_UWTSD/1bmis16/cdi_ceeol_journals_1101482</w:t>
            </w: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2857" w:type="dxa"/>
          </w:tcPr>
          <w:p w14:paraId="7974764A" w14:textId="74DD4AF0" w:rsidR="006067BA" w:rsidRDefault="002A53C8" w:rsidP="000A1AD2">
            <w:pPr>
              <w:jc w:val="center"/>
              <w:rPr>
                <w:sz w:val="28"/>
                <w:szCs w:val="28"/>
              </w:rPr>
            </w:pPr>
            <w:r>
              <w:rPr>
                <w:sz w:val="28"/>
                <w:szCs w:val="28"/>
              </w:rPr>
              <w:t>O</w:t>
            </w:r>
            <w:r w:rsidR="00D804B4">
              <w:rPr>
                <w:sz w:val="28"/>
                <w:szCs w:val="28"/>
              </w:rPr>
              <w:t>nline</w:t>
            </w:r>
            <w:r>
              <w:rPr>
                <w:sz w:val="28"/>
                <w:szCs w:val="28"/>
              </w:rPr>
              <w:t xml:space="preserve"> </w:t>
            </w:r>
            <w:proofErr w:type="spellStart"/>
            <w:r>
              <w:rPr>
                <w:sz w:val="28"/>
                <w:szCs w:val="28"/>
              </w:rPr>
              <w:t>libray</w:t>
            </w:r>
            <w:proofErr w:type="spellEnd"/>
          </w:p>
        </w:tc>
        <w:tc>
          <w:tcPr>
            <w:tcW w:w="2104" w:type="dxa"/>
          </w:tcPr>
          <w:p w14:paraId="553192D0" w14:textId="77777777" w:rsidR="006067BA" w:rsidRDefault="006067BA" w:rsidP="000A1AD2">
            <w:pPr>
              <w:jc w:val="center"/>
              <w:rPr>
                <w:sz w:val="28"/>
                <w:szCs w:val="28"/>
              </w:rPr>
            </w:pPr>
          </w:p>
        </w:tc>
      </w:tr>
      <w:tr w:rsidR="006067BA" w14:paraId="30FDEC5A" w14:textId="69DA207C" w:rsidTr="00EC65A1">
        <w:tc>
          <w:tcPr>
            <w:tcW w:w="2205" w:type="dxa"/>
          </w:tcPr>
          <w:p w14:paraId="65003ECF" w14:textId="73410571" w:rsidR="006067BA" w:rsidRDefault="006067BA" w:rsidP="006067BA">
            <w:pPr>
              <w:rPr>
                <w:sz w:val="28"/>
                <w:szCs w:val="28"/>
              </w:rPr>
            </w:pPr>
          </w:p>
        </w:tc>
        <w:tc>
          <w:tcPr>
            <w:tcW w:w="7860"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2857" w:type="dxa"/>
          </w:tcPr>
          <w:p w14:paraId="3EB7ECA3" w14:textId="77777777" w:rsidR="006067BA" w:rsidRDefault="006067BA" w:rsidP="000A1AD2">
            <w:pPr>
              <w:jc w:val="center"/>
              <w:rPr>
                <w:sz w:val="28"/>
                <w:szCs w:val="28"/>
              </w:rPr>
            </w:pPr>
          </w:p>
        </w:tc>
        <w:tc>
          <w:tcPr>
            <w:tcW w:w="2104" w:type="dxa"/>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7"/>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6959BA7E" w:rsidR="000A1AD2" w:rsidRPr="00D97159" w:rsidRDefault="00E46783" w:rsidP="000A1AD2">
      <w:pPr>
        <w:spacing w:line="360" w:lineRule="auto"/>
        <w:rPr>
          <w:rFonts w:asciiTheme="minorBidi" w:hAnsiTheme="minorBidi"/>
        </w:rPr>
      </w:pPr>
      <w:r w:rsidRPr="000A1AD2">
        <w:rPr>
          <w:noProof/>
        </w:rPr>
        <w:drawing>
          <wp:anchor distT="0" distB="0" distL="114300" distR="114300" simplePos="0" relativeHeight="251664384" behindDoc="1" locked="0" layoutInCell="1" allowOverlap="1" wp14:anchorId="325458EE" wp14:editId="1BFDDBA3">
            <wp:simplePos x="0" y="0"/>
            <wp:positionH relativeFrom="margin">
              <wp:posOffset>226060</wp:posOffset>
            </wp:positionH>
            <wp:positionV relativeFrom="paragraph">
              <wp:posOffset>953135</wp:posOffset>
            </wp:positionV>
            <wp:extent cx="5730240" cy="6456680"/>
            <wp:effectExtent l="0" t="0" r="3810" b="1270"/>
            <wp:wrapTight wrapText="bothSides">
              <wp:wrapPolygon edited="0">
                <wp:start x="0" y="0"/>
                <wp:lineTo x="0" y="21541"/>
                <wp:lineTo x="21543" y="21541"/>
                <wp:lineTo x="21543" y="0"/>
                <wp:lineTo x="0" y="0"/>
              </wp:wrapPolygon>
            </wp:wrapTight>
            <wp:docPr id="1355505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D46EE6" w:rsidRPr="000A1AD2">
        <w:rPr>
          <w:noProof/>
        </w:rPr>
        <w:drawing>
          <wp:anchor distT="0" distB="0" distL="114300" distR="114300" simplePos="0" relativeHeight="251658240" behindDoc="1" locked="0" layoutInCell="1" allowOverlap="1" wp14:anchorId="30FEE69D" wp14:editId="3768D9C3">
            <wp:simplePos x="0" y="0"/>
            <wp:positionH relativeFrom="margin">
              <wp:align>right</wp:align>
            </wp:positionH>
            <wp:positionV relativeFrom="paragraph">
              <wp:posOffset>953135</wp:posOffset>
            </wp:positionV>
            <wp:extent cx="5730240" cy="6456680"/>
            <wp:effectExtent l="0" t="0" r="3810" b="1270"/>
            <wp:wrapTight wrapText="bothSides">
              <wp:wrapPolygon edited="0">
                <wp:start x="0" y="0"/>
                <wp:lineTo x="0" y="21541"/>
                <wp:lineTo x="21543" y="21541"/>
                <wp:lineTo x="21543" y="0"/>
                <wp:lineTo x="0" y="0"/>
              </wp:wrapPolygon>
            </wp:wrapTight>
            <wp:docPr id="1166171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171829" name=""/>
                    <pic:cNvPicPr/>
                  </pic:nvPicPr>
                  <pic:blipFill>
                    <a:blip r:embed="rId8">
                      <a:extLst>
                        <a:ext uri="{28A0092B-C50C-407E-A947-70E740481C1C}">
                          <a14:useLocalDpi xmlns:a14="http://schemas.microsoft.com/office/drawing/2010/main" val="0"/>
                        </a:ext>
                      </a:extLst>
                    </a:blip>
                    <a:stretch>
                      <a:fillRect/>
                    </a:stretch>
                  </pic:blipFill>
                  <pic:spPr>
                    <a:xfrm>
                      <a:off x="0" y="0"/>
                      <a:ext cx="5730240" cy="6456680"/>
                    </a:xfrm>
                    <a:prstGeom prst="rect">
                      <a:avLst/>
                    </a:prstGeom>
                  </pic:spPr>
                </pic:pic>
              </a:graphicData>
            </a:graphic>
            <wp14:sizeRelV relativeFrom="margin">
              <wp14:pctHeight>0</wp14:pctHeight>
            </wp14:sizeRelV>
          </wp:anchor>
        </w:drawing>
      </w:r>
      <w:r w:rsidR="000A1AD2" w:rsidRPr="00D97159">
        <w:rPr>
          <w:rFonts w:asciiTheme="minorBidi" w:hAnsiTheme="minorBidi"/>
        </w:rPr>
        <w:t>Your colleague has forwarded you a source</w:t>
      </w:r>
      <w:r w:rsidR="006067BA">
        <w:rPr>
          <w:rFonts w:asciiTheme="minorBidi" w:hAnsiTheme="minorBidi"/>
        </w:rPr>
        <w:t xml:space="preserve"> from a peer reviewed journal</w:t>
      </w:r>
      <w:r w:rsidR="000A1AD2" w:rsidRPr="00D97159">
        <w:rPr>
          <w:rFonts w:asciiTheme="minorBidi" w:hAnsiTheme="minorBidi"/>
        </w:rPr>
        <w:t>, and they are not sure whether it is appropriate to use and has asked for your help. Your task is to evaluate the source by using the CRAAP Test to assess its appropriateness.</w:t>
      </w:r>
    </w:p>
    <w:p w14:paraId="7C389F68" w14:textId="21AB3FF8" w:rsidR="000A1AD2" w:rsidRDefault="000A1AD2" w:rsidP="000A1AD2"/>
    <w:p w14:paraId="1529A845" w14:textId="581713A7" w:rsidR="000A1AD2" w:rsidRDefault="00D46EE6" w:rsidP="00D46EE6">
      <w:hyperlink r:id="rId9" w:history="1">
        <w:r w:rsidRPr="0047575A">
          <w:rPr>
            <w:rStyle w:val="Hyperlink"/>
          </w:rPr>
          <w:t>https://www.tandfonline.com/doi/full/10.1080/14703297.2022.2049851</w:t>
        </w:r>
      </w:hyperlink>
      <w:r>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1388"/>
        <w:gridCol w:w="762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66BB755B" w:rsidR="000A1AD2" w:rsidRDefault="00E46783" w:rsidP="000A1AD2">
            <w:proofErr w:type="spellStart"/>
            <w:r>
              <w:t>Innvations</w:t>
            </w:r>
            <w:proofErr w:type="spellEnd"/>
            <w:r>
              <w:t xml:space="preserve"> in education and teaching 2023 vol 60 no2 </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229FC193" w:rsidR="000A1AD2" w:rsidRDefault="00E46783" w:rsidP="000A1AD2">
            <w:r>
              <w:t xml:space="preserve">employability skills required for business </w:t>
            </w:r>
            <w:proofErr w:type="spellStart"/>
            <w:r>
              <w:t>gradyuates</w:t>
            </w:r>
            <w:proofErr w:type="spellEnd"/>
            <w:r>
              <w:t xml:space="preserve"> and human development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4201B5C8" w:rsidR="000A1AD2" w:rsidRDefault="00D804B4" w:rsidP="000A1AD2">
            <w:r>
              <w:t xml:space="preserve">School of business </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6BE322E6" w14:textId="77777777" w:rsidR="00D804B4" w:rsidRDefault="00D804B4" w:rsidP="00D804B4">
            <w:hyperlink r:id="rId10" w:history="1">
              <w:r w:rsidRPr="0047575A">
                <w:rPr>
                  <w:rStyle w:val="Hyperlink"/>
                </w:rPr>
                <w:t>https://www.tandfonline.com/doi/full/10.1080/14703297.2022.2049851</w:t>
              </w:r>
            </w:hyperlink>
            <w:r>
              <w:t xml:space="preserve"> </w:t>
            </w:r>
          </w:p>
          <w:p w14:paraId="7160BE65" w14:textId="77777777" w:rsidR="000A1AD2" w:rsidRDefault="000A1AD2" w:rsidP="000A1AD2"/>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2B69CDB7" w:rsidR="000A1AD2" w:rsidRDefault="00E46783" w:rsidP="000A1AD2">
            <w:r>
              <w:t xml:space="preserve">The </w:t>
            </w:r>
            <w:r w:rsidRPr="000A1AD2">
              <w:t>Purpose</w:t>
            </w:r>
            <w:r>
              <w:t xml:space="preserve"> is to identify the employability skills required for business </w:t>
            </w:r>
            <w:proofErr w:type="spellStart"/>
            <w:r>
              <w:t>gradyuates</w:t>
            </w:r>
            <w:proofErr w:type="spellEnd"/>
            <w:r>
              <w:t xml:space="preserve"> and human development </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11818D51"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p>
    <w:p w14:paraId="2525C6DB" w14:textId="0A20AD7D" w:rsidR="76E1354D" w:rsidRDefault="76E1354D" w:rsidP="76E1354D">
      <w:pPr>
        <w:jc w:val="center"/>
        <w:rPr>
          <w:b/>
          <w:bCs/>
        </w:rPr>
      </w:pPr>
    </w:p>
    <w:p w14:paraId="2688898F" w14:textId="7B0ACBFB" w:rsidR="000A1AD2" w:rsidRPr="00770C4C" w:rsidRDefault="000A1AD2" w:rsidP="76E1354D">
      <w:pPr>
        <w:spacing w:line="360" w:lineRule="auto"/>
      </w:pPr>
      <w:r w:rsidRPr="76E1354D">
        <w:rPr>
          <w:rFonts w:asciiTheme="minorBidi" w:hAnsiTheme="minorBidi"/>
        </w:rPr>
        <w:t>.</w:t>
      </w:r>
      <w:r w:rsidR="79BC844E">
        <w:rPr>
          <w:noProof/>
        </w:rPr>
        <w:drawing>
          <wp:inline distT="0" distB="0" distL="0" distR="0" wp14:anchorId="44FC2CE8" wp14:editId="665C1404">
            <wp:extent cx="5334000" cy="7147655"/>
            <wp:effectExtent l="0" t="0" r="0" b="0"/>
            <wp:docPr id="1702211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88736" name=""/>
                    <pic:cNvPicPr/>
                  </pic:nvPicPr>
                  <pic:blipFill>
                    <a:blip r:embed="rId11">
                      <a:extLst>
                        <a:ext uri="{28A0092B-C50C-407E-A947-70E740481C1C}">
                          <a14:useLocalDpi xmlns:a14="http://schemas.microsoft.com/office/drawing/2010/main" val="0"/>
                        </a:ext>
                      </a:extLst>
                    </a:blip>
                    <a:stretch>
                      <a:fillRect/>
                    </a:stretch>
                  </pic:blipFill>
                  <pic:spPr>
                    <a:xfrm>
                      <a:off x="0" y="0"/>
                      <a:ext cx="5337773" cy="7152711"/>
                    </a:xfrm>
                    <a:prstGeom prst="rect">
                      <a:avLst/>
                    </a:prstGeom>
                  </pic:spPr>
                </pic:pic>
              </a:graphicData>
            </a:graphic>
          </wp:inline>
        </w:drawing>
      </w:r>
      <w:r w:rsidRPr="76E1354D">
        <w:rPr>
          <w:rFonts w:asciiTheme="minorBidi" w:hAnsiTheme="minorBidi"/>
        </w:rPr>
        <w:t xml:space="preserve"> </w:t>
      </w:r>
    </w:p>
    <w:p w14:paraId="7D531D3B" w14:textId="077B4A4C" w:rsidR="00770C4C" w:rsidRDefault="00394C23" w:rsidP="00770C4C">
      <w:pPr>
        <w:spacing w:after="0" w:line="360" w:lineRule="auto"/>
        <w:rPr>
          <w:rFonts w:asciiTheme="minorBidi" w:hAnsiTheme="minorBidi"/>
        </w:rPr>
      </w:pPr>
      <w:hyperlink r:id="rId12" w:history="1">
        <w:r w:rsidRPr="0047575A">
          <w:rPr>
            <w:rStyle w:val="Hyperlink"/>
            <w:rFonts w:asciiTheme="minorBidi" w:hAnsiTheme="minorBidi"/>
          </w:rPr>
          <w:t>https://www.theguardian.com/money/2012/jun/08/graduate-careers-employability-skill</w:t>
        </w:r>
        <w:r w:rsidRPr="0047575A">
          <w:rPr>
            <w:rStyle w:val="Hyperlink"/>
            <w:rFonts w:asciiTheme="minorBidi" w:hAnsiTheme="minorBidi"/>
            <w:noProof/>
          </w:rPr>
          <w:drawing>
            <wp:anchor distT="0" distB="0" distL="114300" distR="114300" simplePos="0" relativeHeight="251662336" behindDoc="1" locked="0" layoutInCell="1" allowOverlap="1" wp14:anchorId="16966411" wp14:editId="22899EF8">
              <wp:simplePos x="0" y="0"/>
              <wp:positionH relativeFrom="column">
                <wp:posOffset>6838</wp:posOffset>
              </wp:positionH>
              <wp:positionV relativeFrom="paragraph">
                <wp:posOffset>49</wp:posOffset>
              </wp:positionV>
              <wp:extent cx="5731510" cy="8136890"/>
              <wp:effectExtent l="0" t="0" r="2540" b="0"/>
              <wp:wrapTight wrapText="bothSides">
                <wp:wrapPolygon edited="0">
                  <wp:start x="0" y="0"/>
                  <wp:lineTo x="0" y="21543"/>
                  <wp:lineTo x="21538" y="21543"/>
                  <wp:lineTo x="21538" y="0"/>
                  <wp:lineTo x="0" y="0"/>
                </wp:wrapPolygon>
              </wp:wrapTight>
              <wp:docPr id="87742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426163"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8136890"/>
                      </a:xfrm>
                      <a:prstGeom prst="rect">
                        <a:avLst/>
                      </a:prstGeom>
                    </pic:spPr>
                  </pic:pic>
                </a:graphicData>
              </a:graphic>
            </wp:anchor>
          </w:drawing>
        </w:r>
        <w:r w:rsidRPr="0047575A">
          <w:rPr>
            <w:rStyle w:val="Hyperlink"/>
            <w:rFonts w:asciiTheme="minorBidi" w:hAnsiTheme="minorBidi"/>
          </w:rPr>
          <w:t>s</w:t>
        </w:r>
      </w:hyperlink>
      <w:r>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198FDA04" w14:textId="4545EBB0" w:rsidR="00770C4C" w:rsidRDefault="00770C4C" w:rsidP="00770C4C">
      <w:pPr>
        <w:spacing w:after="0" w:line="360" w:lineRule="auto"/>
        <w:rPr>
          <w:rFonts w:asciiTheme="minorBidi" w:hAnsiTheme="minorBidi"/>
        </w:rPr>
      </w:pPr>
      <w:r>
        <w:rPr>
          <w:rFonts w:asciiTheme="minorBidi" w:hAnsiTheme="minorBidi"/>
        </w:rPr>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4B602780" w:rsidR="00770C4C" w:rsidRDefault="008B53A6" w:rsidP="00770C4C">
      <w:pPr>
        <w:spacing w:after="0" w:line="360" w:lineRule="auto"/>
        <w:rPr>
          <w:rFonts w:asciiTheme="minorBidi" w:hAnsiTheme="minorBidi"/>
        </w:rPr>
      </w:pPr>
      <w:r>
        <w:rPr>
          <w:rFonts w:asciiTheme="minorBidi" w:hAnsiTheme="minorBidi"/>
        </w:rPr>
        <w:t xml:space="preserve">The strength of the source is explaining the soft skills in work speak-as </w:t>
      </w:r>
      <w:proofErr w:type="spellStart"/>
      <w:r>
        <w:rPr>
          <w:rFonts w:asciiTheme="minorBidi" w:hAnsiTheme="minorBidi"/>
        </w:rPr>
        <w:t>emploablility</w:t>
      </w:r>
      <w:proofErr w:type="spellEnd"/>
      <w:r>
        <w:rPr>
          <w:rFonts w:asciiTheme="minorBidi" w:hAnsiTheme="minorBidi"/>
        </w:rPr>
        <w:t xml:space="preserve"> skills also explaining how soft skills needed to be demonstrated through examples giving in the picture </w:t>
      </w: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0BE9F521" w:rsidR="000A1AD2" w:rsidRPr="000A1AD2" w:rsidRDefault="008B53A6" w:rsidP="000A1AD2">
      <w:pPr>
        <w:spacing w:after="0" w:line="360" w:lineRule="auto"/>
        <w:rPr>
          <w:rFonts w:asciiTheme="minorBidi" w:hAnsiTheme="minorBidi"/>
        </w:rPr>
      </w:pPr>
      <w:r>
        <w:rPr>
          <w:rFonts w:asciiTheme="minorBidi" w:hAnsiTheme="minorBidi"/>
        </w:rPr>
        <w:t>Weakness of the sou</w:t>
      </w:r>
      <w:r w:rsidR="00D804B4">
        <w:rPr>
          <w:rFonts w:asciiTheme="minorBidi" w:hAnsiTheme="minorBidi"/>
        </w:rPr>
        <w:t xml:space="preserve">rce is not enough solid information on </w:t>
      </w: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6A033E" w14:textId="77777777" w:rsidR="008A74F6" w:rsidRDefault="008A74F6" w:rsidP="00770C4C">
      <w:pPr>
        <w:spacing w:after="0" w:line="240" w:lineRule="auto"/>
      </w:pPr>
      <w:r>
        <w:separator/>
      </w:r>
    </w:p>
  </w:endnote>
  <w:endnote w:type="continuationSeparator" w:id="0">
    <w:p w14:paraId="73FF644C" w14:textId="77777777" w:rsidR="008A74F6" w:rsidRDefault="008A74F6"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2EBD6C" w14:textId="77777777" w:rsidR="008A74F6" w:rsidRDefault="008A74F6" w:rsidP="00770C4C">
      <w:pPr>
        <w:spacing w:after="0" w:line="240" w:lineRule="auto"/>
      </w:pPr>
      <w:r>
        <w:separator/>
      </w:r>
    </w:p>
  </w:footnote>
  <w:footnote w:type="continuationSeparator" w:id="0">
    <w:p w14:paraId="2D24326F" w14:textId="77777777" w:rsidR="008A74F6" w:rsidRDefault="008A74F6"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A1AD2"/>
    <w:rsid w:val="00152AA0"/>
    <w:rsid w:val="0016377A"/>
    <w:rsid w:val="00200F48"/>
    <w:rsid w:val="002A53C8"/>
    <w:rsid w:val="002C3316"/>
    <w:rsid w:val="002C6C88"/>
    <w:rsid w:val="002E4841"/>
    <w:rsid w:val="0037429E"/>
    <w:rsid w:val="00394C23"/>
    <w:rsid w:val="005001A9"/>
    <w:rsid w:val="00586D04"/>
    <w:rsid w:val="00591828"/>
    <w:rsid w:val="005A0921"/>
    <w:rsid w:val="006067BA"/>
    <w:rsid w:val="0068791E"/>
    <w:rsid w:val="006D68F9"/>
    <w:rsid w:val="006E26CA"/>
    <w:rsid w:val="00726A92"/>
    <w:rsid w:val="00770C4C"/>
    <w:rsid w:val="008116C9"/>
    <w:rsid w:val="00841662"/>
    <w:rsid w:val="008A74F6"/>
    <w:rsid w:val="008B53A6"/>
    <w:rsid w:val="00995682"/>
    <w:rsid w:val="00A01DD6"/>
    <w:rsid w:val="00AE675F"/>
    <w:rsid w:val="00B51F0A"/>
    <w:rsid w:val="00BC259F"/>
    <w:rsid w:val="00BF4C33"/>
    <w:rsid w:val="00C61465"/>
    <w:rsid w:val="00D10D3A"/>
    <w:rsid w:val="00D46EE6"/>
    <w:rsid w:val="00D5429C"/>
    <w:rsid w:val="00D804B4"/>
    <w:rsid w:val="00D8490C"/>
    <w:rsid w:val="00DE2C42"/>
    <w:rsid w:val="00DF7025"/>
    <w:rsid w:val="00E233DE"/>
    <w:rsid w:val="00E46783"/>
    <w:rsid w:val="00E60084"/>
    <w:rsid w:val="00E91CAA"/>
    <w:rsid w:val="00EC65A1"/>
    <w:rsid w:val="00F2094F"/>
    <w:rsid w:val="00F53A05"/>
    <w:rsid w:val="00F645CC"/>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theguardian.com/money/2012/jun/08/graduate-careers-employability-skill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andfonline.com/doi/full/10.1080/14703297.2022.2049851" TargetMode="External"/><Relationship Id="rId4" Type="http://schemas.openxmlformats.org/officeDocument/2006/relationships/webSettings" Target="webSettings.xml"/><Relationship Id="rId9" Type="http://schemas.openxmlformats.org/officeDocument/2006/relationships/hyperlink" Target="https://www.tandfonline.com/doi/full/10.1080/14703297.2022.204985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386</Words>
  <Characters>2202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victoria pilcher</cp:lastModifiedBy>
  <cp:revision>2</cp:revision>
  <dcterms:created xsi:type="dcterms:W3CDTF">2026-08-18T10:22:00Z</dcterms:created>
  <dcterms:modified xsi:type="dcterms:W3CDTF">2026-08-18T10:22:00Z</dcterms:modified>
</cp:coreProperties>
</file>