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963"/>
        <w:gridCol w:w="3148"/>
        <w:gridCol w:w="2899"/>
      </w:tblGrid>
      <w:tr w:rsidR="00F54B3A" w:rsidRPr="00ED401F" w14:paraId="7F30873E" w14:textId="77777777" w:rsidTr="00EB077E">
        <w:tc>
          <w:tcPr>
            <w:tcW w:w="9016" w:type="dxa"/>
            <w:gridSpan w:val="3"/>
          </w:tcPr>
          <w:p w14:paraId="5B058E4A" w14:textId="77777777" w:rsidR="00F54B3A" w:rsidRPr="00ED401F" w:rsidRDefault="00F54B3A" w:rsidP="00103DDF">
            <w:pPr>
              <w:spacing w:line="360" w:lineRule="auto"/>
              <w:jc w:val="center"/>
              <w:rPr>
                <w:i/>
              </w:rPr>
            </w:pPr>
            <w:r w:rsidRPr="00ED401F">
              <w:rPr>
                <w:b/>
                <w:i/>
              </w:rPr>
              <w:t>Activity Plan</w:t>
            </w:r>
          </w:p>
        </w:tc>
      </w:tr>
      <w:tr w:rsidR="00F54B3A" w14:paraId="08F47682" w14:textId="77777777" w:rsidTr="00EB077E">
        <w:tc>
          <w:tcPr>
            <w:tcW w:w="9016" w:type="dxa"/>
            <w:gridSpan w:val="3"/>
          </w:tcPr>
          <w:p w14:paraId="03C157FA" w14:textId="77777777" w:rsidR="00F54B3A" w:rsidRPr="00DD5EFA" w:rsidRDefault="00F54B3A" w:rsidP="00103DDF">
            <w:pPr>
              <w:spacing w:line="360" w:lineRule="auto"/>
            </w:pPr>
            <w:r w:rsidRPr="00ED401F">
              <w:rPr>
                <w:b/>
                <w:i/>
              </w:rPr>
              <w:t>Activity</w:t>
            </w:r>
            <w:r>
              <w:rPr>
                <w:b/>
                <w:i/>
              </w:rPr>
              <w:t xml:space="preserve">: </w:t>
            </w:r>
            <w:r>
              <w:t>Nature Explorers: Measuring Objects.</w:t>
            </w:r>
          </w:p>
          <w:p w14:paraId="2B58CE70" w14:textId="77777777" w:rsidR="00F54B3A" w:rsidRDefault="00F54B3A" w:rsidP="00103DDF">
            <w:pPr>
              <w:spacing w:line="360" w:lineRule="auto"/>
            </w:pPr>
          </w:p>
        </w:tc>
      </w:tr>
      <w:tr w:rsidR="00F54B3A" w:rsidRPr="00DD5EFA" w14:paraId="402B9F83" w14:textId="77777777" w:rsidTr="00EB077E">
        <w:tc>
          <w:tcPr>
            <w:tcW w:w="2965" w:type="dxa"/>
          </w:tcPr>
          <w:p w14:paraId="25730835" w14:textId="77777777" w:rsidR="00F54B3A" w:rsidRPr="00DD5EFA" w:rsidRDefault="00F54B3A" w:rsidP="00103DDF">
            <w:pPr>
              <w:spacing w:line="360" w:lineRule="auto"/>
            </w:pPr>
            <w:r w:rsidRPr="00ED401F">
              <w:rPr>
                <w:b/>
                <w:i/>
              </w:rPr>
              <w:t>Number of children:</w:t>
            </w:r>
            <w:r>
              <w:rPr>
                <w:b/>
                <w:i/>
              </w:rPr>
              <w:t xml:space="preserve"> </w:t>
            </w:r>
            <w:r>
              <w:t>5</w:t>
            </w:r>
          </w:p>
          <w:p w14:paraId="490EAED2" w14:textId="77777777" w:rsidR="00F54B3A" w:rsidRDefault="00F54B3A" w:rsidP="00103DDF">
            <w:pPr>
              <w:spacing w:line="360" w:lineRule="auto"/>
            </w:pPr>
          </w:p>
        </w:tc>
        <w:tc>
          <w:tcPr>
            <w:tcW w:w="3150" w:type="dxa"/>
          </w:tcPr>
          <w:p w14:paraId="535598C3" w14:textId="77777777" w:rsidR="00F54B3A" w:rsidRPr="00DD5EFA" w:rsidRDefault="00F54B3A" w:rsidP="00103DDF">
            <w:pPr>
              <w:spacing w:line="360" w:lineRule="auto"/>
            </w:pPr>
            <w:r w:rsidRPr="00ED401F">
              <w:rPr>
                <w:b/>
                <w:i/>
              </w:rPr>
              <w:t>Age of children:</w:t>
            </w:r>
            <w:r>
              <w:rPr>
                <w:b/>
                <w:i/>
              </w:rPr>
              <w:t xml:space="preserve"> </w:t>
            </w:r>
            <w:r>
              <w:t>6-7</w:t>
            </w:r>
          </w:p>
        </w:tc>
        <w:tc>
          <w:tcPr>
            <w:tcW w:w="2901" w:type="dxa"/>
          </w:tcPr>
          <w:p w14:paraId="15D24EF4" w14:textId="77777777" w:rsidR="00F54B3A" w:rsidRPr="00DD5EFA" w:rsidRDefault="00F54B3A" w:rsidP="00103DDF">
            <w:pPr>
              <w:spacing w:line="360" w:lineRule="auto"/>
            </w:pPr>
            <w:r w:rsidRPr="00ED401F">
              <w:rPr>
                <w:b/>
                <w:i/>
              </w:rPr>
              <w:t>Number of adults:</w:t>
            </w:r>
            <w:r>
              <w:rPr>
                <w:b/>
                <w:i/>
              </w:rPr>
              <w:t xml:space="preserve"> </w:t>
            </w:r>
            <w:r>
              <w:t>1</w:t>
            </w:r>
          </w:p>
        </w:tc>
      </w:tr>
      <w:tr w:rsidR="00F54B3A" w:rsidRPr="000F5B05" w14:paraId="060E7C0C" w14:textId="77777777" w:rsidTr="00EB077E">
        <w:tc>
          <w:tcPr>
            <w:tcW w:w="2965" w:type="dxa"/>
          </w:tcPr>
          <w:p w14:paraId="64933942" w14:textId="77777777" w:rsidR="00F54B3A" w:rsidRPr="00DD5EFA" w:rsidRDefault="00F54B3A" w:rsidP="00103DDF">
            <w:pPr>
              <w:spacing w:line="360" w:lineRule="auto"/>
            </w:pPr>
            <w:r w:rsidRPr="00ED401F">
              <w:rPr>
                <w:b/>
                <w:i/>
              </w:rPr>
              <w:t>Location:</w:t>
            </w:r>
            <w:r>
              <w:rPr>
                <w:b/>
                <w:i/>
              </w:rPr>
              <w:t xml:space="preserve"> </w:t>
            </w:r>
            <w:r>
              <w:t>School field</w:t>
            </w:r>
          </w:p>
          <w:p w14:paraId="7F087C8E" w14:textId="77777777" w:rsidR="00F54B3A" w:rsidRDefault="00F54B3A" w:rsidP="00103DDF">
            <w:pPr>
              <w:spacing w:line="360" w:lineRule="auto"/>
            </w:pPr>
          </w:p>
        </w:tc>
        <w:tc>
          <w:tcPr>
            <w:tcW w:w="3150" w:type="dxa"/>
          </w:tcPr>
          <w:p w14:paraId="039F3CCA" w14:textId="77777777" w:rsidR="00F54B3A" w:rsidRPr="00F54B3A" w:rsidRDefault="00F54B3A" w:rsidP="00103DDF">
            <w:pPr>
              <w:spacing w:line="360" w:lineRule="auto"/>
            </w:pPr>
            <w:r w:rsidRPr="00ED401F">
              <w:rPr>
                <w:b/>
                <w:i/>
              </w:rPr>
              <w:t>Preparation time:</w:t>
            </w:r>
            <w:r>
              <w:rPr>
                <w:b/>
                <w:i/>
              </w:rPr>
              <w:t xml:space="preserve"> </w:t>
            </w:r>
            <w:r>
              <w:t>10 minutes</w:t>
            </w:r>
          </w:p>
        </w:tc>
        <w:tc>
          <w:tcPr>
            <w:tcW w:w="2901" w:type="dxa"/>
          </w:tcPr>
          <w:p w14:paraId="0EEBC5C3" w14:textId="77777777" w:rsidR="00F54B3A" w:rsidRPr="000F5B05" w:rsidRDefault="00F54B3A" w:rsidP="00103DDF">
            <w:pPr>
              <w:spacing w:line="360" w:lineRule="auto"/>
            </w:pPr>
            <w:r w:rsidRPr="00ED401F">
              <w:rPr>
                <w:b/>
                <w:i/>
              </w:rPr>
              <w:t>Activity time:</w:t>
            </w:r>
            <w:r>
              <w:rPr>
                <w:b/>
                <w:i/>
              </w:rPr>
              <w:t xml:space="preserve"> </w:t>
            </w:r>
            <w:r>
              <w:t>30 minutes</w:t>
            </w:r>
          </w:p>
        </w:tc>
      </w:tr>
      <w:tr w:rsidR="00F54B3A" w14:paraId="330AC0D4" w14:textId="77777777" w:rsidTr="00EB077E">
        <w:tc>
          <w:tcPr>
            <w:tcW w:w="9016" w:type="dxa"/>
            <w:gridSpan w:val="3"/>
          </w:tcPr>
          <w:p w14:paraId="74B9804B" w14:textId="77777777" w:rsidR="00F54B3A" w:rsidRDefault="00F54B3A" w:rsidP="00103DDF">
            <w:pPr>
              <w:spacing w:line="360" w:lineRule="auto"/>
              <w:rPr>
                <w:b/>
                <w:i/>
              </w:rPr>
            </w:pPr>
            <w:r w:rsidRPr="00ED401F">
              <w:rPr>
                <w:b/>
                <w:i/>
              </w:rPr>
              <w:t>Resources:</w:t>
            </w:r>
            <w:r>
              <w:rPr>
                <w:b/>
                <w:i/>
              </w:rPr>
              <w:t xml:space="preserve"> </w:t>
            </w:r>
          </w:p>
          <w:p w14:paraId="0B7BB655" w14:textId="77777777" w:rsidR="00F54B3A" w:rsidRPr="00DD5EFA" w:rsidRDefault="00F54B3A" w:rsidP="00103DDF">
            <w:pPr>
              <w:pStyle w:val="ListParagraph"/>
              <w:numPr>
                <w:ilvl w:val="0"/>
                <w:numId w:val="1"/>
              </w:numPr>
              <w:spacing w:after="0" w:line="360" w:lineRule="auto"/>
              <w:rPr>
                <w:b/>
                <w:i/>
              </w:rPr>
            </w:pPr>
            <w:r>
              <w:t>Rulers</w:t>
            </w:r>
          </w:p>
          <w:p w14:paraId="240EA2BD" w14:textId="77777777" w:rsidR="00F54B3A" w:rsidRPr="00420474" w:rsidRDefault="00F54B3A" w:rsidP="00103DDF">
            <w:pPr>
              <w:pStyle w:val="ListParagraph"/>
              <w:numPr>
                <w:ilvl w:val="0"/>
                <w:numId w:val="1"/>
              </w:numPr>
              <w:spacing w:after="0" w:line="360" w:lineRule="auto"/>
              <w:rPr>
                <w:b/>
                <w:i/>
              </w:rPr>
            </w:pPr>
            <w:r>
              <w:t>Pencils</w:t>
            </w:r>
          </w:p>
          <w:p w14:paraId="6085E78D" w14:textId="77777777" w:rsidR="00F54B3A" w:rsidRPr="00DD5EFA" w:rsidRDefault="00F54B3A" w:rsidP="00103DDF">
            <w:pPr>
              <w:pStyle w:val="ListParagraph"/>
              <w:numPr>
                <w:ilvl w:val="0"/>
                <w:numId w:val="1"/>
              </w:numPr>
              <w:spacing w:after="0" w:line="360" w:lineRule="auto"/>
              <w:rPr>
                <w:b/>
                <w:i/>
              </w:rPr>
            </w:pPr>
            <w:r>
              <w:t>Rubbers</w:t>
            </w:r>
          </w:p>
          <w:p w14:paraId="0C110396" w14:textId="77777777" w:rsidR="00F54B3A" w:rsidRPr="00420474" w:rsidRDefault="00F54B3A" w:rsidP="00103DDF">
            <w:pPr>
              <w:pStyle w:val="ListParagraph"/>
              <w:numPr>
                <w:ilvl w:val="0"/>
                <w:numId w:val="1"/>
              </w:numPr>
              <w:spacing w:after="0" w:line="360" w:lineRule="auto"/>
              <w:rPr>
                <w:b/>
                <w:i/>
              </w:rPr>
            </w:pPr>
            <w:r>
              <w:t>Worksheets</w:t>
            </w:r>
          </w:p>
          <w:p w14:paraId="03C35289" w14:textId="77777777" w:rsidR="00F54B3A" w:rsidRPr="00DD5EFA" w:rsidRDefault="00F54B3A" w:rsidP="00103DDF">
            <w:pPr>
              <w:pStyle w:val="ListParagraph"/>
              <w:numPr>
                <w:ilvl w:val="0"/>
                <w:numId w:val="1"/>
              </w:numPr>
              <w:spacing w:after="0" w:line="360" w:lineRule="auto"/>
              <w:rPr>
                <w:b/>
                <w:i/>
              </w:rPr>
            </w:pPr>
            <w:r>
              <w:t>Clipboards</w:t>
            </w:r>
          </w:p>
          <w:p w14:paraId="7741F85B" w14:textId="77777777" w:rsidR="00F54B3A" w:rsidRPr="00DD5EFA" w:rsidRDefault="00F54B3A" w:rsidP="00103DDF">
            <w:pPr>
              <w:pStyle w:val="ListParagraph"/>
              <w:numPr>
                <w:ilvl w:val="0"/>
                <w:numId w:val="1"/>
              </w:numPr>
              <w:spacing w:after="0" w:line="360" w:lineRule="auto"/>
              <w:rPr>
                <w:b/>
                <w:i/>
              </w:rPr>
            </w:pPr>
            <w:proofErr w:type="spellStart"/>
            <w:r>
              <w:t>Metre</w:t>
            </w:r>
            <w:proofErr w:type="spellEnd"/>
            <w:r>
              <w:t xml:space="preserve"> sticks</w:t>
            </w:r>
          </w:p>
          <w:p w14:paraId="38E1A9CE" w14:textId="77777777" w:rsidR="00F54B3A" w:rsidRPr="00DD5EFA" w:rsidRDefault="00F54B3A" w:rsidP="00103DDF">
            <w:pPr>
              <w:pStyle w:val="ListParagraph"/>
              <w:numPr>
                <w:ilvl w:val="0"/>
                <w:numId w:val="1"/>
              </w:numPr>
              <w:spacing w:after="0" w:line="360" w:lineRule="auto"/>
              <w:rPr>
                <w:b/>
                <w:i/>
              </w:rPr>
            </w:pPr>
            <w:r>
              <w:t>Multilink (CM) cubes</w:t>
            </w:r>
          </w:p>
          <w:p w14:paraId="443C094B" w14:textId="77777777" w:rsidR="00F54B3A" w:rsidRPr="00DD5EFA" w:rsidRDefault="00F54B3A" w:rsidP="00103DDF">
            <w:pPr>
              <w:pStyle w:val="ListParagraph"/>
              <w:numPr>
                <w:ilvl w:val="0"/>
                <w:numId w:val="1"/>
              </w:numPr>
              <w:spacing w:after="0" w:line="360" w:lineRule="auto"/>
              <w:rPr>
                <w:b/>
                <w:i/>
              </w:rPr>
            </w:pPr>
            <w:r>
              <w:t>Baskets to collect objects</w:t>
            </w:r>
          </w:p>
          <w:p w14:paraId="4E3D6AB2" w14:textId="77777777" w:rsidR="00F54B3A" w:rsidRPr="00DD5EFA" w:rsidRDefault="00F54B3A" w:rsidP="00103DDF">
            <w:pPr>
              <w:pStyle w:val="ListParagraph"/>
              <w:numPr>
                <w:ilvl w:val="0"/>
                <w:numId w:val="1"/>
              </w:numPr>
              <w:spacing w:after="0" w:line="360" w:lineRule="auto"/>
              <w:rPr>
                <w:b/>
                <w:i/>
              </w:rPr>
            </w:pPr>
            <w:r>
              <w:t>Explorers outfits</w:t>
            </w:r>
          </w:p>
          <w:p w14:paraId="25331073" w14:textId="77777777" w:rsidR="00F54B3A" w:rsidRDefault="00F54B3A" w:rsidP="00103DDF">
            <w:pPr>
              <w:spacing w:line="360" w:lineRule="auto"/>
              <w:ind w:left="360"/>
            </w:pPr>
          </w:p>
        </w:tc>
      </w:tr>
      <w:tr w:rsidR="00F54B3A" w14:paraId="24BD48D7" w14:textId="77777777" w:rsidTr="00EB077E">
        <w:tc>
          <w:tcPr>
            <w:tcW w:w="9016" w:type="dxa"/>
            <w:gridSpan w:val="3"/>
          </w:tcPr>
          <w:p w14:paraId="3E944F92" w14:textId="77777777" w:rsidR="00F54B3A" w:rsidRDefault="00F54B3A" w:rsidP="00103DDF">
            <w:pPr>
              <w:spacing w:line="360" w:lineRule="auto"/>
              <w:rPr>
                <w:b/>
                <w:i/>
              </w:rPr>
            </w:pPr>
            <w:bookmarkStart w:id="0" w:name="_GoBack"/>
            <w:r w:rsidRPr="00ED401F">
              <w:rPr>
                <w:b/>
                <w:i/>
              </w:rPr>
              <w:t>A</w:t>
            </w:r>
            <w:bookmarkEnd w:id="0"/>
            <w:r w:rsidRPr="00ED401F">
              <w:rPr>
                <w:b/>
                <w:i/>
              </w:rPr>
              <w:t>im/s of activity:</w:t>
            </w:r>
          </w:p>
          <w:p w14:paraId="5ABD639D" w14:textId="77777777" w:rsidR="00F54B3A" w:rsidRDefault="00F54B3A" w:rsidP="00103DDF">
            <w:pPr>
              <w:spacing w:line="360" w:lineRule="auto"/>
            </w:pPr>
            <w:r>
              <w:t>To measure natural objects and understand standard units (CM).</w:t>
            </w:r>
          </w:p>
          <w:p w14:paraId="2EA35421" w14:textId="77777777" w:rsidR="00F54B3A" w:rsidRDefault="00F54B3A" w:rsidP="00103DDF">
            <w:pPr>
              <w:spacing w:line="360" w:lineRule="auto"/>
            </w:pPr>
            <w:r>
              <w:t>To record findings in a table.</w:t>
            </w:r>
          </w:p>
          <w:p w14:paraId="4ADF4483" w14:textId="77777777" w:rsidR="00F54B3A" w:rsidRDefault="00F54B3A" w:rsidP="00103DDF">
            <w:pPr>
              <w:spacing w:line="360" w:lineRule="auto"/>
            </w:pPr>
            <w:r>
              <w:t xml:space="preserve">To </w:t>
            </w:r>
            <w:proofErr w:type="spellStart"/>
            <w:r>
              <w:t>organise</w:t>
            </w:r>
            <w:proofErr w:type="spellEnd"/>
            <w:r>
              <w:t xml:space="preserve"> objects from smallest to largest.</w:t>
            </w:r>
          </w:p>
          <w:p w14:paraId="72543D37" w14:textId="77777777" w:rsidR="00F54B3A" w:rsidRDefault="00F54B3A" w:rsidP="00103DDF">
            <w:pPr>
              <w:spacing w:line="360" w:lineRule="auto"/>
            </w:pPr>
          </w:p>
        </w:tc>
      </w:tr>
      <w:tr w:rsidR="00F54B3A" w14:paraId="7CD51CDA" w14:textId="77777777" w:rsidTr="00EB077E">
        <w:tc>
          <w:tcPr>
            <w:tcW w:w="9016" w:type="dxa"/>
            <w:gridSpan w:val="3"/>
          </w:tcPr>
          <w:p w14:paraId="0CA01C47" w14:textId="77777777" w:rsidR="00F54B3A" w:rsidRDefault="00F54B3A" w:rsidP="00103DDF">
            <w:pPr>
              <w:spacing w:line="360" w:lineRule="auto"/>
              <w:rPr>
                <w:b/>
                <w:i/>
              </w:rPr>
            </w:pPr>
            <w:r w:rsidRPr="00ED401F">
              <w:rPr>
                <w:b/>
                <w:i/>
              </w:rPr>
              <w:t>Links to outcomes:</w:t>
            </w:r>
          </w:p>
          <w:p w14:paraId="75697DCC" w14:textId="77777777" w:rsidR="00F54B3A" w:rsidRDefault="00F54B3A" w:rsidP="00103DDF">
            <w:pPr>
              <w:pStyle w:val="ListParagraph"/>
              <w:numPr>
                <w:ilvl w:val="0"/>
                <w:numId w:val="4"/>
              </w:numPr>
              <w:spacing w:after="0" w:line="360" w:lineRule="auto"/>
            </w:pPr>
            <w:r>
              <w:t xml:space="preserve">Use standard units to measure length, height and distance: </w:t>
            </w:r>
            <w:proofErr w:type="spellStart"/>
            <w:r>
              <w:t>Metres</w:t>
            </w:r>
            <w:proofErr w:type="spellEnd"/>
            <w:r>
              <w:t xml:space="preserve">, half </w:t>
            </w:r>
            <w:proofErr w:type="spellStart"/>
            <w:r>
              <w:t>metres</w:t>
            </w:r>
            <w:proofErr w:type="spellEnd"/>
            <w:r>
              <w:t xml:space="preserve"> or </w:t>
            </w:r>
            <w:proofErr w:type="spellStart"/>
            <w:r>
              <w:t>centimetres</w:t>
            </w:r>
            <w:proofErr w:type="spellEnd"/>
            <w:r>
              <w:t xml:space="preserve">. </w:t>
            </w:r>
          </w:p>
          <w:p w14:paraId="6B0BE92D" w14:textId="77777777" w:rsidR="00F54B3A" w:rsidRDefault="00F54B3A" w:rsidP="00103DDF">
            <w:pPr>
              <w:pStyle w:val="ListParagraph"/>
              <w:numPr>
                <w:ilvl w:val="0"/>
                <w:numId w:val="4"/>
              </w:numPr>
              <w:spacing w:after="0" w:line="360" w:lineRule="auto"/>
            </w:pPr>
            <w:r>
              <w:t>Use symbols related to length, weight/mass and capacity.</w:t>
            </w:r>
          </w:p>
          <w:p w14:paraId="42FD5D1B" w14:textId="77777777" w:rsidR="00F54B3A" w:rsidRPr="005434C2" w:rsidRDefault="00F54B3A" w:rsidP="00103DDF">
            <w:pPr>
              <w:pStyle w:val="ListParagraph"/>
              <w:numPr>
                <w:ilvl w:val="0"/>
                <w:numId w:val="4"/>
              </w:numPr>
              <w:spacing w:after="0" w:line="360" w:lineRule="auto"/>
              <w:rPr>
                <w:lang w:val="en-GB"/>
              </w:rPr>
            </w:pPr>
            <w:r>
              <w:lastRenderedPageBreak/>
              <w:t>Make a sensible estimate of measurement in length, height, weight and capacity that can be checked using standard measures.</w:t>
            </w:r>
          </w:p>
          <w:p w14:paraId="0CE9B518" w14:textId="77777777" w:rsidR="00F54B3A" w:rsidRDefault="00F54B3A" w:rsidP="00103DDF">
            <w:pPr>
              <w:spacing w:line="360" w:lineRule="auto"/>
            </w:pPr>
          </w:p>
        </w:tc>
      </w:tr>
      <w:tr w:rsidR="00F54B3A" w14:paraId="2D1493AF" w14:textId="77777777" w:rsidTr="00EB077E">
        <w:tc>
          <w:tcPr>
            <w:tcW w:w="9016" w:type="dxa"/>
            <w:gridSpan w:val="3"/>
          </w:tcPr>
          <w:p w14:paraId="16C0CDCF" w14:textId="77777777" w:rsidR="00F54B3A" w:rsidRDefault="00F54B3A" w:rsidP="00103DDF">
            <w:pPr>
              <w:spacing w:line="360" w:lineRule="auto"/>
              <w:rPr>
                <w:b/>
                <w:i/>
              </w:rPr>
            </w:pPr>
            <w:r w:rsidRPr="00ED401F">
              <w:rPr>
                <w:b/>
                <w:i/>
              </w:rPr>
              <w:lastRenderedPageBreak/>
              <w:t>Differentiation:</w:t>
            </w:r>
          </w:p>
          <w:p w14:paraId="7DA4465A" w14:textId="77777777" w:rsidR="00F54B3A" w:rsidRDefault="00F54B3A" w:rsidP="00103DDF">
            <w:pPr>
              <w:spacing w:line="360" w:lineRule="auto"/>
            </w:pPr>
            <w:r>
              <w:t>To simplify the activity some children will be provided with CM cubes to measure the objects instead of a ruler. Children can count the cubes and still record using standard units of measurement.</w:t>
            </w:r>
          </w:p>
          <w:p w14:paraId="222BE7D4" w14:textId="77777777" w:rsidR="00F54B3A" w:rsidRDefault="00F54B3A" w:rsidP="00103DDF">
            <w:pPr>
              <w:spacing w:line="360" w:lineRule="auto"/>
            </w:pPr>
          </w:p>
          <w:p w14:paraId="096970AF" w14:textId="77777777" w:rsidR="00F54B3A" w:rsidRDefault="00F54B3A" w:rsidP="00103DDF">
            <w:pPr>
              <w:spacing w:line="360" w:lineRule="auto"/>
            </w:pPr>
            <w:r>
              <w:t xml:space="preserve">To challenge some children, they will be encouraged to find objects larger than a 30cm ruler and will use a </w:t>
            </w:r>
            <w:proofErr w:type="spellStart"/>
            <w:r>
              <w:t>metre</w:t>
            </w:r>
            <w:proofErr w:type="spellEnd"/>
            <w:r>
              <w:t xml:space="preserve"> stick to measure these objects. </w:t>
            </w:r>
          </w:p>
        </w:tc>
      </w:tr>
      <w:tr w:rsidR="00F54B3A" w14:paraId="43BA4B82" w14:textId="77777777" w:rsidTr="00EB077E">
        <w:tc>
          <w:tcPr>
            <w:tcW w:w="9016" w:type="dxa"/>
            <w:gridSpan w:val="3"/>
          </w:tcPr>
          <w:p w14:paraId="09727D90" w14:textId="77777777" w:rsidR="00F54B3A" w:rsidRDefault="00F54B3A" w:rsidP="00103DDF">
            <w:pPr>
              <w:spacing w:line="360" w:lineRule="auto"/>
              <w:rPr>
                <w:b/>
                <w:i/>
              </w:rPr>
            </w:pPr>
            <w:r w:rsidRPr="00ED401F">
              <w:rPr>
                <w:b/>
                <w:i/>
              </w:rPr>
              <w:t>Health and safety:</w:t>
            </w:r>
          </w:p>
          <w:p w14:paraId="0847C0C0" w14:textId="77777777" w:rsidR="00F54B3A" w:rsidRPr="00F54B3A" w:rsidRDefault="00F54B3A" w:rsidP="00103DDF">
            <w:pPr>
              <w:spacing w:line="360" w:lineRule="auto"/>
              <w:rPr>
                <w:b/>
                <w:i/>
              </w:rPr>
            </w:pPr>
          </w:p>
        </w:tc>
      </w:tr>
      <w:tr w:rsidR="00F54B3A" w14:paraId="5A6AE499" w14:textId="77777777" w:rsidTr="00EB077E">
        <w:tc>
          <w:tcPr>
            <w:tcW w:w="9016" w:type="dxa"/>
            <w:gridSpan w:val="3"/>
          </w:tcPr>
          <w:p w14:paraId="5CEF982F" w14:textId="77777777" w:rsidR="00F54B3A" w:rsidRPr="00ED401F" w:rsidRDefault="00F54B3A" w:rsidP="00103DDF">
            <w:pPr>
              <w:spacing w:line="360" w:lineRule="auto"/>
              <w:rPr>
                <w:b/>
                <w:i/>
              </w:rPr>
            </w:pPr>
            <w:r w:rsidRPr="00ED401F">
              <w:rPr>
                <w:b/>
                <w:i/>
              </w:rPr>
              <w:t>Role of adult/adults:</w:t>
            </w:r>
          </w:p>
          <w:p w14:paraId="6EAE3ABB" w14:textId="77777777" w:rsidR="00F54B3A" w:rsidRDefault="00F54B3A" w:rsidP="00103DDF">
            <w:pPr>
              <w:spacing w:line="360" w:lineRule="auto"/>
            </w:pPr>
            <w:r>
              <w:t xml:space="preserve">The adult should first brief the children on the activity, stating the location of the activity and what they will be doing. </w:t>
            </w:r>
          </w:p>
          <w:p w14:paraId="2D101B36" w14:textId="77777777" w:rsidR="00F54B3A" w:rsidRDefault="00F54B3A" w:rsidP="00103DDF">
            <w:pPr>
              <w:spacing w:line="360" w:lineRule="auto"/>
            </w:pPr>
            <w:r>
              <w:t>The adult should encourage all children to explore the field and find a variety of different natural objects. Once children have gathered their objects, the adult should support them in measuring each object by first modelling how to measure correctly with a ruler/</w:t>
            </w:r>
            <w:proofErr w:type="spellStart"/>
            <w:r>
              <w:t>metre</w:t>
            </w:r>
            <w:proofErr w:type="spellEnd"/>
            <w:r>
              <w:t xml:space="preserve"> stick and then supervise them while they carry out the task independently. While the children measure, the adult should discuss the differences in size and begin to introduce estimation questions; “how big do you think this leaf will be?”. The adult should supervise the children recording and if needed, prompt them to record using CM.</w:t>
            </w:r>
          </w:p>
          <w:p w14:paraId="5DF0A315" w14:textId="77777777" w:rsidR="00F54B3A" w:rsidRDefault="00F54B3A" w:rsidP="00103DDF">
            <w:pPr>
              <w:spacing w:line="360" w:lineRule="auto"/>
            </w:pPr>
            <w:r>
              <w:t>The adult should support children of lower ability by modelling how to measure using CM cubes, during this modelling the adult should discuss with the children that each cube represents 1 CM. The adult should then support the children as they record their findings ensuring that they are using standard units.</w:t>
            </w:r>
          </w:p>
          <w:p w14:paraId="73AD4CDE" w14:textId="77777777" w:rsidR="00F54B3A" w:rsidRDefault="00F54B3A" w:rsidP="00103DDF">
            <w:pPr>
              <w:spacing w:line="360" w:lineRule="auto"/>
            </w:pPr>
          </w:p>
        </w:tc>
      </w:tr>
      <w:tr w:rsidR="00F54B3A" w:rsidRPr="00ED401F" w14:paraId="1D1C212C" w14:textId="77777777" w:rsidTr="00EB077E">
        <w:tc>
          <w:tcPr>
            <w:tcW w:w="9016" w:type="dxa"/>
            <w:gridSpan w:val="3"/>
          </w:tcPr>
          <w:p w14:paraId="51D0967A" w14:textId="77777777" w:rsidR="00103DDF" w:rsidRDefault="00103DDF" w:rsidP="00103DDF">
            <w:pPr>
              <w:spacing w:line="360" w:lineRule="auto"/>
              <w:rPr>
                <w:b/>
                <w:i/>
              </w:rPr>
            </w:pPr>
          </w:p>
          <w:p w14:paraId="4A299871" w14:textId="77777777" w:rsidR="00F54B3A" w:rsidRDefault="00F54B3A" w:rsidP="00103DDF">
            <w:pPr>
              <w:spacing w:line="360" w:lineRule="auto"/>
              <w:rPr>
                <w:b/>
                <w:i/>
              </w:rPr>
            </w:pPr>
            <w:r w:rsidRPr="00ED401F">
              <w:rPr>
                <w:b/>
                <w:i/>
              </w:rPr>
              <w:t>The activity:</w:t>
            </w:r>
          </w:p>
          <w:p w14:paraId="38CA03E3" w14:textId="77777777" w:rsidR="00F54B3A" w:rsidRPr="0049004B" w:rsidRDefault="00F54B3A" w:rsidP="00103DDF">
            <w:pPr>
              <w:pStyle w:val="ListParagraph"/>
              <w:numPr>
                <w:ilvl w:val="0"/>
                <w:numId w:val="3"/>
              </w:numPr>
              <w:spacing w:after="0" w:line="360" w:lineRule="auto"/>
              <w:rPr>
                <w:b/>
                <w:i/>
              </w:rPr>
            </w:pPr>
            <w:r>
              <w:t>First the children will be split into similar ability groups of 5 allowing the ratio of 5 children to 1 adult.</w:t>
            </w:r>
          </w:p>
          <w:p w14:paraId="3903F754" w14:textId="77777777" w:rsidR="00F54B3A" w:rsidRPr="00032461" w:rsidRDefault="00F54B3A" w:rsidP="00103DDF">
            <w:pPr>
              <w:pStyle w:val="ListParagraph"/>
              <w:numPr>
                <w:ilvl w:val="0"/>
                <w:numId w:val="2"/>
              </w:numPr>
              <w:spacing w:after="0" w:line="360" w:lineRule="auto"/>
              <w:rPr>
                <w:b/>
                <w:i/>
              </w:rPr>
            </w:pPr>
            <w:r>
              <w:t>Children will be briefed by the adult in the classroom, explaining that activity will be taking place on the school field and today they are nature explorers who are on a mission to find the largest and the smallest natural object. The adult should explain that they need to find at least 5 objects and can then provide the children with examples of objects they can look for such as leaves, sticks or a blade of grass. During this briefing the adult will show the children the worksheet that will be provided and explain how to record within a table.</w:t>
            </w:r>
          </w:p>
          <w:p w14:paraId="68341F84" w14:textId="77777777" w:rsidR="00F54B3A" w:rsidRPr="006D4548" w:rsidRDefault="00F54B3A" w:rsidP="00103DDF">
            <w:pPr>
              <w:pStyle w:val="ListParagraph"/>
              <w:numPr>
                <w:ilvl w:val="0"/>
                <w:numId w:val="2"/>
              </w:numPr>
              <w:spacing w:after="0" w:line="360" w:lineRule="auto"/>
              <w:rPr>
                <w:b/>
                <w:i/>
              </w:rPr>
            </w:pPr>
            <w:r>
              <w:t>Children will then dress as explorers ready for their hunt.</w:t>
            </w:r>
          </w:p>
          <w:p w14:paraId="32A9E82A" w14:textId="77777777" w:rsidR="00F54B3A" w:rsidRPr="00AE66E1" w:rsidRDefault="00F54B3A" w:rsidP="00103DDF">
            <w:pPr>
              <w:pStyle w:val="ListParagraph"/>
              <w:numPr>
                <w:ilvl w:val="0"/>
                <w:numId w:val="2"/>
              </w:numPr>
              <w:spacing w:after="0" w:line="360" w:lineRule="auto"/>
              <w:rPr>
                <w:b/>
                <w:i/>
              </w:rPr>
            </w:pPr>
            <w:r>
              <w:t>The adult will provide each child with the resources needed (ruler/</w:t>
            </w:r>
            <w:proofErr w:type="spellStart"/>
            <w:r>
              <w:t>metre</w:t>
            </w:r>
            <w:proofErr w:type="spellEnd"/>
            <w:r>
              <w:t xml:space="preserve"> stick/ CM cubes, pencil, worksheet, clipboard and a basket).</w:t>
            </w:r>
          </w:p>
          <w:p w14:paraId="3B3C6B99" w14:textId="77777777" w:rsidR="00F54B3A" w:rsidRPr="00AE66E1" w:rsidRDefault="00F54B3A" w:rsidP="00103DDF">
            <w:pPr>
              <w:pStyle w:val="ListParagraph"/>
              <w:numPr>
                <w:ilvl w:val="0"/>
                <w:numId w:val="2"/>
              </w:numPr>
              <w:spacing w:after="0" w:line="360" w:lineRule="auto"/>
              <w:rPr>
                <w:b/>
                <w:i/>
              </w:rPr>
            </w:pPr>
            <w:r>
              <w:t>The adult will then lead the children over to the school field, engaging in conversation on the way about the objects they may be able to find.</w:t>
            </w:r>
          </w:p>
          <w:p w14:paraId="17F8AC58" w14:textId="77777777" w:rsidR="00F54B3A" w:rsidRPr="00FE56E1" w:rsidRDefault="00F54B3A" w:rsidP="00103DDF">
            <w:pPr>
              <w:pStyle w:val="ListParagraph"/>
              <w:numPr>
                <w:ilvl w:val="0"/>
                <w:numId w:val="2"/>
              </w:numPr>
              <w:spacing w:after="0" w:line="360" w:lineRule="auto"/>
              <w:rPr>
                <w:b/>
                <w:i/>
              </w:rPr>
            </w:pPr>
            <w:r>
              <w:t>Once on the field the children are free to explore the area including the bushes and trees. The children should be given a reasonable amount of time to gather at least 5 objects (5 minutes).</w:t>
            </w:r>
          </w:p>
          <w:p w14:paraId="39F864B1" w14:textId="77777777" w:rsidR="00F54B3A" w:rsidRPr="00642F0D" w:rsidRDefault="00F54B3A" w:rsidP="00103DDF">
            <w:pPr>
              <w:pStyle w:val="ListParagraph"/>
              <w:numPr>
                <w:ilvl w:val="0"/>
                <w:numId w:val="2"/>
              </w:numPr>
              <w:spacing w:after="0" w:line="360" w:lineRule="auto"/>
              <w:rPr>
                <w:b/>
                <w:i/>
              </w:rPr>
            </w:pPr>
            <w:r>
              <w:t>While children are exploring, the adult should interact with them and discuss what objects they have found.</w:t>
            </w:r>
          </w:p>
          <w:p w14:paraId="093BA109" w14:textId="77777777" w:rsidR="00F54B3A" w:rsidRPr="00092F17" w:rsidRDefault="00F54B3A" w:rsidP="00103DDF">
            <w:pPr>
              <w:pStyle w:val="ListParagraph"/>
              <w:numPr>
                <w:ilvl w:val="0"/>
                <w:numId w:val="2"/>
              </w:numPr>
              <w:spacing w:after="0" w:line="360" w:lineRule="auto"/>
              <w:rPr>
                <w:b/>
                <w:i/>
              </w:rPr>
            </w:pPr>
            <w:r>
              <w:t xml:space="preserve">Once a reasonable amount of time has passed, the adult should gather the children together and tell them to find a space large enough for them to empty their baskets. </w:t>
            </w:r>
          </w:p>
          <w:p w14:paraId="4F9D9BBA" w14:textId="77777777" w:rsidR="00F54B3A" w:rsidRPr="007E0943" w:rsidRDefault="00F54B3A" w:rsidP="00103DDF">
            <w:pPr>
              <w:pStyle w:val="ListParagraph"/>
              <w:numPr>
                <w:ilvl w:val="0"/>
                <w:numId w:val="2"/>
              </w:numPr>
              <w:spacing w:after="0" w:line="360" w:lineRule="auto"/>
              <w:rPr>
                <w:b/>
                <w:i/>
              </w:rPr>
            </w:pPr>
            <w:r>
              <w:t>The adult should now explain to the children that it is time to measure their objects using their given method of measuring (ruler, cm cubes). The adult should give the children a demonstration of how to measure using their given method.</w:t>
            </w:r>
          </w:p>
          <w:p w14:paraId="6C6C1705" w14:textId="77777777" w:rsidR="00F54B3A" w:rsidRPr="00544D22" w:rsidRDefault="00F54B3A" w:rsidP="00103DDF">
            <w:pPr>
              <w:pStyle w:val="ListParagraph"/>
              <w:numPr>
                <w:ilvl w:val="0"/>
                <w:numId w:val="2"/>
              </w:numPr>
              <w:spacing w:after="0" w:line="360" w:lineRule="auto"/>
              <w:rPr>
                <w:b/>
                <w:i/>
              </w:rPr>
            </w:pPr>
            <w:r>
              <w:t xml:space="preserve">After the demonstration, children should be encouraged to complete the activity independently. The adult should provide support if needed, for example, if a child has a large object bigger than a 30cm ruler, the adult should provide the child with a </w:t>
            </w:r>
            <w:proofErr w:type="spellStart"/>
            <w:r>
              <w:t>metre</w:t>
            </w:r>
            <w:proofErr w:type="spellEnd"/>
            <w:r>
              <w:t xml:space="preserve"> stick and discuss the difference in sizes.</w:t>
            </w:r>
          </w:p>
          <w:p w14:paraId="09BBFC9A" w14:textId="77777777" w:rsidR="00F54B3A" w:rsidRPr="00544D22" w:rsidRDefault="00F54B3A" w:rsidP="00103DDF">
            <w:pPr>
              <w:pStyle w:val="ListParagraph"/>
              <w:numPr>
                <w:ilvl w:val="0"/>
                <w:numId w:val="2"/>
              </w:numPr>
              <w:spacing w:after="0" w:line="360" w:lineRule="auto"/>
              <w:rPr>
                <w:b/>
                <w:i/>
              </w:rPr>
            </w:pPr>
            <w:r>
              <w:t>Throughout this stage of the activity, the adult should ask the children estimation questions and discuss if their answers were a sensible estimation or not. The adult should also be supervising children and ensuring they are recording using the correct symbol of measurement.</w:t>
            </w:r>
          </w:p>
          <w:p w14:paraId="0BD65513" w14:textId="77777777" w:rsidR="00F54B3A" w:rsidRPr="00B42937" w:rsidRDefault="00F54B3A" w:rsidP="00103DDF">
            <w:pPr>
              <w:pStyle w:val="ListParagraph"/>
              <w:numPr>
                <w:ilvl w:val="0"/>
                <w:numId w:val="2"/>
              </w:numPr>
              <w:spacing w:after="0" w:line="360" w:lineRule="auto"/>
              <w:rPr>
                <w:b/>
                <w:i/>
              </w:rPr>
            </w:pPr>
            <w:r>
              <w:t>Once this stage of the activity has been completed, the adult should encourage the children to order their objects from smallest to largest. Children should discuss their findings with each other and discuss differences in size.</w:t>
            </w:r>
          </w:p>
          <w:p w14:paraId="388A6510" w14:textId="77777777" w:rsidR="00F54B3A" w:rsidRPr="007E0943" w:rsidRDefault="00F54B3A" w:rsidP="00103DDF">
            <w:pPr>
              <w:pStyle w:val="ListParagraph"/>
              <w:numPr>
                <w:ilvl w:val="0"/>
                <w:numId w:val="2"/>
              </w:numPr>
              <w:spacing w:after="0" w:line="360" w:lineRule="auto"/>
              <w:rPr>
                <w:b/>
                <w:i/>
              </w:rPr>
            </w:pPr>
            <w:r>
              <w:t>The adult should then lead the children back to the classroom to bring the activity to an end.</w:t>
            </w:r>
          </w:p>
          <w:p w14:paraId="3053E244" w14:textId="77777777" w:rsidR="00F54B3A" w:rsidRPr="00ED401F" w:rsidRDefault="00F54B3A" w:rsidP="00103DDF">
            <w:pPr>
              <w:spacing w:line="360" w:lineRule="auto"/>
              <w:rPr>
                <w:b/>
                <w:i/>
              </w:rPr>
            </w:pPr>
          </w:p>
        </w:tc>
      </w:tr>
    </w:tbl>
    <w:p w14:paraId="5B315FFC" w14:textId="77777777" w:rsidR="005E7279" w:rsidRDefault="002F5F44" w:rsidP="00103DDF">
      <w:pPr>
        <w:spacing w:line="240" w:lineRule="auto"/>
      </w:pPr>
    </w:p>
    <w:p w14:paraId="103C3FEF" w14:textId="77777777" w:rsidR="00F54B3A" w:rsidRDefault="00F54B3A" w:rsidP="00103DDF">
      <w:pPr>
        <w:spacing w:line="240" w:lineRule="auto"/>
      </w:pPr>
    </w:p>
    <w:p w14:paraId="726D7130" w14:textId="77777777" w:rsidR="00F54B3A" w:rsidRDefault="00F54B3A"/>
    <w:p w14:paraId="6B9C3592" w14:textId="77777777" w:rsidR="00F54B3A" w:rsidRDefault="00F54B3A" w:rsidP="00F54B3A">
      <w:pPr>
        <w:rPr>
          <w:rFonts w:ascii="Arial" w:hAnsi="Arial" w:cs="Arial"/>
          <w:b/>
          <w:u w:val="single"/>
        </w:rPr>
      </w:pPr>
      <w:r w:rsidRPr="00B83FEC">
        <w:rPr>
          <w:rFonts w:ascii="Arial" w:hAnsi="Arial" w:cs="Arial"/>
          <w:b/>
          <w:u w:val="single"/>
        </w:rPr>
        <w:t>Evaluation</w:t>
      </w:r>
    </w:p>
    <w:p w14:paraId="62C01B0C" w14:textId="77777777" w:rsidR="00F54B3A" w:rsidRDefault="00F54B3A" w:rsidP="00103DDF">
      <w:pPr>
        <w:spacing w:line="360" w:lineRule="auto"/>
        <w:rPr>
          <w:rFonts w:ascii="Arial" w:hAnsi="Arial" w:cs="Arial"/>
        </w:rPr>
      </w:pPr>
      <w:r>
        <w:rPr>
          <w:rFonts w:ascii="Arial" w:hAnsi="Arial" w:cs="Arial"/>
        </w:rPr>
        <w:t xml:space="preserve">Tucker (2005) notes that in order to successfully achieve mathematical development, all play activities need good adult engagement. A strength of the planned activity is the presence of an engaged adult who is able to challenge and support the children. Tucker (2005) states that a practitioner who encourages children will allow them to gain confidence in their ability of mathematics. Having an engaged adult allows Lev Vygotsky’s theory of ‘Scaffolding’ to take place. According to Mooney (2000), ‘Scaffolding’ is where an adult or peer is able to help a child acquire new knowledge or a skill by providing supportive information. An adult who is able to support a child through scaffolding is also able to take part in ‘Sustained Shared Thinking’, a term </w:t>
      </w:r>
      <w:proofErr w:type="spellStart"/>
      <w:r>
        <w:rPr>
          <w:rFonts w:ascii="Arial" w:hAnsi="Arial" w:cs="Arial"/>
        </w:rPr>
        <w:t>Siraj</w:t>
      </w:r>
      <w:proofErr w:type="spellEnd"/>
      <w:r>
        <w:rPr>
          <w:rFonts w:ascii="Arial" w:hAnsi="Arial" w:cs="Arial"/>
        </w:rPr>
        <w:t>-Blatchford (2008) describes as ‘</w:t>
      </w:r>
      <w:r w:rsidRPr="009F5CAF">
        <w:rPr>
          <w:rFonts w:ascii="Arial" w:hAnsi="Arial" w:cs="Arial"/>
        </w:rPr>
        <w:t>an effective pedagogical process that involves an adult being aware of the child’s interests and understandings, and involves the adult and child interacting toget</w:t>
      </w:r>
      <w:r>
        <w:rPr>
          <w:rFonts w:ascii="Arial" w:hAnsi="Arial" w:cs="Arial"/>
        </w:rPr>
        <w:t>her to develop an idea or skill.’ (</w:t>
      </w:r>
      <w:proofErr w:type="spellStart"/>
      <w:r>
        <w:rPr>
          <w:rFonts w:ascii="Arial" w:hAnsi="Arial" w:cs="Arial"/>
        </w:rPr>
        <w:t>Siraj</w:t>
      </w:r>
      <w:proofErr w:type="spellEnd"/>
      <w:r>
        <w:rPr>
          <w:rFonts w:ascii="Arial" w:hAnsi="Arial" w:cs="Arial"/>
        </w:rPr>
        <w:t xml:space="preserve">-Blatchford, 2008, p.29). </w:t>
      </w:r>
      <w:proofErr w:type="spellStart"/>
      <w:r>
        <w:rPr>
          <w:rFonts w:ascii="Arial" w:hAnsi="Arial" w:cs="Arial"/>
        </w:rPr>
        <w:t>Siraj</w:t>
      </w:r>
      <w:proofErr w:type="spellEnd"/>
      <w:r>
        <w:rPr>
          <w:rFonts w:ascii="Arial" w:hAnsi="Arial" w:cs="Arial"/>
        </w:rPr>
        <w:t xml:space="preserve">-Blatchford (2004) notes that sustained shared thinking is effective when it comes to the development of children’s learning and can be successful through the engagement of practitioners and </w:t>
      </w:r>
      <w:proofErr w:type="gramStart"/>
      <w:r>
        <w:rPr>
          <w:rFonts w:ascii="Arial" w:hAnsi="Arial" w:cs="Arial"/>
        </w:rPr>
        <w:t>their</w:t>
      </w:r>
      <w:proofErr w:type="gramEnd"/>
      <w:r>
        <w:rPr>
          <w:rFonts w:ascii="Arial" w:hAnsi="Arial" w:cs="Arial"/>
        </w:rPr>
        <w:t xml:space="preserve"> partake in adult-child conversations.</w:t>
      </w:r>
    </w:p>
    <w:p w14:paraId="7EDA82AF" w14:textId="77777777" w:rsidR="00F54B3A" w:rsidRDefault="00412595" w:rsidP="00103DDF">
      <w:pPr>
        <w:spacing w:line="360" w:lineRule="auto"/>
        <w:rPr>
          <w:rFonts w:ascii="Arial" w:hAnsi="Arial" w:cs="Arial"/>
        </w:rPr>
      </w:pPr>
      <w:r>
        <w:rPr>
          <w:rFonts w:ascii="Arial" w:hAnsi="Arial" w:cs="Arial"/>
        </w:rPr>
        <w:tab/>
        <w:t xml:space="preserve">A report </w:t>
      </w:r>
      <w:r w:rsidR="00F54B3A">
        <w:rPr>
          <w:rFonts w:ascii="Arial" w:hAnsi="Arial" w:cs="Arial"/>
        </w:rPr>
        <w:t>created by Gunderson et al. (2011) outlines the importance of an adult figure when it comes to children’s mathematical development. The report states that a child’s attitude toward mathematics will form as a result of their adult influencers; therefore, having an engaged adult who will encourage the children throughout the activity will benefit their outlook on mathematics as well as their mathematical development.</w:t>
      </w:r>
    </w:p>
    <w:p w14:paraId="1FD45FEC" w14:textId="77777777" w:rsidR="00F54B3A" w:rsidRDefault="00F54B3A" w:rsidP="00103DDF">
      <w:pPr>
        <w:spacing w:line="360" w:lineRule="auto"/>
        <w:ind w:firstLine="720"/>
        <w:rPr>
          <w:rFonts w:ascii="Arial" w:hAnsi="Arial" w:cs="Arial"/>
        </w:rPr>
      </w:pPr>
      <w:r>
        <w:rPr>
          <w:rFonts w:ascii="Arial" w:hAnsi="Arial" w:cs="Arial"/>
        </w:rPr>
        <w:t xml:space="preserve">Another strength of the planned activity is that the children are </w:t>
      </w:r>
      <w:proofErr w:type="spellStart"/>
      <w:r>
        <w:rPr>
          <w:rFonts w:ascii="Arial" w:hAnsi="Arial" w:cs="Arial"/>
        </w:rPr>
        <w:t>organised</w:t>
      </w:r>
      <w:proofErr w:type="spellEnd"/>
      <w:r>
        <w:rPr>
          <w:rFonts w:ascii="Arial" w:hAnsi="Arial" w:cs="Arial"/>
        </w:rPr>
        <w:t xml:space="preserve"> into small groups of 5; having intimate groups allows children to benefit from peer learning. Fisher (2008) notes that giving children opportunities to talk with each other as they take part in an activity is an important part of their learning. Pound (1999) agrees with this stating that “learning occurs in situations where children are interacting with their peers” (Pound, 1999, p.75). </w:t>
      </w:r>
    </w:p>
    <w:p w14:paraId="3170AD63" w14:textId="77777777" w:rsidR="00F54B3A" w:rsidRDefault="00F54B3A" w:rsidP="00103DDF">
      <w:pPr>
        <w:spacing w:line="360" w:lineRule="auto"/>
        <w:ind w:firstLine="720"/>
        <w:rPr>
          <w:rFonts w:ascii="Arial" w:hAnsi="Arial" w:cs="Arial"/>
        </w:rPr>
      </w:pPr>
      <w:r>
        <w:rPr>
          <w:rFonts w:ascii="Arial" w:hAnsi="Arial" w:cs="Arial"/>
        </w:rPr>
        <w:t xml:space="preserve">Although the children being in small groups is a positive element to the activity, grouping the children with those of the same ability can be viewed as a weakness. Lev Vygotsky created a theory known as ‘The Zone of Proximal Development’ (ZPD). Mooney (2000) describes this theory as the gap between what a child can achieve alone and what a child can achieve with the support of a more knowledgeable other. Tucker (2005) states that a play activity involving practitioners or peers can provide the ‘zones’ within proximal development due to the social aspect of play. Lindon (2012) notes that Vygotsky believed that ZPD could occur from either an adult or a peer who is of slightly greater knowledge. Therefore, having children </w:t>
      </w:r>
      <w:proofErr w:type="spellStart"/>
      <w:r>
        <w:rPr>
          <w:rFonts w:ascii="Arial" w:hAnsi="Arial" w:cs="Arial"/>
        </w:rPr>
        <w:t>organised</w:t>
      </w:r>
      <w:proofErr w:type="spellEnd"/>
      <w:r>
        <w:rPr>
          <w:rFonts w:ascii="Arial" w:hAnsi="Arial" w:cs="Arial"/>
        </w:rPr>
        <w:t xml:space="preserve"> in groups of the same ability will be less successful than a group of mixed ability. </w:t>
      </w:r>
    </w:p>
    <w:p w14:paraId="4AB881D6" w14:textId="77777777" w:rsidR="00F54B3A" w:rsidRDefault="00F54B3A" w:rsidP="00103DDF">
      <w:pPr>
        <w:spacing w:line="360" w:lineRule="auto"/>
        <w:ind w:firstLine="720"/>
        <w:rPr>
          <w:rFonts w:ascii="Arial" w:hAnsi="Arial" w:cs="Arial"/>
        </w:rPr>
      </w:pPr>
      <w:r>
        <w:rPr>
          <w:rFonts w:ascii="Arial" w:hAnsi="Arial" w:cs="Arial"/>
        </w:rPr>
        <w:t>Another strength of the planned activity is that the activity takes place outdoors. Jan White the Senior Development Officer for Early Years states children learn best outdoors because of the stimulation it provides and providing children with mathematical challenges outdoors is one of the most effective things practitioners can do to support a child’s learning (Skinner, 2005, p.1). The Welsh Assembly Government (2009) agrees with this statement by stating that the outdoor environment is a vital element when it comes to children’s learning because of the number of benefits it provides for children such as health benefits and experiencing nature first hand. It is noted that the outdoor environment also has stimulation benefits for children which enriches a child’s learning experience.</w:t>
      </w:r>
    </w:p>
    <w:p w14:paraId="2359C48A" w14:textId="77777777" w:rsidR="00F54B3A" w:rsidRDefault="00F54B3A" w:rsidP="00103DDF">
      <w:pPr>
        <w:spacing w:line="360" w:lineRule="auto"/>
        <w:ind w:firstLine="720"/>
        <w:rPr>
          <w:rFonts w:ascii="Arial" w:hAnsi="Arial" w:cs="Arial"/>
        </w:rPr>
      </w:pPr>
      <w:r>
        <w:rPr>
          <w:rFonts w:ascii="Arial" w:hAnsi="Arial" w:cs="Arial"/>
        </w:rPr>
        <w:t xml:space="preserve">Cyr (2011) states that boys and girls learn differently due to the way that each genders brain is wired. A report written by Cyr explains that as a result of each gender learning differently, children will benefit from practitioners teaching to individual learning styles. Hollyhock (2013) agrees that each child has a different learning style that practitioners should do their best to adhere to, she states that “all children have the right to learn in spaces that help them learn best”. Hollyhock (2013) states that boys are naturally interested by exploration and an outdoor environment readily provides this. Boys also grasp the concept of movement and space before girls so it makes sense for a boys learning to take place outdoors where their understandings become concrete. </w:t>
      </w:r>
    </w:p>
    <w:p w14:paraId="45D594C9" w14:textId="77777777" w:rsidR="00F54B3A" w:rsidRDefault="00F54B3A" w:rsidP="00103DDF">
      <w:pPr>
        <w:spacing w:line="360" w:lineRule="auto"/>
        <w:ind w:firstLine="720"/>
        <w:rPr>
          <w:rFonts w:ascii="Arial" w:hAnsi="Arial" w:cs="Arial"/>
        </w:rPr>
      </w:pPr>
      <w:r>
        <w:rPr>
          <w:rFonts w:ascii="Arial" w:hAnsi="Arial" w:cs="Arial"/>
        </w:rPr>
        <w:t xml:space="preserve">A negative point to the activity plan is the absence of a risk assessment. Tovey (2016) notes that risk is an important part of a child’s learning, it allows them to enjoy challenge and extend their boundaries and it is a practitioner’s job to allow them to do this safely. Practitioners can support risky play by producing a risk assessment, that cares for the health and safety of children but still allows them the freedom to play and explore. The planned activity takes place outdoors which presents a number of risks such as unkempt trees </w:t>
      </w:r>
      <w:r>
        <w:rPr>
          <w:rFonts w:ascii="Arial" w:hAnsi="Arial" w:cs="Arial"/>
        </w:rPr>
        <w:t>harboring</w:t>
      </w:r>
      <w:r>
        <w:rPr>
          <w:rFonts w:ascii="Arial" w:hAnsi="Arial" w:cs="Arial"/>
        </w:rPr>
        <w:t xml:space="preserve"> sharp twigs, an open gate or allergies. The European Union (2006) notes that a risk assessment allows practitioners to identify possible hazards and develop a plan to avoid those hazards becoming a risk; this would have benefitted the planned activity. </w:t>
      </w:r>
    </w:p>
    <w:p w14:paraId="2DB9B4C5" w14:textId="77777777" w:rsidR="00F54B3A" w:rsidRDefault="00F54B3A" w:rsidP="00103DDF">
      <w:pPr>
        <w:spacing w:line="360" w:lineRule="auto"/>
        <w:ind w:firstLine="720"/>
        <w:rPr>
          <w:rFonts w:ascii="Arial" w:hAnsi="Arial" w:cs="Arial"/>
        </w:rPr>
      </w:pPr>
      <w:r>
        <w:rPr>
          <w:rFonts w:ascii="Arial" w:hAnsi="Arial" w:cs="Arial"/>
        </w:rPr>
        <w:t>Another positive element to the activity plan is the consideration to differentiation. Watts-</w:t>
      </w:r>
      <w:proofErr w:type="spellStart"/>
      <w:r>
        <w:rPr>
          <w:rFonts w:ascii="Arial" w:hAnsi="Arial" w:cs="Arial"/>
        </w:rPr>
        <w:t>Taffe</w:t>
      </w:r>
      <w:proofErr w:type="spellEnd"/>
      <w:r>
        <w:rPr>
          <w:rFonts w:ascii="Arial" w:hAnsi="Arial" w:cs="Arial"/>
        </w:rPr>
        <w:t xml:space="preserve"> (2012) describes differentiated instruction as students studying the same classroom curriculum but it is tailored to their learning needs. </w:t>
      </w:r>
      <w:r w:rsidR="00412595">
        <w:rPr>
          <w:rFonts w:ascii="Arial" w:hAnsi="Arial" w:cs="Arial"/>
        </w:rPr>
        <w:t xml:space="preserve">Educational Partnerships (2012) state that Jerome Bruner created a theory known as the ‘Spiral Curriculum’. This theory states that even the most complex of material can be taught to a child if presented and planned correctly. </w:t>
      </w:r>
      <w:proofErr w:type="spellStart"/>
      <w:r w:rsidRPr="00944E48">
        <w:rPr>
          <w:rFonts w:ascii="Arial" w:hAnsi="Arial" w:cs="Arial"/>
        </w:rPr>
        <w:t>Bajrami</w:t>
      </w:r>
      <w:proofErr w:type="spellEnd"/>
      <w:r>
        <w:rPr>
          <w:rFonts w:ascii="Arial" w:hAnsi="Arial" w:cs="Arial"/>
        </w:rPr>
        <w:t xml:space="preserve"> (2013) states that diverse students are common amongst classrooms and it is essential that teachers</w:t>
      </w:r>
      <w:r w:rsidR="00412595">
        <w:rPr>
          <w:rFonts w:ascii="Arial" w:hAnsi="Arial" w:cs="Arial"/>
        </w:rPr>
        <w:t xml:space="preserve"> plan to</w:t>
      </w:r>
      <w:r>
        <w:rPr>
          <w:rFonts w:ascii="Arial" w:hAnsi="Arial" w:cs="Arial"/>
        </w:rPr>
        <w:t xml:space="preserve"> support their diverse needs. By providing a differentiated activity students are able to feel achievement upon completion. </w:t>
      </w:r>
      <w:r w:rsidRPr="00B400EC">
        <w:rPr>
          <w:rFonts w:ascii="Arial" w:hAnsi="Arial" w:cs="Arial"/>
        </w:rPr>
        <w:t>Louisiana State Universit</w:t>
      </w:r>
      <w:r>
        <w:rPr>
          <w:rFonts w:ascii="Arial" w:hAnsi="Arial" w:cs="Arial"/>
        </w:rPr>
        <w:t>y (2016) notes that differentiated activities motivate students, allows them to feel success within their classroom and teachers report that the quality of student’s work improves.</w:t>
      </w:r>
      <w:r w:rsidR="00D7140E">
        <w:rPr>
          <w:rFonts w:ascii="Arial" w:hAnsi="Arial" w:cs="Arial"/>
        </w:rPr>
        <w:t xml:space="preserve"> </w:t>
      </w:r>
    </w:p>
    <w:p w14:paraId="4858A390" w14:textId="77777777" w:rsidR="00F54B3A" w:rsidRDefault="00F54B3A" w:rsidP="00103DDF">
      <w:pPr>
        <w:spacing w:line="360" w:lineRule="auto"/>
        <w:rPr>
          <w:rFonts w:ascii="Arial" w:hAnsi="Arial" w:cs="Arial"/>
        </w:rPr>
      </w:pPr>
    </w:p>
    <w:p w14:paraId="0B87956C" w14:textId="77777777" w:rsidR="00D7140E" w:rsidRDefault="00D7140E" w:rsidP="00F54B3A">
      <w:pPr>
        <w:rPr>
          <w:rFonts w:ascii="Arial" w:hAnsi="Arial" w:cs="Arial"/>
        </w:rPr>
      </w:pPr>
    </w:p>
    <w:p w14:paraId="6B7BF5FF" w14:textId="77777777" w:rsidR="00D7140E" w:rsidRDefault="00D7140E" w:rsidP="00F54B3A">
      <w:pPr>
        <w:rPr>
          <w:rFonts w:ascii="Arial" w:hAnsi="Arial" w:cs="Arial"/>
        </w:rPr>
      </w:pPr>
    </w:p>
    <w:p w14:paraId="0D992676" w14:textId="77777777" w:rsidR="00F54B3A" w:rsidRDefault="00F54B3A" w:rsidP="00103DDF">
      <w:pPr>
        <w:spacing w:line="360" w:lineRule="auto"/>
        <w:rPr>
          <w:b/>
          <w:u w:val="single"/>
        </w:rPr>
      </w:pPr>
      <w:r>
        <w:rPr>
          <w:b/>
          <w:u w:val="single"/>
        </w:rPr>
        <w:t>Discussion</w:t>
      </w:r>
    </w:p>
    <w:p w14:paraId="476522DB" w14:textId="77777777" w:rsidR="00F54B3A" w:rsidRDefault="00F54B3A" w:rsidP="00103DDF">
      <w:pPr>
        <w:spacing w:line="360" w:lineRule="auto"/>
        <w:ind w:firstLine="720"/>
      </w:pPr>
      <w:r>
        <w:t>During the activity the children will be outdoors measuring natural objects such as leaves, twigs and flowers. According to Flynn (2013) the 19</w:t>
      </w:r>
      <w:r w:rsidRPr="00C26127">
        <w:rPr>
          <w:vertAlign w:val="superscript"/>
        </w:rPr>
        <w:t>th</w:t>
      </w:r>
      <w:r>
        <w:t xml:space="preserve"> century pedagogue, Froebel, believed that the natural environment had an important part to play in a person’s understanding of all things. </w:t>
      </w:r>
    </w:p>
    <w:p w14:paraId="0DF708EC" w14:textId="77777777" w:rsidR="00F54B3A" w:rsidRDefault="00F54B3A" w:rsidP="00103DDF">
      <w:pPr>
        <w:spacing w:line="360" w:lineRule="auto"/>
      </w:pPr>
      <w:r>
        <w:t xml:space="preserve">Fox and Wirth (2015) note that natural materials give children the opportunity to play with ‘loose parts’, a term that refers to materials of different properties that can be moved and manipulated such as sticks, leaves, and shells. Spencer (2013) notes that there are benefits for children when using loose parts such as problem solving, multisensory experiences and enhanced communication. Thornton (2016) agrees with Spencer stating that natural resources encourage children to use all of their senses. </w:t>
      </w:r>
    </w:p>
    <w:p w14:paraId="591E05A6" w14:textId="77777777" w:rsidR="00F54B3A" w:rsidRDefault="00F54B3A" w:rsidP="00103DDF">
      <w:pPr>
        <w:spacing w:line="360" w:lineRule="auto"/>
      </w:pPr>
      <w:r>
        <w:t xml:space="preserve">Dimensions Foundation (2016) notes that natural materials have value when it comes to a child’s development. The research conducted by the </w:t>
      </w:r>
      <w:proofErr w:type="spellStart"/>
      <w:r>
        <w:t>organisation</w:t>
      </w:r>
      <w:proofErr w:type="spellEnd"/>
      <w:r>
        <w:t xml:space="preserve"> notes that natural materials promote a child’s creative development by allowing the child to use their imagination and choose what they want it to be. The International Journal of Early Childhood (2016) agrees stating that loose parts are ever changing in the eyes of children. </w:t>
      </w:r>
    </w:p>
    <w:p w14:paraId="6FCB88D1" w14:textId="77777777" w:rsidR="00F54B3A" w:rsidRDefault="00F54B3A" w:rsidP="00103DDF">
      <w:pPr>
        <w:spacing w:line="360" w:lineRule="auto"/>
      </w:pPr>
      <w:proofErr w:type="spellStart"/>
      <w:r>
        <w:t>Varol</w:t>
      </w:r>
      <w:proofErr w:type="spellEnd"/>
      <w:r>
        <w:t xml:space="preserve"> and </w:t>
      </w:r>
      <w:proofErr w:type="spellStart"/>
      <w:r>
        <w:t>Farran</w:t>
      </w:r>
      <w:proofErr w:type="spellEnd"/>
      <w:r>
        <w:t xml:space="preserve"> (2006) note that children should be using concrete materials when part taking in mathematical activities so that children can “grasp the abstract concept and mathematical symbols” (</w:t>
      </w:r>
      <w:proofErr w:type="spellStart"/>
      <w:r>
        <w:t>Varol</w:t>
      </w:r>
      <w:proofErr w:type="spellEnd"/>
      <w:r>
        <w:t xml:space="preserve"> and </w:t>
      </w:r>
      <w:proofErr w:type="spellStart"/>
      <w:r>
        <w:t>Farran</w:t>
      </w:r>
      <w:proofErr w:type="spellEnd"/>
      <w:r>
        <w:t>, 2006, p.385). According to Tucker (2005) natural materials are best due to their cross-curricular opportunities, ability to promote mathematical learning and their links to other areas of learning (science, language and creativity) whereas plastic toys have limited possibilities.</w:t>
      </w:r>
    </w:p>
    <w:p w14:paraId="6E4CC01F" w14:textId="77777777" w:rsidR="00F54B3A" w:rsidRDefault="00F54B3A" w:rsidP="00103DDF">
      <w:pPr>
        <w:spacing w:line="360" w:lineRule="auto"/>
      </w:pPr>
      <w:r>
        <w:t>Natural materials also serve purpose when it comes to mathematical development within children. According to Quinn (2013), the 19</w:t>
      </w:r>
      <w:r w:rsidRPr="00B66FFB">
        <w:rPr>
          <w:vertAlign w:val="superscript"/>
        </w:rPr>
        <w:t>th</w:t>
      </w:r>
      <w:r>
        <w:t xml:space="preserve"> century pedagogue Froebel invented a set of ‘gifts’ to help children’s learning development. Froebel’s third gift was a set of 8 small cubes that make up 1 large cube. Tovey (2013) states that Froebel’s cubes were designed to represent things and allow children to explore mathematical forms. </w:t>
      </w:r>
    </w:p>
    <w:p w14:paraId="11734B64" w14:textId="77777777" w:rsidR="00F54B3A" w:rsidRDefault="00F54B3A" w:rsidP="00103DDF">
      <w:pPr>
        <w:spacing w:line="360" w:lineRule="auto"/>
      </w:pPr>
      <w:proofErr w:type="spellStart"/>
      <w:r>
        <w:t>Madar</w:t>
      </w:r>
      <w:proofErr w:type="spellEnd"/>
      <w:r>
        <w:t xml:space="preserve"> et al. (2012) state that wooden toys (such as Froebel’s) are sustainable because they are durable and will survive through years of play. Although plastic toys are cheaper, the report states that they are not necessarily better due to the toxins PVC; this isn’t seen within wooden toys. </w:t>
      </w:r>
    </w:p>
    <w:p w14:paraId="0F2004FC" w14:textId="77777777" w:rsidR="00F54B3A" w:rsidRDefault="00F54B3A" w:rsidP="00103DDF">
      <w:pPr>
        <w:spacing w:line="360" w:lineRule="auto"/>
      </w:pPr>
    </w:p>
    <w:p w14:paraId="5A6C003A" w14:textId="77777777" w:rsidR="00F54B3A" w:rsidRDefault="00412595" w:rsidP="00103DDF">
      <w:pPr>
        <w:spacing w:line="360" w:lineRule="auto"/>
      </w:pPr>
      <w:r>
        <w:t>P</w:t>
      </w:r>
      <w:r w:rsidR="00F54B3A">
        <w:t xml:space="preserve">ound (2008) states that quite often, mathematics is limited to the mathematics area. The Foundation Phase Framework (2014) states that children should be given opportunities to develop their mathematical skills through continuous provision in areas around the classroom including outdoors. Cornerstones (2017) defines continuous provision as an environment where children are free to explore and challenge themselves. Mathematical challenges present themselves in different areas around the classroom, Tucker (2005) notes that one of these areas can include a role-play area where children can encounter a variety of mathematical skills from one roleplay. </w:t>
      </w:r>
    </w:p>
    <w:p w14:paraId="7C519240" w14:textId="77777777" w:rsidR="00F54B3A" w:rsidRDefault="00F54B3A" w:rsidP="00103DDF">
      <w:pPr>
        <w:spacing w:line="360" w:lineRule="auto"/>
        <w:ind w:firstLine="720"/>
      </w:pPr>
      <w:r>
        <w:t xml:space="preserve">Another area in a classroom where children are able to experience mathematics through their play is the construction area. Pound (2008) notes that the construction area provides children with a range of mathematical opportunities. </w:t>
      </w:r>
      <w:proofErr w:type="spellStart"/>
      <w:r>
        <w:t>Gura</w:t>
      </w:r>
      <w:proofErr w:type="spellEnd"/>
      <w:r>
        <w:t xml:space="preserve"> (1992, quoted in Tucker, 2005, p.30) agrees, stating that block play allows children to develop their understanding of shape and problem solving. </w:t>
      </w:r>
    </w:p>
    <w:p w14:paraId="606491A4" w14:textId="77777777" w:rsidR="00F54B3A" w:rsidRDefault="00F54B3A" w:rsidP="00103DDF">
      <w:pPr>
        <w:spacing w:line="360" w:lineRule="auto"/>
        <w:ind w:firstLine="720"/>
      </w:pPr>
      <w:r>
        <w:t xml:space="preserve">Mathematical development opportunities can also be found in the sand and water area. Pound (2008) notes that sand and water give children the chance to go beyond counting and measuring and instead allow them to make informed guesses, problem solve/find and understand object permanence. </w:t>
      </w:r>
    </w:p>
    <w:p w14:paraId="0D342C1B" w14:textId="77777777" w:rsidR="00F54B3A" w:rsidRDefault="00F54B3A" w:rsidP="00103DDF">
      <w:pPr>
        <w:spacing w:line="360" w:lineRule="auto"/>
        <w:ind w:firstLine="720"/>
      </w:pPr>
      <w:r>
        <w:t>The outdoor area is also part of continuous provision and Pound (2008) states that “all experiences that children have indoors should be available outdoors” (Pound, 2008, p.92). The Foundation Phase Framework (2014) states that the outdoor area offers a lot of mathematical value to children’s development and should be a part of their everyday experiences. Any mathematical activity that can be carried out indoors can also be done outdoors but with “</w:t>
      </w:r>
      <w:proofErr w:type="spellStart"/>
      <w:r>
        <w:t>vigour</w:t>
      </w:r>
      <w:proofErr w:type="spellEnd"/>
      <w:r>
        <w:t xml:space="preserve">, freedom and scale” (Welsh Assembly Government, 2014, p.23). </w:t>
      </w:r>
    </w:p>
    <w:p w14:paraId="258CAE06" w14:textId="77777777" w:rsidR="00F54B3A" w:rsidRDefault="00F54B3A" w:rsidP="00F54B3A"/>
    <w:p w14:paraId="20FCE816" w14:textId="77777777" w:rsidR="00F54B3A" w:rsidRDefault="00F54B3A" w:rsidP="00103DDF">
      <w:pPr>
        <w:spacing w:line="360" w:lineRule="auto"/>
        <w:rPr>
          <w:b/>
          <w:u w:val="single"/>
        </w:rPr>
      </w:pPr>
      <w:r>
        <w:rPr>
          <w:b/>
          <w:u w:val="single"/>
        </w:rPr>
        <w:t>Explanation</w:t>
      </w:r>
    </w:p>
    <w:p w14:paraId="2160478C" w14:textId="77777777" w:rsidR="00F54B3A" w:rsidRDefault="00F54B3A" w:rsidP="00103DDF">
      <w:pPr>
        <w:spacing w:line="360" w:lineRule="auto"/>
      </w:pPr>
      <w:r>
        <w:t xml:space="preserve">According to The Welsh Assembly Government (2008) the role of the practitioner is to facilitate each child’s learning according to their individual needs. Rose and Rogers (2012) explain the term ‘facilitator’ as making a child’s learning easier which for a practitioner means planning the learning environment to suit the learning styles individual children. The Welsh Assembly Government (2008) agrees with facilitation by stating that that within the Foundation Phase it is essential that practitioners take into account the needs of children when planning. </w:t>
      </w:r>
    </w:p>
    <w:p w14:paraId="05A57824" w14:textId="77777777" w:rsidR="00F54B3A" w:rsidRDefault="00F54B3A" w:rsidP="00103DDF">
      <w:pPr>
        <w:spacing w:line="360" w:lineRule="auto"/>
      </w:pPr>
      <w:r>
        <w:tab/>
        <w:t xml:space="preserve">A key role of the adult working with children is having the ability to support them. The Welsh Assembly Government (2008) </w:t>
      </w:r>
      <w:proofErr w:type="spellStart"/>
      <w:r>
        <w:t>emphasises</w:t>
      </w:r>
      <w:proofErr w:type="spellEnd"/>
      <w:r>
        <w:t xml:space="preserve"> this within the Foundation Phase framework stating that if a child is in need of support then it is a practitioner’s duty to ‘scaffold’ their learning in order to help them achieve. According to Mooney (2000) Lev Vygotsky believed that practitioners needed to ‘scaffold’ a child’s learning in order to help them understand a new concept.</w:t>
      </w:r>
    </w:p>
    <w:p w14:paraId="37FEABFC" w14:textId="77777777" w:rsidR="00F54B3A" w:rsidRDefault="00F54B3A" w:rsidP="00103DDF">
      <w:pPr>
        <w:spacing w:line="360" w:lineRule="auto"/>
      </w:pPr>
      <w:r>
        <w:tab/>
        <w:t>Another role of the adult is to ensure that children have an enabling environment to encourage their learning. The Foundation Phase (2008) states that practitioners need to plan learning areas carefully in order to ensure that children are getting a wide range of learning opportunities that are stimulating, inviting and motivating for the children. Tucker (2005) agrees stating that practitioners must create an environment with exciting mathematical opportunities for children. Practitioners are able to create these mathematical rich environments through careful planning. The Welsh Assembly Government (2008) notes that all planning in Wales is based off the ‘Foundation Phase Framework for 3-7 Year Olds in Wales’ and when practitioners are planning they may plan holistically and include all areas of learning discussed in the document. A practitioners planning needs to be flexible in order to adhere to the needs and interests of the children and should include opportunities for assessment and observation. Children are monitored through observation and the Welsh Assembly Government (2010) state that is it important for practitioners to observe children in order to have an understanding of their enjoyment, their development and their personal preferences. Once practitioners have observed and have a better understanding, The Welsh Assembly Government (2008) state that practitioners are then able to plan for progression.</w:t>
      </w:r>
    </w:p>
    <w:p w14:paraId="4018B126" w14:textId="77777777" w:rsidR="00F54B3A" w:rsidRDefault="00F54B3A" w:rsidP="00103DDF">
      <w:pPr>
        <w:spacing w:line="360" w:lineRule="auto"/>
      </w:pPr>
      <w:r>
        <w:t>The Welsh Assembly Government (2008) state that planning needs to be based on background. The practitioner must first have an understanding of a child’s home life and previous achievements in order to plan successfully for the child. Practitioners can acquire this information by speaking to parents/</w:t>
      </w:r>
      <w:proofErr w:type="spellStart"/>
      <w:r>
        <w:t>carers</w:t>
      </w:r>
      <w:proofErr w:type="spellEnd"/>
      <w:r>
        <w:t xml:space="preserve"> and previous teachers.</w:t>
      </w:r>
    </w:p>
    <w:p w14:paraId="0E50C70A" w14:textId="77777777" w:rsidR="00F54B3A" w:rsidRPr="00FF5A5A" w:rsidRDefault="00F54B3A" w:rsidP="00103DDF">
      <w:pPr>
        <w:spacing w:line="360" w:lineRule="auto"/>
      </w:pPr>
      <w:r>
        <w:tab/>
        <w:t>An important role of the adult is to have a positive attitude when it comes to mathematics. National Numeracy (2014) state that negative attitudes are the cause of our numeracy crisis. Jones (2012) agrees that negative attitudes are an issue, stating that a practitioner’s negative attitude toward mathematics have an impact on the children being taught. The article notes that a practitioners lack of enthusiasm is being passed on to the children who then give up easily. Tucker (2005) states that positive comments directed at children about mathematics will have a positive impact and help the children see themselves as “competent mathematicians” (Tucker, 2005, p.16).</w:t>
      </w:r>
    </w:p>
    <w:p w14:paraId="4BF08201" w14:textId="77777777" w:rsidR="00F54B3A" w:rsidRDefault="00F54B3A" w:rsidP="00F54B3A"/>
    <w:p w14:paraId="64B8431E" w14:textId="77777777" w:rsidR="00412595" w:rsidRDefault="00412595" w:rsidP="00F54B3A"/>
    <w:p w14:paraId="0BF3BF2D" w14:textId="77777777" w:rsidR="00412595" w:rsidRDefault="00412595">
      <w:pPr>
        <w:spacing w:after="0" w:line="240" w:lineRule="auto"/>
      </w:pPr>
      <w:r>
        <w:br w:type="page"/>
      </w:r>
    </w:p>
    <w:p w14:paraId="20F9DCB1" w14:textId="77777777" w:rsidR="00412595" w:rsidRDefault="00412595" w:rsidP="00412595">
      <w:pPr>
        <w:spacing w:line="240" w:lineRule="auto"/>
        <w:rPr>
          <w:rFonts w:ascii="Arial" w:hAnsi="Arial" w:cs="Arial"/>
          <w:b/>
          <w:u w:val="single"/>
        </w:rPr>
      </w:pPr>
      <w:r>
        <w:rPr>
          <w:rFonts w:ascii="Arial" w:hAnsi="Arial" w:cs="Arial"/>
          <w:b/>
          <w:u w:val="single"/>
        </w:rPr>
        <w:t xml:space="preserve">References </w:t>
      </w:r>
    </w:p>
    <w:p w14:paraId="2C9446BF" w14:textId="77777777" w:rsidR="00412595" w:rsidRDefault="00412595" w:rsidP="00412595">
      <w:pPr>
        <w:spacing w:line="240" w:lineRule="auto"/>
        <w:rPr>
          <w:rFonts w:ascii="Arial" w:hAnsi="Arial" w:cs="Arial"/>
          <w:b/>
          <w:u w:val="single"/>
        </w:rPr>
      </w:pPr>
    </w:p>
    <w:p w14:paraId="4F6ADC10" w14:textId="77777777" w:rsidR="00412595" w:rsidRPr="00F63D7E" w:rsidRDefault="00412595" w:rsidP="00412595">
      <w:pPr>
        <w:spacing w:line="240" w:lineRule="auto"/>
        <w:rPr>
          <w:rFonts w:ascii="Arial" w:hAnsi="Arial" w:cs="Arial"/>
        </w:rPr>
      </w:pPr>
      <w:proofErr w:type="spellStart"/>
      <w:r w:rsidRPr="00F63D7E">
        <w:rPr>
          <w:rFonts w:ascii="Arial" w:hAnsi="Arial" w:cs="Arial"/>
        </w:rPr>
        <w:t>Bajrami</w:t>
      </w:r>
      <w:proofErr w:type="spellEnd"/>
      <w:r>
        <w:rPr>
          <w:rFonts w:ascii="Arial" w:hAnsi="Arial" w:cs="Arial"/>
        </w:rPr>
        <w:t>, I (2013) ‘</w:t>
      </w:r>
    </w:p>
    <w:p w14:paraId="51892103" w14:textId="77777777" w:rsidR="00412595" w:rsidRPr="00F63D7E" w:rsidRDefault="00412595" w:rsidP="00412595">
      <w:pPr>
        <w:spacing w:line="240" w:lineRule="auto"/>
        <w:rPr>
          <w:rFonts w:ascii="Arial" w:hAnsi="Arial" w:cs="Arial"/>
        </w:rPr>
      </w:pPr>
      <w:r w:rsidRPr="00F63D7E">
        <w:rPr>
          <w:rFonts w:ascii="Arial" w:hAnsi="Arial" w:cs="Arial"/>
        </w:rPr>
        <w:t>The Importance of Differentiation in Supporting Diverse Learners</w:t>
      </w:r>
      <w:r>
        <w:rPr>
          <w:rFonts w:ascii="Arial" w:hAnsi="Arial" w:cs="Arial"/>
        </w:rPr>
        <w:t xml:space="preserve">’ </w:t>
      </w:r>
      <w:r>
        <w:rPr>
          <w:rFonts w:ascii="Arial" w:hAnsi="Arial" w:cs="Arial"/>
          <w:i/>
        </w:rPr>
        <w:t xml:space="preserve">Journal of Education and Practice. </w:t>
      </w:r>
      <w:r>
        <w:rPr>
          <w:rFonts w:ascii="Arial" w:hAnsi="Arial" w:cs="Arial"/>
        </w:rPr>
        <w:t>4(22) p.149-154.</w:t>
      </w:r>
    </w:p>
    <w:p w14:paraId="14C449B5" w14:textId="77777777" w:rsidR="00412595" w:rsidRDefault="00412595" w:rsidP="00412595">
      <w:pPr>
        <w:spacing w:line="240" w:lineRule="auto"/>
        <w:rPr>
          <w:rFonts w:ascii="Arial" w:hAnsi="Arial" w:cs="Arial"/>
          <w:b/>
          <w:u w:val="single"/>
        </w:rPr>
      </w:pPr>
    </w:p>
    <w:p w14:paraId="494C6185" w14:textId="77777777" w:rsidR="00412595" w:rsidRDefault="00412595" w:rsidP="00412595">
      <w:pPr>
        <w:spacing w:line="240" w:lineRule="auto"/>
        <w:rPr>
          <w:rFonts w:ascii="Arial" w:hAnsi="Arial" w:cs="Arial"/>
        </w:rPr>
      </w:pPr>
      <w:r>
        <w:rPr>
          <w:rFonts w:ascii="Arial" w:hAnsi="Arial" w:cs="Arial"/>
        </w:rPr>
        <w:t xml:space="preserve">Cyr, D. (2007) </w:t>
      </w:r>
      <w:r w:rsidRPr="00C539D4">
        <w:rPr>
          <w:rFonts w:ascii="Arial" w:hAnsi="Arial" w:cs="Arial"/>
          <w:i/>
        </w:rPr>
        <w:t xml:space="preserve">Single Sex Classrooms, How Boys and Girls Learn Differently: </w:t>
      </w:r>
      <w:proofErr w:type="gramStart"/>
      <w:r w:rsidRPr="00C539D4">
        <w:rPr>
          <w:rFonts w:ascii="Arial" w:hAnsi="Arial" w:cs="Arial"/>
          <w:i/>
        </w:rPr>
        <w:t>a</w:t>
      </w:r>
      <w:proofErr w:type="gramEnd"/>
      <w:r w:rsidRPr="00C539D4">
        <w:rPr>
          <w:rFonts w:ascii="Arial" w:hAnsi="Arial" w:cs="Arial"/>
          <w:i/>
        </w:rPr>
        <w:t xml:space="preserve"> Guide Book for Elementary Teachers</w:t>
      </w:r>
      <w:r>
        <w:rPr>
          <w:rFonts w:ascii="Arial" w:hAnsi="Arial" w:cs="Arial"/>
          <w:i/>
        </w:rPr>
        <w:t xml:space="preserve">. </w:t>
      </w:r>
      <w:r>
        <w:rPr>
          <w:rFonts w:ascii="Arial" w:hAnsi="Arial" w:cs="Arial"/>
        </w:rPr>
        <w:t xml:space="preserve">Available at: </w:t>
      </w:r>
      <w:hyperlink r:id="rId7" w:history="1">
        <w:r w:rsidRPr="00B40AAE">
          <w:rPr>
            <w:rStyle w:val="Hyperlink"/>
            <w:rFonts w:ascii="Arial" w:hAnsi="Arial" w:cs="Arial"/>
          </w:rPr>
          <w:t>https://epublications.regis.edu/cgi/viewcontent.cgi?article=1011&amp;context=theses</w:t>
        </w:r>
      </w:hyperlink>
      <w:r>
        <w:rPr>
          <w:rFonts w:ascii="Arial" w:hAnsi="Arial" w:cs="Arial"/>
        </w:rPr>
        <w:t xml:space="preserve"> (Accessed: 21</w:t>
      </w:r>
      <w:r w:rsidRPr="00C539D4">
        <w:rPr>
          <w:rFonts w:ascii="Arial" w:hAnsi="Arial" w:cs="Arial"/>
          <w:vertAlign w:val="superscript"/>
        </w:rPr>
        <w:t>st</w:t>
      </w:r>
      <w:r>
        <w:rPr>
          <w:rFonts w:ascii="Arial" w:hAnsi="Arial" w:cs="Arial"/>
        </w:rPr>
        <w:t xml:space="preserve"> February 2019).</w:t>
      </w:r>
    </w:p>
    <w:p w14:paraId="12461112" w14:textId="77777777" w:rsidR="00412595" w:rsidRDefault="00412595" w:rsidP="00412595">
      <w:pPr>
        <w:spacing w:line="240" w:lineRule="auto"/>
        <w:rPr>
          <w:rFonts w:ascii="Arial" w:hAnsi="Arial" w:cs="Arial"/>
        </w:rPr>
      </w:pPr>
    </w:p>
    <w:p w14:paraId="2509ACA4" w14:textId="77777777" w:rsidR="00412595" w:rsidRPr="000A74F5" w:rsidRDefault="00412595" w:rsidP="00412595">
      <w:pPr>
        <w:spacing w:line="240" w:lineRule="auto"/>
        <w:rPr>
          <w:rFonts w:ascii="Arial" w:hAnsi="Arial" w:cs="Arial"/>
        </w:rPr>
      </w:pPr>
      <w:r>
        <w:rPr>
          <w:rFonts w:ascii="Arial" w:hAnsi="Arial" w:cs="Arial"/>
        </w:rPr>
        <w:t xml:space="preserve">Cornerstones Education (2017) </w:t>
      </w:r>
      <w:r>
        <w:rPr>
          <w:rFonts w:ascii="Arial" w:hAnsi="Arial" w:cs="Arial"/>
          <w:i/>
        </w:rPr>
        <w:t xml:space="preserve">The Importance of Continuous Provision in the Early Years. </w:t>
      </w:r>
      <w:r>
        <w:rPr>
          <w:rFonts w:ascii="Arial" w:hAnsi="Arial" w:cs="Arial"/>
        </w:rPr>
        <w:t xml:space="preserve">Available at: </w:t>
      </w:r>
      <w:hyperlink r:id="rId8" w:history="1">
        <w:r w:rsidRPr="00B40AAE">
          <w:rPr>
            <w:rStyle w:val="Hyperlink"/>
            <w:rFonts w:ascii="Arial" w:hAnsi="Arial" w:cs="Arial"/>
          </w:rPr>
          <w:t>https://cornerstoneseducation.co.uk/continuous-provision-early-years/</w:t>
        </w:r>
      </w:hyperlink>
      <w:r>
        <w:rPr>
          <w:rFonts w:ascii="Arial" w:hAnsi="Arial" w:cs="Arial"/>
        </w:rPr>
        <w:t xml:space="preserve"> (</w:t>
      </w:r>
      <w:proofErr w:type="spellStart"/>
      <w:r>
        <w:rPr>
          <w:rFonts w:ascii="Arial" w:hAnsi="Arial" w:cs="Arial"/>
        </w:rPr>
        <w:t>Accesssed</w:t>
      </w:r>
      <w:proofErr w:type="spellEnd"/>
      <w:r>
        <w:rPr>
          <w:rFonts w:ascii="Arial" w:hAnsi="Arial" w:cs="Arial"/>
        </w:rPr>
        <w:t>: 22nd February 2019).</w:t>
      </w:r>
    </w:p>
    <w:p w14:paraId="7F30E5E4" w14:textId="77777777" w:rsidR="00412595" w:rsidRDefault="00412595" w:rsidP="00412595">
      <w:pPr>
        <w:spacing w:line="240" w:lineRule="auto"/>
        <w:rPr>
          <w:rFonts w:ascii="Arial" w:hAnsi="Arial" w:cs="Arial"/>
        </w:rPr>
      </w:pPr>
    </w:p>
    <w:p w14:paraId="11F065A0" w14:textId="77777777" w:rsidR="00412595" w:rsidRPr="000A74F5" w:rsidRDefault="00412595" w:rsidP="00412595">
      <w:pPr>
        <w:spacing w:line="240" w:lineRule="auto"/>
        <w:rPr>
          <w:rFonts w:ascii="Arial" w:hAnsi="Arial" w:cs="Arial"/>
        </w:rPr>
      </w:pPr>
      <w:r>
        <w:rPr>
          <w:rFonts w:ascii="Arial" w:hAnsi="Arial" w:cs="Arial"/>
        </w:rPr>
        <w:t>Dimensions Educational Research (2016) ‘</w:t>
      </w:r>
      <w:r w:rsidRPr="000A74F5">
        <w:rPr>
          <w:rFonts w:ascii="Arial" w:hAnsi="Arial" w:cs="Arial"/>
        </w:rPr>
        <w:t>Playing with Nature:</w:t>
      </w:r>
    </w:p>
    <w:p w14:paraId="4E776019" w14:textId="77777777" w:rsidR="00412595" w:rsidRDefault="00412595" w:rsidP="00412595">
      <w:pPr>
        <w:spacing w:line="240" w:lineRule="auto"/>
        <w:rPr>
          <w:rFonts w:ascii="Arial" w:hAnsi="Arial" w:cs="Arial"/>
        </w:rPr>
      </w:pPr>
      <w:r w:rsidRPr="000A74F5">
        <w:rPr>
          <w:rFonts w:ascii="Arial" w:hAnsi="Arial" w:cs="Arial"/>
        </w:rPr>
        <w:t>Supporting Preschoolers’ Creativity in Natural Outdoor Classrooms</w:t>
      </w:r>
      <w:r>
        <w:rPr>
          <w:rFonts w:ascii="Arial" w:hAnsi="Arial" w:cs="Arial"/>
        </w:rPr>
        <w:t xml:space="preserve">’ </w:t>
      </w:r>
      <w:r w:rsidRPr="000A74F5">
        <w:rPr>
          <w:rFonts w:ascii="Arial" w:hAnsi="Arial" w:cs="Arial"/>
          <w:i/>
        </w:rPr>
        <w:t>International Journal of Early Childhood Environmental Education</w:t>
      </w:r>
      <w:r>
        <w:rPr>
          <w:rFonts w:ascii="Arial" w:hAnsi="Arial" w:cs="Arial"/>
          <w:i/>
        </w:rPr>
        <w:t xml:space="preserve">. </w:t>
      </w:r>
      <w:r>
        <w:rPr>
          <w:rFonts w:ascii="Arial" w:hAnsi="Arial" w:cs="Arial"/>
        </w:rPr>
        <w:t xml:space="preserve">Available at: </w:t>
      </w:r>
      <w:hyperlink r:id="rId9" w:history="1">
        <w:r w:rsidRPr="00B40AAE">
          <w:rPr>
            <w:rStyle w:val="Hyperlink"/>
            <w:rFonts w:ascii="Arial" w:hAnsi="Arial" w:cs="Arial"/>
          </w:rPr>
          <w:t>https://dimensionsfoundation.org/wp-content/uploads/2016/10/IJECEE-41-Complete-Issue.pdf</w:t>
        </w:r>
      </w:hyperlink>
      <w:r>
        <w:rPr>
          <w:rFonts w:ascii="Arial" w:hAnsi="Arial" w:cs="Arial"/>
        </w:rPr>
        <w:t xml:space="preserve"> (Accessed: 22nd February 2019).</w:t>
      </w:r>
    </w:p>
    <w:p w14:paraId="54AE8908" w14:textId="77777777" w:rsidR="00412595" w:rsidRDefault="00412595" w:rsidP="00412595">
      <w:pPr>
        <w:spacing w:line="240" w:lineRule="auto"/>
        <w:rPr>
          <w:rFonts w:ascii="Arial" w:hAnsi="Arial" w:cs="Arial"/>
        </w:rPr>
      </w:pPr>
    </w:p>
    <w:p w14:paraId="46CBCB9A" w14:textId="77777777" w:rsidR="00412595" w:rsidRPr="001C6693" w:rsidRDefault="00412595" w:rsidP="00412595">
      <w:pPr>
        <w:spacing w:line="240" w:lineRule="auto"/>
        <w:rPr>
          <w:rFonts w:ascii="Arial" w:hAnsi="Arial" w:cs="Arial"/>
        </w:rPr>
      </w:pPr>
      <w:r>
        <w:rPr>
          <w:rFonts w:ascii="Arial" w:hAnsi="Arial" w:cs="Arial"/>
        </w:rPr>
        <w:t xml:space="preserve">Educational Partnerships (2012) </w:t>
      </w:r>
      <w:r>
        <w:rPr>
          <w:rFonts w:ascii="Arial" w:hAnsi="Arial" w:cs="Arial"/>
          <w:i/>
        </w:rPr>
        <w:t xml:space="preserve">The Spiral Curriculum. </w:t>
      </w:r>
      <w:r>
        <w:rPr>
          <w:rFonts w:ascii="Arial" w:hAnsi="Arial" w:cs="Arial"/>
        </w:rPr>
        <w:t xml:space="preserve">Available at: </w:t>
      </w:r>
      <w:hyperlink r:id="rId10" w:history="1">
        <w:r w:rsidRPr="00E74BAB">
          <w:rPr>
            <w:rStyle w:val="Hyperlink"/>
            <w:rFonts w:ascii="Arial" w:hAnsi="Arial" w:cs="Arial"/>
          </w:rPr>
          <w:t>https://files.eric.ed.gov/fulltext/ED538282.pdf</w:t>
        </w:r>
      </w:hyperlink>
      <w:r>
        <w:rPr>
          <w:rFonts w:ascii="Arial" w:hAnsi="Arial" w:cs="Arial"/>
        </w:rPr>
        <w:t xml:space="preserve"> (Accessed: 22nd February 2019).</w:t>
      </w:r>
    </w:p>
    <w:p w14:paraId="134EA8AB" w14:textId="77777777" w:rsidR="00412595" w:rsidRDefault="00412595" w:rsidP="00412595">
      <w:pPr>
        <w:spacing w:line="240" w:lineRule="auto"/>
        <w:rPr>
          <w:rFonts w:ascii="Arial" w:hAnsi="Arial" w:cs="Arial"/>
          <w:b/>
          <w:u w:val="single"/>
        </w:rPr>
      </w:pPr>
    </w:p>
    <w:p w14:paraId="4BA953CE" w14:textId="77777777" w:rsidR="00412595" w:rsidRDefault="00412595" w:rsidP="00412595">
      <w:pPr>
        <w:spacing w:line="240" w:lineRule="auto"/>
        <w:rPr>
          <w:rFonts w:ascii="Arial" w:hAnsi="Arial" w:cs="Arial"/>
        </w:rPr>
      </w:pPr>
      <w:r w:rsidRPr="00B33A96">
        <w:rPr>
          <w:rFonts w:ascii="Arial" w:hAnsi="Arial" w:cs="Arial"/>
        </w:rPr>
        <w:t>Fisher, J. (2008)</w:t>
      </w:r>
      <w:r>
        <w:rPr>
          <w:rFonts w:ascii="Arial" w:hAnsi="Arial" w:cs="Arial"/>
        </w:rPr>
        <w:t xml:space="preserve"> </w:t>
      </w:r>
      <w:r w:rsidRPr="00B33A96">
        <w:rPr>
          <w:rFonts w:ascii="Arial" w:hAnsi="Arial" w:cs="Arial"/>
          <w:i/>
        </w:rPr>
        <w:t>Starting from the child teaching and learning in the foundation stage</w:t>
      </w:r>
      <w:r>
        <w:rPr>
          <w:rFonts w:ascii="Arial" w:hAnsi="Arial" w:cs="Arial"/>
        </w:rPr>
        <w:t>. 3</w:t>
      </w:r>
      <w:r w:rsidRPr="00B33A96">
        <w:rPr>
          <w:rFonts w:ascii="Arial" w:hAnsi="Arial" w:cs="Arial"/>
          <w:vertAlign w:val="superscript"/>
        </w:rPr>
        <w:t>rd</w:t>
      </w:r>
      <w:r>
        <w:rPr>
          <w:rFonts w:ascii="Arial" w:hAnsi="Arial" w:cs="Arial"/>
        </w:rPr>
        <w:t xml:space="preserve"> Ed. </w:t>
      </w:r>
      <w:r w:rsidRPr="00B33A96">
        <w:rPr>
          <w:rFonts w:ascii="Arial" w:hAnsi="Arial" w:cs="Arial"/>
        </w:rPr>
        <w:t>Maidenhead</w:t>
      </w:r>
      <w:r>
        <w:rPr>
          <w:rFonts w:ascii="Arial" w:hAnsi="Arial" w:cs="Arial"/>
        </w:rPr>
        <w:t xml:space="preserve">: </w:t>
      </w:r>
      <w:r w:rsidRPr="00B33A96">
        <w:rPr>
          <w:rFonts w:ascii="Arial" w:hAnsi="Arial" w:cs="Arial"/>
        </w:rPr>
        <w:t>McGraw Hill/Open University Press.</w:t>
      </w:r>
    </w:p>
    <w:p w14:paraId="3A00DBB4" w14:textId="77777777" w:rsidR="00412595" w:rsidRDefault="00412595" w:rsidP="00412595">
      <w:pPr>
        <w:spacing w:line="240" w:lineRule="auto"/>
        <w:rPr>
          <w:rFonts w:ascii="Arial" w:hAnsi="Arial" w:cs="Arial"/>
        </w:rPr>
      </w:pPr>
    </w:p>
    <w:p w14:paraId="4DF96860" w14:textId="77777777" w:rsidR="00412595" w:rsidRDefault="00412595" w:rsidP="00412595">
      <w:pPr>
        <w:spacing w:line="240" w:lineRule="auto"/>
        <w:rPr>
          <w:rFonts w:ascii="Arial" w:hAnsi="Arial" w:cs="Arial"/>
        </w:rPr>
      </w:pPr>
      <w:r>
        <w:rPr>
          <w:rFonts w:ascii="Arial" w:hAnsi="Arial" w:cs="Arial"/>
        </w:rPr>
        <w:t xml:space="preserve">Gunderson, A et al. (2011) </w:t>
      </w:r>
      <w:r>
        <w:rPr>
          <w:rFonts w:ascii="Arial" w:hAnsi="Arial" w:cs="Arial"/>
          <w:i/>
        </w:rPr>
        <w:t xml:space="preserve">The Role of Parents and Teacher in the Development of Gender-Related Math Attitudes. </w:t>
      </w:r>
      <w:r>
        <w:rPr>
          <w:rFonts w:ascii="Arial" w:hAnsi="Arial" w:cs="Arial"/>
        </w:rPr>
        <w:t xml:space="preserve">Springer Science. </w:t>
      </w:r>
    </w:p>
    <w:p w14:paraId="7425F87F" w14:textId="77777777" w:rsidR="00412595" w:rsidRDefault="00412595" w:rsidP="00412595">
      <w:pPr>
        <w:spacing w:line="240" w:lineRule="auto"/>
        <w:rPr>
          <w:rFonts w:ascii="Arial" w:hAnsi="Arial" w:cs="Arial"/>
        </w:rPr>
      </w:pPr>
    </w:p>
    <w:p w14:paraId="6FBB273B" w14:textId="77777777" w:rsidR="00412595" w:rsidRDefault="00412595" w:rsidP="00412595">
      <w:pPr>
        <w:spacing w:line="240" w:lineRule="auto"/>
        <w:rPr>
          <w:rFonts w:ascii="Arial" w:hAnsi="Arial" w:cs="Arial"/>
        </w:rPr>
      </w:pPr>
      <w:r>
        <w:rPr>
          <w:rFonts w:ascii="Arial" w:hAnsi="Arial" w:cs="Arial"/>
        </w:rPr>
        <w:t xml:space="preserve">Hollyhock, J. (2013) </w:t>
      </w:r>
      <w:r>
        <w:rPr>
          <w:rFonts w:ascii="Arial" w:hAnsi="Arial" w:cs="Arial"/>
          <w:i/>
        </w:rPr>
        <w:t xml:space="preserve">What’s Best for </w:t>
      </w:r>
      <w:proofErr w:type="gramStart"/>
      <w:r>
        <w:rPr>
          <w:rFonts w:ascii="Arial" w:hAnsi="Arial" w:cs="Arial"/>
          <w:i/>
        </w:rPr>
        <w:t>Boys?</w:t>
      </w:r>
      <w:r>
        <w:rPr>
          <w:rFonts w:ascii="Arial" w:hAnsi="Arial" w:cs="Arial"/>
        </w:rPr>
        <w:t>.</w:t>
      </w:r>
      <w:proofErr w:type="gramEnd"/>
      <w:r>
        <w:rPr>
          <w:rFonts w:ascii="Arial" w:hAnsi="Arial" w:cs="Arial"/>
        </w:rPr>
        <w:t xml:space="preserve"> Available at: </w:t>
      </w:r>
      <w:hyperlink r:id="rId11" w:history="1">
        <w:r w:rsidRPr="00B40AAE">
          <w:rPr>
            <w:rStyle w:val="Hyperlink"/>
            <w:rFonts w:ascii="Arial" w:hAnsi="Arial" w:cs="Arial"/>
          </w:rPr>
          <w:t>https://www.teachearlyyears.com/enabling-environments/view/whats-best-for-boys</w:t>
        </w:r>
      </w:hyperlink>
      <w:r>
        <w:rPr>
          <w:rFonts w:ascii="Arial" w:hAnsi="Arial" w:cs="Arial"/>
        </w:rPr>
        <w:t xml:space="preserve"> (Accessed: 21st February 2019).</w:t>
      </w:r>
    </w:p>
    <w:p w14:paraId="79DCEF73" w14:textId="77777777" w:rsidR="00412595" w:rsidRDefault="00412595" w:rsidP="00412595">
      <w:pPr>
        <w:spacing w:line="240" w:lineRule="auto"/>
        <w:rPr>
          <w:rFonts w:ascii="Arial" w:hAnsi="Arial" w:cs="Arial"/>
        </w:rPr>
      </w:pPr>
    </w:p>
    <w:p w14:paraId="2BDB1A12" w14:textId="77777777" w:rsidR="00412595" w:rsidRPr="00F65B32" w:rsidRDefault="00412595" w:rsidP="00412595">
      <w:pPr>
        <w:spacing w:line="240" w:lineRule="auto"/>
        <w:rPr>
          <w:rFonts w:ascii="Arial" w:hAnsi="Arial" w:cs="Arial"/>
        </w:rPr>
      </w:pPr>
      <w:r w:rsidRPr="00F65B32">
        <w:rPr>
          <w:rFonts w:ascii="Arial" w:hAnsi="Arial" w:cs="Arial"/>
        </w:rPr>
        <w:t>Jones, W. (2012) ‘</w:t>
      </w:r>
      <w:r w:rsidRPr="00F65B32">
        <w:rPr>
          <w:rFonts w:ascii="Arial" w:hAnsi="Arial" w:cs="Arial"/>
          <w:i/>
        </w:rPr>
        <w:t xml:space="preserve">Bad attitudes to </w:t>
      </w:r>
      <w:proofErr w:type="spellStart"/>
      <w:r w:rsidRPr="00F65B32">
        <w:rPr>
          <w:rFonts w:ascii="Arial" w:hAnsi="Arial" w:cs="Arial"/>
          <w:i/>
        </w:rPr>
        <w:t>maths</w:t>
      </w:r>
      <w:proofErr w:type="spellEnd"/>
      <w:r w:rsidRPr="00F65B32">
        <w:rPr>
          <w:rFonts w:ascii="Arial" w:hAnsi="Arial" w:cs="Arial"/>
          <w:i/>
        </w:rPr>
        <w:t xml:space="preserve"> makes children switch off’</w:t>
      </w:r>
      <w:r w:rsidRPr="00F65B32">
        <w:rPr>
          <w:rFonts w:ascii="Arial" w:hAnsi="Arial" w:cs="Arial"/>
        </w:rPr>
        <w:t xml:space="preserve"> https://www.theguardian.com/teacher-network/teacher-blog/2012/mar/07/wo</w:t>
      </w:r>
      <w:r>
        <w:rPr>
          <w:rFonts w:ascii="Arial" w:hAnsi="Arial" w:cs="Arial"/>
        </w:rPr>
        <w:t>rld-maths-day-adult-innumeracy (Accessed: 22nd February 2019).</w:t>
      </w:r>
    </w:p>
    <w:p w14:paraId="0F83F1CB" w14:textId="77777777" w:rsidR="00412595" w:rsidRPr="00291154" w:rsidRDefault="00412595" w:rsidP="00412595">
      <w:pPr>
        <w:spacing w:line="240" w:lineRule="auto"/>
        <w:rPr>
          <w:rFonts w:ascii="Arial" w:hAnsi="Arial" w:cs="Arial"/>
        </w:rPr>
      </w:pPr>
    </w:p>
    <w:p w14:paraId="53DFB6A3" w14:textId="77777777" w:rsidR="00412595" w:rsidRDefault="00412595" w:rsidP="00412595">
      <w:pPr>
        <w:spacing w:line="240" w:lineRule="auto"/>
        <w:rPr>
          <w:rFonts w:ascii="Arial" w:hAnsi="Arial" w:cs="Arial"/>
        </w:rPr>
      </w:pPr>
    </w:p>
    <w:p w14:paraId="486E6667" w14:textId="77777777" w:rsidR="00412595" w:rsidRDefault="00412595" w:rsidP="00412595">
      <w:pPr>
        <w:spacing w:line="240" w:lineRule="auto"/>
        <w:rPr>
          <w:rFonts w:ascii="Arial" w:hAnsi="Arial" w:cs="Arial"/>
        </w:rPr>
      </w:pPr>
      <w:r>
        <w:rPr>
          <w:rFonts w:ascii="Arial" w:hAnsi="Arial" w:cs="Arial"/>
        </w:rPr>
        <w:t xml:space="preserve">Lindon, J. </w:t>
      </w:r>
      <w:r w:rsidRPr="00A47753">
        <w:rPr>
          <w:rFonts w:ascii="Arial" w:hAnsi="Arial" w:cs="Arial"/>
        </w:rPr>
        <w:t>(2012</w:t>
      </w:r>
      <w:r>
        <w:rPr>
          <w:rFonts w:ascii="Arial" w:hAnsi="Arial" w:cs="Arial"/>
          <w:i/>
        </w:rPr>
        <w:t xml:space="preserve">) </w:t>
      </w:r>
      <w:r w:rsidRPr="00A47753">
        <w:rPr>
          <w:rFonts w:ascii="Arial" w:hAnsi="Arial" w:cs="Arial"/>
          <w:i/>
        </w:rPr>
        <w:t>Understanding child development 0-8 years</w:t>
      </w:r>
      <w:r>
        <w:rPr>
          <w:rFonts w:ascii="Arial" w:hAnsi="Arial" w:cs="Arial"/>
        </w:rPr>
        <w:t xml:space="preserve">. </w:t>
      </w:r>
      <w:r w:rsidRPr="00A47753">
        <w:rPr>
          <w:rFonts w:ascii="Arial" w:hAnsi="Arial" w:cs="Arial"/>
        </w:rPr>
        <w:t>3rd ed</w:t>
      </w:r>
      <w:r>
        <w:rPr>
          <w:rFonts w:ascii="Arial" w:hAnsi="Arial" w:cs="Arial"/>
        </w:rPr>
        <w:t xml:space="preserve">. </w:t>
      </w:r>
      <w:r w:rsidRPr="00A47753">
        <w:rPr>
          <w:rFonts w:ascii="Arial" w:hAnsi="Arial" w:cs="Arial"/>
        </w:rPr>
        <w:t>London: Hodder Education.</w:t>
      </w:r>
    </w:p>
    <w:p w14:paraId="4E5B596E" w14:textId="77777777" w:rsidR="00412595" w:rsidRDefault="00412595" w:rsidP="00412595">
      <w:pPr>
        <w:spacing w:line="240" w:lineRule="auto"/>
        <w:rPr>
          <w:rFonts w:ascii="Arial" w:hAnsi="Arial" w:cs="Arial"/>
        </w:rPr>
      </w:pPr>
    </w:p>
    <w:p w14:paraId="2182ACE6" w14:textId="77777777" w:rsidR="00412595" w:rsidRDefault="00412595" w:rsidP="00412595">
      <w:pPr>
        <w:spacing w:line="240" w:lineRule="auto"/>
        <w:rPr>
          <w:rFonts w:ascii="Arial" w:hAnsi="Arial" w:cs="Arial"/>
        </w:rPr>
      </w:pPr>
      <w:r w:rsidRPr="00020E81">
        <w:rPr>
          <w:rFonts w:ascii="Arial" w:hAnsi="Arial" w:cs="Arial"/>
        </w:rPr>
        <w:t>Louisiana State University Shreveport</w:t>
      </w:r>
      <w:r>
        <w:rPr>
          <w:rFonts w:ascii="Arial" w:hAnsi="Arial" w:cs="Arial"/>
        </w:rPr>
        <w:t xml:space="preserve"> (2016) </w:t>
      </w:r>
      <w:r w:rsidRPr="00020E81">
        <w:rPr>
          <w:rFonts w:ascii="Arial" w:hAnsi="Arial" w:cs="Arial"/>
          <w:i/>
        </w:rPr>
        <w:t>Differentiated Instruction for the Diverse Classroom</w:t>
      </w:r>
      <w:r>
        <w:rPr>
          <w:rFonts w:ascii="Arial" w:hAnsi="Arial" w:cs="Arial"/>
          <w:i/>
        </w:rPr>
        <w:t xml:space="preserve">. </w:t>
      </w:r>
      <w:r>
        <w:rPr>
          <w:rFonts w:ascii="Arial" w:hAnsi="Arial" w:cs="Arial"/>
        </w:rPr>
        <w:t xml:space="preserve">Available at: </w:t>
      </w:r>
      <w:hyperlink r:id="rId12" w:history="1">
        <w:r w:rsidRPr="00B40AAE">
          <w:rPr>
            <w:rStyle w:val="Hyperlink"/>
            <w:rFonts w:ascii="Arial" w:hAnsi="Arial" w:cs="Arial"/>
          </w:rPr>
          <w:t>https://online.lsus.edu/articles/education/differentiated-instruction-for-the-diverse-classroom.aspx</w:t>
        </w:r>
      </w:hyperlink>
      <w:r>
        <w:rPr>
          <w:rFonts w:ascii="Arial" w:hAnsi="Arial" w:cs="Arial"/>
        </w:rPr>
        <w:t xml:space="preserve"> (Accessed: 21st February 2019).</w:t>
      </w:r>
    </w:p>
    <w:p w14:paraId="2D2FC886" w14:textId="77777777" w:rsidR="00412595" w:rsidRDefault="00412595" w:rsidP="00412595">
      <w:pPr>
        <w:spacing w:line="240" w:lineRule="auto"/>
        <w:rPr>
          <w:rFonts w:ascii="Arial" w:hAnsi="Arial" w:cs="Arial"/>
        </w:rPr>
      </w:pPr>
    </w:p>
    <w:p w14:paraId="1D2C95C6" w14:textId="77777777" w:rsidR="00412595" w:rsidRPr="00533E29" w:rsidRDefault="00412595" w:rsidP="00412595">
      <w:pPr>
        <w:spacing w:line="240" w:lineRule="auto"/>
        <w:rPr>
          <w:rFonts w:ascii="Arial" w:hAnsi="Arial" w:cs="Arial"/>
        </w:rPr>
      </w:pPr>
      <w:proofErr w:type="spellStart"/>
      <w:r>
        <w:rPr>
          <w:rFonts w:ascii="Arial" w:hAnsi="Arial" w:cs="Arial"/>
        </w:rPr>
        <w:t>Madar</w:t>
      </w:r>
      <w:proofErr w:type="spellEnd"/>
      <w:r>
        <w:rPr>
          <w:rFonts w:ascii="Arial" w:hAnsi="Arial" w:cs="Arial"/>
        </w:rPr>
        <w:t xml:space="preserve">, A. et al. (2012) ‘Wooden Toys Versus Plastic Toys’ </w:t>
      </w:r>
      <w:r>
        <w:rPr>
          <w:rFonts w:ascii="Arial" w:hAnsi="Arial" w:cs="Arial"/>
          <w:i/>
        </w:rPr>
        <w:t xml:space="preserve">Proceedings of the International Scientific Conference Eco-Trend. </w:t>
      </w:r>
      <w:r>
        <w:rPr>
          <w:rFonts w:ascii="Arial" w:hAnsi="Arial" w:cs="Arial"/>
        </w:rPr>
        <w:t>9 p.254-260.</w:t>
      </w:r>
    </w:p>
    <w:p w14:paraId="527A7F48" w14:textId="77777777" w:rsidR="00412595" w:rsidRDefault="00412595" w:rsidP="00412595">
      <w:pPr>
        <w:spacing w:line="240" w:lineRule="auto"/>
        <w:rPr>
          <w:rFonts w:ascii="Arial" w:hAnsi="Arial" w:cs="Arial"/>
        </w:rPr>
      </w:pPr>
    </w:p>
    <w:p w14:paraId="4071C965" w14:textId="77777777" w:rsidR="00412595" w:rsidRDefault="00412595" w:rsidP="00412595">
      <w:pPr>
        <w:spacing w:line="240" w:lineRule="auto"/>
        <w:rPr>
          <w:rFonts w:ascii="Arial" w:hAnsi="Arial" w:cs="Arial"/>
        </w:rPr>
      </w:pPr>
      <w:r>
        <w:rPr>
          <w:rFonts w:ascii="Arial" w:hAnsi="Arial" w:cs="Arial"/>
        </w:rPr>
        <w:t xml:space="preserve">Mooney (2000) </w:t>
      </w:r>
      <w:r>
        <w:rPr>
          <w:rFonts w:ascii="Arial" w:hAnsi="Arial" w:cs="Arial"/>
          <w:i/>
        </w:rPr>
        <w:t xml:space="preserve">Theories of Childhood. </w:t>
      </w:r>
      <w:proofErr w:type="spellStart"/>
      <w:proofErr w:type="gramStart"/>
      <w:r>
        <w:rPr>
          <w:rFonts w:ascii="Arial" w:hAnsi="Arial" w:cs="Arial"/>
        </w:rPr>
        <w:t>St.Paul</w:t>
      </w:r>
      <w:proofErr w:type="spellEnd"/>
      <w:proofErr w:type="gramEnd"/>
      <w:r>
        <w:rPr>
          <w:rFonts w:ascii="Arial" w:hAnsi="Arial" w:cs="Arial"/>
        </w:rPr>
        <w:t xml:space="preserve">: </w:t>
      </w:r>
      <w:proofErr w:type="spellStart"/>
      <w:r>
        <w:rPr>
          <w:rFonts w:ascii="Arial" w:hAnsi="Arial" w:cs="Arial"/>
        </w:rPr>
        <w:t>Redleaf</w:t>
      </w:r>
      <w:proofErr w:type="spellEnd"/>
      <w:r>
        <w:rPr>
          <w:rFonts w:ascii="Arial" w:hAnsi="Arial" w:cs="Arial"/>
        </w:rPr>
        <w:t xml:space="preserve"> Press.</w:t>
      </w:r>
    </w:p>
    <w:p w14:paraId="6847F22B" w14:textId="77777777" w:rsidR="00412595" w:rsidRDefault="00412595" w:rsidP="00412595">
      <w:pPr>
        <w:spacing w:line="240" w:lineRule="auto"/>
        <w:rPr>
          <w:rFonts w:ascii="Arial" w:hAnsi="Arial" w:cs="Arial"/>
        </w:rPr>
      </w:pPr>
    </w:p>
    <w:p w14:paraId="2B224A97" w14:textId="77777777" w:rsidR="00412595" w:rsidRPr="00D55A04" w:rsidRDefault="00412595" w:rsidP="00412595">
      <w:pPr>
        <w:spacing w:line="240" w:lineRule="auto"/>
        <w:rPr>
          <w:rFonts w:ascii="Arial" w:hAnsi="Arial" w:cs="Arial"/>
        </w:rPr>
      </w:pPr>
      <w:r>
        <w:rPr>
          <w:rFonts w:ascii="Arial" w:hAnsi="Arial" w:cs="Arial"/>
        </w:rPr>
        <w:t xml:space="preserve">National Numeracy (2014) </w:t>
      </w:r>
      <w:r>
        <w:rPr>
          <w:rFonts w:ascii="Arial" w:hAnsi="Arial" w:cs="Arial"/>
          <w:i/>
        </w:rPr>
        <w:t xml:space="preserve">Attitude Towards </w:t>
      </w:r>
      <w:proofErr w:type="spellStart"/>
      <w:r>
        <w:rPr>
          <w:rFonts w:ascii="Arial" w:hAnsi="Arial" w:cs="Arial"/>
          <w:i/>
        </w:rPr>
        <w:t>Maths</w:t>
      </w:r>
      <w:proofErr w:type="spellEnd"/>
      <w:r>
        <w:rPr>
          <w:rFonts w:ascii="Arial" w:hAnsi="Arial" w:cs="Arial"/>
          <w:i/>
        </w:rPr>
        <w:t xml:space="preserve">. </w:t>
      </w:r>
      <w:r>
        <w:rPr>
          <w:rFonts w:ascii="Arial" w:hAnsi="Arial" w:cs="Arial"/>
        </w:rPr>
        <w:t xml:space="preserve">Available at: </w:t>
      </w:r>
      <w:hyperlink r:id="rId13" w:history="1">
        <w:r w:rsidRPr="00E74BAB">
          <w:rPr>
            <w:rStyle w:val="Hyperlink"/>
            <w:rFonts w:ascii="Arial" w:hAnsi="Arial" w:cs="Arial"/>
          </w:rPr>
          <w:t>https://www.nationalnumeracy.org.uk/sites/default/files/attitudes_towards_maths_-_updated_branding.pdf</w:t>
        </w:r>
      </w:hyperlink>
      <w:r>
        <w:rPr>
          <w:rFonts w:ascii="Arial" w:hAnsi="Arial" w:cs="Arial"/>
        </w:rPr>
        <w:t xml:space="preserve"> </w:t>
      </w:r>
      <w:r>
        <w:rPr>
          <w:rFonts w:ascii="Arial" w:hAnsi="Arial" w:cs="Arial"/>
          <w:i/>
        </w:rPr>
        <w:t xml:space="preserve"> </w:t>
      </w:r>
      <w:r>
        <w:rPr>
          <w:rFonts w:ascii="Arial" w:hAnsi="Arial" w:cs="Arial"/>
        </w:rPr>
        <w:t>(Accessed: 22</w:t>
      </w:r>
      <w:r w:rsidRPr="00166F58">
        <w:rPr>
          <w:rFonts w:ascii="Arial" w:hAnsi="Arial" w:cs="Arial"/>
          <w:vertAlign w:val="superscript"/>
        </w:rPr>
        <w:t>nd</w:t>
      </w:r>
      <w:r>
        <w:rPr>
          <w:rFonts w:ascii="Arial" w:hAnsi="Arial" w:cs="Arial"/>
        </w:rPr>
        <w:t xml:space="preserve"> February 2019).</w:t>
      </w:r>
    </w:p>
    <w:p w14:paraId="5D945D11" w14:textId="77777777" w:rsidR="00412595" w:rsidRDefault="00412595" w:rsidP="00412595">
      <w:pPr>
        <w:spacing w:line="240" w:lineRule="auto"/>
        <w:rPr>
          <w:rFonts w:ascii="Arial" w:hAnsi="Arial" w:cs="Arial"/>
        </w:rPr>
      </w:pPr>
    </w:p>
    <w:p w14:paraId="1FC349B1" w14:textId="77777777" w:rsidR="00412595" w:rsidRDefault="00412595" w:rsidP="00412595">
      <w:pPr>
        <w:spacing w:line="240" w:lineRule="auto"/>
        <w:rPr>
          <w:rFonts w:ascii="Arial" w:hAnsi="Arial" w:cs="Arial"/>
        </w:rPr>
      </w:pPr>
      <w:r>
        <w:rPr>
          <w:rFonts w:ascii="Arial" w:hAnsi="Arial" w:cs="Arial"/>
        </w:rPr>
        <w:t xml:space="preserve">Pound, L (1999) </w:t>
      </w:r>
      <w:r>
        <w:rPr>
          <w:rFonts w:ascii="Arial" w:hAnsi="Arial" w:cs="Arial"/>
          <w:i/>
        </w:rPr>
        <w:t xml:space="preserve">Supporting Mathematical Development in the Early Years. </w:t>
      </w:r>
      <w:r>
        <w:rPr>
          <w:rFonts w:ascii="Arial" w:hAnsi="Arial" w:cs="Arial"/>
        </w:rPr>
        <w:t>Buckingham: Open University Press.</w:t>
      </w:r>
    </w:p>
    <w:p w14:paraId="21EED016" w14:textId="77777777" w:rsidR="00412595" w:rsidRDefault="00412595" w:rsidP="00412595">
      <w:pPr>
        <w:spacing w:line="240" w:lineRule="auto"/>
        <w:rPr>
          <w:rFonts w:ascii="Arial" w:hAnsi="Arial" w:cs="Arial"/>
        </w:rPr>
      </w:pPr>
    </w:p>
    <w:p w14:paraId="61B1AC17" w14:textId="77777777" w:rsidR="00412595" w:rsidRPr="00DF44C9" w:rsidRDefault="00412595" w:rsidP="00412595">
      <w:pPr>
        <w:spacing w:line="240" w:lineRule="auto"/>
        <w:rPr>
          <w:rFonts w:ascii="Arial" w:hAnsi="Arial" w:cs="Arial"/>
        </w:rPr>
      </w:pPr>
      <w:r>
        <w:rPr>
          <w:rFonts w:ascii="Arial" w:hAnsi="Arial" w:cs="Arial"/>
        </w:rPr>
        <w:t xml:space="preserve">Pound, L (2008) </w:t>
      </w:r>
      <w:r>
        <w:rPr>
          <w:rFonts w:ascii="Arial" w:hAnsi="Arial" w:cs="Arial"/>
          <w:i/>
        </w:rPr>
        <w:t xml:space="preserve">Thinking and Learning About Mathematics in the Early Years. </w:t>
      </w:r>
      <w:r>
        <w:rPr>
          <w:rFonts w:ascii="Arial" w:hAnsi="Arial" w:cs="Arial"/>
        </w:rPr>
        <w:t xml:space="preserve">Oxon: Routledge. </w:t>
      </w:r>
    </w:p>
    <w:p w14:paraId="7823CEDC" w14:textId="77777777" w:rsidR="00412595" w:rsidRDefault="00412595" w:rsidP="00412595">
      <w:pPr>
        <w:spacing w:line="240" w:lineRule="auto"/>
        <w:rPr>
          <w:rFonts w:ascii="Arial" w:hAnsi="Arial" w:cs="Arial"/>
        </w:rPr>
      </w:pPr>
    </w:p>
    <w:p w14:paraId="10C3CC54" w14:textId="77777777" w:rsidR="00412595" w:rsidRDefault="00412595" w:rsidP="00412595">
      <w:pPr>
        <w:spacing w:line="240" w:lineRule="auto"/>
        <w:rPr>
          <w:rFonts w:ascii="Arial" w:hAnsi="Arial" w:cs="Arial"/>
        </w:rPr>
      </w:pPr>
      <w:proofErr w:type="spellStart"/>
      <w:r w:rsidRPr="000131A5">
        <w:rPr>
          <w:rFonts w:ascii="Arial" w:hAnsi="Arial" w:cs="Arial"/>
        </w:rPr>
        <w:t>Siraj</w:t>
      </w:r>
      <w:proofErr w:type="spellEnd"/>
      <w:r w:rsidRPr="000131A5">
        <w:rPr>
          <w:rFonts w:ascii="Arial" w:hAnsi="Arial" w:cs="Arial"/>
        </w:rPr>
        <w:t xml:space="preserve">-Blatchford, I. and </w:t>
      </w:r>
      <w:proofErr w:type="spellStart"/>
      <w:r w:rsidRPr="000131A5">
        <w:rPr>
          <w:rFonts w:ascii="Arial" w:hAnsi="Arial" w:cs="Arial"/>
        </w:rPr>
        <w:t>Manni</w:t>
      </w:r>
      <w:proofErr w:type="spellEnd"/>
      <w:r w:rsidRPr="000131A5">
        <w:rPr>
          <w:rFonts w:ascii="Arial" w:hAnsi="Arial" w:cs="Arial"/>
        </w:rPr>
        <w:t>, L. (2004)</w:t>
      </w:r>
      <w:r>
        <w:rPr>
          <w:rFonts w:ascii="Arial" w:hAnsi="Arial" w:cs="Arial"/>
        </w:rPr>
        <w:t xml:space="preserve"> </w:t>
      </w:r>
      <w:r w:rsidRPr="000131A5">
        <w:rPr>
          <w:rFonts w:ascii="Arial" w:hAnsi="Arial" w:cs="Arial"/>
          <w:i/>
        </w:rPr>
        <w:t>Good question</w:t>
      </w:r>
      <w:r>
        <w:rPr>
          <w:rFonts w:ascii="Arial" w:hAnsi="Arial" w:cs="Arial"/>
        </w:rPr>
        <w:t xml:space="preserve">. Available at: </w:t>
      </w:r>
      <w:r w:rsidRPr="000131A5">
        <w:rPr>
          <w:rFonts w:ascii="Arial" w:hAnsi="Arial" w:cs="Arial"/>
        </w:rPr>
        <w:t>https://www.nurseryworld.co.uk/nursery-world/news/1100998/good-</w:t>
      </w:r>
      <w:r>
        <w:rPr>
          <w:rFonts w:ascii="Arial" w:hAnsi="Arial" w:cs="Arial"/>
        </w:rPr>
        <w:t>question (Accessed 21st February 2019).</w:t>
      </w:r>
    </w:p>
    <w:p w14:paraId="4282767A" w14:textId="77777777" w:rsidR="00412595" w:rsidRDefault="00412595" w:rsidP="00412595">
      <w:pPr>
        <w:spacing w:line="240" w:lineRule="auto"/>
        <w:rPr>
          <w:rFonts w:ascii="Arial" w:hAnsi="Arial" w:cs="Arial"/>
        </w:rPr>
      </w:pPr>
    </w:p>
    <w:p w14:paraId="2207F67F" w14:textId="77777777" w:rsidR="00412595" w:rsidRDefault="00412595" w:rsidP="00412595">
      <w:pPr>
        <w:spacing w:line="240" w:lineRule="auto"/>
        <w:rPr>
          <w:rFonts w:ascii="Arial" w:hAnsi="Arial" w:cs="Arial"/>
        </w:rPr>
      </w:pPr>
      <w:proofErr w:type="spellStart"/>
      <w:r w:rsidRPr="005C53E3">
        <w:rPr>
          <w:rFonts w:ascii="Arial" w:hAnsi="Arial" w:cs="Arial"/>
        </w:rPr>
        <w:t>Siraj</w:t>
      </w:r>
      <w:proofErr w:type="spellEnd"/>
      <w:r w:rsidRPr="005C53E3">
        <w:rPr>
          <w:rFonts w:ascii="Calibri" w:eastAsia="Calibri" w:hAnsi="Calibri" w:cs="Calibri"/>
        </w:rPr>
        <w:t>‐</w:t>
      </w:r>
      <w:r>
        <w:rPr>
          <w:rFonts w:ascii="Arial" w:hAnsi="Arial" w:cs="Arial"/>
        </w:rPr>
        <w:t>Blatchford, I</w:t>
      </w:r>
      <w:r w:rsidRPr="005C53E3">
        <w:rPr>
          <w:rFonts w:ascii="Arial" w:hAnsi="Arial" w:cs="Arial"/>
        </w:rPr>
        <w:t xml:space="preserve"> (2008). </w:t>
      </w:r>
      <w:r w:rsidRPr="005C53E3">
        <w:rPr>
          <w:rFonts w:ascii="Arial" w:hAnsi="Arial" w:cs="Arial"/>
          <w:i/>
        </w:rPr>
        <w:t>Towards the transformation of practice in early childhood education: The effective provision of pre-school education (EPPE) project</w:t>
      </w:r>
      <w:r w:rsidRPr="005C53E3">
        <w:rPr>
          <w:rFonts w:ascii="Arial" w:hAnsi="Arial" w:cs="Arial"/>
        </w:rPr>
        <w:t>. Cambridge Journal of Education, 38(1), 23-37.</w:t>
      </w:r>
    </w:p>
    <w:p w14:paraId="26882740" w14:textId="77777777" w:rsidR="00412595" w:rsidRDefault="00412595" w:rsidP="00412595">
      <w:pPr>
        <w:spacing w:line="240" w:lineRule="auto"/>
        <w:rPr>
          <w:rFonts w:ascii="Arial" w:hAnsi="Arial" w:cs="Arial"/>
        </w:rPr>
      </w:pPr>
    </w:p>
    <w:p w14:paraId="5056962B" w14:textId="77777777" w:rsidR="00412595" w:rsidRDefault="00412595" w:rsidP="00412595">
      <w:pPr>
        <w:spacing w:line="240" w:lineRule="auto"/>
        <w:rPr>
          <w:rFonts w:ascii="Arial" w:hAnsi="Arial" w:cs="Arial"/>
        </w:rPr>
      </w:pPr>
      <w:r w:rsidRPr="00BF40E1">
        <w:rPr>
          <w:rFonts w:ascii="Arial" w:hAnsi="Arial" w:cs="Arial"/>
        </w:rPr>
        <w:t xml:space="preserve">Spencer, </w:t>
      </w:r>
      <w:r>
        <w:rPr>
          <w:rFonts w:ascii="Arial" w:hAnsi="Arial" w:cs="Arial"/>
        </w:rPr>
        <w:t>A-M (</w:t>
      </w:r>
      <w:r w:rsidRPr="00BF40E1">
        <w:rPr>
          <w:rFonts w:ascii="Arial" w:hAnsi="Arial" w:cs="Arial"/>
        </w:rPr>
        <w:t>2013</w:t>
      </w:r>
      <w:r>
        <w:rPr>
          <w:rFonts w:ascii="Arial" w:hAnsi="Arial" w:cs="Arial"/>
        </w:rPr>
        <w:t>)</w:t>
      </w:r>
      <w:r w:rsidRPr="00BF40E1">
        <w:rPr>
          <w:rFonts w:ascii="Arial" w:hAnsi="Arial" w:cs="Arial"/>
        </w:rPr>
        <w:t xml:space="preserve">. </w:t>
      </w:r>
      <w:r>
        <w:rPr>
          <w:rFonts w:ascii="Arial" w:hAnsi="Arial" w:cs="Arial"/>
        </w:rPr>
        <w:t>‘</w:t>
      </w:r>
      <w:r w:rsidRPr="00BF40E1">
        <w:rPr>
          <w:rFonts w:ascii="Arial" w:hAnsi="Arial" w:cs="Arial"/>
        </w:rPr>
        <w:t>Loose Parts and Learning on the Playground</w:t>
      </w:r>
      <w:r>
        <w:rPr>
          <w:rFonts w:ascii="Arial" w:hAnsi="Arial" w:cs="Arial"/>
        </w:rPr>
        <w:t>’</w:t>
      </w:r>
      <w:r w:rsidRPr="00BF40E1">
        <w:rPr>
          <w:rFonts w:ascii="Arial" w:hAnsi="Arial" w:cs="Arial"/>
        </w:rPr>
        <w:t xml:space="preserve"> </w:t>
      </w:r>
      <w:r w:rsidRPr="00BF40E1">
        <w:rPr>
          <w:rFonts w:ascii="Arial" w:hAnsi="Arial" w:cs="Arial"/>
          <w:i/>
        </w:rPr>
        <w:t>Exchange</w:t>
      </w:r>
      <w:r>
        <w:rPr>
          <w:rFonts w:ascii="Arial" w:hAnsi="Arial" w:cs="Arial"/>
        </w:rPr>
        <w:t xml:space="preserve"> (19460406), (211), p</w:t>
      </w:r>
      <w:r w:rsidRPr="00BF40E1">
        <w:rPr>
          <w:rFonts w:ascii="Arial" w:hAnsi="Arial" w:cs="Arial"/>
        </w:rPr>
        <w:t>.70–72.</w:t>
      </w:r>
    </w:p>
    <w:p w14:paraId="24CBDA3F" w14:textId="77777777" w:rsidR="00412595" w:rsidRDefault="00412595" w:rsidP="00412595">
      <w:pPr>
        <w:spacing w:line="240" w:lineRule="auto"/>
        <w:rPr>
          <w:rFonts w:ascii="Arial" w:hAnsi="Arial" w:cs="Arial"/>
        </w:rPr>
      </w:pPr>
    </w:p>
    <w:p w14:paraId="3B806892" w14:textId="77777777" w:rsidR="00412595" w:rsidRDefault="00412595" w:rsidP="00412595">
      <w:pPr>
        <w:spacing w:line="240" w:lineRule="auto"/>
        <w:rPr>
          <w:rFonts w:ascii="Arial" w:hAnsi="Arial" w:cs="Arial"/>
        </w:rPr>
      </w:pPr>
      <w:r>
        <w:rPr>
          <w:rFonts w:ascii="Arial" w:hAnsi="Arial" w:cs="Arial"/>
        </w:rPr>
        <w:t xml:space="preserve">The European Union (2006) </w:t>
      </w:r>
      <w:r>
        <w:rPr>
          <w:rFonts w:ascii="Arial" w:hAnsi="Arial" w:cs="Arial"/>
          <w:i/>
        </w:rPr>
        <w:t xml:space="preserve">Risk Assessment. </w:t>
      </w:r>
      <w:r>
        <w:rPr>
          <w:rFonts w:ascii="Arial" w:hAnsi="Arial" w:cs="Arial"/>
        </w:rPr>
        <w:t xml:space="preserve">Available at: </w:t>
      </w:r>
      <w:hyperlink r:id="rId14" w:history="1">
        <w:r w:rsidRPr="00B40AAE">
          <w:rPr>
            <w:rStyle w:val="Hyperlink"/>
            <w:rFonts w:ascii="Arial" w:hAnsi="Arial" w:cs="Arial"/>
          </w:rPr>
          <w:t>http://resources.hwb.wales.gov.uk/VTC/2008-09/key_skills/disc1/KSCHIL/KSCHIL12.pdf</w:t>
        </w:r>
      </w:hyperlink>
      <w:r>
        <w:rPr>
          <w:rFonts w:ascii="Arial" w:hAnsi="Arial" w:cs="Arial"/>
        </w:rPr>
        <w:t xml:space="preserve"> (Accessed 21st February 2019).</w:t>
      </w:r>
    </w:p>
    <w:p w14:paraId="48388008" w14:textId="77777777" w:rsidR="00412595" w:rsidRDefault="00412595" w:rsidP="00412595">
      <w:pPr>
        <w:spacing w:line="240" w:lineRule="auto"/>
        <w:rPr>
          <w:rFonts w:ascii="Arial" w:hAnsi="Arial" w:cs="Arial"/>
        </w:rPr>
      </w:pPr>
    </w:p>
    <w:p w14:paraId="3A948853" w14:textId="77777777" w:rsidR="00412595" w:rsidRPr="005255EF" w:rsidRDefault="00412595" w:rsidP="00412595">
      <w:pPr>
        <w:spacing w:line="240" w:lineRule="auto"/>
        <w:rPr>
          <w:rFonts w:ascii="Arial" w:hAnsi="Arial" w:cs="Arial"/>
        </w:rPr>
      </w:pPr>
      <w:r>
        <w:rPr>
          <w:rFonts w:ascii="Arial" w:hAnsi="Arial" w:cs="Arial"/>
        </w:rPr>
        <w:t xml:space="preserve">Thornton, L (2016) </w:t>
      </w:r>
      <w:r>
        <w:rPr>
          <w:rFonts w:ascii="Arial" w:hAnsi="Arial" w:cs="Arial"/>
          <w:i/>
        </w:rPr>
        <w:t xml:space="preserve">Using Natural Materials to Enhance Children’s Learning. </w:t>
      </w:r>
      <w:r>
        <w:rPr>
          <w:rFonts w:ascii="Arial" w:hAnsi="Arial" w:cs="Arial"/>
        </w:rPr>
        <w:t xml:space="preserve">Available at: </w:t>
      </w:r>
      <w:hyperlink r:id="rId15" w:history="1">
        <w:r w:rsidRPr="00B40AAE">
          <w:rPr>
            <w:rStyle w:val="Hyperlink"/>
            <w:rFonts w:ascii="Arial" w:hAnsi="Arial" w:cs="Arial"/>
          </w:rPr>
          <w:t>http://blog.optimus-education.com/using-natural-materials-enhance-children%27s-learning</w:t>
        </w:r>
      </w:hyperlink>
      <w:r>
        <w:rPr>
          <w:rFonts w:ascii="Arial" w:hAnsi="Arial" w:cs="Arial"/>
        </w:rPr>
        <w:t xml:space="preserve"> (Accessed 22</w:t>
      </w:r>
      <w:r w:rsidRPr="005255EF">
        <w:rPr>
          <w:rFonts w:ascii="Arial" w:hAnsi="Arial" w:cs="Arial"/>
          <w:vertAlign w:val="superscript"/>
        </w:rPr>
        <w:t>nd</w:t>
      </w:r>
      <w:r>
        <w:rPr>
          <w:rFonts w:ascii="Arial" w:hAnsi="Arial" w:cs="Arial"/>
        </w:rPr>
        <w:t xml:space="preserve"> February 2019).</w:t>
      </w:r>
    </w:p>
    <w:p w14:paraId="6F3EB4B0" w14:textId="77777777" w:rsidR="00412595" w:rsidRDefault="00412595" w:rsidP="00412595">
      <w:pPr>
        <w:spacing w:line="240" w:lineRule="auto"/>
        <w:rPr>
          <w:rFonts w:ascii="Arial" w:hAnsi="Arial" w:cs="Arial"/>
        </w:rPr>
      </w:pPr>
    </w:p>
    <w:p w14:paraId="53A6AA4A" w14:textId="77777777" w:rsidR="00412595" w:rsidRDefault="00412595" w:rsidP="00412595">
      <w:pPr>
        <w:spacing w:line="240" w:lineRule="auto"/>
        <w:rPr>
          <w:rFonts w:ascii="Arial" w:hAnsi="Arial" w:cs="Arial"/>
        </w:rPr>
      </w:pPr>
      <w:r>
        <w:rPr>
          <w:rFonts w:ascii="Arial" w:hAnsi="Arial" w:cs="Arial"/>
        </w:rPr>
        <w:t xml:space="preserve">Tovey, H. (2014) </w:t>
      </w:r>
      <w:r>
        <w:rPr>
          <w:rFonts w:ascii="Arial" w:hAnsi="Arial" w:cs="Arial"/>
          <w:i/>
        </w:rPr>
        <w:t xml:space="preserve">All About Risk. </w:t>
      </w:r>
      <w:r>
        <w:rPr>
          <w:rFonts w:ascii="Arial" w:hAnsi="Arial" w:cs="Arial"/>
        </w:rPr>
        <w:t xml:space="preserve">Available at: </w:t>
      </w:r>
      <w:hyperlink r:id="rId16" w:history="1">
        <w:r w:rsidRPr="00B40AAE">
          <w:rPr>
            <w:rStyle w:val="Hyperlink"/>
            <w:rFonts w:ascii="Arial" w:hAnsi="Arial" w:cs="Arial"/>
          </w:rPr>
          <w:t>https://www.nurseryworld.co.uk/digital_assets/291/LDAllaboutRisk.pdf</w:t>
        </w:r>
      </w:hyperlink>
      <w:r>
        <w:rPr>
          <w:rFonts w:ascii="Arial" w:hAnsi="Arial" w:cs="Arial"/>
        </w:rPr>
        <w:t xml:space="preserve"> (Accessed 21st February 2019).</w:t>
      </w:r>
    </w:p>
    <w:p w14:paraId="3BDFB785" w14:textId="77777777" w:rsidR="00412595" w:rsidRPr="00C539D4" w:rsidRDefault="00412595" w:rsidP="00412595">
      <w:pPr>
        <w:spacing w:line="240" w:lineRule="auto"/>
        <w:rPr>
          <w:rFonts w:ascii="Arial" w:hAnsi="Arial" w:cs="Arial"/>
        </w:rPr>
      </w:pPr>
      <w:r>
        <w:rPr>
          <w:rFonts w:ascii="Arial" w:hAnsi="Arial" w:cs="Arial"/>
        </w:rPr>
        <w:t>Tovey, H. (</w:t>
      </w:r>
      <w:r w:rsidRPr="00B108F1">
        <w:rPr>
          <w:rFonts w:ascii="Arial" w:hAnsi="Arial" w:cs="Arial"/>
        </w:rPr>
        <w:t>2013</w:t>
      </w:r>
      <w:r>
        <w:rPr>
          <w:rFonts w:ascii="Arial" w:hAnsi="Arial" w:cs="Arial"/>
        </w:rPr>
        <w:t>)</w:t>
      </w:r>
      <w:r w:rsidRPr="00B108F1">
        <w:rPr>
          <w:rFonts w:ascii="Arial" w:hAnsi="Arial" w:cs="Arial"/>
        </w:rPr>
        <w:t xml:space="preserve"> </w:t>
      </w:r>
      <w:r w:rsidRPr="00B108F1">
        <w:rPr>
          <w:rFonts w:ascii="Arial" w:hAnsi="Arial" w:cs="Arial"/>
          <w:i/>
        </w:rPr>
        <w:t xml:space="preserve">Bringing the </w:t>
      </w:r>
      <w:r>
        <w:rPr>
          <w:rFonts w:ascii="Arial" w:hAnsi="Arial" w:cs="Arial"/>
          <w:i/>
        </w:rPr>
        <w:t>Froebel approach to your Early Y</w:t>
      </w:r>
      <w:r w:rsidRPr="00B108F1">
        <w:rPr>
          <w:rFonts w:ascii="Arial" w:hAnsi="Arial" w:cs="Arial"/>
          <w:i/>
        </w:rPr>
        <w:t>ears practice</w:t>
      </w:r>
      <w:r>
        <w:rPr>
          <w:rFonts w:ascii="Arial" w:hAnsi="Arial" w:cs="Arial"/>
        </w:rPr>
        <w:t>.</w:t>
      </w:r>
      <w:r w:rsidRPr="00B108F1">
        <w:rPr>
          <w:rFonts w:ascii="Arial" w:hAnsi="Arial" w:cs="Arial"/>
        </w:rPr>
        <w:t xml:space="preserve"> Oxon: Routledge.</w:t>
      </w:r>
    </w:p>
    <w:p w14:paraId="10902C9B" w14:textId="77777777" w:rsidR="00412595" w:rsidRDefault="00412595" w:rsidP="00412595">
      <w:pPr>
        <w:spacing w:line="240" w:lineRule="auto"/>
        <w:rPr>
          <w:rFonts w:ascii="Arial" w:hAnsi="Arial" w:cs="Arial"/>
        </w:rPr>
      </w:pPr>
    </w:p>
    <w:p w14:paraId="060BEE22" w14:textId="77777777" w:rsidR="00412595" w:rsidRDefault="00412595" w:rsidP="00412595">
      <w:pPr>
        <w:spacing w:line="240" w:lineRule="auto"/>
        <w:rPr>
          <w:rFonts w:ascii="Arial" w:hAnsi="Arial" w:cs="Arial"/>
        </w:rPr>
      </w:pPr>
      <w:r>
        <w:rPr>
          <w:rFonts w:ascii="Arial" w:hAnsi="Arial" w:cs="Arial"/>
        </w:rPr>
        <w:t xml:space="preserve">Tucker, K. (2005) </w:t>
      </w:r>
      <w:r>
        <w:rPr>
          <w:rFonts w:ascii="Arial" w:hAnsi="Arial" w:cs="Arial"/>
          <w:i/>
        </w:rPr>
        <w:t xml:space="preserve">Mathematics Through Play in the Early Years. </w:t>
      </w:r>
      <w:r>
        <w:rPr>
          <w:rFonts w:ascii="Arial" w:hAnsi="Arial" w:cs="Arial"/>
        </w:rPr>
        <w:t>London: Paul Chapman Publishing.</w:t>
      </w:r>
    </w:p>
    <w:p w14:paraId="12BB4E32" w14:textId="77777777" w:rsidR="00412595" w:rsidRDefault="00412595" w:rsidP="00412595">
      <w:pPr>
        <w:spacing w:line="240" w:lineRule="auto"/>
        <w:rPr>
          <w:rFonts w:ascii="Arial" w:hAnsi="Arial" w:cs="Arial"/>
        </w:rPr>
      </w:pPr>
    </w:p>
    <w:p w14:paraId="36B37E59" w14:textId="77777777" w:rsidR="00412595" w:rsidRPr="00DD6EEA" w:rsidRDefault="00412595" w:rsidP="00412595">
      <w:pPr>
        <w:spacing w:line="240" w:lineRule="auto"/>
        <w:rPr>
          <w:rFonts w:ascii="Arial" w:hAnsi="Arial" w:cs="Arial"/>
        </w:rPr>
      </w:pPr>
      <w:proofErr w:type="spellStart"/>
      <w:r>
        <w:rPr>
          <w:rFonts w:ascii="Arial" w:hAnsi="Arial" w:cs="Arial"/>
        </w:rPr>
        <w:t>Varol</w:t>
      </w:r>
      <w:proofErr w:type="spellEnd"/>
      <w:r>
        <w:rPr>
          <w:rFonts w:ascii="Arial" w:hAnsi="Arial" w:cs="Arial"/>
        </w:rPr>
        <w:t xml:space="preserve">, F and </w:t>
      </w:r>
      <w:proofErr w:type="spellStart"/>
      <w:r>
        <w:rPr>
          <w:rFonts w:ascii="Arial" w:hAnsi="Arial" w:cs="Arial"/>
        </w:rPr>
        <w:t>Farran</w:t>
      </w:r>
      <w:proofErr w:type="spellEnd"/>
      <w:r>
        <w:rPr>
          <w:rFonts w:ascii="Arial" w:hAnsi="Arial" w:cs="Arial"/>
        </w:rPr>
        <w:t xml:space="preserve">, D. (2006) ‘Early Mathematical Growth: How to Support Young Children’s Mathematical Development’ </w:t>
      </w:r>
      <w:r>
        <w:rPr>
          <w:rFonts w:ascii="Arial" w:hAnsi="Arial" w:cs="Arial"/>
          <w:i/>
        </w:rPr>
        <w:t xml:space="preserve">Early Childhood Educational Journal. </w:t>
      </w:r>
      <w:r>
        <w:rPr>
          <w:rFonts w:ascii="Arial" w:hAnsi="Arial" w:cs="Arial"/>
        </w:rPr>
        <w:t>33(6) p.381-387.</w:t>
      </w:r>
    </w:p>
    <w:p w14:paraId="1F03004A" w14:textId="77777777" w:rsidR="00412595" w:rsidRDefault="00412595" w:rsidP="00412595">
      <w:pPr>
        <w:spacing w:line="240" w:lineRule="auto"/>
        <w:rPr>
          <w:rFonts w:ascii="Arial" w:hAnsi="Arial" w:cs="Arial"/>
        </w:rPr>
      </w:pPr>
    </w:p>
    <w:p w14:paraId="512ED632" w14:textId="77777777" w:rsidR="00412595" w:rsidRDefault="00412595" w:rsidP="00412595">
      <w:pPr>
        <w:spacing w:line="240" w:lineRule="auto"/>
        <w:rPr>
          <w:rFonts w:ascii="Arial" w:hAnsi="Arial" w:cs="Arial"/>
        </w:rPr>
      </w:pPr>
      <w:r>
        <w:rPr>
          <w:rFonts w:ascii="Arial" w:hAnsi="Arial" w:cs="Arial"/>
        </w:rPr>
        <w:t>Watts-</w:t>
      </w:r>
      <w:proofErr w:type="spellStart"/>
      <w:r>
        <w:rPr>
          <w:rFonts w:ascii="Arial" w:hAnsi="Arial" w:cs="Arial"/>
        </w:rPr>
        <w:t>Taffe</w:t>
      </w:r>
      <w:proofErr w:type="spellEnd"/>
      <w:r>
        <w:rPr>
          <w:rFonts w:ascii="Arial" w:hAnsi="Arial" w:cs="Arial"/>
        </w:rPr>
        <w:t>, S. (2012)</w:t>
      </w:r>
      <w:r w:rsidRPr="008D540E">
        <w:rPr>
          <w:rFonts w:ascii="Arial" w:hAnsi="Arial" w:cs="Arial"/>
        </w:rPr>
        <w:t xml:space="preserve"> </w:t>
      </w:r>
      <w:r>
        <w:rPr>
          <w:rFonts w:ascii="Arial" w:hAnsi="Arial" w:cs="Arial"/>
        </w:rPr>
        <w:t>‘</w:t>
      </w:r>
      <w:r w:rsidRPr="008D540E">
        <w:rPr>
          <w:rFonts w:ascii="Arial" w:hAnsi="Arial" w:cs="Arial"/>
        </w:rPr>
        <w:t>Differentiated Instruction: Making Informed Teacher Decisions’</w:t>
      </w:r>
      <w:r>
        <w:rPr>
          <w:rFonts w:ascii="Arial" w:hAnsi="Arial" w:cs="Arial"/>
        </w:rPr>
        <w:t xml:space="preserve">, </w:t>
      </w:r>
      <w:r w:rsidRPr="008D540E">
        <w:rPr>
          <w:rFonts w:ascii="Arial" w:hAnsi="Arial" w:cs="Arial"/>
          <w:i/>
        </w:rPr>
        <w:t>Reading Teacher,</w:t>
      </w:r>
      <w:r w:rsidRPr="008D540E">
        <w:rPr>
          <w:rFonts w:ascii="Arial" w:hAnsi="Arial" w:cs="Arial"/>
        </w:rPr>
        <w:t xml:space="preserve"> 66(4), 303-315.</w:t>
      </w:r>
    </w:p>
    <w:p w14:paraId="0CDC28AA" w14:textId="77777777" w:rsidR="00412595" w:rsidRDefault="00412595" w:rsidP="00412595">
      <w:pPr>
        <w:spacing w:line="240" w:lineRule="auto"/>
        <w:rPr>
          <w:rFonts w:ascii="Arial" w:hAnsi="Arial" w:cs="Arial"/>
        </w:rPr>
      </w:pPr>
    </w:p>
    <w:p w14:paraId="7510B5D4" w14:textId="77777777" w:rsidR="00412595" w:rsidRDefault="00412595" w:rsidP="00412595">
      <w:pPr>
        <w:spacing w:line="240" w:lineRule="auto"/>
        <w:rPr>
          <w:rFonts w:ascii="Arial" w:hAnsi="Arial" w:cs="Arial"/>
        </w:rPr>
      </w:pPr>
      <w:r>
        <w:rPr>
          <w:rFonts w:ascii="Arial" w:hAnsi="Arial" w:cs="Arial"/>
        </w:rPr>
        <w:t xml:space="preserve">Welsh Assembly Government (2009) </w:t>
      </w:r>
      <w:r>
        <w:rPr>
          <w:rFonts w:ascii="Arial" w:hAnsi="Arial" w:cs="Arial"/>
          <w:i/>
        </w:rPr>
        <w:t xml:space="preserve">Foundation Phase: Outdoor Learning Handbook. </w:t>
      </w:r>
      <w:r>
        <w:rPr>
          <w:rFonts w:ascii="Arial" w:hAnsi="Arial" w:cs="Arial"/>
        </w:rPr>
        <w:t>Crown.</w:t>
      </w:r>
    </w:p>
    <w:p w14:paraId="1D1C8F70" w14:textId="77777777" w:rsidR="00412595" w:rsidRDefault="00412595" w:rsidP="00412595">
      <w:pPr>
        <w:spacing w:line="240" w:lineRule="auto"/>
        <w:rPr>
          <w:rFonts w:ascii="Arial" w:hAnsi="Arial" w:cs="Arial"/>
        </w:rPr>
      </w:pPr>
    </w:p>
    <w:p w14:paraId="6BB77442" w14:textId="77777777" w:rsidR="00412595" w:rsidRDefault="00412595" w:rsidP="00412595">
      <w:pPr>
        <w:spacing w:line="240" w:lineRule="auto"/>
        <w:rPr>
          <w:rFonts w:ascii="Arial" w:hAnsi="Arial" w:cs="Arial"/>
        </w:rPr>
      </w:pPr>
      <w:r>
        <w:rPr>
          <w:rFonts w:ascii="Arial" w:hAnsi="Arial" w:cs="Arial"/>
        </w:rPr>
        <w:t xml:space="preserve">Welsh Assembly </w:t>
      </w:r>
      <w:proofErr w:type="spellStart"/>
      <w:r>
        <w:rPr>
          <w:rFonts w:ascii="Arial" w:hAnsi="Arial" w:cs="Arial"/>
        </w:rPr>
        <w:t>Govoernment</w:t>
      </w:r>
      <w:proofErr w:type="spellEnd"/>
      <w:r>
        <w:rPr>
          <w:rFonts w:ascii="Arial" w:hAnsi="Arial" w:cs="Arial"/>
        </w:rPr>
        <w:t xml:space="preserve"> (2014) </w:t>
      </w:r>
      <w:r>
        <w:rPr>
          <w:rFonts w:ascii="Arial" w:hAnsi="Arial" w:cs="Arial"/>
          <w:i/>
        </w:rPr>
        <w:t xml:space="preserve">Further Steps Outdoors. </w:t>
      </w:r>
      <w:r>
        <w:rPr>
          <w:rFonts w:ascii="Arial" w:hAnsi="Arial" w:cs="Arial"/>
        </w:rPr>
        <w:t xml:space="preserve">Available at: </w:t>
      </w:r>
      <w:hyperlink r:id="rId17" w:history="1">
        <w:r w:rsidRPr="00B40AAE">
          <w:rPr>
            <w:rStyle w:val="Hyperlink"/>
            <w:rFonts w:ascii="Arial" w:hAnsi="Arial" w:cs="Arial"/>
          </w:rPr>
          <w:t>https://learning.gov.wales/docs/learningwales/publications/141013-further-steps-outdoors-en.pdf</w:t>
        </w:r>
      </w:hyperlink>
      <w:r>
        <w:rPr>
          <w:rFonts w:ascii="Arial" w:hAnsi="Arial" w:cs="Arial"/>
        </w:rPr>
        <w:t xml:space="preserve"> (Accessed: 22nd February 2019).</w:t>
      </w:r>
    </w:p>
    <w:p w14:paraId="77F3E722" w14:textId="77777777" w:rsidR="00412595" w:rsidRDefault="00412595" w:rsidP="00412595">
      <w:pPr>
        <w:spacing w:line="240" w:lineRule="auto"/>
        <w:rPr>
          <w:rFonts w:ascii="Arial" w:hAnsi="Arial" w:cs="Arial"/>
        </w:rPr>
      </w:pPr>
    </w:p>
    <w:p w14:paraId="62F6F790" w14:textId="77777777" w:rsidR="00412595" w:rsidRDefault="00412595" w:rsidP="00412595">
      <w:pPr>
        <w:spacing w:line="240" w:lineRule="auto"/>
        <w:rPr>
          <w:rFonts w:ascii="Arial" w:hAnsi="Arial" w:cs="Arial"/>
        </w:rPr>
      </w:pPr>
      <w:r>
        <w:rPr>
          <w:rFonts w:ascii="Arial" w:hAnsi="Arial" w:cs="Arial"/>
        </w:rPr>
        <w:t xml:space="preserve">Welsh Assembly Government (2015) </w:t>
      </w:r>
      <w:r>
        <w:rPr>
          <w:rFonts w:ascii="Arial" w:hAnsi="Arial" w:cs="Arial"/>
          <w:i/>
        </w:rPr>
        <w:t xml:space="preserve">Foundation Phase Framework. </w:t>
      </w:r>
      <w:r>
        <w:rPr>
          <w:rFonts w:ascii="Arial" w:hAnsi="Arial" w:cs="Arial"/>
        </w:rPr>
        <w:t xml:space="preserve">Cardiff: Crown. </w:t>
      </w:r>
    </w:p>
    <w:p w14:paraId="37844507" w14:textId="77777777" w:rsidR="00412595" w:rsidRDefault="00412595" w:rsidP="00412595">
      <w:pPr>
        <w:spacing w:line="240" w:lineRule="auto"/>
        <w:rPr>
          <w:rFonts w:ascii="Arial" w:hAnsi="Arial" w:cs="Arial"/>
        </w:rPr>
      </w:pPr>
    </w:p>
    <w:p w14:paraId="6858DEBA" w14:textId="77777777" w:rsidR="00412595" w:rsidRDefault="00412595" w:rsidP="00412595">
      <w:pPr>
        <w:spacing w:line="240" w:lineRule="auto"/>
        <w:rPr>
          <w:rFonts w:ascii="Arial" w:hAnsi="Arial" w:cs="Arial"/>
        </w:rPr>
      </w:pPr>
      <w:r>
        <w:rPr>
          <w:rFonts w:ascii="Arial" w:hAnsi="Arial" w:cs="Arial"/>
        </w:rPr>
        <w:t xml:space="preserve">Welsh Assembly Government (2008) </w:t>
      </w:r>
      <w:r>
        <w:rPr>
          <w:rFonts w:ascii="Arial" w:hAnsi="Arial" w:cs="Arial"/>
          <w:i/>
        </w:rPr>
        <w:t xml:space="preserve">Learning and Teaching Pedagogy. </w:t>
      </w:r>
      <w:r>
        <w:rPr>
          <w:rFonts w:ascii="Arial" w:hAnsi="Arial" w:cs="Arial"/>
        </w:rPr>
        <w:t>Cardiff: Crown.</w:t>
      </w:r>
    </w:p>
    <w:p w14:paraId="346586D3" w14:textId="77777777" w:rsidR="00412595" w:rsidRDefault="00412595" w:rsidP="00412595">
      <w:pPr>
        <w:spacing w:line="240" w:lineRule="auto"/>
        <w:rPr>
          <w:rFonts w:ascii="Arial" w:hAnsi="Arial" w:cs="Arial"/>
        </w:rPr>
      </w:pPr>
    </w:p>
    <w:p w14:paraId="35F20CCB" w14:textId="77777777" w:rsidR="00412595" w:rsidRPr="00F65B32" w:rsidRDefault="00412595" w:rsidP="00412595">
      <w:pPr>
        <w:spacing w:line="240" w:lineRule="auto"/>
        <w:rPr>
          <w:rFonts w:ascii="Arial" w:hAnsi="Arial" w:cs="Arial"/>
        </w:rPr>
      </w:pPr>
      <w:r>
        <w:rPr>
          <w:rFonts w:ascii="Arial" w:hAnsi="Arial" w:cs="Arial"/>
        </w:rPr>
        <w:t xml:space="preserve">Welsh Assembly Government (2008) </w:t>
      </w:r>
      <w:r>
        <w:rPr>
          <w:rFonts w:ascii="Arial" w:hAnsi="Arial" w:cs="Arial"/>
          <w:i/>
        </w:rPr>
        <w:t xml:space="preserve">Play/Active Learning: Overview for 3-7 Year Olds. </w:t>
      </w:r>
      <w:r>
        <w:rPr>
          <w:rFonts w:ascii="Arial" w:hAnsi="Arial" w:cs="Arial"/>
        </w:rPr>
        <w:t>Cardiff: Crown.</w:t>
      </w:r>
    </w:p>
    <w:p w14:paraId="21E18DCE" w14:textId="77777777" w:rsidR="00412595" w:rsidRDefault="00412595" w:rsidP="00412595">
      <w:pPr>
        <w:spacing w:line="240" w:lineRule="auto"/>
      </w:pPr>
    </w:p>
    <w:sectPr w:rsidR="00412595" w:rsidSect="005A6D93">
      <w:headerReference w:type="default" r:id="rId1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17CEA7" w14:textId="77777777" w:rsidR="002F5F44" w:rsidRDefault="002F5F44" w:rsidP="009027D7">
      <w:pPr>
        <w:spacing w:after="0" w:line="240" w:lineRule="auto"/>
      </w:pPr>
      <w:r>
        <w:separator/>
      </w:r>
    </w:p>
  </w:endnote>
  <w:endnote w:type="continuationSeparator" w:id="0">
    <w:p w14:paraId="64CAA5DE" w14:textId="77777777" w:rsidR="002F5F44" w:rsidRDefault="002F5F44" w:rsidP="00902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4BCDB0" w14:textId="77777777" w:rsidR="002F5F44" w:rsidRDefault="002F5F44" w:rsidP="009027D7">
      <w:pPr>
        <w:spacing w:after="0" w:line="240" w:lineRule="auto"/>
      </w:pPr>
      <w:r>
        <w:separator/>
      </w:r>
    </w:p>
  </w:footnote>
  <w:footnote w:type="continuationSeparator" w:id="0">
    <w:p w14:paraId="7C08B8A4" w14:textId="77777777" w:rsidR="002F5F44" w:rsidRDefault="002F5F44" w:rsidP="009027D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EBF69F" w14:textId="4BB2ABBF" w:rsidR="009027D7" w:rsidRDefault="009027D7">
    <w:pPr>
      <w:pStyle w:val="Header"/>
    </w:pPr>
    <w:r>
      <w:t>1805243- EAEE4005/C</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3F5449"/>
    <w:multiLevelType w:val="hybridMultilevel"/>
    <w:tmpl w:val="6D98E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392DE1"/>
    <w:multiLevelType w:val="hybridMultilevel"/>
    <w:tmpl w:val="969C5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98F565C"/>
    <w:multiLevelType w:val="hybridMultilevel"/>
    <w:tmpl w:val="918E9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40E05BF"/>
    <w:multiLevelType w:val="hybridMultilevel"/>
    <w:tmpl w:val="475AC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4B3A"/>
    <w:rsid w:val="000C3875"/>
    <w:rsid w:val="00103DDF"/>
    <w:rsid w:val="002F5F44"/>
    <w:rsid w:val="00412595"/>
    <w:rsid w:val="005A6D93"/>
    <w:rsid w:val="009027D7"/>
    <w:rsid w:val="00B64FFE"/>
    <w:rsid w:val="00D7140E"/>
    <w:rsid w:val="00ED55B7"/>
    <w:rsid w:val="00F54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7CF29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54B3A"/>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54B3A"/>
    <w:rPr>
      <w:sz w:val="22"/>
      <w:szCs w:val="22"/>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54B3A"/>
    <w:pPr>
      <w:ind w:left="720"/>
      <w:contextualSpacing/>
    </w:pPr>
  </w:style>
  <w:style w:type="character" w:styleId="Hyperlink">
    <w:name w:val="Hyperlink"/>
    <w:basedOn w:val="DefaultParagraphFont"/>
    <w:uiPriority w:val="99"/>
    <w:unhideWhenUsed/>
    <w:rsid w:val="00412595"/>
    <w:rPr>
      <w:color w:val="0563C1" w:themeColor="hyperlink"/>
      <w:u w:val="single"/>
    </w:rPr>
  </w:style>
  <w:style w:type="paragraph" w:styleId="Header">
    <w:name w:val="header"/>
    <w:basedOn w:val="Normal"/>
    <w:link w:val="HeaderChar"/>
    <w:uiPriority w:val="99"/>
    <w:unhideWhenUsed/>
    <w:rsid w:val="009027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7D7"/>
    <w:rPr>
      <w:sz w:val="22"/>
      <w:szCs w:val="22"/>
      <w:lang w:val="en-US"/>
    </w:rPr>
  </w:style>
  <w:style w:type="paragraph" w:styleId="Footer">
    <w:name w:val="footer"/>
    <w:basedOn w:val="Normal"/>
    <w:link w:val="FooterChar"/>
    <w:uiPriority w:val="99"/>
    <w:unhideWhenUsed/>
    <w:rsid w:val="009027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7D7"/>
    <w:rPr>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dimensionsfoundation.org/wp-content/uploads/2016/10/IJECEE-41-Complete-Issue.pdf" TargetMode="External"/><Relationship Id="rId20" Type="http://schemas.openxmlformats.org/officeDocument/2006/relationships/theme" Target="theme/theme1.xml"/><Relationship Id="rId10" Type="http://schemas.openxmlformats.org/officeDocument/2006/relationships/hyperlink" Target="https://files.eric.ed.gov/fulltext/ED538282.pdf" TargetMode="External"/><Relationship Id="rId11" Type="http://schemas.openxmlformats.org/officeDocument/2006/relationships/hyperlink" Target="https://www.teachearlyyears.com/enabling-environments/view/whats-best-for-boys" TargetMode="External"/><Relationship Id="rId12" Type="http://schemas.openxmlformats.org/officeDocument/2006/relationships/hyperlink" Target="https://online.lsus.edu/articles/education/differentiated-instruction-for-the-diverse-classroom.aspx" TargetMode="External"/><Relationship Id="rId13" Type="http://schemas.openxmlformats.org/officeDocument/2006/relationships/hyperlink" Target="https://www.nationalnumeracy.org.uk/sites/default/files/attitudes_towards_maths_-_updated_branding.pdf" TargetMode="External"/><Relationship Id="rId14" Type="http://schemas.openxmlformats.org/officeDocument/2006/relationships/hyperlink" Target="http://resources.hwb.wales.gov.uk/VTC/2008-09/key_skills/disc1/KSCHIL/KSCHIL12.pdf" TargetMode="External"/><Relationship Id="rId15" Type="http://schemas.openxmlformats.org/officeDocument/2006/relationships/hyperlink" Target="http://blog.optimus-education.com/using-natural-materials-enhance-children%27s-learning" TargetMode="External"/><Relationship Id="rId16" Type="http://schemas.openxmlformats.org/officeDocument/2006/relationships/hyperlink" Target="https://www.nurseryworld.co.uk/digital_assets/291/LDAllaboutRisk.pdf" TargetMode="External"/><Relationship Id="rId17" Type="http://schemas.openxmlformats.org/officeDocument/2006/relationships/hyperlink" Target="https://learning.gov.wales/docs/learningwales/publications/141013-further-steps-outdoors-en.pdf" TargetMode="External"/><Relationship Id="rId18" Type="http://schemas.openxmlformats.org/officeDocument/2006/relationships/header" Target="header1.xm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epublications.regis.edu/cgi/viewcontent.cgi?article=1011&amp;context=theses" TargetMode="External"/><Relationship Id="rId8" Type="http://schemas.openxmlformats.org/officeDocument/2006/relationships/hyperlink" Target="https://cornerstoneseducation.co.uk/continuous-provision-early-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12</Pages>
  <Words>3700</Words>
  <Characters>21096</Characters>
  <Application>Microsoft Macintosh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24747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2019-02-23T00:21:00Z</dcterms:created>
  <dcterms:modified xsi:type="dcterms:W3CDTF">2019-02-23T00:44:00Z</dcterms:modified>
</cp:coreProperties>
</file>