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259" w:rsidRPr="000E4259" w:rsidRDefault="000E4259" w:rsidP="000E4259">
      <w:pPr>
        <w:spacing w:after="0" w:line="240" w:lineRule="auto"/>
        <w:ind w:left="-180" w:right="-334"/>
        <w:rPr>
          <w:rFonts w:ascii="Trebuchet MS" w:eastAsia="SimSun" w:hAnsi="Trebuchet MS" w:cs="Tahoma"/>
          <w:color w:val="000000"/>
          <w:sz w:val="24"/>
          <w:szCs w:val="24"/>
          <w:lang w:eastAsia="zh-CN"/>
        </w:rPr>
      </w:pPr>
      <w:r w:rsidRPr="000E4259">
        <w:rPr>
          <w:rFonts w:ascii="Georgia" w:eastAsia="SimSun" w:hAnsi="Georgia" w:cs="Times New Roman"/>
          <w:noProof/>
          <w:color w:val="000000"/>
          <w:sz w:val="21"/>
          <w:szCs w:val="21"/>
          <w:lang w:eastAsia="zh-CN"/>
        </w:rPr>
        <w:drawing>
          <wp:inline distT="0" distB="0" distL="0" distR="0" wp14:anchorId="632319BE" wp14:editId="549F7E7D">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0E4259" w:rsidRPr="000E4259" w:rsidRDefault="000E4259" w:rsidP="000E4259">
      <w:pPr>
        <w:keepNext/>
        <w:spacing w:before="240" w:after="60" w:line="240" w:lineRule="auto"/>
        <w:jc w:val="center"/>
        <w:outlineLvl w:val="0"/>
        <w:rPr>
          <w:rFonts w:ascii="Arial" w:eastAsia="SimSun" w:hAnsi="Arial" w:cs="Arial"/>
          <w:b/>
          <w:bCs/>
          <w:kern w:val="32"/>
          <w:sz w:val="32"/>
          <w:szCs w:val="32"/>
          <w:lang w:val="cy-GB" w:eastAsia="zh-CN"/>
        </w:rPr>
      </w:pPr>
      <w:r w:rsidRPr="000E4259">
        <w:rPr>
          <w:rFonts w:ascii="Arial" w:eastAsia="SimSun" w:hAnsi="Arial" w:cs="Arial"/>
          <w:b/>
          <w:bCs/>
          <w:kern w:val="32"/>
          <w:sz w:val="32"/>
          <w:szCs w:val="32"/>
          <w:lang w:val="cy-GB" w:eastAsia="zh-CN"/>
        </w:rPr>
        <w:t>Undergraduate assignment feedback form</w:t>
      </w:r>
    </w:p>
    <w:p w:rsidR="000E4259" w:rsidRPr="000E4259" w:rsidRDefault="000E4259" w:rsidP="000E4259">
      <w:pPr>
        <w:spacing w:after="0" w:line="240" w:lineRule="auto"/>
        <w:jc w:val="center"/>
        <w:rPr>
          <w:rFonts w:ascii="Arial" w:eastAsia="SimSun" w:hAnsi="Arial" w:cs="Arial"/>
          <w:b/>
          <w:sz w:val="24"/>
          <w:szCs w:val="24"/>
          <w:lang w:val="cy-GB" w:eastAsia="zh-CN"/>
        </w:rPr>
      </w:pPr>
      <w:r w:rsidRPr="000E4259">
        <w:rPr>
          <w:rFonts w:ascii="Arial" w:eastAsia="SimSun" w:hAnsi="Arial" w:cs="Arial"/>
          <w:b/>
          <w:sz w:val="24"/>
          <w:szCs w:val="24"/>
          <w:lang w:val="cy-GB" w:eastAsia="zh-CN"/>
        </w:rPr>
        <w:t>(to be completed by marker)</w:t>
      </w:r>
    </w:p>
    <w:p w:rsidR="000E4259" w:rsidRPr="000E4259" w:rsidRDefault="000E4259" w:rsidP="000E4259">
      <w:pPr>
        <w:spacing w:after="0" w:line="240" w:lineRule="auto"/>
        <w:jc w:val="center"/>
        <w:rPr>
          <w:rFonts w:ascii="Arial" w:eastAsia="SimSun" w:hAnsi="Arial" w:cs="Arial"/>
          <w:b/>
          <w:sz w:val="24"/>
          <w:szCs w:val="24"/>
          <w:lang w:val="cy-GB" w:eastAsia="zh-CN"/>
        </w:rPr>
      </w:pPr>
    </w:p>
    <w:p w:rsidR="000E4259" w:rsidRPr="000E4259" w:rsidRDefault="000E4259" w:rsidP="000E4259">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0E4259" w:rsidRPr="000E4259" w:rsidTr="00053537">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0E4259" w:rsidRPr="000E4259" w:rsidRDefault="000E4259" w:rsidP="000E4259">
            <w:pPr>
              <w:spacing w:after="0" w:line="240" w:lineRule="auto"/>
              <w:ind w:right="34"/>
              <w:rPr>
                <w:rFonts w:ascii="Calibri" w:eastAsia="SimSun" w:hAnsi="Calibri" w:cs="Tahoma"/>
                <w:i/>
                <w:color w:val="000000"/>
                <w:sz w:val="24"/>
                <w:szCs w:val="24"/>
                <w:lang w:eastAsia="zh-CN"/>
              </w:rPr>
            </w:pPr>
            <w:r w:rsidRPr="000E4259">
              <w:rPr>
                <w:rFonts w:ascii="Calibri" w:eastAsia="SimSun" w:hAnsi="Calibri" w:cs="Tahoma"/>
                <w:i/>
                <w:color w:val="000000"/>
                <w:sz w:val="24"/>
                <w:szCs w:val="24"/>
                <w:lang w:eastAsia="zh-CN"/>
              </w:rPr>
              <w:t>Student Name: Dylan Trevett</w:t>
            </w:r>
          </w:p>
          <w:p w:rsidR="000E4259" w:rsidRPr="000E4259" w:rsidRDefault="000E4259" w:rsidP="000E4259">
            <w:pPr>
              <w:spacing w:after="0" w:line="240" w:lineRule="auto"/>
              <w:ind w:right="34"/>
              <w:rPr>
                <w:rFonts w:ascii="Calibri" w:eastAsia="SimSun" w:hAnsi="Calibri" w:cs="Tahoma"/>
                <w:i/>
                <w:color w:val="000000"/>
                <w:sz w:val="24"/>
                <w:szCs w:val="24"/>
                <w:lang w:eastAsia="zh-CN"/>
              </w:rPr>
            </w:pPr>
          </w:p>
        </w:tc>
      </w:tr>
      <w:tr w:rsidR="000E4259" w:rsidRPr="000E4259" w:rsidTr="00053537">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0E4259" w:rsidRPr="000E4259" w:rsidRDefault="000E4259" w:rsidP="000E4259">
            <w:pPr>
              <w:spacing w:after="0" w:line="240" w:lineRule="auto"/>
              <w:ind w:right="34"/>
              <w:rPr>
                <w:rFonts w:ascii="Calibri" w:eastAsia="SimSun" w:hAnsi="Calibri" w:cs="Tahoma"/>
                <w:i/>
                <w:color w:val="000000"/>
                <w:sz w:val="24"/>
                <w:szCs w:val="24"/>
                <w:lang w:eastAsia="zh-CN"/>
              </w:rPr>
            </w:pPr>
            <w:r w:rsidRPr="000E4259">
              <w:rPr>
                <w:rFonts w:ascii="Calibri" w:eastAsia="SimSun" w:hAnsi="Calibri" w:cs="Tahoma"/>
                <w:i/>
                <w:color w:val="000000"/>
                <w:sz w:val="24"/>
                <w:szCs w:val="24"/>
                <w:lang w:eastAsia="zh-CN"/>
              </w:rPr>
              <w:t>Module Code:  HPHI 6002</w:t>
            </w:r>
          </w:p>
          <w:p w:rsidR="000E4259" w:rsidRPr="000E4259" w:rsidRDefault="000E4259" w:rsidP="000E4259">
            <w:pPr>
              <w:spacing w:after="0" w:line="240" w:lineRule="auto"/>
              <w:ind w:right="34"/>
              <w:rPr>
                <w:rFonts w:ascii="Calibri" w:eastAsia="SimSun" w:hAnsi="Calibri" w:cs="Tahoma"/>
                <w:i/>
                <w:color w:val="000000"/>
                <w:sz w:val="24"/>
                <w:szCs w:val="24"/>
                <w:lang w:eastAsia="zh-CN"/>
              </w:rPr>
            </w:pPr>
          </w:p>
          <w:p w:rsidR="000E4259" w:rsidRPr="000E4259" w:rsidRDefault="000E4259" w:rsidP="000E4259">
            <w:pPr>
              <w:spacing w:after="0" w:line="240" w:lineRule="auto"/>
              <w:ind w:right="34"/>
              <w:rPr>
                <w:rFonts w:ascii="Calibri" w:eastAsia="SimSun" w:hAnsi="Calibri" w:cs="Tahoma"/>
                <w:i/>
                <w:color w:val="000000"/>
                <w:sz w:val="24"/>
                <w:szCs w:val="24"/>
                <w:lang w:eastAsia="zh-CN"/>
              </w:rPr>
            </w:pPr>
            <w:r w:rsidRPr="000E4259">
              <w:rPr>
                <w:rFonts w:ascii="Calibri" w:eastAsia="SimSun" w:hAnsi="Calibri" w:cs="Tahoma"/>
                <w:i/>
                <w:color w:val="000000"/>
                <w:sz w:val="24"/>
                <w:szCs w:val="24"/>
                <w:lang w:eastAsia="zh-CN"/>
              </w:rPr>
              <w:t xml:space="preserve">Module title: Death, Dying and the </w:t>
            </w:r>
            <w:proofErr w:type="spellStart"/>
            <w:r w:rsidRPr="000E4259">
              <w:rPr>
                <w:rFonts w:ascii="Calibri" w:eastAsia="SimSun" w:hAnsi="Calibri" w:cs="Tahoma"/>
                <w:i/>
                <w:color w:val="000000"/>
                <w:sz w:val="24"/>
                <w:szCs w:val="24"/>
                <w:lang w:eastAsia="zh-CN"/>
              </w:rPr>
              <w:t>Macbre</w:t>
            </w:r>
            <w:proofErr w:type="spellEnd"/>
            <w:r w:rsidRPr="000E4259">
              <w:rPr>
                <w:rFonts w:ascii="Calibri" w:eastAsia="SimSun" w:hAnsi="Calibri" w:cs="Tahoma"/>
                <w:i/>
                <w:color w:val="000000"/>
                <w:sz w:val="24"/>
                <w:szCs w:val="24"/>
                <w:lang w:eastAsia="zh-CN"/>
              </w:rPr>
              <w:t xml:space="preserve"> In the Late Middle Ages</w:t>
            </w:r>
          </w:p>
          <w:p w:rsidR="000E4259" w:rsidRPr="000E4259" w:rsidRDefault="000E4259" w:rsidP="000E4259">
            <w:pPr>
              <w:spacing w:after="0" w:line="240" w:lineRule="auto"/>
              <w:ind w:right="34"/>
              <w:rPr>
                <w:rFonts w:ascii="Calibri" w:eastAsia="SimSun" w:hAnsi="Calibri" w:cs="Tahoma"/>
                <w:i/>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rsidR="000E4259" w:rsidRPr="000E4259" w:rsidRDefault="000E4259" w:rsidP="000E4259">
            <w:pPr>
              <w:spacing w:after="0" w:line="240" w:lineRule="auto"/>
              <w:ind w:right="34"/>
              <w:rPr>
                <w:rFonts w:ascii="Calibri" w:eastAsia="SimSun" w:hAnsi="Calibri" w:cs="Tahoma"/>
                <w:i/>
                <w:color w:val="000000"/>
                <w:sz w:val="24"/>
                <w:szCs w:val="24"/>
                <w:lang w:eastAsia="zh-CN"/>
              </w:rPr>
            </w:pPr>
            <w:r w:rsidRPr="000E4259">
              <w:rPr>
                <w:rFonts w:ascii="Calibri" w:eastAsia="SimSun" w:hAnsi="Calibri" w:cs="Tahoma"/>
                <w:i/>
                <w:color w:val="000000"/>
                <w:sz w:val="24"/>
                <w:szCs w:val="24"/>
                <w:lang w:eastAsia="zh-CN"/>
              </w:rPr>
              <w:t>Student number: 1500610</w:t>
            </w:r>
          </w:p>
        </w:tc>
      </w:tr>
      <w:tr w:rsidR="000E4259" w:rsidRPr="000E4259" w:rsidTr="00053537">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0E4259" w:rsidRPr="000E4259" w:rsidRDefault="000E4259" w:rsidP="000E4259">
            <w:pPr>
              <w:spacing w:after="0" w:line="240" w:lineRule="auto"/>
              <w:rPr>
                <w:rFonts w:ascii="Calibri" w:eastAsia="SimSun" w:hAnsi="Calibri" w:cs="Tahoma"/>
                <w:i/>
                <w:color w:val="000000"/>
                <w:sz w:val="24"/>
                <w:szCs w:val="24"/>
                <w:lang w:eastAsia="zh-CN"/>
              </w:rPr>
            </w:pPr>
            <w:r w:rsidRPr="000E4259">
              <w:rPr>
                <w:rFonts w:ascii="Calibri" w:eastAsia="SimSun" w:hAnsi="Calibri" w:cs="Tahoma"/>
                <w:i/>
                <w:color w:val="000000"/>
                <w:sz w:val="24"/>
                <w:szCs w:val="24"/>
                <w:lang w:eastAsia="zh-CN"/>
              </w:rPr>
              <w:t>For completion by marker:</w:t>
            </w:r>
          </w:p>
          <w:p w:rsidR="000E4259" w:rsidRPr="000E4259" w:rsidRDefault="000E4259" w:rsidP="000E4259">
            <w:pPr>
              <w:spacing w:before="100" w:beforeAutospacing="1" w:after="100" w:afterAutospacing="1" w:line="240" w:lineRule="auto"/>
              <w:rPr>
                <w:rFonts w:ascii="Calibri" w:eastAsia="SimSun" w:hAnsi="Calibri" w:cs="Tahoma"/>
                <w:i/>
                <w:color w:val="000000"/>
                <w:sz w:val="24"/>
                <w:szCs w:val="24"/>
                <w:lang w:eastAsia="zh-CN"/>
              </w:rPr>
            </w:pPr>
            <w:r w:rsidRPr="000E4259">
              <w:rPr>
                <w:rFonts w:ascii="Calibri" w:eastAsia="SimSun" w:hAnsi="Calibri" w:cs="Tahoma"/>
                <w:i/>
                <w:color w:val="000000"/>
                <w:sz w:val="24"/>
                <w:szCs w:val="24"/>
                <w:lang w:eastAsia="zh-CN"/>
              </w:rPr>
              <w:t>Comments:</w:t>
            </w:r>
          </w:p>
          <w:p w:rsidR="000E4259" w:rsidRPr="000E4259" w:rsidRDefault="000E4259" w:rsidP="000E4259">
            <w:pPr>
              <w:spacing w:before="100" w:beforeAutospacing="1" w:after="100" w:afterAutospacing="1" w:line="240" w:lineRule="auto"/>
              <w:rPr>
                <w:rFonts w:ascii="Calibri" w:eastAsia="SimSun" w:hAnsi="Calibri" w:cs="Tahoma"/>
                <w:i/>
                <w:color w:val="000000"/>
                <w:sz w:val="24"/>
                <w:szCs w:val="24"/>
                <w:lang w:eastAsia="zh-CN"/>
              </w:rPr>
            </w:pPr>
          </w:p>
          <w:p w:rsidR="000E4259" w:rsidRPr="000E4259" w:rsidRDefault="000E4259" w:rsidP="000E4259">
            <w:pPr>
              <w:spacing w:before="100" w:beforeAutospacing="1" w:after="100" w:afterAutospacing="1" w:line="240" w:lineRule="auto"/>
              <w:rPr>
                <w:rFonts w:ascii="Calibri" w:eastAsia="SimSun" w:hAnsi="Calibri" w:cs="Tahoma"/>
                <w:i/>
                <w:color w:val="000000"/>
                <w:sz w:val="24"/>
                <w:szCs w:val="24"/>
                <w:lang w:eastAsia="zh-CN"/>
              </w:rPr>
            </w:pPr>
          </w:p>
          <w:p w:rsidR="000E4259" w:rsidRPr="000E4259" w:rsidRDefault="000E4259" w:rsidP="000E4259">
            <w:pPr>
              <w:spacing w:before="100" w:beforeAutospacing="1" w:after="100" w:afterAutospacing="1" w:line="240" w:lineRule="auto"/>
              <w:rPr>
                <w:rFonts w:ascii="Calibri" w:eastAsia="SimSun" w:hAnsi="Calibri" w:cs="Tahoma"/>
                <w:i/>
                <w:color w:val="000000"/>
                <w:sz w:val="24"/>
                <w:szCs w:val="24"/>
                <w:lang w:eastAsia="zh-CN"/>
              </w:rPr>
            </w:pPr>
          </w:p>
          <w:p w:rsidR="000E4259" w:rsidRPr="000E4259" w:rsidRDefault="000E4259" w:rsidP="000E4259">
            <w:pPr>
              <w:spacing w:before="100" w:beforeAutospacing="1" w:after="100" w:afterAutospacing="1" w:line="240" w:lineRule="auto"/>
              <w:rPr>
                <w:rFonts w:ascii="Calibri" w:eastAsia="SimSun" w:hAnsi="Calibri" w:cs="Tahoma"/>
                <w:i/>
                <w:color w:val="000000"/>
                <w:sz w:val="24"/>
                <w:szCs w:val="24"/>
                <w:lang w:eastAsia="zh-CN"/>
              </w:rPr>
            </w:pPr>
          </w:p>
          <w:p w:rsidR="000E4259" w:rsidRPr="000E4259" w:rsidRDefault="000E4259" w:rsidP="000E4259">
            <w:pPr>
              <w:spacing w:before="100" w:beforeAutospacing="1" w:after="100" w:afterAutospacing="1" w:line="240" w:lineRule="auto"/>
              <w:rPr>
                <w:rFonts w:ascii="Calibri" w:eastAsia="SimSun" w:hAnsi="Calibri" w:cs="Tahoma"/>
                <w:i/>
                <w:color w:val="000000"/>
                <w:sz w:val="24"/>
                <w:szCs w:val="24"/>
                <w:lang w:eastAsia="zh-CN"/>
              </w:rPr>
            </w:pPr>
          </w:p>
          <w:p w:rsidR="000E4259" w:rsidRPr="000E4259" w:rsidRDefault="000E4259" w:rsidP="000E4259">
            <w:pPr>
              <w:spacing w:before="100" w:beforeAutospacing="1" w:after="100" w:afterAutospacing="1" w:line="240" w:lineRule="auto"/>
              <w:rPr>
                <w:rFonts w:ascii="Calibri" w:eastAsia="SimSun" w:hAnsi="Calibri" w:cs="Tahoma"/>
                <w:i/>
                <w:color w:val="000000"/>
                <w:sz w:val="24"/>
                <w:szCs w:val="24"/>
                <w:lang w:eastAsia="zh-CN"/>
              </w:rPr>
            </w:pPr>
          </w:p>
          <w:p w:rsidR="000E4259" w:rsidRPr="000E4259" w:rsidRDefault="000E4259" w:rsidP="000E4259">
            <w:pPr>
              <w:spacing w:before="100" w:beforeAutospacing="1" w:after="100" w:afterAutospacing="1" w:line="240" w:lineRule="auto"/>
              <w:rPr>
                <w:rFonts w:ascii="Calibri" w:eastAsia="SimSun" w:hAnsi="Calibri" w:cs="Tahoma"/>
                <w:i/>
                <w:color w:val="000000"/>
                <w:sz w:val="24"/>
                <w:szCs w:val="24"/>
                <w:lang w:eastAsia="zh-CN"/>
              </w:rPr>
            </w:pPr>
          </w:p>
          <w:p w:rsidR="000E4259" w:rsidRPr="000E4259" w:rsidRDefault="000E4259" w:rsidP="000E4259">
            <w:pPr>
              <w:spacing w:before="100" w:beforeAutospacing="1" w:after="100" w:afterAutospacing="1" w:line="240" w:lineRule="auto"/>
              <w:rPr>
                <w:rFonts w:ascii="Calibri" w:eastAsia="SimSun" w:hAnsi="Calibri" w:cs="Tahoma"/>
                <w:i/>
                <w:color w:val="000000"/>
                <w:sz w:val="24"/>
                <w:szCs w:val="24"/>
                <w:lang w:eastAsia="zh-CN"/>
              </w:rPr>
            </w:pPr>
          </w:p>
          <w:p w:rsidR="000E4259" w:rsidRPr="000E4259" w:rsidRDefault="000E4259" w:rsidP="000E4259">
            <w:pPr>
              <w:spacing w:before="100" w:beforeAutospacing="1" w:after="100" w:afterAutospacing="1" w:line="240" w:lineRule="auto"/>
              <w:rPr>
                <w:rFonts w:ascii="Calibri" w:eastAsia="SimSun" w:hAnsi="Calibri" w:cs="Tahoma"/>
                <w:i/>
                <w:color w:val="000000"/>
                <w:sz w:val="24"/>
                <w:szCs w:val="24"/>
                <w:lang w:eastAsia="zh-CN"/>
              </w:rPr>
            </w:pPr>
          </w:p>
          <w:p w:rsidR="000E4259" w:rsidRPr="000E4259" w:rsidRDefault="000E4259" w:rsidP="000E4259">
            <w:pPr>
              <w:spacing w:before="100" w:beforeAutospacing="1" w:after="100" w:afterAutospacing="1" w:line="240" w:lineRule="auto"/>
              <w:rPr>
                <w:rFonts w:ascii="Calibri" w:eastAsia="SimSun" w:hAnsi="Calibri" w:cs="Tahoma"/>
                <w:i/>
                <w:color w:val="000000"/>
                <w:sz w:val="24"/>
                <w:szCs w:val="24"/>
                <w:lang w:eastAsia="zh-CN"/>
              </w:rPr>
            </w:pPr>
          </w:p>
          <w:p w:rsidR="000E4259" w:rsidRPr="000E4259" w:rsidRDefault="000E4259" w:rsidP="000E4259">
            <w:pPr>
              <w:spacing w:before="100" w:beforeAutospacing="1" w:after="100" w:afterAutospacing="1" w:line="240" w:lineRule="auto"/>
              <w:rPr>
                <w:rFonts w:ascii="Calibri" w:eastAsia="SimSun" w:hAnsi="Calibri" w:cs="Tahoma"/>
                <w:i/>
                <w:color w:val="000000"/>
                <w:sz w:val="24"/>
                <w:szCs w:val="24"/>
                <w:lang w:eastAsia="zh-CN"/>
              </w:rPr>
            </w:pPr>
          </w:p>
        </w:tc>
      </w:tr>
      <w:tr w:rsidR="000E4259" w:rsidRPr="000E4259" w:rsidTr="00053537">
        <w:trPr>
          <w:trHeight w:val="492"/>
        </w:trPr>
        <w:tc>
          <w:tcPr>
            <w:tcW w:w="6768" w:type="dxa"/>
            <w:gridSpan w:val="2"/>
            <w:tcBorders>
              <w:top w:val="single" w:sz="4" w:space="0" w:color="auto"/>
            </w:tcBorders>
            <w:vAlign w:val="center"/>
          </w:tcPr>
          <w:p w:rsidR="000E4259" w:rsidRPr="000E4259" w:rsidRDefault="000E4259" w:rsidP="000E4259">
            <w:pPr>
              <w:spacing w:before="100" w:beforeAutospacing="1" w:after="100" w:afterAutospacing="1" w:line="240" w:lineRule="auto"/>
              <w:ind w:left="142" w:right="34"/>
              <w:rPr>
                <w:rFonts w:ascii="Calibri" w:eastAsia="SimSun" w:hAnsi="Calibri" w:cs="Tahoma"/>
                <w:i/>
                <w:color w:val="000000"/>
                <w:sz w:val="24"/>
                <w:szCs w:val="24"/>
                <w:lang w:eastAsia="zh-CN"/>
              </w:rPr>
            </w:pPr>
            <w:r w:rsidRPr="000E4259">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rsidR="000E4259" w:rsidRPr="000E4259" w:rsidRDefault="000E4259" w:rsidP="000E4259">
            <w:pPr>
              <w:spacing w:before="100" w:beforeAutospacing="1" w:after="0" w:afterAutospacing="1" w:line="240" w:lineRule="auto"/>
              <w:ind w:left="142" w:right="34"/>
              <w:rPr>
                <w:rFonts w:ascii="Calibri" w:eastAsia="SimSun" w:hAnsi="Calibri" w:cs="Tahoma"/>
                <w:i/>
                <w:color w:val="000000"/>
                <w:sz w:val="24"/>
                <w:szCs w:val="24"/>
                <w:lang w:eastAsia="zh-CN"/>
              </w:rPr>
            </w:pPr>
            <w:r w:rsidRPr="000E4259">
              <w:rPr>
                <w:rFonts w:ascii="Calibri" w:eastAsia="SimSun" w:hAnsi="Calibri" w:cs="Tahoma"/>
                <w:i/>
                <w:color w:val="000000"/>
                <w:sz w:val="24"/>
                <w:szCs w:val="24"/>
                <w:lang w:eastAsia="zh-CN"/>
              </w:rPr>
              <w:t>Date:</w:t>
            </w:r>
          </w:p>
        </w:tc>
      </w:tr>
      <w:tr w:rsidR="000E4259" w:rsidRPr="000E4259" w:rsidTr="00053537">
        <w:tc>
          <w:tcPr>
            <w:tcW w:w="8755" w:type="dxa"/>
            <w:gridSpan w:val="3"/>
            <w:vAlign w:val="center"/>
          </w:tcPr>
          <w:p w:rsidR="000E4259" w:rsidRPr="000E4259" w:rsidRDefault="000E4259" w:rsidP="000E4259">
            <w:pPr>
              <w:spacing w:after="0" w:line="240" w:lineRule="auto"/>
              <w:ind w:left="142" w:right="34"/>
              <w:rPr>
                <w:rFonts w:ascii="Calibri" w:eastAsia="SimSun" w:hAnsi="Calibri" w:cs="Tahoma"/>
                <w:i/>
                <w:color w:val="000000"/>
                <w:sz w:val="24"/>
                <w:szCs w:val="24"/>
                <w:lang w:eastAsia="zh-CN"/>
              </w:rPr>
            </w:pPr>
            <w:r w:rsidRPr="000E4259">
              <w:rPr>
                <w:rFonts w:ascii="Calibri" w:eastAsia="SimSun" w:hAnsi="Calibri" w:cs="Tahoma"/>
                <w:i/>
                <w:color w:val="000000"/>
                <w:sz w:val="24"/>
                <w:szCs w:val="24"/>
                <w:lang w:eastAsia="zh-CN"/>
              </w:rPr>
              <w:t xml:space="preserve">Provisional mark: </w:t>
            </w:r>
          </w:p>
          <w:p w:rsidR="000E4259" w:rsidRPr="000E4259" w:rsidRDefault="000E4259" w:rsidP="000E4259">
            <w:pPr>
              <w:spacing w:after="0" w:line="240" w:lineRule="auto"/>
              <w:ind w:left="142" w:right="34"/>
              <w:rPr>
                <w:rFonts w:ascii="Calibri" w:eastAsia="SimSun" w:hAnsi="Calibri" w:cs="Tahoma"/>
                <w:i/>
                <w:color w:val="000000"/>
                <w:sz w:val="24"/>
                <w:szCs w:val="24"/>
                <w:lang w:eastAsia="zh-CN"/>
              </w:rPr>
            </w:pPr>
            <w:r w:rsidRPr="000E4259">
              <w:rPr>
                <w:rFonts w:ascii="Calibri" w:eastAsia="SimSun" w:hAnsi="Calibri" w:cs="Tahoma"/>
                <w:b/>
                <w:i/>
                <w:color w:val="000000"/>
                <w:sz w:val="24"/>
                <w:szCs w:val="24"/>
                <w:lang w:eastAsia="zh-CN"/>
              </w:rPr>
              <w:t>NB.</w:t>
            </w:r>
            <w:r w:rsidRPr="000E4259">
              <w:rPr>
                <w:rFonts w:ascii="Calibri" w:eastAsia="SimSun" w:hAnsi="Calibri" w:cs="Tahoma"/>
                <w:i/>
                <w:color w:val="000000"/>
                <w:sz w:val="24"/>
                <w:szCs w:val="24"/>
                <w:lang w:eastAsia="zh-CN"/>
              </w:rPr>
              <w:t xml:space="preserve">  All marks are provisional until confirmed by the final examination board. </w:t>
            </w:r>
          </w:p>
        </w:tc>
      </w:tr>
    </w:tbl>
    <w:p w:rsidR="000E4259" w:rsidRDefault="000E4259" w:rsidP="005A2E11">
      <w:pPr>
        <w:spacing w:line="480" w:lineRule="auto"/>
        <w:jc w:val="both"/>
      </w:pPr>
    </w:p>
    <w:p w:rsidR="00AB2701" w:rsidRDefault="001E02D0" w:rsidP="005A2E11">
      <w:pPr>
        <w:spacing w:line="480" w:lineRule="auto"/>
        <w:jc w:val="both"/>
      </w:pPr>
      <w:r>
        <w:lastRenderedPageBreak/>
        <w:t xml:space="preserve">This portfolio will look at the text that describes the reliquary of Sainte Foy, to do this one will consider who Sainte Foy was, what her reliquary represents, </w:t>
      </w:r>
      <w:proofErr w:type="gramStart"/>
      <w:r>
        <w:t>and also</w:t>
      </w:r>
      <w:proofErr w:type="gramEnd"/>
      <w:r>
        <w:t xml:space="preserve"> a consideration as to what th</w:t>
      </w:r>
      <w:bookmarkStart w:id="0" w:name="_GoBack"/>
      <w:bookmarkEnd w:id="0"/>
      <w:r>
        <w:t>e texts fails to mention in comparison to an image of the reliquary.</w:t>
      </w:r>
    </w:p>
    <w:p w:rsidR="00466A25" w:rsidRDefault="00496C30" w:rsidP="005A2E11">
      <w:pPr>
        <w:spacing w:line="480" w:lineRule="auto"/>
        <w:jc w:val="both"/>
      </w:pPr>
      <w:r>
        <w:t xml:space="preserve">The reliquary in the text is that of Sainte Foy. </w:t>
      </w:r>
      <w:r w:rsidR="00466A25">
        <w:t xml:space="preserve">We know that Sainte </w:t>
      </w:r>
      <w:r w:rsidR="0062242B">
        <w:t>Foy,</w:t>
      </w:r>
      <w:r w:rsidR="00466A25">
        <w:t xml:space="preserve"> came from a high nobility family, and </w:t>
      </w:r>
      <w:r w:rsidR="0062242B">
        <w:t xml:space="preserve">that she believed that Christ himself created her in his image. We see a crown being described in the text </w:t>
      </w:r>
      <w:r w:rsidR="00623B0B">
        <w:t>which is on</w:t>
      </w:r>
      <w:r w:rsidR="0062242B">
        <w:t xml:space="preserve"> her reliquary, and this crown is possibly the crown s</w:t>
      </w:r>
      <w:r w:rsidR="00466A25">
        <w:t xml:space="preserve">he received </w:t>
      </w:r>
      <w:r w:rsidR="0062242B">
        <w:t xml:space="preserve">in </w:t>
      </w:r>
      <w:proofErr w:type="spellStart"/>
      <w:r w:rsidR="0062242B">
        <w:t>Agen</w:t>
      </w:r>
      <w:proofErr w:type="spellEnd"/>
      <w:r w:rsidR="0062242B">
        <w:t xml:space="preserve"> a</w:t>
      </w:r>
      <w:r w:rsidR="00623B0B">
        <w:t>s a</w:t>
      </w:r>
      <w:r w:rsidR="0062242B">
        <w:t xml:space="preserve"> martyr’s passion.</w:t>
      </w:r>
      <w:r w:rsidR="007D4A2B">
        <w:t xml:space="preserve"> However, the text does not give us clarity on the fact that this crown came from receiving the </w:t>
      </w:r>
      <w:r w:rsidR="00DA29C7">
        <w:t>martyr’s</w:t>
      </w:r>
      <w:r w:rsidR="007D4A2B">
        <w:t xml:space="preserve"> passion, so one </w:t>
      </w:r>
      <w:r w:rsidR="00DA29C7">
        <w:t>must</w:t>
      </w:r>
      <w:r w:rsidR="007D4A2B">
        <w:t xml:space="preserve"> speculate.</w:t>
      </w:r>
      <w:r w:rsidR="0062242B">
        <w:t xml:space="preserve"> We also know that Sainte Foy was indeed</w:t>
      </w:r>
      <w:r w:rsidR="00644B35">
        <w:t xml:space="preserve"> </w:t>
      </w:r>
      <w:r w:rsidR="0062242B">
        <w:t>martyred</w:t>
      </w:r>
      <w:r w:rsidR="00644B35">
        <w:t xml:space="preserve"> and burned for believing in Jesus and Christianity.</w:t>
      </w:r>
      <w:r w:rsidR="0062242B">
        <w:rPr>
          <w:rStyle w:val="FootnoteReference"/>
        </w:rPr>
        <w:footnoteReference w:id="1"/>
      </w:r>
    </w:p>
    <w:p w:rsidR="00DA3A1F" w:rsidRDefault="00451441" w:rsidP="005A2E11">
      <w:pPr>
        <w:spacing w:line="480" w:lineRule="auto"/>
        <w:jc w:val="both"/>
      </w:pPr>
      <w:r>
        <w:t xml:space="preserve">We must now consider what a </w:t>
      </w:r>
      <w:r w:rsidR="00CA630A">
        <w:t>reliquary</w:t>
      </w:r>
      <w:r>
        <w:t xml:space="preserve"> was in the middle ages and to see if that of Sainte Foy differed from the rest. A </w:t>
      </w:r>
      <w:r w:rsidR="00CA630A">
        <w:t>reliquary</w:t>
      </w:r>
      <w:r>
        <w:t xml:space="preserve"> housed relics of a saint or important laymen such as popes and bishops. </w:t>
      </w:r>
      <w:r w:rsidR="00500819">
        <w:t>Relics were popular in the m</w:t>
      </w:r>
      <w:r w:rsidR="00C72AFD">
        <w:t>iddle ages and had been the most prolific aspect of Christianity in the West.</w:t>
      </w:r>
      <w:r>
        <w:t xml:space="preserve"> As well as this </w:t>
      </w:r>
      <w:r w:rsidR="00CA630A">
        <w:t xml:space="preserve">they were significant in religion, as it was important </w:t>
      </w:r>
      <w:r w:rsidR="00623B0B">
        <w:t>to know what</w:t>
      </w:r>
      <w:r w:rsidR="00CA630A">
        <w:t xml:space="preserve"> someone’s body would be kept in </w:t>
      </w:r>
      <w:r w:rsidR="00483168">
        <w:t>and</w:t>
      </w:r>
      <w:r w:rsidR="00CA630A">
        <w:t xml:space="preserve"> its geographical location. Relics were also used to consecrate altars.</w:t>
      </w:r>
      <w:r w:rsidR="00CA630A">
        <w:rPr>
          <w:rStyle w:val="FootnoteReference"/>
        </w:rPr>
        <w:footnoteReference w:id="2"/>
      </w:r>
      <w:r w:rsidR="007809E6">
        <w:t xml:space="preserve"> </w:t>
      </w:r>
      <w:r w:rsidR="00E1420D">
        <w:t>The text does not give us enough des</w:t>
      </w:r>
      <w:r w:rsidR="00DA3A1F">
        <w:t xml:space="preserve">cription on how Saint Foy is represented </w:t>
      </w:r>
      <w:r w:rsidR="00500819">
        <w:t xml:space="preserve">in terms of looks </w:t>
      </w:r>
      <w:r w:rsidR="00DA3A1F">
        <w:t xml:space="preserve">as a reliquary, we know from the miracles of Sainte Foy that she was a beautiful young woman, however, having personally looked at the reliquary it is hard to see this representation of a beautiful women come </w:t>
      </w:r>
      <w:r w:rsidR="00623B0B">
        <w:t>through</w:t>
      </w:r>
      <w:r w:rsidR="00DA3A1F">
        <w:t>.</w:t>
      </w:r>
      <w:r w:rsidR="00623B0B">
        <w:rPr>
          <w:rStyle w:val="FootnoteReference"/>
        </w:rPr>
        <w:footnoteReference w:id="3"/>
      </w:r>
      <w:r w:rsidR="00DA3A1F">
        <w:t xml:space="preserve"> Was this because the reliquary was not made during her lifetime and that the creators had no representation to go by. This is questioned because historians Javelt and Morrison, believe that reliquaries were supposed to look like their hosts due to the assumption that the body was created in Gods image so one would have to stay true to that in death.</w:t>
      </w:r>
      <w:r w:rsidR="00DA3A1F">
        <w:rPr>
          <w:rStyle w:val="FootnoteReference"/>
        </w:rPr>
        <w:footnoteReference w:id="4"/>
      </w:r>
      <w:r w:rsidR="00297A4D">
        <w:t xml:space="preserve"> Although we do know that Sainte Foys reliquary had been around long enough to cure a chronicler of the middle ages of fear.</w:t>
      </w:r>
      <w:r w:rsidR="005E53E1">
        <w:rPr>
          <w:rStyle w:val="FootnoteReference"/>
        </w:rPr>
        <w:footnoteReference w:id="5"/>
      </w:r>
      <w:r w:rsidR="009C2B17">
        <w:t xml:space="preserve"> </w:t>
      </w:r>
      <w:r w:rsidR="009C2B17">
        <w:lastRenderedPageBreak/>
        <w:t>What is different with the Sainte Foy reliquary is the fact that it is a full body reliquary, the most popular reliquary of these times would be that of the head and hands due to their communication role.</w:t>
      </w:r>
      <w:r w:rsidR="009C2B17">
        <w:rPr>
          <w:rStyle w:val="FootnoteReference"/>
        </w:rPr>
        <w:footnoteReference w:id="6"/>
      </w:r>
      <w:r w:rsidR="009C2B17">
        <w:t xml:space="preserve"> The fact that this reliqu</w:t>
      </w:r>
      <w:r w:rsidR="00770CF3">
        <w:t>ary has so many features</w:t>
      </w:r>
      <w:r w:rsidR="003B4AEB">
        <w:t xml:space="preserve"> such as various jewels</w:t>
      </w:r>
      <w:r w:rsidR="009C2B17">
        <w:t xml:space="preserve"> within it must suggest that this person was indeed of high ranking stature, and this is supported by historian H</w:t>
      </w:r>
      <w:r w:rsidR="00623B0B">
        <w:t>ann who believes that reliquaries</w:t>
      </w:r>
      <w:r w:rsidR="009C2B17">
        <w:t xml:space="preserve"> were indictors of power.</w:t>
      </w:r>
      <w:r w:rsidR="009C2B17">
        <w:rPr>
          <w:rStyle w:val="FootnoteReference"/>
        </w:rPr>
        <w:footnoteReference w:id="7"/>
      </w:r>
      <w:r w:rsidR="00D822B0">
        <w:t xml:space="preserve"> So to assume this </w:t>
      </w:r>
      <w:r w:rsidR="00E4515C">
        <w:t>reliquary</w:t>
      </w:r>
      <w:r w:rsidR="00D822B0">
        <w:t xml:space="preserve"> was made to show authority and power would be an understatement as it is </w:t>
      </w:r>
      <w:r w:rsidR="00E4515C">
        <w:t>beaming</w:t>
      </w:r>
      <w:r w:rsidR="00623B0B">
        <w:t xml:space="preserve"> with gold, </w:t>
      </w:r>
      <w:r w:rsidR="00E4515C">
        <w:t>jewels and is also a full body representation</w:t>
      </w:r>
      <w:r w:rsidR="00D822B0">
        <w:t xml:space="preserve"> rather than just a hand or head.</w:t>
      </w:r>
      <w:r w:rsidR="002D7549">
        <w:t xml:space="preserve"> </w:t>
      </w:r>
      <w:r w:rsidR="0050158E">
        <w:t xml:space="preserve">As well as this it is believed to have been just as precious as the </w:t>
      </w:r>
      <w:r w:rsidR="00623B0B">
        <w:t>Ark of the Covenant</w:t>
      </w:r>
      <w:r w:rsidR="0050158E">
        <w:t>.</w:t>
      </w:r>
      <w:r w:rsidR="0050158E">
        <w:rPr>
          <w:rStyle w:val="FootnoteReference"/>
        </w:rPr>
        <w:footnoteReference w:id="8"/>
      </w:r>
      <w:r w:rsidR="002D7549">
        <w:t xml:space="preserve">This assumption is sufficient </w:t>
      </w:r>
      <w:r w:rsidR="00E4515C">
        <w:t>enough to tell us why this reliquary</w:t>
      </w:r>
      <w:r w:rsidR="002D7549">
        <w:t xml:space="preserve"> was made, however through further reading, there is evidence to suggest that Conques w</w:t>
      </w:r>
      <w:r w:rsidR="00623B0B">
        <w:t>h</w:t>
      </w:r>
      <w:r w:rsidR="002D7549">
        <w:t xml:space="preserve">ere this </w:t>
      </w:r>
      <w:r w:rsidR="00E4515C">
        <w:t>reliquary</w:t>
      </w:r>
      <w:r w:rsidR="002D7549">
        <w:t xml:space="preserve"> of Saint Foye is held, is located on a pilgrimage route, and this </w:t>
      </w:r>
      <w:r w:rsidR="00623B0B">
        <w:t xml:space="preserve">is </w:t>
      </w:r>
      <w:r w:rsidR="002D7549">
        <w:t xml:space="preserve">a further reasoning as to why this reliquary was made and placed at this location. </w:t>
      </w:r>
    </w:p>
    <w:p w:rsidR="00466A25" w:rsidRDefault="00AB60E1" w:rsidP="005A2E11">
      <w:pPr>
        <w:spacing w:line="480" w:lineRule="auto"/>
        <w:jc w:val="both"/>
      </w:pPr>
      <w:r>
        <w:t xml:space="preserve">We must now consider what the texts fails to mention in relation to what is </w:t>
      </w:r>
      <w:proofErr w:type="gramStart"/>
      <w:r>
        <w:t>actually present</w:t>
      </w:r>
      <w:proofErr w:type="gramEnd"/>
      <w:r>
        <w:t xml:space="preserve"> within the reliquary. </w:t>
      </w:r>
      <w:r w:rsidR="00106BDA">
        <w:t>The text speaks of two golden doves that are apparently present on the reliquary of Sainte Foy, however after seeing an image of the reliquary these doves are not present, thus leads us to question was this description of the reliquary a plan of some sort or the missing doves have been lost with time</w:t>
      </w:r>
      <w:r w:rsidR="00623B0B">
        <w:rPr>
          <w:rStyle w:val="FootnoteReference"/>
        </w:rPr>
        <w:footnoteReference w:id="9"/>
      </w:r>
      <w:r w:rsidR="00106BDA">
        <w:t xml:space="preserve">. </w:t>
      </w:r>
      <w:r w:rsidR="006E4B8D">
        <w:t>Having said this the doves were meant to support Saint Foy</w:t>
      </w:r>
      <w:r w:rsidR="00623B0B">
        <w:t>’</w:t>
      </w:r>
      <w:r w:rsidR="006E4B8D">
        <w:t>s throne but on inspection these doves cannot be seen.</w:t>
      </w:r>
      <w:r w:rsidR="006E4B8D">
        <w:rPr>
          <w:rStyle w:val="FootnoteReference"/>
        </w:rPr>
        <w:footnoteReference w:id="10"/>
      </w:r>
      <w:r w:rsidR="00106BDA">
        <w:t xml:space="preserve">However, after looking at the image of the reliquary it is possible that Sainte Foy was holding a rod, </w:t>
      </w:r>
      <w:r w:rsidR="0050158E">
        <w:t>a</w:t>
      </w:r>
      <w:r w:rsidR="00623B0B">
        <w:t>s there is a mention of Sainte F</w:t>
      </w:r>
      <w:r w:rsidR="0050158E">
        <w:t>oy beating someone with a rod due to their disrespect when visiting her.</w:t>
      </w:r>
      <w:r w:rsidR="0050158E">
        <w:rPr>
          <w:rStyle w:val="FootnoteReference"/>
        </w:rPr>
        <w:footnoteReference w:id="11"/>
      </w:r>
      <w:r w:rsidR="0050158E">
        <w:t xml:space="preserve"> </w:t>
      </w:r>
      <w:r w:rsidR="000C0DC2">
        <w:t>The head of the reliquary of Saint Foy was identified as a roman helmet, thus the reason as to why the gold between</w:t>
      </w:r>
      <w:r w:rsidR="00EC2D96">
        <w:t xml:space="preserve"> the head and body is different,</w:t>
      </w:r>
      <w:r w:rsidR="000C0DC2">
        <w:rPr>
          <w:rStyle w:val="FootnoteReference"/>
        </w:rPr>
        <w:footnoteReference w:id="12"/>
      </w:r>
      <w:r w:rsidR="000C0DC2">
        <w:t xml:space="preserve"> </w:t>
      </w:r>
      <w:r w:rsidR="00EC2D96">
        <w:t xml:space="preserve"> this could be significant because one would see the use of a roman helmet as a possible </w:t>
      </w:r>
      <w:r w:rsidR="00295709">
        <w:t>connection</w:t>
      </w:r>
      <w:r w:rsidR="00EC2D96">
        <w:t xml:space="preserve"> with Christ due to Christ being crucified by the Romans. Although it is entirely plausible that a roman helmet was used </w:t>
      </w:r>
      <w:r w:rsidR="00EC2D96">
        <w:lastRenderedPageBreak/>
        <w:t xml:space="preserve">as it could have been easier to mould the head of the </w:t>
      </w:r>
      <w:r w:rsidR="00295709">
        <w:t>reliquary. It</w:t>
      </w:r>
      <w:r w:rsidR="000C0DC2">
        <w:t xml:space="preserve"> also suggested that the head also conta</w:t>
      </w:r>
      <w:r w:rsidR="0087029C">
        <w:t>ins a piece of Saint F</w:t>
      </w:r>
      <w:r w:rsidR="00840FB8">
        <w:t>oy</w:t>
      </w:r>
      <w:r w:rsidR="0087029C">
        <w:t>’</w:t>
      </w:r>
      <w:r w:rsidR="00840FB8">
        <w:t>s skull,</w:t>
      </w:r>
      <w:r w:rsidR="000C0DC2">
        <w:rPr>
          <w:rStyle w:val="FootnoteReference"/>
        </w:rPr>
        <w:footnoteReference w:id="13"/>
      </w:r>
      <w:r w:rsidR="000C0DC2">
        <w:t xml:space="preserve"> </w:t>
      </w:r>
      <w:r w:rsidR="00840FB8">
        <w:t xml:space="preserve">which is fairly rare as some </w:t>
      </w:r>
      <w:proofErr w:type="gramStart"/>
      <w:r w:rsidR="0087029C">
        <w:t>reliquary’s</w:t>
      </w:r>
      <w:proofErr w:type="gramEnd"/>
      <w:r w:rsidR="00840FB8">
        <w:t xml:space="preserve"> from </w:t>
      </w:r>
      <w:r w:rsidR="0087029C">
        <w:t xml:space="preserve">this time usually did not have the body part they were supposed to </w:t>
      </w:r>
      <w:r w:rsidR="00295709">
        <w:t>represent. The</w:t>
      </w:r>
      <w:r w:rsidR="0050158E">
        <w:t xml:space="preserve"> text also fails to show those who have been cursed for disrespecting the reliquary of Sainte Foy as there is various stories of a girl becoming cursed but then cured for confessing her wrongs to the saint. </w:t>
      </w:r>
      <w:r w:rsidR="0050158E">
        <w:rPr>
          <w:rStyle w:val="FootnoteReference"/>
        </w:rPr>
        <w:footnoteReference w:id="14"/>
      </w:r>
      <w:r w:rsidR="00A92546">
        <w:t xml:space="preserve"> The text also fails to show the two religious images placed at the bottom of the throne in a golden circle, one of Christ</w:t>
      </w:r>
      <w:r w:rsidR="00BD2677">
        <w:t>’</w:t>
      </w:r>
      <w:r w:rsidR="00A92546">
        <w:t>s crucifixion and the other of a sheep, which is</w:t>
      </w:r>
      <w:r w:rsidR="00BD2677">
        <w:t xml:space="preserve"> a</w:t>
      </w:r>
      <w:r w:rsidR="00A92546">
        <w:t xml:space="preserve"> representation of Christianity</w:t>
      </w:r>
      <w:r w:rsidR="00BD2677">
        <w:rPr>
          <w:rStyle w:val="FootnoteReference"/>
        </w:rPr>
        <w:footnoteReference w:id="15"/>
      </w:r>
      <w:r w:rsidR="00A92546">
        <w:t xml:space="preserve">. </w:t>
      </w:r>
    </w:p>
    <w:p w:rsidR="009B644A" w:rsidRDefault="00635026" w:rsidP="005A2E11">
      <w:pPr>
        <w:spacing w:line="480" w:lineRule="auto"/>
        <w:jc w:val="both"/>
      </w:pPr>
      <w:r>
        <w:t xml:space="preserve">To conclude, the text is useful to an extent as it does offer a similar description to that of the reliquary of Sainte Foy. However, it is entirely possible that the text was written at a much earlier </w:t>
      </w:r>
      <w:r w:rsidRPr="00BD2677">
        <w:t xml:space="preserve">date at </w:t>
      </w:r>
      <w:r w:rsidR="00BD2677">
        <w:t xml:space="preserve">its </w:t>
      </w:r>
      <w:r w:rsidRPr="00BD2677">
        <w:t xml:space="preserve">earliest </w:t>
      </w:r>
      <w:r w:rsidR="00BD2677">
        <w:t>stage</w:t>
      </w:r>
      <w:r w:rsidRPr="00BD2677">
        <w:t xml:space="preserve"> of the creation of the reliquary</w:t>
      </w:r>
      <w:r w:rsidR="00BD2677">
        <w:t>,</w:t>
      </w:r>
      <w:r w:rsidRPr="00BD2677">
        <w:t xml:space="preserve"> as it is known that the reliquary of Saint</w:t>
      </w:r>
      <w:r w:rsidR="00BD2677">
        <w:t xml:space="preserve"> Foy</w:t>
      </w:r>
      <w:r>
        <w:t xml:space="preserve"> had been added to through time. The text is also useful as it works </w:t>
      </w:r>
      <w:r w:rsidR="00BD2677">
        <w:t>to tell</w:t>
      </w:r>
      <w:r>
        <w:t xml:space="preserve"> us the importance of Saint Foy and the way in which important people of that time period were represented after death and the important role reliquaries had during this time. To take this text as the prime example of how the reliquary should</w:t>
      </w:r>
      <w:r w:rsidR="00BD2677">
        <w:t xml:space="preserve"> have looked would be a mistake</w:t>
      </w:r>
      <w:r>
        <w:t xml:space="preserve"> as even though the text is f</w:t>
      </w:r>
      <w:r w:rsidRPr="00635026">
        <w:t>airly accurate in describing some of the key features of the reliquary, it fails however</w:t>
      </w:r>
      <w:r>
        <w:t xml:space="preserve"> to show other aspects as previously mentioned, which had to be drawn out with further investigation and an analysis of a</w:t>
      </w:r>
      <w:r w:rsidR="00BD2677">
        <w:t>n image of the reliquary.</w:t>
      </w:r>
    </w:p>
    <w:p w:rsidR="00567B8C" w:rsidRDefault="00567B8C" w:rsidP="005A2E11">
      <w:pPr>
        <w:spacing w:line="480" w:lineRule="auto"/>
        <w:jc w:val="both"/>
      </w:pPr>
    </w:p>
    <w:p w:rsidR="00567B8C" w:rsidRDefault="00567B8C" w:rsidP="005A2E11">
      <w:pPr>
        <w:spacing w:line="480" w:lineRule="auto"/>
        <w:jc w:val="both"/>
      </w:pPr>
    </w:p>
    <w:p w:rsidR="00567B8C" w:rsidRDefault="00567B8C" w:rsidP="005A2E11">
      <w:pPr>
        <w:spacing w:line="480" w:lineRule="auto"/>
        <w:jc w:val="both"/>
      </w:pPr>
    </w:p>
    <w:p w:rsidR="00567B8C" w:rsidRDefault="00567B8C" w:rsidP="005A2E11">
      <w:pPr>
        <w:spacing w:line="480" w:lineRule="auto"/>
        <w:jc w:val="both"/>
      </w:pPr>
    </w:p>
    <w:p w:rsidR="00567B8C" w:rsidRDefault="00567B8C" w:rsidP="005A2E11">
      <w:pPr>
        <w:spacing w:line="480" w:lineRule="auto"/>
        <w:jc w:val="both"/>
      </w:pPr>
    </w:p>
    <w:p w:rsidR="00567B8C" w:rsidRDefault="00567B8C" w:rsidP="005A2E11">
      <w:pPr>
        <w:spacing w:line="480" w:lineRule="auto"/>
        <w:jc w:val="both"/>
      </w:pPr>
    </w:p>
    <w:p w:rsidR="00567B8C" w:rsidRDefault="00567B8C" w:rsidP="005A2E11">
      <w:pPr>
        <w:spacing w:line="480" w:lineRule="auto"/>
        <w:jc w:val="both"/>
      </w:pPr>
    </w:p>
    <w:p w:rsidR="003B4AEB" w:rsidRDefault="003B4AEB" w:rsidP="005A2E11">
      <w:pPr>
        <w:spacing w:line="480" w:lineRule="auto"/>
        <w:jc w:val="both"/>
      </w:pPr>
    </w:p>
    <w:p w:rsidR="00567B8C" w:rsidRDefault="00567B8C" w:rsidP="005A2E11">
      <w:pPr>
        <w:spacing w:line="480" w:lineRule="auto"/>
        <w:jc w:val="both"/>
      </w:pPr>
      <w:r>
        <w:t>Bibliography</w:t>
      </w:r>
    </w:p>
    <w:p w:rsidR="000C0DC2" w:rsidRPr="000C0DC2" w:rsidRDefault="000C0DC2" w:rsidP="000C0DC2">
      <w:pPr>
        <w:spacing w:line="480" w:lineRule="auto"/>
        <w:jc w:val="both"/>
      </w:pPr>
      <w:r w:rsidRPr="000C0DC2">
        <w:t xml:space="preserve">Boehm Drake, Barbara ‘Body-Part Reliquaries: The State of Research’, </w:t>
      </w:r>
      <w:proofErr w:type="spellStart"/>
      <w:r w:rsidRPr="000C0DC2">
        <w:rPr>
          <w:i/>
        </w:rPr>
        <w:t>Gesta</w:t>
      </w:r>
      <w:proofErr w:type="spellEnd"/>
      <w:r w:rsidRPr="000C0DC2">
        <w:rPr>
          <w:i/>
        </w:rPr>
        <w:t>,</w:t>
      </w:r>
      <w:r w:rsidRPr="000C0DC2">
        <w:t xml:space="preserve"> Vol 36, No.1. (1997) pp. 8-19. [online] Available at: </w:t>
      </w:r>
      <w:hyperlink r:id="rId8" w:history="1">
        <w:r w:rsidRPr="000C0DC2">
          <w:rPr>
            <w:rStyle w:val="Hyperlink"/>
          </w:rPr>
          <w:t>http://www.jstor.org/stable/767275</w:t>
        </w:r>
      </w:hyperlink>
      <w:r w:rsidRPr="000C0DC2">
        <w:t xml:space="preserve">  . Accessed on: 14-11-2017</w:t>
      </w:r>
    </w:p>
    <w:p w:rsidR="00567B8C" w:rsidRDefault="00567B8C" w:rsidP="005A2E11">
      <w:pPr>
        <w:spacing w:line="480" w:lineRule="auto"/>
        <w:jc w:val="both"/>
      </w:pPr>
      <w:r>
        <w:t>Bynum Walker, Caroline and Gerson Paula</w:t>
      </w:r>
      <w:bookmarkStart w:id="4" w:name="_Hlk499548016"/>
      <w:r>
        <w:t xml:space="preserve">, ‘Body-Part Reliquaries and Body Parts in the Middle Ages’, </w:t>
      </w:r>
      <w:bookmarkStart w:id="5" w:name="_Hlk499829825"/>
      <w:proofErr w:type="spellStart"/>
      <w:r>
        <w:rPr>
          <w:i/>
        </w:rPr>
        <w:t>Gesta</w:t>
      </w:r>
      <w:proofErr w:type="spellEnd"/>
      <w:r>
        <w:rPr>
          <w:i/>
        </w:rPr>
        <w:t>,</w:t>
      </w:r>
      <w:r>
        <w:t xml:space="preserve"> Vol 36, No.1. (1997)</w:t>
      </w:r>
      <w:bookmarkEnd w:id="4"/>
      <w:r>
        <w:t xml:space="preserve"> pp. </w:t>
      </w:r>
      <w:bookmarkEnd w:id="5"/>
      <w:r>
        <w:t xml:space="preserve">3-7. Available at: </w:t>
      </w:r>
      <w:hyperlink r:id="rId9" w:history="1">
        <w:r w:rsidRPr="00492D7E">
          <w:rPr>
            <w:rStyle w:val="Hyperlink"/>
          </w:rPr>
          <w:t>http://www.jstor.org/stable/767274</w:t>
        </w:r>
      </w:hyperlink>
      <w:r>
        <w:t xml:space="preserve"> . Accessed on: 13/11/17. </w:t>
      </w:r>
    </w:p>
    <w:p w:rsidR="000F4712" w:rsidRDefault="000F4712" w:rsidP="000566E9">
      <w:pPr>
        <w:spacing w:line="480" w:lineRule="auto"/>
      </w:pPr>
      <w:bookmarkStart w:id="6" w:name="_Hlk499548709"/>
      <w:r>
        <w:t>Image of Reliquary of Saint Foy</w:t>
      </w:r>
      <w:bookmarkEnd w:id="6"/>
      <w:r w:rsidR="008F16BD">
        <w:t xml:space="preserve">, Available at:  </w:t>
      </w:r>
      <w:hyperlink r:id="rId10" w:history="1">
        <w:r w:rsidR="008F16BD" w:rsidRPr="00087DCD">
          <w:rPr>
            <w:rStyle w:val="Hyperlink"/>
          </w:rPr>
          <w:t>https://inpress.lib.uiowa.edu/feminae/DetailsPage.aspx?Feminae_ID=31968</w:t>
        </w:r>
      </w:hyperlink>
      <w:r w:rsidR="000566E9">
        <w:t xml:space="preserve"> </w:t>
      </w:r>
    </w:p>
    <w:p w:rsidR="008F16BD" w:rsidRDefault="008F16BD" w:rsidP="000566E9">
      <w:pPr>
        <w:spacing w:line="480" w:lineRule="auto"/>
      </w:pPr>
      <w:r>
        <w:t xml:space="preserve">trans Sheingorn Pamela, </w:t>
      </w:r>
      <w:bookmarkStart w:id="7" w:name="_Hlk499549179"/>
      <w:r w:rsidRPr="008F16BD">
        <w:rPr>
          <w:i/>
        </w:rPr>
        <w:t xml:space="preserve">The Book </w:t>
      </w:r>
      <w:proofErr w:type="gramStart"/>
      <w:r w:rsidRPr="008F16BD">
        <w:rPr>
          <w:i/>
        </w:rPr>
        <w:t>Of</w:t>
      </w:r>
      <w:proofErr w:type="gramEnd"/>
      <w:r w:rsidRPr="008F16BD">
        <w:rPr>
          <w:i/>
        </w:rPr>
        <w:t xml:space="preserve"> Sainte Foy</w:t>
      </w:r>
      <w:r>
        <w:t>, (University of Pennsylvania Press, 1995)</w:t>
      </w:r>
      <w:bookmarkEnd w:id="7"/>
    </w:p>
    <w:p w:rsidR="000C0DC2" w:rsidRDefault="000C0DC2" w:rsidP="000C0DC2">
      <w:pPr>
        <w:spacing w:line="480" w:lineRule="auto"/>
      </w:pPr>
    </w:p>
    <w:p w:rsidR="000C0DC2" w:rsidRPr="00567B8C" w:rsidRDefault="000C0DC2" w:rsidP="000C0DC2">
      <w:pPr>
        <w:spacing w:line="480" w:lineRule="auto"/>
      </w:pPr>
    </w:p>
    <w:sectPr w:rsidR="000C0DC2" w:rsidRPr="00567B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908" w:rsidRDefault="00455908" w:rsidP="00C72AFD">
      <w:pPr>
        <w:spacing w:after="0" w:line="240" w:lineRule="auto"/>
      </w:pPr>
      <w:r>
        <w:separator/>
      </w:r>
    </w:p>
  </w:endnote>
  <w:endnote w:type="continuationSeparator" w:id="0">
    <w:p w:rsidR="00455908" w:rsidRDefault="00455908" w:rsidP="00C72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908" w:rsidRDefault="00455908" w:rsidP="00C72AFD">
      <w:pPr>
        <w:spacing w:after="0" w:line="240" w:lineRule="auto"/>
      </w:pPr>
      <w:r>
        <w:separator/>
      </w:r>
    </w:p>
  </w:footnote>
  <w:footnote w:type="continuationSeparator" w:id="0">
    <w:p w:rsidR="00455908" w:rsidRDefault="00455908" w:rsidP="00C72AFD">
      <w:pPr>
        <w:spacing w:after="0" w:line="240" w:lineRule="auto"/>
      </w:pPr>
      <w:r>
        <w:continuationSeparator/>
      </w:r>
    </w:p>
  </w:footnote>
  <w:footnote w:id="1">
    <w:p w:rsidR="0062242B" w:rsidRDefault="0062242B">
      <w:pPr>
        <w:pStyle w:val="FootnoteText"/>
      </w:pPr>
      <w:r>
        <w:rPr>
          <w:rStyle w:val="FootnoteReference"/>
        </w:rPr>
        <w:footnoteRef/>
      </w:r>
      <w:r>
        <w:t xml:space="preserve"> </w:t>
      </w:r>
      <w:r w:rsidR="00364CC7">
        <w:t xml:space="preserve">Trans P. Sheingorn, </w:t>
      </w:r>
      <w:r w:rsidR="00364CC7" w:rsidRPr="00364CC7">
        <w:rPr>
          <w:i/>
        </w:rPr>
        <w:t xml:space="preserve">The Book </w:t>
      </w:r>
      <w:proofErr w:type="gramStart"/>
      <w:r w:rsidR="00364CC7" w:rsidRPr="00364CC7">
        <w:rPr>
          <w:i/>
        </w:rPr>
        <w:t>Of</w:t>
      </w:r>
      <w:proofErr w:type="gramEnd"/>
      <w:r w:rsidR="00364CC7" w:rsidRPr="00364CC7">
        <w:rPr>
          <w:i/>
        </w:rPr>
        <w:t xml:space="preserve"> Sainte Foy</w:t>
      </w:r>
      <w:r w:rsidR="00364CC7" w:rsidRPr="00364CC7">
        <w:t>, (University of Pennsylvania Press, 1995)</w:t>
      </w:r>
      <w:r w:rsidR="00364CC7">
        <w:t>.</w:t>
      </w:r>
      <w:r w:rsidR="00582922">
        <w:t xml:space="preserve"> </w:t>
      </w:r>
      <w:r w:rsidR="00364CC7">
        <w:t>Page 34, 35</w:t>
      </w:r>
    </w:p>
  </w:footnote>
  <w:footnote w:id="2">
    <w:p w:rsidR="00CA630A" w:rsidRDefault="00CA630A" w:rsidP="00CA630A">
      <w:pPr>
        <w:pStyle w:val="FootnoteText"/>
      </w:pPr>
      <w:r>
        <w:rPr>
          <w:rStyle w:val="FootnoteReference"/>
        </w:rPr>
        <w:footnoteRef/>
      </w:r>
      <w:r>
        <w:t xml:space="preserve"> </w:t>
      </w:r>
      <w:bookmarkStart w:id="1" w:name="_Hlk499548048"/>
      <w:r w:rsidR="000F4712">
        <w:t xml:space="preserve">C. </w:t>
      </w:r>
      <w:r>
        <w:t>Bynum</w:t>
      </w:r>
      <w:r w:rsidR="00BE41CB">
        <w:t xml:space="preserve"> and P. Gerson,</w:t>
      </w:r>
      <w:r w:rsidR="000F4712" w:rsidRPr="000F4712">
        <w:t xml:space="preserve"> ‘Body-Part Reliquaries and Body Parts in the Middle Ages’</w:t>
      </w:r>
      <w:bookmarkEnd w:id="1"/>
      <w:r w:rsidR="000F4712" w:rsidRPr="000F4712">
        <w:t xml:space="preserve">, </w:t>
      </w:r>
      <w:proofErr w:type="spellStart"/>
      <w:r w:rsidR="000F4712" w:rsidRPr="000F4712">
        <w:rPr>
          <w:i/>
        </w:rPr>
        <w:t>Gesta</w:t>
      </w:r>
      <w:proofErr w:type="spellEnd"/>
      <w:r w:rsidR="000F4712" w:rsidRPr="000F4712">
        <w:rPr>
          <w:i/>
        </w:rPr>
        <w:t>,</w:t>
      </w:r>
      <w:r w:rsidR="000F4712" w:rsidRPr="000F4712">
        <w:t xml:space="preserve"> Vol 36, No.1. (1997)</w:t>
      </w:r>
      <w:r>
        <w:t xml:space="preserve"> Page 3</w:t>
      </w:r>
    </w:p>
  </w:footnote>
  <w:footnote w:id="3">
    <w:p w:rsidR="00623B0B" w:rsidRDefault="00623B0B">
      <w:pPr>
        <w:pStyle w:val="FootnoteText"/>
      </w:pPr>
      <w:r>
        <w:rPr>
          <w:rStyle w:val="FootnoteReference"/>
        </w:rPr>
        <w:footnoteRef/>
      </w:r>
      <w:r>
        <w:t xml:space="preserve"> </w:t>
      </w:r>
      <w:r w:rsidR="00BE41CB" w:rsidRPr="00BE41CB">
        <w:t>Image of Reliquary of Saint Foy</w:t>
      </w:r>
    </w:p>
  </w:footnote>
  <w:footnote w:id="4">
    <w:p w:rsidR="00DA3A1F" w:rsidRDefault="00DA3A1F" w:rsidP="00DA3A1F">
      <w:pPr>
        <w:pStyle w:val="FootnoteText"/>
      </w:pPr>
      <w:r>
        <w:rPr>
          <w:rStyle w:val="FootnoteReference"/>
        </w:rPr>
        <w:footnoteRef/>
      </w:r>
      <w:r w:rsidR="000F4712">
        <w:t xml:space="preserve"> </w:t>
      </w:r>
      <w:r w:rsidR="000F4712" w:rsidRPr="000F4712">
        <w:t>C. Bynum</w:t>
      </w:r>
      <w:r w:rsidR="00BE41CB">
        <w:t xml:space="preserve"> and P. Gerson</w:t>
      </w:r>
      <w:r w:rsidR="000F4712" w:rsidRPr="000F4712">
        <w:t>, ‘Body-Part Reliquaries and Body Parts in the Middle Ages’</w:t>
      </w:r>
      <w:r w:rsidR="000F4712">
        <w:t>. Page 3</w:t>
      </w:r>
    </w:p>
  </w:footnote>
  <w:footnote w:id="5">
    <w:p w:rsidR="005E53E1" w:rsidRDefault="005E53E1">
      <w:pPr>
        <w:pStyle w:val="FootnoteText"/>
      </w:pPr>
      <w:r>
        <w:rPr>
          <w:rStyle w:val="FootnoteReference"/>
        </w:rPr>
        <w:footnoteRef/>
      </w:r>
      <w:r w:rsidR="000F4712">
        <w:t xml:space="preserve"> </w:t>
      </w:r>
      <w:r w:rsidR="000F4712" w:rsidRPr="000F4712">
        <w:t>C. Bynum</w:t>
      </w:r>
      <w:r w:rsidR="00BE41CB">
        <w:t xml:space="preserve"> and P. Gerson</w:t>
      </w:r>
      <w:r w:rsidR="000F4712" w:rsidRPr="000F4712">
        <w:t>, ‘Body-Part Reliquaries and Body Parts in the Middle Ages’</w:t>
      </w:r>
      <w:r w:rsidR="000F4712">
        <w:t>. P</w:t>
      </w:r>
      <w:r>
        <w:t>age 5</w:t>
      </w:r>
    </w:p>
  </w:footnote>
  <w:footnote w:id="6">
    <w:p w:rsidR="009C2B17" w:rsidRDefault="009C2B17">
      <w:pPr>
        <w:pStyle w:val="FootnoteText"/>
      </w:pPr>
      <w:r>
        <w:rPr>
          <w:rStyle w:val="FootnoteReference"/>
        </w:rPr>
        <w:footnoteRef/>
      </w:r>
      <w:r w:rsidR="000F4712">
        <w:t xml:space="preserve"> </w:t>
      </w:r>
      <w:r w:rsidR="000F4712" w:rsidRPr="000F4712">
        <w:t>C. Bynum</w:t>
      </w:r>
      <w:r w:rsidR="00BE41CB">
        <w:t xml:space="preserve"> and P. Gerson</w:t>
      </w:r>
      <w:bookmarkStart w:id="2" w:name="_Hlk499829977"/>
      <w:r w:rsidR="00BE41CB">
        <w:t xml:space="preserve">, </w:t>
      </w:r>
      <w:r w:rsidR="000F4712" w:rsidRPr="000F4712">
        <w:t>‘Body-Part Reliquaries and Body Parts in the Middle Ages’</w:t>
      </w:r>
      <w:bookmarkEnd w:id="2"/>
      <w:r w:rsidR="000F4712">
        <w:t>. P</w:t>
      </w:r>
      <w:r>
        <w:t xml:space="preserve">age 6 </w:t>
      </w:r>
    </w:p>
  </w:footnote>
  <w:footnote w:id="7">
    <w:p w:rsidR="009C2B17" w:rsidRDefault="009C2B17">
      <w:pPr>
        <w:pStyle w:val="FootnoteText"/>
      </w:pPr>
      <w:r>
        <w:rPr>
          <w:rStyle w:val="FootnoteReference"/>
        </w:rPr>
        <w:footnoteRef/>
      </w:r>
      <w:r>
        <w:t xml:space="preserve"> Ibid </w:t>
      </w:r>
    </w:p>
  </w:footnote>
  <w:footnote w:id="8">
    <w:p w:rsidR="0050158E" w:rsidRDefault="0050158E">
      <w:pPr>
        <w:pStyle w:val="FootnoteText"/>
      </w:pPr>
      <w:r>
        <w:rPr>
          <w:rStyle w:val="FootnoteReference"/>
        </w:rPr>
        <w:footnoteRef/>
      </w:r>
      <w:r>
        <w:t xml:space="preserve"> </w:t>
      </w:r>
      <w:r w:rsidR="00364CC7" w:rsidRPr="00364CC7">
        <w:t xml:space="preserve">Trans P. Sheingorn, </w:t>
      </w:r>
      <w:r w:rsidR="00364CC7" w:rsidRPr="00364CC7">
        <w:rPr>
          <w:i/>
        </w:rPr>
        <w:t xml:space="preserve">The Book </w:t>
      </w:r>
      <w:proofErr w:type="gramStart"/>
      <w:r w:rsidR="00364CC7" w:rsidRPr="00364CC7">
        <w:rPr>
          <w:i/>
        </w:rPr>
        <w:t>Of</w:t>
      </w:r>
      <w:proofErr w:type="gramEnd"/>
      <w:r w:rsidR="00364CC7" w:rsidRPr="00364CC7">
        <w:rPr>
          <w:i/>
        </w:rPr>
        <w:t xml:space="preserve"> Sainte Foy</w:t>
      </w:r>
      <w:r w:rsidR="00364CC7">
        <w:t>. Page 79</w:t>
      </w:r>
    </w:p>
  </w:footnote>
  <w:footnote w:id="9">
    <w:p w:rsidR="00623B0B" w:rsidRDefault="00623B0B">
      <w:pPr>
        <w:pStyle w:val="FootnoteText"/>
      </w:pPr>
      <w:r>
        <w:rPr>
          <w:rStyle w:val="FootnoteReference"/>
        </w:rPr>
        <w:footnoteRef/>
      </w:r>
      <w:r>
        <w:t xml:space="preserve"> </w:t>
      </w:r>
      <w:r w:rsidR="00BE41CB" w:rsidRPr="00BE41CB">
        <w:t>Image of Reliquary of Saint Foy</w:t>
      </w:r>
    </w:p>
  </w:footnote>
  <w:footnote w:id="10">
    <w:p w:rsidR="006E4B8D" w:rsidRDefault="006E4B8D">
      <w:pPr>
        <w:pStyle w:val="FootnoteText"/>
      </w:pPr>
      <w:r>
        <w:rPr>
          <w:rStyle w:val="FootnoteReference"/>
        </w:rPr>
        <w:footnoteRef/>
      </w:r>
      <w:r>
        <w:t xml:space="preserve"> </w:t>
      </w:r>
      <w:bookmarkStart w:id="3" w:name="_Hlk499829740"/>
      <w:r w:rsidR="00364CC7" w:rsidRPr="00364CC7">
        <w:t xml:space="preserve">Trans P. Sheingorn, </w:t>
      </w:r>
      <w:r w:rsidR="00364CC7" w:rsidRPr="00364CC7">
        <w:rPr>
          <w:i/>
        </w:rPr>
        <w:t xml:space="preserve">The Book </w:t>
      </w:r>
      <w:proofErr w:type="gramStart"/>
      <w:r w:rsidR="00364CC7" w:rsidRPr="00364CC7">
        <w:rPr>
          <w:i/>
        </w:rPr>
        <w:t>Of</w:t>
      </w:r>
      <w:proofErr w:type="gramEnd"/>
      <w:r w:rsidR="00364CC7" w:rsidRPr="00364CC7">
        <w:rPr>
          <w:i/>
        </w:rPr>
        <w:t xml:space="preserve"> Sainte Foy</w:t>
      </w:r>
      <w:r w:rsidR="00364CC7">
        <w:t xml:space="preserve">. </w:t>
      </w:r>
      <w:r>
        <w:t xml:space="preserve">Page </w:t>
      </w:r>
      <w:bookmarkEnd w:id="3"/>
      <w:r>
        <w:t>82</w:t>
      </w:r>
    </w:p>
  </w:footnote>
  <w:footnote w:id="11">
    <w:p w:rsidR="0050158E" w:rsidRDefault="0050158E">
      <w:pPr>
        <w:pStyle w:val="FootnoteText"/>
      </w:pPr>
      <w:r>
        <w:rPr>
          <w:rStyle w:val="FootnoteReference"/>
        </w:rPr>
        <w:footnoteRef/>
      </w:r>
      <w:r w:rsidR="00364CC7">
        <w:t xml:space="preserve"> </w:t>
      </w:r>
      <w:r w:rsidR="00364CC7" w:rsidRPr="00364CC7">
        <w:t xml:space="preserve">Trans P. Sheingorn, </w:t>
      </w:r>
      <w:r w:rsidR="00364CC7" w:rsidRPr="00364CC7">
        <w:rPr>
          <w:i/>
        </w:rPr>
        <w:t xml:space="preserve">The Book </w:t>
      </w:r>
      <w:proofErr w:type="gramStart"/>
      <w:r w:rsidR="00364CC7" w:rsidRPr="00364CC7">
        <w:rPr>
          <w:i/>
        </w:rPr>
        <w:t>Of</w:t>
      </w:r>
      <w:proofErr w:type="gramEnd"/>
      <w:r w:rsidR="00364CC7" w:rsidRPr="00364CC7">
        <w:rPr>
          <w:i/>
        </w:rPr>
        <w:t xml:space="preserve"> Sainte Foy</w:t>
      </w:r>
      <w:r w:rsidR="00364CC7">
        <w:t>. Page 79</w:t>
      </w:r>
    </w:p>
  </w:footnote>
  <w:footnote w:id="12">
    <w:p w:rsidR="000C0DC2" w:rsidRDefault="000C0DC2">
      <w:pPr>
        <w:pStyle w:val="FootnoteText"/>
      </w:pPr>
      <w:r>
        <w:rPr>
          <w:rStyle w:val="FootnoteReference"/>
        </w:rPr>
        <w:footnoteRef/>
      </w:r>
      <w:r>
        <w:t xml:space="preserve"> </w:t>
      </w:r>
      <w:r w:rsidR="00E0272B">
        <w:t>B. Boehm,</w:t>
      </w:r>
      <w:r w:rsidR="00E0272B" w:rsidRPr="00E0272B">
        <w:t xml:space="preserve"> ‘Body-Part Reliquaries and Body Parts in the Middle Ages’</w:t>
      </w:r>
      <w:r w:rsidR="00E0272B">
        <w:t xml:space="preserve">. </w:t>
      </w:r>
      <w:r>
        <w:t xml:space="preserve">Page 11 </w:t>
      </w:r>
    </w:p>
  </w:footnote>
  <w:footnote w:id="13">
    <w:p w:rsidR="000C0DC2" w:rsidRDefault="000C0DC2">
      <w:pPr>
        <w:pStyle w:val="FootnoteText"/>
      </w:pPr>
      <w:r>
        <w:rPr>
          <w:rStyle w:val="FootnoteReference"/>
        </w:rPr>
        <w:footnoteRef/>
      </w:r>
      <w:r>
        <w:t xml:space="preserve"> </w:t>
      </w:r>
      <w:r w:rsidRPr="000C0DC2">
        <w:t xml:space="preserve">Trans P. </w:t>
      </w:r>
      <w:proofErr w:type="spellStart"/>
      <w:r w:rsidRPr="000C0DC2">
        <w:t>Sheingorn</w:t>
      </w:r>
      <w:proofErr w:type="spellEnd"/>
      <w:r w:rsidRPr="000C0DC2">
        <w:t xml:space="preserve">, </w:t>
      </w:r>
      <w:r w:rsidRPr="000C0DC2">
        <w:rPr>
          <w:i/>
        </w:rPr>
        <w:t xml:space="preserve">The Book </w:t>
      </w:r>
      <w:proofErr w:type="gramStart"/>
      <w:r w:rsidRPr="000C0DC2">
        <w:rPr>
          <w:i/>
        </w:rPr>
        <w:t>Of</w:t>
      </w:r>
      <w:proofErr w:type="gramEnd"/>
      <w:r w:rsidRPr="000C0DC2">
        <w:rPr>
          <w:i/>
        </w:rPr>
        <w:t xml:space="preserve"> Sainte Foy</w:t>
      </w:r>
      <w:r w:rsidRPr="000C0DC2">
        <w:t>. Page</w:t>
      </w:r>
      <w:r>
        <w:t xml:space="preserve"> 16</w:t>
      </w:r>
    </w:p>
  </w:footnote>
  <w:footnote w:id="14">
    <w:p w:rsidR="0050158E" w:rsidRDefault="0050158E">
      <w:pPr>
        <w:pStyle w:val="FootnoteText"/>
      </w:pPr>
      <w:r>
        <w:rPr>
          <w:rStyle w:val="FootnoteReference"/>
        </w:rPr>
        <w:footnoteRef/>
      </w:r>
      <w:r w:rsidR="00364CC7">
        <w:t xml:space="preserve"> </w:t>
      </w:r>
      <w:r w:rsidR="00364CC7" w:rsidRPr="00364CC7">
        <w:t xml:space="preserve">Trans P. Sheingorn, </w:t>
      </w:r>
      <w:r w:rsidR="00364CC7" w:rsidRPr="00364CC7">
        <w:rPr>
          <w:i/>
        </w:rPr>
        <w:t xml:space="preserve">The Book </w:t>
      </w:r>
      <w:proofErr w:type="gramStart"/>
      <w:r w:rsidR="00364CC7" w:rsidRPr="00364CC7">
        <w:rPr>
          <w:i/>
        </w:rPr>
        <w:t>Of</w:t>
      </w:r>
      <w:proofErr w:type="gramEnd"/>
      <w:r w:rsidR="00364CC7" w:rsidRPr="00364CC7">
        <w:rPr>
          <w:i/>
        </w:rPr>
        <w:t xml:space="preserve"> Sainte Foy</w:t>
      </w:r>
      <w:r w:rsidR="00364CC7">
        <w:t>. P</w:t>
      </w:r>
      <w:r>
        <w:t>age 81</w:t>
      </w:r>
    </w:p>
  </w:footnote>
  <w:footnote w:id="15">
    <w:p w:rsidR="00BD2677" w:rsidRDefault="00BD2677">
      <w:pPr>
        <w:pStyle w:val="FootnoteText"/>
      </w:pPr>
      <w:r>
        <w:rPr>
          <w:rStyle w:val="FootnoteReference"/>
        </w:rPr>
        <w:footnoteRef/>
      </w:r>
      <w:r w:rsidR="00BE41CB">
        <w:t xml:space="preserve"> </w:t>
      </w:r>
      <w:r w:rsidR="00BE41CB" w:rsidRPr="00BE41CB">
        <w:t>Image of Reliquary of Saint Foy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80D"/>
    <w:rsid w:val="000566E9"/>
    <w:rsid w:val="000C0DC2"/>
    <w:rsid w:val="000E4259"/>
    <w:rsid w:val="000F4712"/>
    <w:rsid w:val="00106BDA"/>
    <w:rsid w:val="00113567"/>
    <w:rsid w:val="001616E2"/>
    <w:rsid w:val="001E02D0"/>
    <w:rsid w:val="002153A4"/>
    <w:rsid w:val="00295709"/>
    <w:rsid w:val="00297A4D"/>
    <w:rsid w:val="002D7549"/>
    <w:rsid w:val="0033038D"/>
    <w:rsid w:val="00346793"/>
    <w:rsid w:val="00364CC7"/>
    <w:rsid w:val="00385A1C"/>
    <w:rsid w:val="003B4AEB"/>
    <w:rsid w:val="00451441"/>
    <w:rsid w:val="00455908"/>
    <w:rsid w:val="00466A25"/>
    <w:rsid w:val="00483168"/>
    <w:rsid w:val="00496C30"/>
    <w:rsid w:val="00500819"/>
    <w:rsid w:val="0050158E"/>
    <w:rsid w:val="00567B8C"/>
    <w:rsid w:val="00582922"/>
    <w:rsid w:val="005A2E11"/>
    <w:rsid w:val="005E53E1"/>
    <w:rsid w:val="005F590C"/>
    <w:rsid w:val="0062242B"/>
    <w:rsid w:val="00623B0B"/>
    <w:rsid w:val="00635026"/>
    <w:rsid w:val="00644B35"/>
    <w:rsid w:val="00691E59"/>
    <w:rsid w:val="006E4B8D"/>
    <w:rsid w:val="00770053"/>
    <w:rsid w:val="00770CF3"/>
    <w:rsid w:val="007809E6"/>
    <w:rsid w:val="007A280D"/>
    <w:rsid w:val="007D4A2B"/>
    <w:rsid w:val="00840FB8"/>
    <w:rsid w:val="0087029C"/>
    <w:rsid w:val="008C39A4"/>
    <w:rsid w:val="008F16BD"/>
    <w:rsid w:val="009B5BB3"/>
    <w:rsid w:val="009B644A"/>
    <w:rsid w:val="009C2B17"/>
    <w:rsid w:val="009E5F93"/>
    <w:rsid w:val="00A312EE"/>
    <w:rsid w:val="00A92546"/>
    <w:rsid w:val="00AB2701"/>
    <w:rsid w:val="00AB60E1"/>
    <w:rsid w:val="00B85C8D"/>
    <w:rsid w:val="00BD2677"/>
    <w:rsid w:val="00BE41CB"/>
    <w:rsid w:val="00C36295"/>
    <w:rsid w:val="00C72AFD"/>
    <w:rsid w:val="00CA630A"/>
    <w:rsid w:val="00D822B0"/>
    <w:rsid w:val="00D82833"/>
    <w:rsid w:val="00DA29C7"/>
    <w:rsid w:val="00DA3A1F"/>
    <w:rsid w:val="00E0272B"/>
    <w:rsid w:val="00E1420D"/>
    <w:rsid w:val="00E4515C"/>
    <w:rsid w:val="00EC2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5B17D3"/>
  <w15:docId w15:val="{945232B7-21A8-41CB-BE93-297E7CAC5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72A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2AFD"/>
    <w:rPr>
      <w:sz w:val="20"/>
      <w:szCs w:val="20"/>
    </w:rPr>
  </w:style>
  <w:style w:type="character" w:styleId="FootnoteReference">
    <w:name w:val="footnote reference"/>
    <w:basedOn w:val="DefaultParagraphFont"/>
    <w:uiPriority w:val="99"/>
    <w:semiHidden/>
    <w:unhideWhenUsed/>
    <w:rsid w:val="00C72AFD"/>
    <w:rPr>
      <w:vertAlign w:val="superscript"/>
    </w:rPr>
  </w:style>
  <w:style w:type="character" w:styleId="Hyperlink">
    <w:name w:val="Hyperlink"/>
    <w:basedOn w:val="DefaultParagraphFont"/>
    <w:uiPriority w:val="99"/>
    <w:unhideWhenUsed/>
    <w:rsid w:val="00567B8C"/>
    <w:rPr>
      <w:color w:val="0563C1" w:themeColor="hyperlink"/>
      <w:u w:val="single"/>
    </w:rPr>
  </w:style>
  <w:style w:type="character" w:styleId="UnresolvedMention">
    <w:name w:val="Unresolved Mention"/>
    <w:basedOn w:val="DefaultParagraphFont"/>
    <w:uiPriority w:val="99"/>
    <w:semiHidden/>
    <w:unhideWhenUsed/>
    <w:rsid w:val="00567B8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76727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inpress.lib.uiowa.edu/feminae/DetailsPage.aspx?Feminae_ID=31968" TargetMode="External"/><Relationship Id="rId4" Type="http://schemas.openxmlformats.org/officeDocument/2006/relationships/webSettings" Target="webSettings.xml"/><Relationship Id="rId9" Type="http://schemas.openxmlformats.org/officeDocument/2006/relationships/hyperlink" Target="http://www.jstor.org/stable/7672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83539D5-D64A-4E8A-8628-CABE16D81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1064</Words>
  <Characters>6065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Trevett</dc:creator>
  <cp:keywords/>
  <dc:description/>
  <cp:lastModifiedBy>Dylan Trevett</cp:lastModifiedBy>
  <cp:revision>25</cp:revision>
  <dcterms:created xsi:type="dcterms:W3CDTF">2017-11-27T12:06:00Z</dcterms:created>
  <dcterms:modified xsi:type="dcterms:W3CDTF">2017-11-30T19:21:00Z</dcterms:modified>
</cp:coreProperties>
</file>