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E43E49">
      <w:pPr>
        <w:pStyle w:val="4"/>
        <w:widowControl/>
        <w:spacing w:beforeAutospacing="0" w:afterAutospacing="0" w:line="480" w:lineRule="auto"/>
        <w:jc w:val="center"/>
        <w:rPr>
          <w:rFonts w:hint="default" w:ascii="Times New Roman Bold" w:hAnsi="Times New Roman Bold" w:cs="Times New Roman Bold"/>
          <w:b/>
          <w:bCs/>
        </w:rPr>
      </w:pPr>
      <w:r>
        <w:rPr>
          <w:rFonts w:hint="default" w:ascii="Times New Roman Bold" w:hAnsi="Times New Roman Bold" w:cs="Times New Roman Bold"/>
          <w:b/>
          <w:bCs/>
        </w:rPr>
        <w:t>Reinterpreting Cizhou Kiln Motifs via Semiotics and Transmedia Branding: A Mixed Methods Analysis of Heritage Symbol Translation</w:t>
      </w:r>
    </w:p>
    <w:p w14:paraId="347D86DB">
      <w:pPr>
        <w:pStyle w:val="4"/>
        <w:widowControl/>
        <w:spacing w:beforeAutospacing="0" w:afterAutospacing="0" w:line="480" w:lineRule="auto"/>
        <w:jc w:val="both"/>
        <w:rPr>
          <w:rFonts w:ascii="Times New Roman Bold" w:hAnsi="Times New Roman Bold" w:cs="Times New Roman Bold"/>
          <w:b/>
          <w:bCs/>
        </w:rPr>
      </w:pPr>
      <w:r>
        <w:rPr>
          <w:rFonts w:ascii="Times New Roman Bold" w:hAnsi="Times New Roman Bold" w:cs="Times New Roman Bold"/>
          <w:b/>
          <w:bCs/>
        </w:rPr>
        <w:t>Abstract</w:t>
      </w:r>
    </w:p>
    <w:p w14:paraId="763B19B9">
      <w:pPr>
        <w:pStyle w:val="4"/>
        <w:widowControl/>
        <w:spacing w:beforeAutospacing="0" w:afterAutospacing="0" w:line="480" w:lineRule="auto"/>
        <w:ind w:firstLine="480" w:firstLineChars="200"/>
        <w:jc w:val="both"/>
        <w:rPr>
          <w:rFonts w:ascii="Times New Roman Bold" w:hAnsi="Times New Roman Bold" w:cs="Times New Roman Bold"/>
          <w:b/>
          <w:bCs/>
        </w:rPr>
      </w:pPr>
      <w:r>
        <w:rPr>
          <w:rFonts w:ascii="Times New Roman Regular" w:hAnsi="Times New Roman Regular" w:cs="Times New Roman Regular"/>
        </w:rPr>
        <w:t>This study establishes a methodological framework grounded on qualitative research aimed at investigating the symbolic reinterpretation of the decorative patterns of the Cizhou Kiln within contemporary cross-media narratives and cultural brand design. In addressing the dual demands of cultural authenticity and market sustainability, the study used a mixed research methodology centered on narrative inquiry, supplemented by quantitative confirmation. This methodology integrates semiotics, cross-media narrative theory, and branding theory to systematically analyze the visual form and cultural significance of traditional patterns from the Cizhou Kilns, develop a cross-media narrative framework, and empirically evaluate user acceptance and brand recognition results.</w:t>
      </w:r>
    </w:p>
    <w:p w14:paraId="090FBB1F">
      <w:pPr>
        <w:pStyle w:val="4"/>
        <w:widowControl/>
        <w:spacing w:beforeAutospacing="0" w:afterAutospacing="0" w:line="480" w:lineRule="auto"/>
        <w:ind w:firstLine="480" w:firstLineChars="200"/>
        <w:jc w:val="both"/>
        <w:rPr>
          <w:rFonts w:ascii="Times New Roman Bold" w:hAnsi="Times New Roman Bold" w:cs="Times New Roman Bold"/>
          <w:b/>
          <w:bCs/>
        </w:rPr>
      </w:pPr>
      <w:r>
        <w:rPr>
          <w:rFonts w:ascii="Times New Roman Regular" w:hAnsi="Times New Roman Regular" w:cs="Times New Roman Regular"/>
        </w:rPr>
        <w:t xml:space="preserve">The research, via extensive interviews with non-genetic inheritors, contemporary designers, and audiences, in conjunction with quantitative surveys of cultural perceptions and brand resonance, clarifies the evolution of the Cizhou Kiln from a static heritage to a dynamic cultural brand. The results suggest that attaining a dynamic balance in cultural branding necessitates maintaining cultural integrity while integrating market narratives. This study validates the methodological rigor of narrative inquiry and interpretative hybrid research in non-heritage branding, providing apparent frameworks and practical techniques for revitalizing visual heritage and enhancing cultural creative industries in the digital era. </w:t>
      </w:r>
    </w:p>
    <w:p w14:paraId="1DD63151">
      <w:pPr>
        <w:pStyle w:val="4"/>
        <w:widowControl/>
        <w:spacing w:beforeAutospacing="0" w:afterAutospacing="0" w:line="480" w:lineRule="auto"/>
        <w:jc w:val="both"/>
        <w:rPr>
          <w:rFonts w:ascii="Times New Roman Regular" w:hAnsi="Times New Roman Regular" w:cs="Times New Roman Regular"/>
        </w:rPr>
      </w:pPr>
      <w:r>
        <w:rPr>
          <w:rFonts w:ascii="Times New Roman Bold" w:hAnsi="Times New Roman Bold" w:cs="Times New Roman Bold"/>
          <w:b/>
          <w:bCs/>
        </w:rPr>
        <w:t xml:space="preserve">Keywords: </w:t>
      </w:r>
      <w:r>
        <w:rPr>
          <w:rFonts w:ascii="Times New Roman Regular" w:hAnsi="Times New Roman Regular" w:cs="Times New Roman Regular"/>
        </w:rPr>
        <w:t>Mixed Methods</w:t>
      </w:r>
      <w:r>
        <w:rPr>
          <w:rFonts w:hint="eastAsia" w:ascii="Times New Roman Regular" w:hAnsi="Times New Roman Regular" w:cs="Times New Roman Regular"/>
        </w:rPr>
        <w:t>,</w:t>
      </w:r>
      <w:r>
        <w:rPr>
          <w:rFonts w:ascii="Times New Roman Regular" w:hAnsi="Times New Roman Regular" w:cs="Times New Roman Regular"/>
        </w:rPr>
        <w:t xml:space="preserve"> Narrative Inquiry</w:t>
      </w:r>
      <w:r>
        <w:rPr>
          <w:rFonts w:hint="eastAsia" w:ascii="Times New Roman Regular" w:hAnsi="Times New Roman Regular" w:cs="Times New Roman Regular"/>
        </w:rPr>
        <w:t>,</w:t>
      </w:r>
      <w:r>
        <w:rPr>
          <w:rFonts w:ascii="Times New Roman Regular" w:hAnsi="Times New Roman Regular" w:cs="Times New Roman Regular"/>
        </w:rPr>
        <w:t xml:space="preserve"> Semiotic Analysis</w:t>
      </w:r>
      <w:r>
        <w:rPr>
          <w:rFonts w:hint="eastAsia" w:ascii="Times New Roman Regular" w:hAnsi="Times New Roman Regular" w:cs="Times New Roman Regular"/>
        </w:rPr>
        <w:t>,</w:t>
      </w:r>
      <w:r>
        <w:rPr>
          <w:rFonts w:ascii="Times New Roman Regular" w:hAnsi="Times New Roman Regular" w:cs="Times New Roman Regular"/>
        </w:rPr>
        <w:t xml:space="preserve"> Transmedia Storytelling</w:t>
      </w:r>
      <w:r>
        <w:rPr>
          <w:rFonts w:hint="eastAsia" w:ascii="Times New Roman Regular" w:hAnsi="Times New Roman Regular" w:cs="Times New Roman Regular"/>
        </w:rPr>
        <w:t>,</w:t>
      </w:r>
      <w:r>
        <w:rPr>
          <w:rFonts w:ascii="Times New Roman Regular" w:hAnsi="Times New Roman Regular" w:cs="Times New Roman Regular"/>
        </w:rPr>
        <w:t xml:space="preserve"> Cultural Branding</w:t>
      </w:r>
      <w:r>
        <w:rPr>
          <w:rFonts w:hint="eastAsia" w:ascii="Times New Roman Regular" w:hAnsi="Times New Roman Regular" w:cs="Times New Roman Regular"/>
        </w:rPr>
        <w:t>,</w:t>
      </w:r>
      <w:r>
        <w:rPr>
          <w:rFonts w:ascii="Times New Roman Regular" w:hAnsi="Times New Roman Regular" w:cs="Times New Roman Regular"/>
        </w:rPr>
        <w:t xml:space="preserve"> Cizhou Kiln Decorative Patterns</w:t>
      </w:r>
    </w:p>
    <w:p w14:paraId="10933535">
      <w:pPr>
        <w:pStyle w:val="4"/>
        <w:widowControl/>
        <w:spacing w:beforeAutospacing="0" w:afterAutospacing="0" w:line="480" w:lineRule="auto"/>
        <w:jc w:val="both"/>
        <w:rPr>
          <w:rFonts w:ascii="Times New Roman Bold" w:hAnsi="Times New Roman Bold" w:cs="Times New Roman Bold"/>
          <w:b/>
          <w:bCs/>
          <w:sz w:val="28"/>
          <w:szCs w:val="28"/>
        </w:rPr>
      </w:pPr>
      <w:r>
        <w:rPr>
          <w:rFonts w:ascii="Times New Roman Bold" w:hAnsi="Times New Roman Bold" w:cs="Times New Roman Bold"/>
          <w:b/>
          <w:bCs/>
          <w:sz w:val="28"/>
          <w:szCs w:val="28"/>
        </w:rPr>
        <w:t xml:space="preserve">1 Introduction </w:t>
      </w:r>
    </w:p>
    <w:p w14:paraId="7A63DB82">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 number of decorative techniques which produced bold black and white designs were applied to Cizhou wares (He, 1996). Amidst the proliferation of information dissemination methods and escalating competition in the global cultural marketplace, the incorporation of the decorative motifs of the Cizhou Kiln into cross-media narratives and branding design practices can enhance its heritage and strengthen the local cultural industry. Cizhou Kiln ornamental patterns, notable for their distinctiveness and cultural significance, have not been thoroughly examined, incorporated, or utilized in contemporary branding and mass communication (Zhao, 2019). This academic and application gap motivates and directs this investigation.</w:t>
      </w:r>
    </w:p>
    <w:p w14:paraId="30717547">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 xml:space="preserve">This study will incorporate three primary theoretical frameworks to properly analyse how the beautiful patterns of the Cizhou Kiln can be recorded and translated into current value. Initially, semiotics analyses the morphology, semantics, and socio-cultural implications of the decorative patterns of the Cizhou Kiln from a semiotic standpoint. Semiotics interprets the morphology, semantics, and socio-cultural connotations of Cizhou Kiln decorative patterns, elucidating the cultural memories and symbolic functions of these patterns visually while offering a systematic </w:t>
      </w:r>
      <w:r>
        <w:rPr>
          <w:rFonts w:hint="default" w:ascii="Times New Roman Regular" w:hAnsi="Times New Roman Regular" w:cs="Times New Roman Regular"/>
          <w:lang w:val="en-US"/>
        </w:rPr>
        <w:t>‘</w:t>
      </w:r>
      <w:r>
        <w:rPr>
          <w:rFonts w:ascii="Times New Roman Regular" w:hAnsi="Times New Roman Regular" w:cs="Times New Roman Regular"/>
        </w:rPr>
        <w:t>recoding</w:t>
      </w:r>
      <w:r>
        <w:rPr>
          <w:rFonts w:hint="default" w:ascii="Times New Roman Regular" w:hAnsi="Times New Roman Regular" w:cs="Times New Roman Regular"/>
          <w:lang w:val="en-US"/>
        </w:rPr>
        <w:t>’</w:t>
      </w:r>
      <w:r>
        <w:rPr>
          <w:rFonts w:ascii="Times New Roman Regular" w:hAnsi="Times New Roman Regular" w:cs="Times New Roman Regular"/>
        </w:rPr>
        <w:t xml:space="preserve"> strategy for the brand's subsequent visual elements and narrative structure (Hu et al., 2019).</w:t>
      </w:r>
    </w:p>
    <w:p w14:paraId="490AC549">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Transmedia storytelling represents a process where integral elements of fiction get dispersed systematically across multiple delivery channels for the purpose of creating a unified and coordinated entertainment experience (Jenkins, 2006; Liu, 2019). The theory of cross-media narrative can assist this study in examining the effective dissemination and profound interaction of the Cizhou Kiln pattern across various mediums (offline entities, digital platforms, social media, etc.) through the lenses of narratology and new media communication.</w:t>
      </w:r>
    </w:p>
    <w:p w14:paraId="05E183D7">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 xml:space="preserve">Furthermore, an applied perspective of brand theory will be incorporated: within the modern market framework, the sustainable advancement of cultural products is inextricably linked to branding activities. Brand theory addresses topics such as brand positioning, brand equity, and the formation of cultural intellectual property (Keller, 2013; Li, 2020), which are crucial for implementing the Cizhou Kiln model in contemporary markets and social contexts. Theories are interconnected and mutually reinforcing, with semiotics offering a comprehensive examination of </w:t>
      </w:r>
      <w:r>
        <w:rPr>
          <w:rFonts w:hint="default" w:ascii="Times New Roman Regular" w:hAnsi="Times New Roman Regular" w:cs="Times New Roman Regular"/>
          <w:lang w:val="en-US"/>
        </w:rPr>
        <w:t>‘</w:t>
      </w:r>
      <w:r>
        <w:rPr>
          <w:rFonts w:ascii="Times New Roman Regular" w:hAnsi="Times New Roman Regular" w:cs="Times New Roman Regular"/>
        </w:rPr>
        <w:t>visual cultural symbols</w:t>
      </w:r>
      <w:r>
        <w:rPr>
          <w:rFonts w:hint="default" w:ascii="Times New Roman Regular" w:hAnsi="Times New Roman Regular" w:cs="Times New Roman Regular"/>
          <w:lang w:val="en-US"/>
        </w:rPr>
        <w:t>’</w:t>
      </w:r>
      <w:r>
        <w:rPr>
          <w:rFonts w:ascii="Times New Roman Regular" w:hAnsi="Times New Roman Regular" w:cs="Times New Roman Regular"/>
        </w:rPr>
        <w:t xml:space="preserve">, cross-media narrative expanding the communicative aspect of </w:t>
      </w:r>
      <w:r>
        <w:rPr>
          <w:rFonts w:hint="default" w:ascii="Times New Roman Regular" w:hAnsi="Times New Roman Regular" w:cs="Times New Roman Regular"/>
          <w:lang w:val="en-US"/>
        </w:rPr>
        <w:t>‘</w:t>
      </w:r>
      <w:r>
        <w:rPr>
          <w:rFonts w:ascii="Times New Roman Regular" w:hAnsi="Times New Roman Regular" w:cs="Times New Roman Regular"/>
        </w:rPr>
        <w:t>how to narrate the story of the Cizhou Kiln</w:t>
      </w:r>
      <w:r>
        <w:rPr>
          <w:rFonts w:hint="default" w:ascii="Times New Roman Regular" w:hAnsi="Times New Roman Regular" w:cs="Times New Roman Regular"/>
          <w:lang w:val="en-US"/>
        </w:rPr>
        <w:t>’</w:t>
      </w:r>
      <w:r>
        <w:rPr>
          <w:rFonts w:ascii="Times New Roman Regular" w:hAnsi="Times New Roman Regular" w:cs="Times New Roman Regular"/>
        </w:rPr>
        <w:t>, and branding theory synthesising the cultural and narrative assets of the former two into a strategically significant cultural and narrative resource. The brand theory synthesises the cultural and narrative assets of the initial two into a culturally significant brand image with strategic value.</w:t>
      </w:r>
    </w:p>
    <w:p w14:paraId="2A650B6D">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 xml:space="preserve">In light of the background above and theoretical framework, the pivotal research question of this study is: </w:t>
      </w:r>
      <w:r>
        <w:rPr>
          <w:rStyle w:val="8"/>
          <w:rFonts w:ascii="Times New Roman Regular" w:hAnsi="Times New Roman Regular" w:cs="Times New Roman Regular"/>
          <w:i w:val="0"/>
          <w:iCs/>
        </w:rPr>
        <w:t>How can the decorative patterns of the Cizhou Kiln be systematically reinterpreted, recoded, and integrated within the diverse contexts of contemporary cross-media narratives and modern brand design, to ensure the preservation of their unique cultural heritage while simultaneously establishing a highly recognisable brand image with cultural value in the contemporary market and societal context?</w:t>
      </w:r>
      <w:r>
        <w:rPr>
          <w:rFonts w:ascii="Times New Roman Regular" w:hAnsi="Times New Roman Regular" w:cs="Times New Roman Regular"/>
          <w:iCs/>
        </w:rPr>
        <w:t xml:space="preserve"> </w:t>
      </w:r>
      <w:r>
        <w:rPr>
          <w:rFonts w:ascii="Times New Roman Regular" w:hAnsi="Times New Roman Regular" w:cs="Times New Roman Regular"/>
        </w:rPr>
        <w:t xml:space="preserve">This inquiry emphasizes the imperative of "transcending mere inheritance" and seeks to investigate how Cizhou Kiln patterns might evolve from "static artifacts" to </w:t>
      </w:r>
      <w:r>
        <w:rPr>
          <w:rFonts w:hint="default" w:ascii="Times New Roman Regular" w:hAnsi="Times New Roman Regular" w:cs="Times New Roman Regular"/>
          <w:lang w:val="en-US"/>
        </w:rPr>
        <w:t>‘</w:t>
      </w:r>
      <w:r>
        <w:rPr>
          <w:rFonts w:ascii="Times New Roman Regular" w:hAnsi="Times New Roman Regular" w:cs="Times New Roman Regular"/>
        </w:rPr>
        <w:t>dynamic brand experiences</w:t>
      </w:r>
      <w:r>
        <w:rPr>
          <w:rFonts w:hint="default" w:ascii="Times New Roman Regular" w:hAnsi="Times New Roman Regular" w:cs="Times New Roman Regular"/>
          <w:lang w:val="en-US"/>
        </w:rPr>
        <w:t>’</w:t>
      </w:r>
      <w:r>
        <w:rPr>
          <w:rFonts w:ascii="Times New Roman Regular" w:hAnsi="Times New Roman Regular" w:cs="Times New Roman Regular"/>
        </w:rPr>
        <w:t xml:space="preserve"> in both theory and practice. The study investigates the theoretical frameworks and practical pathways through which non-heritage patterns could evolve from "static craft" to </w:t>
      </w:r>
      <w:r>
        <w:rPr>
          <w:rFonts w:hint="default" w:ascii="Times New Roman Regular" w:hAnsi="Times New Roman Regular" w:cs="Times New Roman Regular"/>
          <w:lang w:val="en-US"/>
        </w:rPr>
        <w:t>‘</w:t>
      </w:r>
      <w:r>
        <w:rPr>
          <w:rFonts w:ascii="Times New Roman Regular" w:hAnsi="Times New Roman Regular" w:cs="Times New Roman Regular"/>
        </w:rPr>
        <w:t>dynamic brand experience</w:t>
      </w:r>
      <w:r>
        <w:rPr>
          <w:rFonts w:hint="default" w:ascii="Times New Roman Regular" w:hAnsi="Times New Roman Regular" w:cs="Times New Roman Regular"/>
          <w:lang w:val="en-US"/>
        </w:rPr>
        <w:t>’</w:t>
      </w:r>
      <w:r>
        <w:rPr>
          <w:rFonts w:ascii="Times New Roman Regular" w:hAnsi="Times New Roman Regular" w:cs="Times New Roman Regular"/>
        </w:rPr>
        <w:t>.</w:t>
      </w:r>
    </w:p>
    <w:p w14:paraId="68E09DFD">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To analyse this issue at a more sophisticated level, the study establishes the following precise objectives: At the semiotic level, through morphological and semantic studies, it delineates the visual attributes and cultural implications of the decorative motifs of the Cizhou Kiln, extracting the fundamental symbolic elements applicable across many media. At the cross-media narrative level, it employs narratology and cultural communication theory to construct a cohesive yet adaptable multi-platform framework for the Cizhou Kiln cultural narrative while examining the narrative potential of the structure across various media touchpoints. At the branding level, it integrates branding and user research to assess viable strategies for ‘branding the Cizhou Kiln’ and provide a cultural branding approach that amalgamates regional attributes and market potential.</w:t>
      </w:r>
    </w:p>
    <w:p w14:paraId="292E6810">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employs a qualitative-driven Mixed Methods Research approach, centring on narrative inquiry, to investigate the transformation of meaning within contemporary brand design by deconstructing the cultural narrative and cross-media reconstruction of traditional decorative patterns from the Cizhou Kiln. A limited quantity of quantitative analysis (e.g. user experience questionnaires, brand awareness surveys, etc.) is integrated to assess the design’s communication efficacy from the standpoint of user acceptance, thereby aiding in the interpretation of the gathered textual data and facilitating the synergy between qualitative and quantitative methods, ultimately enriching the research’s scope and depth (Clandinin and Connelly, 2000; Schlunegger, 2024).</w:t>
      </w:r>
    </w:p>
    <w:p w14:paraId="1C0A8DF7">
      <w:pPr>
        <w:pStyle w:val="4"/>
        <w:widowControl/>
        <w:spacing w:beforeAutospacing="0" w:afterAutospacing="0" w:line="480" w:lineRule="auto"/>
        <w:jc w:val="both"/>
        <w:rPr>
          <w:rFonts w:hint="eastAsia" w:ascii="Times New Roman Regular" w:hAnsi="Times New Roman Regular" w:cs="Times New Roman Regular"/>
        </w:rPr>
      </w:pPr>
    </w:p>
    <w:p w14:paraId="7A792CF0">
      <w:pPr>
        <w:pStyle w:val="4"/>
        <w:widowControl/>
        <w:spacing w:beforeAutospacing="0" w:afterAutospacing="0" w:line="480" w:lineRule="auto"/>
        <w:jc w:val="both"/>
        <w:rPr>
          <w:rFonts w:ascii="Times New Roman Bold" w:hAnsi="Times New Roman Bold" w:cs="Times New Roman Bold"/>
          <w:b/>
          <w:bCs/>
        </w:rPr>
      </w:pPr>
      <w:r>
        <w:rPr>
          <w:rFonts w:ascii="Times New Roman Bold" w:hAnsi="Times New Roman Bold" w:cs="Times New Roman Bold"/>
          <w:b/>
          <w:bCs/>
          <w:sz w:val="28"/>
          <w:szCs w:val="28"/>
        </w:rPr>
        <w:t>2 Literature Review</w:t>
      </w:r>
    </w:p>
    <w:p w14:paraId="6D3E3573">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chapter seeks to outline the extent of the research literature, assess significant studies within each area, critically identify inconsistencies and gaps, and ultimately clarify the central theme and methodological framework of this study. The framework consists of a four-step sequence: ‘Literature Scope and Search → Critical Review → Key Controversies → Research Gaps’, which provides clarity and establishes a defined hierarchy.</w:t>
      </w:r>
    </w:p>
    <w:p w14:paraId="5A42AB5D">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2.1 Literature Scope and Search Techniques</w:t>
      </w:r>
    </w:p>
    <w:p w14:paraId="5864FFE4">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addresses four main areas: the historical context of the Cizhou kiln and Chinese ceramics; the conservation of intangible cultural heritage and cultural transmission; visual semiotics and cross-media narratives;</w:t>
      </w:r>
      <w:r>
        <w:rPr>
          <w:rFonts w:hint="eastAsia" w:ascii="Times New Roman Regular" w:hAnsi="Times New Roman Regular" w:cs="Times New Roman Regular"/>
        </w:rPr>
        <w:t xml:space="preserve"> </w:t>
      </w:r>
      <w:r>
        <w:rPr>
          <w:rFonts w:ascii="Times New Roman Regular" w:hAnsi="Times New Roman Regular" w:cs="Times New Roman Regular"/>
        </w:rPr>
        <w:t>branding theory in the cultural sector. The search channels include CNKI (China National Knowledge Infrastructure), Wanfang, Web of Science, and Scopus, as well as institutional reports and museum catalogs from UNESCO and WIPO. The search methodology utilised Boolean logic combinations, such as ‘Cizhou Kiln’ AND ‘branding’ AND ‘semiotics’. The temporal scope was defined from 2015 to 2025, with a focus on the last five years to ensure contemporaneity and innovation.</w:t>
      </w:r>
    </w:p>
    <w:p w14:paraId="3C4AF383">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2.2 Characteristics of the Literature and Evaluation</w:t>
      </w:r>
    </w:p>
    <w:p w14:paraId="63C85C36">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examines the history of the Cizhou Kiln and Chinese ceramics, the preservation of intangible cultural heritage and cultural inheritance, visual semiotics and cross-media storytelling, branding theory, and the cultural industry. These publications outline the theoretical and practical frameworks for ‘recoding’ the patterns of the Cizhou Kiln and integrating them into modern brand narratives.</w:t>
      </w:r>
    </w:p>
    <w:p w14:paraId="4CC38C90">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Chinese databases CNKI (China National Knowledge Infrastructure) and Wanfang, as well as the websites of professional organizations like UNESCO, provide literature on archaeology, art history, and folk crafts. Fang (2013) outlines the morphological characteristics of key kilns from the Song and Yuan dynasties, referencing the decorative techniques of white-on-black and ticked-and-scratched flowers from the Cizhou Kiln. The British Museum and the Metropolitan Museum of Art have recorded and analyzed the distinctive works of the Cizhou Kiln in their catalogs (British Museum, n.d.). These publications primarily emphasize art appreciation and the significance of heritage. Boolean operators were utilised to combine primary terms in the search, including ‘Cizhou Kiln’ AND ‘branding’ AND ‘semiotics’; ‘intangible heritage’ AND ‘cross-media story’ OR ‘digital communication’; in addition to secondary filtering by date and subject area. The search timeline was set from 2019 to the present to capture recent trends in modern branding and transmedia narratives.</w:t>
      </w:r>
    </w:p>
    <w:p w14:paraId="63E0B11B">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2003 Convention for the Safeguarding of the Intangible Cultural Heritage (UNESCO, 2003) establishes essential principles for the preservation and transmission of intangible cultural heritage, providing policy and ethical guidelines for integrating traditional crafts into contemporary society. Many scholars (Smith, 2006) have investigated the ‘re-creation’ of intangible heritage in contemporary culture, emphasizing the integration of traditional skills with modern markets and consumerism.</w:t>
      </w:r>
    </w:p>
    <w:p w14:paraId="7E4D733A">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Saussure's and Peirce's semiotic theories provide a basis for exploring how ‘pattern’ functions as a symbol to generate meaning, whereas Panofsky's (1939) iconographic analysis offers methodological guidance for investigating the connection between traditional patterns and cultural connotations. Researchers in China, including Peng (2018), have examined the symbolic and aesthetic characteristics of traditional Chinese decorative patterns using an iconographic approach. Transmedia storytelling, as discussed in Chen (2021), has been widely applied across film, television, gaming, and the cultural and creative industries. Multiple studies (Yao, 2024; Wang, 2025) investigate the growth of national-style intellectual properties and intangible heritage subjects on digital platforms and social media, emphasizing their impact on the cultural identities of young audiences through multi-touch narratives.</w:t>
      </w:r>
    </w:p>
    <w:p w14:paraId="4490595E">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Aaker's (1991) concept of brand equity and Keller's (2008) framework on consumer cognition and brand associations represent important contributions to the study of consumer-brand relationships. Their concepts serve as essential foundations for analyzing the conversion of traditional symbols into recognizable brand attributes. Wang and Zhang (2022) demonstrated that IP-based local cultural elements contribute to the sustainable development of regional economies and the dissemination of culture within their analysis of creative industries. Domestic examples, including the cultural production of the Forbidden City and the intellectual property development of Dunhuang, provide valuable insights for the modernization of the Cizhou Kiln.</w:t>
      </w:r>
    </w:p>
    <w:p w14:paraId="35E3CDC5">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literature exhibits complexity and fragmentation. This research domain encompasses literature of varying depth; however, disciplinary barriers and a singular research dimension impede the development of a systematic approach that integrates perspectives from history, culture, semiotics, and cultural branding. This complicates the thorough analysis of the cross-media narrative of the Cizhou Kiln and contemporary branding design, which is the central focus of this study.</w:t>
      </w:r>
    </w:p>
    <w:p w14:paraId="3B935144">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Research on the decorative patterns of the Cizhou Kiln primarily focuses on the dimensions of form-date and craft-image. However, it overlooks the semantic interpretation of patterns in contemporary visual communication and branding, along with the aspect of user perception. Many focus on the technique, aesthetic qualities, and historical importance of classic artifacts, limiting their analysis to cultural relics appraisal and historical interruption. This approach overlooks contemporary relevance and lacks a systematic semiotic analysis, which impedes the direct integration of these elements into modern design. A lack of systematic investigation into semiotic meaning complicates the direct translation into contemporary design features. For example, Wang and Sun (2024) briefly examine surface application in printed textiles. In his master’s thesis, Hou (2021) established the basis for the development of patterns from the Northern Song Dynasty to the Yuan Dynasty. This study develops the framework of the</w:t>
      </w:r>
      <w:r>
        <w:rPr>
          <w:rFonts w:hint="eastAsia" w:ascii="Times New Roman Regular" w:hAnsi="Times New Roman Regular" w:cs="Times New Roman Regular"/>
        </w:rPr>
        <w:t xml:space="preserve"> </w:t>
      </w:r>
      <w:r>
        <w:rPr>
          <w:rFonts w:ascii="Times New Roman Regular" w:hAnsi="Times New Roman Regular" w:cs="Times New Roman Regular"/>
        </w:rPr>
        <w:t>‘Folk Narrative–Image Motif–Craft Strategy’ to examine the perspectives on the creation of Cizhou Kilns during the Song and Yuan Dynasties. It also explores cross-media narratives of traditional patterns.</w:t>
      </w:r>
    </w:p>
    <w:p w14:paraId="5E4269AC">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Certain studies on the cross-media development of Dunhuang mural paintings and cultural creations from the Forbidden City have demonstrated significant success. These studies primarily focus on digital products or gamification applications, overlooking commercial aspects like brand positioning, user experience, and market interface, as well as the sustained management of brand assets or cultural intellectual property. Jenkins (2006) and Ryan (2019) introduced the ‘materialized narrative’ model. Wen (2025) examined the digitalization of intangible heritage through the lens of material culture and narrative, emphasizing symbolic-contextual mapping. Deng and Li (2025), along with Liu (2025), employed shadow puppets and regional branding as a case study to substantiate the ‘context–role–plot’ model. This framework has not been fully integrated with the media translation of ceramic patterns.</w:t>
      </w:r>
    </w:p>
    <w:p w14:paraId="039AC1FD">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integration of mixed research methods in decorative pattern redesign and user experience has led to a shift in the design community from a focus on style to an emphasis on meaning-experience. Verganti (2009) argues that design-driven innovation is about creating a vision of a possible new meaning and making that vision come true. Norman (2004) emphasizes the importance of emotional design. Hybrid research methodologies highlight the iterative process of symbolic mining followed by quantitative validation. Chen and Xue (2021) evaluated the emotional advantages of traditional Su embroidery patterns using interviews and the User Experience Questionnaire (UEQ). Xu and Zhao (2023) investigated the concept of sustainability, while Ole (2023) analysed the implications for the design of traditional Su embroidery patterns. Ole, Sakka and Mandagi (2025) utilised Partial Least Squares Structural Equation Modeling (PLS-SEM) to confirm the significance of the pathway ‘Narrative Integrity–Perceived Cultural Value–Brand Loyalty’. As a result, current research on ceramic pattern branding is limited to evaluating aesthetic preference and fails to establish the causal relationship between narrative mechanism and experiential indicators.</w:t>
      </w:r>
    </w:p>
    <w:p w14:paraId="3CC9ACF2">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In conclusion, while Aaker (1991) and Keller (2008) have developed foundational theories on brand equity for consumer and corporate brands, their models have not been fully adapted to the specific context of intangible cultural heritage and traditional crafts. There is a pressing need to revise and enrich branding theory by incorporating local cultural attributes, artisanal values, and cross-media communication strategies.</w:t>
      </w:r>
    </w:p>
    <w:p w14:paraId="0BC10457">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2.3 Discussions and Disputes in the Literature</w:t>
      </w:r>
    </w:p>
    <w:p w14:paraId="7FDDF0D0">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An analysis of the literature across multiple disciplines reveals several significant disputes and questions that require further investigation. Initially, a dichotomy exists between preservation and innovation: some researchers (Smith and Akagawa, 2009) argue that intangible cultural heritage must maintain authenticity, expressing concerns that commercialisation may lead to cultural alienation or symbolic depletion. Others (O’Connor, 2013; Wang, 2015) suggest that a moderate degree of commercialisation and branding can help preserve cultural heritage and avert its museumisation. The challenge involves maintaining the cultural essence and aesthetic spirit of Cizhou Kiln patterns in contemporary applications while simultaneously meeting commercial expectations and branding requirements, thus requiring a careful balance.</w:t>
      </w:r>
    </w:p>
    <w:p w14:paraId="57FA3F87">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Transmedia storytelling is the art of world-making (Jenkins, 2006). While Jenkins highlights that transmedia narratives expand worldviews and characterisations through diverse media, many cultural projects risk falling into the trap of simple content replication across platforms rather than authentic story development. The development of Dunhuang and Forbidden City intellectual property, for example, faces challenges associated with the excessive homogenization of ancillary items and insufficient core narratives (Chao and Li, 2020). This study argues that Cizhou Kiln themes can foster unique but complementary narrative elements across various media, avoiding simple replication and collage.</w:t>
      </w:r>
    </w:p>
    <w:p w14:paraId="23A87CE5">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concept of cultural intellectual property in brand design presents distinct challenges. While Aaker (1991) and Keller (2008) offer systematic theories of brand equity applicable to consumer and corporate brands, in the context of non-heritage crafts, regional community interests and local cultural heritage are often neglected (Wang, 2015). The design and communication strategy should consider the social and cultural ecology surrounding the origin of the Cizhou Kiln, including the needs of artisans, governmental entities, cultural institutions, and market stakeholders.</w:t>
      </w:r>
    </w:p>
    <w:p w14:paraId="1E83B788">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identified inconsistencies demonstrate the need to balance cultural authenticity with branding, and depth of multimedia storytelling with user engagement. This study seeks to bridge these tensions by integrating theoretical frameworks with practical applications.</w:t>
      </w:r>
    </w:p>
    <w:p w14:paraId="6D9624D0">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2.4 Identification of Research Gaps and Thematic Focus</w:t>
      </w:r>
    </w:p>
    <w:p w14:paraId="65D2EB96">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Current semiotic studies predominantly focus on iconography and decorative arts analysis, lacking a systematic method for translating patterns from historical forms into modern visual language. Despite the prevalence of digital cultural creation related to the Forbidden City and Dunhuang, there remains a significant lack of case studies examining the development of cross-media narratives within the Cizhou Kiln context. Many researchers have acknowledged audience preferences for intangible cultural creative products; however, there is a lack of thorough qualitative and quantitative studies, particularly concerning the influence of cross-media brand touchpoints on users' emotional resonance and identity. Furthermore, the branding theories proposed by Aaker and Keller have yet to be fully integrated with frameworks that bridge traditional crafts, local communities, and global markets.</w:t>
      </w:r>
    </w:p>
    <w:p w14:paraId="6666639B">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focuses on three main themes: the semiotic recoding of decorative patterns in the Cizhou Kiln, cross-media narrative construction, and user experience and branding strategies. A mixed-method approach will be employed, integrating qualitative and quantitative research to address both the claims of existing literature and the shortcomings in aligning local practices with theoretical frameworks.</w:t>
      </w:r>
    </w:p>
    <w:p w14:paraId="69E03810">
      <w:pPr>
        <w:pStyle w:val="4"/>
        <w:widowControl/>
        <w:spacing w:beforeAutospacing="0" w:afterAutospacing="0" w:line="480" w:lineRule="auto"/>
        <w:jc w:val="both"/>
        <w:rPr>
          <w:rFonts w:hint="eastAsia" w:ascii="Times New Roman Regular" w:hAnsi="Times New Roman Regular" w:cs="Times New Roman Regular"/>
        </w:rPr>
      </w:pPr>
    </w:p>
    <w:p w14:paraId="4EE11B35">
      <w:pPr>
        <w:pStyle w:val="4"/>
        <w:widowControl/>
        <w:spacing w:beforeAutospacing="0" w:afterAutospacing="0" w:line="480" w:lineRule="auto"/>
        <w:jc w:val="both"/>
        <w:rPr>
          <w:rFonts w:ascii="Times New Roman Bold" w:hAnsi="Times New Roman Bold" w:cs="Times New Roman Bold"/>
          <w:b/>
          <w:bCs/>
        </w:rPr>
      </w:pPr>
      <w:r>
        <w:rPr>
          <w:rFonts w:ascii="Times New Roman Bold" w:hAnsi="Times New Roman Bold" w:cs="Times New Roman Bold"/>
          <w:b/>
          <w:bCs/>
        </w:rPr>
        <w:t>3 Methodology</w:t>
      </w:r>
    </w:p>
    <w:p w14:paraId="27E55DEB">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is grounded in constructivist philosophy, which asserts that cultural meaning is not an objectively inherent entity but a dynamic process influenced by specific social contexts and media activities. The contemporary expression of Cizhou Kiln decorative art, known for its symbolically rich and culturally rooted visual language, depends on both the modelling of motifs and their narration, interpretation, and re-perception across various media platforms.</w:t>
      </w:r>
    </w:p>
    <w:p w14:paraId="1B1219E7">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3.1 Mixed Methods Approach</w:t>
      </w:r>
    </w:p>
    <w:p w14:paraId="4ED40BBF">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To address the research question— ‘How can cross-media narrative reconstruction and modern branding design of the decorative patterns of the Cizhou Kiln balance cultural heritage and market value?’—this study adopts a mixed methods approach. The research is qualitatively driven, with narrative inquiry as the primary methodology, supplemented by quantitative measures to validate textual data and enhance the robustness of qualitative findings.</w:t>
      </w:r>
    </w:p>
    <w:p w14:paraId="5B61F8D7">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Qualitative inquiry, particularly through narrative research, enables deep exploration of how users perceive and interpret Cizhou Kiln patterns in cross-media storytelling and branding contexts. This includes understanding their cultural and emotional significance. Quantitative methods, including surveys and user experience evaluations, complement the study by assessing aspects such as brand awareness and audience preference. As Creswell and Plano Clark (2017) note, integrating quantitative and qualitative data can significantly enrich mixed methods research. Schlunegger, Zumstein-Shaha and Palm (2024) also emphasize the importance of methodological triangulation for improving traceability in case studies.</w:t>
      </w:r>
    </w:p>
    <w:p w14:paraId="60714B4F">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3.2 Methodology and Methods</w:t>
      </w:r>
    </w:p>
    <w:p w14:paraId="4A4E39D6">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Narrative inquiry serves as the core methodological framework for this study. As Clandinin and Connelly (2000) define it, narrative inquiry is a way of understanding experience. It investigates how individuals construct meaning through story, context, and cultural identity. The study analyzes how decorative patterns convey cultural significance and how brand narratives are constructed across media platforms. In this framework, digital imagery, interactive design, and brand visual systems function as narrative agents, transforming traditional motifs into emotionally resonant and temporally relevant cultural symbols.</w:t>
      </w:r>
    </w:p>
    <w:p w14:paraId="09484D34">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Narrative data will be collected through interviews, oral histories, and textual documentation, engaging a diverse participant base including artisans, brand designers, and users. This allows examination of Cizhou Kiln patterns from multiple angles. Artisans and inheritors can clarify historical context and traditional interpretations; designers can explain how narratives are embedded in brand strategy; and users can reflect on how they interpret and internalize these narratives through interaction.</w:t>
      </w:r>
    </w:p>
    <w:p w14:paraId="0EFD05FB">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Phenomenology complements this approach by exploring first-person experiences and emotional responses to cultural content. As van Manen (2016) explains, phenomenology is concerned with explicating lived experience. While it is not the primary framework for this study, phenomenological insights inform how audiences derive meaning from their experiences with decorative patterns and branding narratives. Narrative inquiry is particularly well-suited for exploring transformations from traditional culture to modern expression, while phenomenology enhances understanding of emotional engagement and identity formation.</w:t>
      </w:r>
    </w:p>
    <w:p w14:paraId="48DAC12E">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qualitative data collection process will begin by identifying participants relevant to the Cizhou Kiln context, including next-generation inheritors (NGIs), local cultural scholars, branding professionals, and audience groups. Semi-structured interviews will explore their perceptions of Cizhou patterns, narrative experiences, brand associations, cultural identity, and emotional resonance. Interviews may be conducted individually or in small focus groups, with initial participants potentially recommending others via snowball sampling.</w:t>
      </w:r>
    </w:p>
    <w:p w14:paraId="5056D4F4">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In addition to interviews, this study will observe audience responses in cross-media contexts such as exhibitions and VR applications. Narrative elements within collected texts will be analysed for structure, key events, character involvement, and embedded values. Documents, scripts, design sketches, and visual outputs will be examined to track how storytelling evolves across different media and audience groups. Key concepts—such as craftsmanship, regional memory, and cultural relevance—will be identified through iterative review of interview transcripts and observational data.</w:t>
      </w:r>
    </w:p>
    <w:p w14:paraId="2F438620">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quantitative phase employs online surveys using tools such as Questionnaire Star (https://www.wjx.cn/). The sample includes respondents from various age groups and regions, selected through modest stratification to ensure diversity. Instruments include Likert scale questions on brand perception and acceptance of cross-media narratives (Likert, 1932), as well as the User Experience Questionnaire (UEQ) developed by Schrepp et al. (2014) to evaluate usability and satisfaction across digital or immersive platforms. Quantitative findings will be synthesized with qualitative insights. For instance, if high scores are observed in cultural identity, these will be interpreted in relation to interview themes such as ‘deep sense of history’ or ‘sense of closeness.’</w:t>
      </w:r>
    </w:p>
    <w:p w14:paraId="711F5692">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By combining narrative inquiry with selected phenomenological insights and quantitative validation, this methodology enables a holistic investigation into the symbolic, experiential, and communicative transformation of Cizhou Kiln decorative patterns in contemporary brand design.</w:t>
      </w:r>
    </w:p>
    <w:p w14:paraId="49293BCC">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3.3 Ethical Considerations</w:t>
      </w:r>
    </w:p>
    <w:p w14:paraId="416604A4">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All participants were required to sign an informed consent form prior to the initiation of the interview or survey, which outlined the study's objectives, the anonymization procedures, and the extent of data utilization (Kalpokas and Hecker, 2023). Pseudonyms or participant codes were used instead of real names. Recordings and transcripts were stored on password-protected cloud platforms or encrypted hard drives in compliance with GDPR and relevant data protection regulations. Engagement with artisans and local communities was conducted respectfully, with awareness of cultural and craft traditions. Where proprietary or commercially sensitive knowledge was encountered, care was taken to include only publicly permissible content in findings. Researchers clearly disclosed their roles and objectives to mitigate concerns of commercial exploitation, and interviewees were invited to review summaries as needed to ensure accuracy and mutual trust.</w:t>
      </w:r>
    </w:p>
    <w:p w14:paraId="3CEB1EC2">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3.4 Alternative Methodologies and Techniques</w:t>
      </w:r>
    </w:p>
    <w:p w14:paraId="288EF3D3">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regional character of the Cizhou Kiln and prolonged presence in the production environment facilitate the application of ethnographic methods for in-depth observation of craft activities and community life. This approach, deeply rooted in the real contexts of production and transmission, supports understanding of local knowledge and cultural interpretation (Spradley, 1979). However, ethnography poses limitations such as time intensity, the need for field expertise, and potential bias from a narrow focus, which can constrain broader market data collection.</w:t>
      </w:r>
    </w:p>
    <w:p w14:paraId="13D436AA">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In parallel, action research offers a dynamic model for engaging with corporations or policy actors through iterative design-feedback cycles. The ‘plan–act–observe–reflect’ model facilitates interventional change (Kemmis and McTaggart, 1988), supporting adaptive development of branding programs for Cizhou Kiln culture in practical settings. Nonetheless, this method may risk subordinating academic integrity to external market or managerial priorities. When applied with care, both approaches can complement each other in future cultural branding initiatives.</w:t>
      </w:r>
    </w:p>
    <w:p w14:paraId="518D23CE">
      <w:pPr>
        <w:pStyle w:val="4"/>
        <w:widowControl/>
        <w:spacing w:beforeAutospacing="0" w:afterAutospacing="0" w:line="480" w:lineRule="auto"/>
        <w:jc w:val="both"/>
        <w:rPr>
          <w:rFonts w:hint="eastAsia" w:ascii="Times New Roman Regular" w:hAnsi="Times New Roman Regular" w:cs="Times New Roman Regular"/>
        </w:rPr>
      </w:pPr>
    </w:p>
    <w:p w14:paraId="01D33784">
      <w:pPr>
        <w:pStyle w:val="4"/>
        <w:widowControl/>
        <w:spacing w:beforeAutospacing="0" w:afterAutospacing="0" w:line="480" w:lineRule="auto"/>
        <w:jc w:val="both"/>
        <w:rPr>
          <w:rFonts w:ascii="Times New Roman Bold" w:hAnsi="Times New Roman Bold" w:cs="Times New Roman Bold"/>
          <w:b/>
          <w:bCs/>
          <w:sz w:val="28"/>
          <w:szCs w:val="28"/>
        </w:rPr>
      </w:pPr>
      <w:r>
        <w:rPr>
          <w:rFonts w:ascii="Times New Roman Bold" w:hAnsi="Times New Roman Bold" w:cs="Times New Roman Bold"/>
          <w:b/>
          <w:bCs/>
          <w:sz w:val="28"/>
          <w:szCs w:val="28"/>
        </w:rPr>
        <w:t>4 Discussion and Analysis</w:t>
      </w:r>
    </w:p>
    <w:p w14:paraId="13318E45">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depends on a mixed research methodology that combines qualitative and quantitative approaches to examine the recreative value of the Cizhou Kiln pattern in relation to cross-media narrative and contemporary branding from multiple perspectives. It aims to achieve an integrative impact by addressing both the cultural and emotional dimensions and offering broader, comparable quantitative measures. We employed narrative inquiry methodology to conduct interviews with pertinent individuals and audiences, focusing on their significant experiences, emotional perspectives, and the meanings they derived from their engagement with the production process. This study investigates how audiences perceive the cultural connotation of the Cizhou Kiln through cross-media narratives. How do inheritors and contemporary designers balance the authenticity of ancient craftsmanship with market demand? Quantitative research employs numerical data to assess cross-media story and brand design acceptance within a large sample, along with the factors influencing these perceptions, thus enhancing the practicality and validity of the research questions. Exclusively depending on qualitative interviews may lead to a lack of breadth and objective measures; solely employing quantitative surveys may miss the depth of individuals' understanding of traditional symbols in emotional and cultural contexts. Thus, these two research avenues collaboratively tackle the core research questions, leading to methodological alignment.</w:t>
      </w:r>
    </w:p>
    <w:p w14:paraId="065DA53A">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4.1 Possible Discoveries and Findings</w:t>
      </w:r>
    </w:p>
    <w:p w14:paraId="15F42FD1">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 xml:space="preserve">Analyzing the patterns as a ‘visual symbol system’ enhances understanding of the translation of their form and cultural implications within the contemporary media landscape. The semiotic perspective provides a systematic analysis of 'form and meaning', clarifying the reasons certain simplified or stylized patterns persist in evoking associations with folk culture. The transmedia narrative framework (Jenkins, 2006) clarifies how </w:t>
      </w:r>
      <w:r>
        <w:rPr>
          <w:rFonts w:hint="default" w:ascii="Times New Roman Regular" w:hAnsi="Times New Roman Regular" w:cs="Times New Roman Regular"/>
          <w:lang w:val="en-US"/>
        </w:rPr>
        <w:t>‘</w:t>
      </w:r>
      <w:r>
        <w:rPr>
          <w:rFonts w:ascii="Times New Roman Regular" w:hAnsi="Times New Roman Regular" w:cs="Times New Roman Regular"/>
        </w:rPr>
        <w:t>multi-platform storytelling</w:t>
      </w:r>
      <w:r>
        <w:rPr>
          <w:rFonts w:hint="default" w:ascii="Times New Roman Regular" w:hAnsi="Times New Roman Regular" w:cs="Times New Roman Regular"/>
          <w:lang w:val="en-US"/>
        </w:rPr>
        <w:t>’</w:t>
      </w:r>
      <w:r>
        <w:rPr>
          <w:rFonts w:ascii="Times New Roman Regular" w:hAnsi="Times New Roman Regular" w:cs="Times New Roman Regular"/>
        </w:rPr>
        <w:t xml:space="preserve"> creates a cumulative experience. This demonstrates that they have some structural characteristics of the basic level I narratives; level II narratives have added elements of conflict, drama, emotional intensity, cultural tropes, or archetypal characters. Cultural and branding theories elucidate brand recognition and preference processes while addressing the </w:t>
      </w:r>
      <w:r>
        <w:rPr>
          <w:rFonts w:hint="default" w:ascii="Times New Roman Regular" w:hAnsi="Times New Roman Regular" w:cs="Times New Roman Regular"/>
          <w:lang w:val="en-US"/>
        </w:rPr>
        <w:t>‘</w:t>
      </w:r>
      <w:r>
        <w:rPr>
          <w:rFonts w:ascii="Times New Roman Regular" w:hAnsi="Times New Roman Regular" w:cs="Times New Roman Regular"/>
        </w:rPr>
        <w:t>museumisation</w:t>
      </w:r>
      <w:r>
        <w:rPr>
          <w:rFonts w:hint="default" w:ascii="Times New Roman Regular" w:hAnsi="Times New Roman Regular" w:cs="Times New Roman Regular"/>
          <w:lang w:val="en-US"/>
        </w:rPr>
        <w:t>’</w:t>
      </w:r>
      <w:r>
        <w:rPr>
          <w:rFonts w:ascii="Times New Roman Regular" w:hAnsi="Times New Roman Regular" w:cs="Times New Roman Regular"/>
        </w:rPr>
        <w:t xml:space="preserve"> of the Cizhou Kiln and reconciling cultural authenticity with market-oriented strategies (O'Connor, 2013). Theoretical frameworks interconnect and provide a solid interpretative foundation for the contemporary reinterpretation of traditional crafts through the triadic approach of ‘symbol-story-brand’.</w:t>
      </w:r>
    </w:p>
    <w:p w14:paraId="0FE04D4E">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Analysis of in-depth interviews with inheritors, young designers, and users employing narrative inquiry methodology reveals diverse interpretations of the symbolic essence of the Cizhou Kiln pattern. Inheritors emphasize historical sentiment, craftsmanship aesthetics, and folklore symbolism. Emerging designers focus on symbolic refinement, visual impact, and incorporation of storytelling into brand visual identity. Consumers tend to prioritize the aesthetics of the final product, personalization, and the novelty of cross-media experiences. Interviews of this type, if they reveal interpretative discrepancies among the three parties, suggest that the semiotic recoding process must attain a balance between cultural authenticity and economic simplification. Quantitative surveys, including questionnaires, evaluate brand awareness and attitudes before and after cross-media interactions, such as short videos and digital engagements. Should the data reveal a notable increase in users</w:t>
      </w:r>
      <w:r>
        <w:rPr>
          <w:rFonts w:hint="default" w:ascii="Times New Roman Regular" w:hAnsi="Times New Roman Regular" w:cs="Times New Roman Regular"/>
          <w:lang w:val="en-US"/>
        </w:rPr>
        <w:t>’</w:t>
      </w:r>
      <w:r>
        <w:rPr>
          <w:rFonts w:ascii="Times New Roman Regular" w:hAnsi="Times New Roman Regular" w:cs="Times New Roman Regular"/>
        </w:rPr>
        <w:t xml:space="preserve"> awareness of the Cizhou Kiln and their cultural preferences, it can be concluded that cross-media narratives are effective for brand promotion. The data suggests a significant increase in the acceptance of brand design among younger individuals, indicating that the efficacy of new media expressions and traditional patterns may lie in the integration of content form and contemporary aesthetic trends (Kim and Yoon, 2021).</w:t>
      </w:r>
    </w:p>
    <w:p w14:paraId="05E1831E">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4.2 Emerging Questions and Limitations</w:t>
      </w:r>
    </w:p>
    <w:p w14:paraId="73974632">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The design of this study could result in specific risks and limitations. Firstly, there is a concern regarding potential sampling error within the target population. If the interviews or surveys primarily focus on specific regions and demographics, particularly those with a strong interest in traditional culture, while excluding a wider or possibly indifferent group, the results may be biased towards favourable interpretations. To improve the study’s generalizability, it should involve a more culturally diverse demographic, multinational audiences, or general consumers who have not had direct exposure to Cizhou Kiln. The authentic views of local artisans or community members may be influenced by the ‘researcher relationship’. Subsequent research should consider integrating fieldwork or a small-scale anthropological approach. The same holds for quantitative surveys, as the potential for data generalization decreases when the distribution method targets ‘art and culture’ groups. Additionally, constraints related to time and resources present challenges, as the effectiveness of cross-media narratives typically requires extended exposure for proper development, and the attitudinal augmentation observed in the short term may simply reflect a temporary novelty.</w:t>
      </w:r>
    </w:p>
    <w:p w14:paraId="1110A79C">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 conflict may emerge between cultural ethics and internal discord. The branding of NRLs raises questions about their authenticity. Focusing exclusively on market reactions while failing to express the needs of the community and artisans may lead to the neglect of local cultural stakeholders' perspectives and interests in this process (Wang, 2015). Cross-media narrative theory suggests that audiences tend to pursue deeper content; however, users may only engage with a particular medium for a limited duration. Should quantitative data reveal that customers are primarily ‘shallow consumers’, it is crucial to explore strategies for effectively conveying the attractiveness of the Cizhou Kiln within a limited timeframe. The question arises as to whether the ‘folk aesthetic’ and the ‘black and white painting language’ necessitate different interpretations by individuals from diverse cultural backgrounds. The identified issues suggest that the study approach, while capable of yielding multidimensional insights, faces the limitation of insufficient control over the external environment. Longer duration and a larger sample are essential for a thorough validation of the prevalence of cross-media narratives in branding. The mixed research method combines semiotic analysis, qualitative interviews, and quantitative assessment, which may complicate study execution and lead to conflated analyses if time or resources are limited. It is crucial to develop a strong hierarchical plan in the design phase, define the objectives and scope of each method, and ensure that the results are logically consistent.</w:t>
      </w:r>
    </w:p>
    <w:p w14:paraId="428C8501">
      <w:pPr>
        <w:pStyle w:val="4"/>
        <w:widowControl/>
        <w:spacing w:beforeAutospacing="0" w:afterAutospacing="0" w:line="480" w:lineRule="auto"/>
        <w:jc w:val="both"/>
        <w:rPr>
          <w:rFonts w:hint="default" w:ascii="Times New Roman Bold" w:hAnsi="Times New Roman Bold" w:cs="Times New Roman Bold"/>
          <w:b/>
          <w:bCs/>
        </w:rPr>
      </w:pPr>
      <w:r>
        <w:rPr>
          <w:rFonts w:hint="default" w:ascii="Times New Roman Bold" w:hAnsi="Times New Roman Bold" w:cs="Times New Roman Bold"/>
          <w:b/>
          <w:bCs/>
        </w:rPr>
        <w:t>4.3 Theoretical Interaction and Methodological Considerations</w:t>
      </w:r>
    </w:p>
    <w:p w14:paraId="54500CA3">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Artisans emphasize the quality of workmanship, historical relevance, and familial stories linked to the motifs, expressing concern over the potential simplification or commercialization of these representations. Contemporary designers or brand practitioners typically enhance recognizable symbols and provide them with meanings that align more closely with current aesthetics and market demands. This variation in interpretation corresponds with Peirce's concept of ‘Interpretant’: the same motif is invoked with different ‘references’ across diverse subject-object relationships. Furthermore, numerous local residents or folklore experts recognize patterns as symbols of regional culture, representing local traditions and positive connotations. In contrast, the general public or younger consumers may regard them merely as ‘national trends’ or ‘fashion elements’, lacking a deeper understanding of their significance. If supported by interview data or observational recordings, the tension between ‘traditional symbolism’ and ‘commercialized expression’ in the semiotic re-encoding process will represent a key finding of the study. The findings indicate that semiotics and transmedia narrative theory can analyze the emergence of diverse meanings of the same pattern across various communities. This analysis assists transmedia narratives in achieving ‘differentiated expression’, which preserves regional characteristics while ensuring identifiability and extensibility in branding. Henry Jenkins</w:t>
      </w:r>
      <w:r>
        <w:rPr>
          <w:rFonts w:hint="default" w:ascii="Times New Roman Regular" w:hAnsi="Times New Roman Regular" w:cs="Times New Roman Regular"/>
          <w:lang w:val="en-US"/>
        </w:rPr>
        <w:t>’</w:t>
      </w:r>
      <w:r>
        <w:rPr>
          <w:rFonts w:ascii="Times New Roman Regular" w:hAnsi="Times New Roman Regular" w:cs="Times New Roman Regular"/>
        </w:rPr>
        <w:t xml:space="preserve"> (2006) concept of cross-media narrative asserts that a strong intellectual property (IP) must offer an integrated, value-adding perspective or content ecosystem across multiple media platforms rather than simply duplicating content. The study, especially the quantitative aspect, indicates that the audience</w:t>
      </w:r>
      <w:r>
        <w:rPr>
          <w:rFonts w:hint="default" w:ascii="Times New Roman Regular" w:hAnsi="Times New Roman Regular" w:cs="Times New Roman Regular"/>
          <w:lang w:val="en-US"/>
        </w:rPr>
        <w:t>’</w:t>
      </w:r>
      <w:r>
        <w:rPr>
          <w:rFonts w:ascii="Times New Roman Regular" w:hAnsi="Times New Roman Regular" w:cs="Times New Roman Regular"/>
        </w:rPr>
        <w:t>s awareness, emotional attachment, and willingness to engage with the cultural symbol of the Cizhou Kiln significantly increase following exposure to short videos, physical exhibits, and digital interactive games. If the study indicates that a significant number of users reported dissatisfaction with the insufficient articulation and repetitive nature across media, it would support the concerns articulated by Chao and Li (2020) about the cross-media initiative between the Forbidden City and Dunhuang: ‘Multimedia</w:t>
      </w:r>
      <w:r>
        <w:rPr>
          <w:rFonts w:hint="default" w:ascii="Times New Roman Regular" w:hAnsi="Times New Roman Regular" w:cs="Times New Roman Regular"/>
          <w:lang w:val="en-US"/>
        </w:rPr>
        <w:t xml:space="preserve">’ </w:t>
      </w:r>
      <w:r>
        <w:rPr>
          <w:rFonts w:ascii="Times New Roman Regular" w:hAnsi="Times New Roman Regular" w:cs="Times New Roman Regular"/>
        </w:rPr>
        <w:t>does not necessarily imply ‘deep narrative’, and to effectively engage the audience, the project must offer diverse and complementary content strategies.</w:t>
      </w:r>
    </w:p>
    <w:p w14:paraId="3E81ECFF">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suggests that cross-media narratives should not simply serve as an amalgamation of marketing techniques but must instead be a purposeful endeavor in developing brand and cultural significance. Suppose the findings of this study support this conclusion. In that case, it will improve understanding of the practical application of transmedia narrative theory in non-heritage branding and further the development of the transdisciplinary field of ‘transmedia and heritage studies’ in academia. Keller’s (2008) Consumer-Based Brand Equity (CBBE) model delineates brand identity, brand meaning, brand response, and brand resonance, providing a structured framework for brand development that encompasses visual identity design, cultural value integration, user feedback mechanisms, and routes to brand resonance. Should quantitative surveys or focus group interviews reveal that users have improved their perception of the traditional craft image after cross-media exposure to the pattern—evidenced by their recollection of the unique black-and-white lines and folk painting style, alignment with the artisanal spirit and regional narratives, and a willingness to invest in related cultural peripherals or experiential activities—the theory of branding exhibits a degree of mobility, allowing for the integration of traditional cultural resources into contemporary brand operational systems. Complaints about cultural appropriation or excessive commercialization may emerge, with interviewers or community members questioning the dilution of ‘authenticity’, leading to what Smith and Akagawa (2009) describe as the ‘heritage ethic’ contradiction. If validated, this outcome would provide empirical evidence for traditional craft branding within academic discourse. The resources can function as cultural assets, offering unique value to brands. Researchers must establish a strong connection between branding and cultural studies with ethics, community interests, and historical contexts; failure to do so may lead to a reduction to mere ‘consumerisation’.</w:t>
      </w:r>
    </w:p>
    <w:p w14:paraId="604CEA9E">
      <w:pPr>
        <w:pStyle w:val="4"/>
        <w:widowControl/>
        <w:spacing w:beforeAutospacing="0" w:afterAutospacing="0" w:line="480" w:lineRule="auto"/>
        <w:jc w:val="both"/>
        <w:rPr>
          <w:rFonts w:hint="eastAsia" w:ascii="Times New Roman Regular" w:hAnsi="Times New Roman Regular" w:cs="Times New Roman Regular"/>
        </w:rPr>
      </w:pPr>
    </w:p>
    <w:p w14:paraId="033566F0">
      <w:pPr>
        <w:pStyle w:val="4"/>
        <w:widowControl/>
        <w:spacing w:beforeAutospacing="0" w:afterAutospacing="0" w:line="480" w:lineRule="auto"/>
        <w:jc w:val="both"/>
        <w:rPr>
          <w:rFonts w:ascii="Times New Roman Bold" w:hAnsi="Times New Roman Bold" w:cs="Times New Roman Bold"/>
          <w:b/>
          <w:bCs/>
          <w:sz w:val="28"/>
          <w:szCs w:val="28"/>
        </w:rPr>
      </w:pPr>
      <w:r>
        <w:rPr>
          <w:rFonts w:ascii="Times New Roman Bold" w:hAnsi="Times New Roman Bold" w:cs="Times New Roman Bold"/>
          <w:b/>
          <w:bCs/>
          <w:sz w:val="28"/>
          <w:szCs w:val="28"/>
        </w:rPr>
        <w:t>5 Conclusion</w:t>
      </w:r>
    </w:p>
    <w:p w14:paraId="57026AF5">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Semiotics, cross-media narrative, and branding are used to analyze the ‘branding of non-heritage culture’, producing a comprehensive framework. This is unique in earlier investigations and expands the theoretical basis for traditional pattern applications today. This study builds and evaluates a mixed-methods methodology that combines narrative inquiry with quantitative analysis to reconstitute ornamental themes from the Cizhou Kiln and modern branding design across media. The four levels of historical motif analysis are symbolic, grammatical, semantic, and narrative. The narrative inquiry methodology explains how these themes create meaning in varied social contexts and provides a foundation for storytelling and character representation in current visual language. This strategy transforms Cizhou Kiln from ‘material remnants’ to ‘culture story units’. Traditional archaeological and art historical study neglects user factors and communication contexts. This research integrates a qualitative cross-media story prototype into the brand visual system and allows quantitative verification, creating a cycle of ‘qualitative interpretation - quantitative testing - reinterpretation’. This suggests that cultural narrative depth strongly affects users' cultural meaning and brand loyalty.</w:t>
      </w:r>
    </w:p>
    <w:p w14:paraId="427E7ECF">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This study shows that narrative inquiry and semiotic analysis can revive folk kiln patterns. It uses an interpretative sequential mixed design to explain how to turn qualitative insights into measurable indicators, providing an accurate framework for studying non-heritage cultural intellectual goods. The hybrid study combines cultural ontology research, design practice, and user experience to strengthen findings and offer a robust framework for scholars.</w:t>
      </w:r>
    </w:p>
    <w:p w14:paraId="0255DB87">
      <w:pPr>
        <w:pStyle w:val="4"/>
        <w:widowControl/>
        <w:spacing w:beforeAutospacing="0" w:afterAutospacing="0" w:line="480" w:lineRule="auto"/>
        <w:ind w:firstLine="480" w:firstLineChars="200"/>
        <w:jc w:val="both"/>
        <w:rPr>
          <w:rFonts w:ascii="Times New Roman Regular" w:hAnsi="Times New Roman Regular" w:cs="Times New Roman Regular"/>
        </w:rPr>
      </w:pPr>
      <w:r>
        <w:rPr>
          <w:rFonts w:ascii="Times New Roman Regular" w:hAnsi="Times New Roman Regular" w:cs="Times New Roman Regular"/>
        </w:rPr>
        <w:t>Despite limitations in sample geography, media type, and longitudinal monitoring, this study provides direction for future research. It proposes two main approaches: first, to demonstrate the cross-cultural applicability of narrative structures are universal across cultures, and second, to use new media like VR and AR to deepen and intensify narratives. Qualitative research is crucial to reviving cultural symbols and design applications, and a thorough mixed research study supports its methodological approach to traditional craftsmanship in contemporary branding contexts.</w:t>
      </w:r>
    </w:p>
    <w:p w14:paraId="79DE6D5E">
      <w:pPr>
        <w:spacing w:line="480" w:lineRule="auto"/>
        <w:rPr>
          <w:rFonts w:ascii="Times New Roman Regular" w:hAnsi="Times New Roman Regular" w:cs="Times New Roman Regular"/>
          <w:szCs w:val="21"/>
        </w:rPr>
      </w:pPr>
      <w:r>
        <w:rPr>
          <w:rFonts w:ascii="Times New Roman Regular" w:hAnsi="Times New Roman Regular" w:cs="Times New Roman Regular"/>
          <w:szCs w:val="21"/>
        </w:rPr>
        <w:br w:type="page"/>
      </w:r>
    </w:p>
    <w:p w14:paraId="251BA1F8">
      <w:pPr>
        <w:pStyle w:val="4"/>
        <w:widowControl/>
        <w:spacing w:beforeAutospacing="0" w:afterAutospacing="0" w:line="480" w:lineRule="auto"/>
        <w:rPr>
          <w:rFonts w:ascii="Times New Roman" w:hAnsi="Times New Roman"/>
          <w:sz w:val="21"/>
          <w:szCs w:val="21"/>
        </w:rPr>
      </w:pPr>
      <w:r>
        <w:rPr>
          <w:rFonts w:ascii="Times New Roman" w:hAnsi="Times New Roman"/>
          <w:b/>
          <w:bCs/>
          <w:sz w:val="21"/>
          <w:szCs w:val="21"/>
        </w:rPr>
        <w:t>Reference</w:t>
      </w:r>
      <w:r>
        <w:rPr>
          <w:rFonts w:ascii="Times New Roman" w:hAnsi="Times New Roman"/>
          <w:sz w:val="21"/>
          <w:szCs w:val="21"/>
        </w:rPr>
        <w:t>s</w:t>
      </w:r>
    </w:p>
    <w:p w14:paraId="32B5B54A">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Chen, Y. and Xue, K. (2021) ‘Interactive Design of Intangible Cultural Heritage Based on Social Sharing—The Digital Revitalization of “Su Embroidery”’, </w:t>
      </w:r>
      <w:r>
        <w:rPr>
          <w:rFonts w:ascii="Times New Roman" w:hAnsi="Times New Roman" w:cs="Times New Roman"/>
          <w:i/>
          <w:iCs/>
        </w:rPr>
        <w:t>Academic Journal of Humanities &amp; Social Sciences,</w:t>
      </w:r>
      <w:r>
        <w:rPr>
          <w:rFonts w:ascii="Times New Roman" w:hAnsi="Times New Roman" w:cs="Times New Roman"/>
        </w:rPr>
        <w:t xml:space="preserve"> 4(4), pp. 53–60. </w:t>
      </w:r>
    </w:p>
    <w:p w14:paraId="109B5612">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Clandinin, D.J. and Connelly, F.M. (2000) </w:t>
      </w:r>
      <w:r>
        <w:rPr>
          <w:rFonts w:ascii="Times New Roman" w:hAnsi="Times New Roman" w:cs="Times New Roman"/>
          <w:i/>
          <w:iCs/>
        </w:rPr>
        <w:t>Narrative Inquiry: Experience and Story in Qualitative Research</w:t>
      </w:r>
      <w:r>
        <w:rPr>
          <w:rFonts w:ascii="Times New Roman" w:hAnsi="Times New Roman" w:cs="Times New Roman"/>
        </w:rPr>
        <w:t>. San Francisco: Jossey-Bass.</w:t>
      </w:r>
    </w:p>
    <w:p w14:paraId="3055FDA8">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Creswell, J. W. and Plano Clark, V. L. (2017) </w:t>
      </w:r>
      <w:r>
        <w:rPr>
          <w:rFonts w:ascii="Times New Roman" w:hAnsi="Times New Roman" w:cs="Times New Roman"/>
          <w:i/>
          <w:iCs/>
        </w:rPr>
        <w:t>Designing and Conducting Mixed Methods Research.</w:t>
      </w:r>
      <w:r>
        <w:rPr>
          <w:rFonts w:ascii="Times New Roman" w:hAnsi="Times New Roman" w:cs="Times New Roman"/>
        </w:rPr>
        <w:t xml:space="preserve"> Thousand Oaks, CA: SAGE Publications.</w:t>
      </w:r>
    </w:p>
    <w:p w14:paraId="51B63A59">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Fang, L. (2013) </w:t>
      </w:r>
      <w:r>
        <w:rPr>
          <w:rFonts w:ascii="Times New Roman" w:hAnsi="Times New Roman" w:cs="Times New Roman"/>
          <w:i/>
          <w:iCs/>
        </w:rPr>
        <w:t>Zhongguo taoci shi Shang</w:t>
      </w:r>
      <w:r>
        <w:rPr>
          <w:rFonts w:ascii="Times New Roman" w:hAnsi="Times New Roman" w:cs="Times New Roman"/>
        </w:rPr>
        <w:t xml:space="preserve"> [History of Chinese Ceramics, Volume I]. Jinan: Qilu Publishing House.</w:t>
      </w:r>
    </w:p>
    <w:p w14:paraId="45B0F475">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He Li (1996). </w:t>
      </w:r>
      <w:r>
        <w:rPr>
          <w:rFonts w:ascii="Times New Roman" w:hAnsi="Times New Roman" w:cs="Times New Roman"/>
          <w:i/>
          <w:iCs/>
        </w:rPr>
        <w:t>Chinese Ceramics: A New Comprehensive Survey from the Asian Art Museum of San Francisco.</w:t>
      </w:r>
      <w:r>
        <w:rPr>
          <w:rFonts w:ascii="Times New Roman" w:hAnsi="Times New Roman" w:cs="Times New Roman"/>
        </w:rPr>
        <w:t xml:space="preserve"> London: Thames &amp; Hudson.</w:t>
      </w:r>
    </w:p>
    <w:p w14:paraId="655499F0">
      <w:pPr>
        <w:tabs>
          <w:tab w:val="left" w:pos="4560"/>
        </w:tabs>
        <w:spacing w:line="480" w:lineRule="auto"/>
        <w:ind w:left="420" w:hanging="420" w:hangingChars="200"/>
        <w:rPr>
          <w:rFonts w:ascii="Times New Roman" w:hAnsi="Times New Roman" w:cs="Times New Roman"/>
        </w:rPr>
      </w:pPr>
      <w:r>
        <w:rPr>
          <w:rFonts w:ascii="Times New Roman" w:hAnsi="Times New Roman" w:cs="Times New Roman"/>
        </w:rPr>
        <w:t xml:space="preserve">Hou, Z. (2023) </w:t>
      </w:r>
      <w:r>
        <w:rPr>
          <w:rFonts w:ascii="Times New Roman" w:hAnsi="Times New Roman" w:cs="Times New Roman"/>
          <w:i/>
          <w:iCs/>
        </w:rPr>
        <w:t>A Study on the Conception of Objects in Cizhou Kiln during the Song and Yuan Dynasties</w:t>
      </w:r>
      <w:r>
        <w:rPr>
          <w:rFonts w:ascii="Times New Roman" w:hAnsi="Times New Roman" w:cs="Times New Roman"/>
        </w:rPr>
        <w:t xml:space="preserve"> (PhD thesis, Hebei University).</w:t>
      </w:r>
    </w:p>
    <w:p w14:paraId="35A2C382">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Hu, B., Zelenko, O., Pinxit, V. &amp; Buys, L. (2019) ‘A Social Semiotic Approach and a Visual Analysis Approach for Chinese Traditional Visual Language: A Case of Tea Packaging Design’, </w:t>
      </w:r>
      <w:r>
        <w:rPr>
          <w:rFonts w:ascii="Times New Roman" w:hAnsi="Times New Roman" w:cs="Times New Roman"/>
          <w:i/>
          <w:iCs/>
        </w:rPr>
        <w:t>Theory and Practice in Language Studies,</w:t>
      </w:r>
      <w:r>
        <w:rPr>
          <w:rFonts w:ascii="Times New Roman" w:hAnsi="Times New Roman" w:cs="Times New Roman"/>
        </w:rPr>
        <w:t xml:space="preserve"> 9(2), pp. 168–177. </w:t>
      </w:r>
    </w:p>
    <w:p w14:paraId="7069D6CA">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Jenkins, H. (2006)</w:t>
      </w:r>
      <w:r>
        <w:rPr>
          <w:rFonts w:ascii="Times New Roman" w:hAnsi="Times New Roman" w:cs="Times New Roman"/>
          <w:i/>
          <w:iCs/>
        </w:rPr>
        <w:t xml:space="preserve"> Convergence Culture: Where Old and New Media Collide. </w:t>
      </w:r>
      <w:r>
        <w:rPr>
          <w:rFonts w:ascii="Times New Roman" w:hAnsi="Times New Roman" w:cs="Times New Roman"/>
        </w:rPr>
        <w:t>New York: New York University Press.</w:t>
      </w:r>
    </w:p>
    <w:p w14:paraId="5506BA0F">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Kalpokas, N. and Hecker, J. (2023) ‘Ethical Considerations in Qualitative Research’, </w:t>
      </w:r>
      <w:r>
        <w:rPr>
          <w:rFonts w:ascii="Times New Roman" w:hAnsi="Times New Roman" w:cs="Times New Roman"/>
          <w:i/>
          <w:iCs/>
        </w:rPr>
        <w:t>The Ultimate Guide to Qualitative Research – Part 1,</w:t>
      </w:r>
      <w:r>
        <w:rPr>
          <w:rFonts w:ascii="Times New Roman" w:hAnsi="Times New Roman" w:cs="Times New Roman"/>
        </w:rPr>
        <w:t xml:space="preserve"> ATLAS.ti. </w:t>
      </w:r>
    </w:p>
    <w:p w14:paraId="7AFA3BDA">
      <w:pPr>
        <w:tabs>
          <w:tab w:val="left" w:pos="4560"/>
        </w:tabs>
        <w:spacing w:line="480" w:lineRule="auto"/>
        <w:ind w:left="420" w:hanging="420" w:hangingChars="200"/>
        <w:rPr>
          <w:rFonts w:ascii="Times New Roman" w:hAnsi="Times New Roman" w:cs="Times New Roman"/>
        </w:rPr>
      </w:pPr>
      <w:r>
        <w:rPr>
          <w:rFonts w:ascii="Times New Roman" w:hAnsi="Times New Roman" w:cs="Times New Roman"/>
        </w:rPr>
        <w:t>Keller, K.L. (2013)</w:t>
      </w:r>
      <w:r>
        <w:rPr>
          <w:rFonts w:ascii="Times New Roman" w:hAnsi="Times New Roman" w:cs="Times New Roman"/>
          <w:i/>
          <w:iCs/>
        </w:rPr>
        <w:t xml:space="preserve"> Strategic Brand Management: Building, Measuring, and Managing Brand Equity</w:t>
      </w:r>
      <w:r>
        <w:rPr>
          <w:rFonts w:ascii="Times New Roman" w:hAnsi="Times New Roman" w:cs="Times New Roman"/>
        </w:rPr>
        <w:t>. 4th ed. Harlow: Pearson Education</w:t>
      </w:r>
    </w:p>
    <w:p w14:paraId="7155DE97">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Kemmis, S., &amp; McTaggart, R. (1988).</w:t>
      </w:r>
      <w:r>
        <w:rPr>
          <w:rFonts w:ascii="Times New Roman" w:hAnsi="Times New Roman" w:cs="Times New Roman"/>
          <w:i/>
          <w:iCs/>
        </w:rPr>
        <w:t xml:space="preserve"> The Action Research Planner.</w:t>
      </w:r>
      <w:r>
        <w:rPr>
          <w:rFonts w:ascii="Times New Roman" w:hAnsi="Times New Roman" w:cs="Times New Roman"/>
        </w:rPr>
        <w:t xml:space="preserve"> Victoria: Deakin University Press.</w:t>
      </w:r>
    </w:p>
    <w:p w14:paraId="7D8ACC8E">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Kim, J., &amp; Yoon, H. J. (2021). </w:t>
      </w:r>
      <w:r>
        <w:rPr>
          <w:rFonts w:ascii="Times New Roman" w:hAnsi="Times New Roman" w:cs="Times New Roman"/>
          <w:i/>
          <w:iCs/>
        </w:rPr>
        <w:t>Sharing consumers' brand storytelling: Influence of consumers' storytelling on brand attitude via emotions and cognitions.</w:t>
      </w:r>
      <w:r>
        <w:rPr>
          <w:rFonts w:ascii="Times New Roman" w:hAnsi="Times New Roman" w:cs="Times New Roman"/>
        </w:rPr>
        <w:t xml:space="preserve"> Journal of Business Research, 134, 1-13.</w:t>
      </w:r>
    </w:p>
    <w:p w14:paraId="5D346165">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eastAsia="宋体" w:cs="Times New Roman"/>
          <w:kern w:val="0"/>
          <w:szCs w:val="21"/>
          <w:lang w:bidi="ar"/>
        </w:rPr>
        <w:t>Li, X., Liu, Y. and Huang, G. (2025) ‘Research on Human–Machine Co-creation Design of Intangible Cultural Heritage Digital Creative Products from the Perspective of AIGC Multimodal Narrative’,</w:t>
      </w:r>
      <w:r>
        <w:rPr>
          <w:rFonts w:ascii="Times New Roman" w:hAnsi="Times New Roman" w:eastAsia="宋体" w:cs="Times New Roman"/>
          <w:i/>
          <w:iCs/>
          <w:kern w:val="0"/>
          <w:szCs w:val="21"/>
          <w:lang w:bidi="ar"/>
        </w:rPr>
        <w:t xml:space="preserve"> </w:t>
      </w:r>
      <w:r>
        <w:rPr>
          <w:rStyle w:val="8"/>
          <w:rFonts w:ascii="Times New Roman" w:hAnsi="Times New Roman" w:eastAsia="宋体" w:cs="Times New Roman"/>
          <w:iCs/>
          <w:kern w:val="0"/>
          <w:szCs w:val="21"/>
          <w:lang w:bidi="ar"/>
        </w:rPr>
        <w:t>Packaging Engineering</w:t>
      </w:r>
      <w:r>
        <w:rPr>
          <w:rFonts w:ascii="Times New Roman" w:hAnsi="Times New Roman" w:eastAsia="宋体" w:cs="Times New Roman"/>
          <w:kern w:val="0"/>
          <w:szCs w:val="21"/>
          <w:lang w:bidi="ar"/>
        </w:rPr>
        <w:t xml:space="preserve">, pp. 1–14. </w:t>
      </w:r>
    </w:p>
    <w:p w14:paraId="2D492F9C">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Liu, Y. (2019) ‘Application of Transmedia Storytelling in Cultural Brand Communication’, </w:t>
      </w:r>
      <w:r>
        <w:rPr>
          <w:rFonts w:ascii="Times New Roman" w:hAnsi="Times New Roman" w:cs="Times New Roman"/>
          <w:i/>
          <w:iCs/>
        </w:rPr>
        <w:t>Media Watch</w:t>
      </w:r>
      <w:r>
        <w:rPr>
          <w:rFonts w:ascii="Times New Roman" w:hAnsi="Times New Roman" w:cs="Times New Roman"/>
        </w:rPr>
        <w:t>, 11(6), pp. 78–82.</w:t>
      </w:r>
    </w:p>
    <w:p w14:paraId="5A73ED0E">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Ole, H. C., Sakka, E. W. M. &amp; Mandagi, D. W. (2025). Perceived Quality, Brand Trust, Image, and Loyalty as Key Drivers of Fast Food Brand Equity. </w:t>
      </w:r>
      <w:r>
        <w:rPr>
          <w:rFonts w:ascii="Times New Roman" w:hAnsi="Times New Roman" w:cs="Times New Roman"/>
          <w:i/>
          <w:iCs/>
        </w:rPr>
        <w:t xml:space="preserve">Indonesian Journal of Islamic Economics and Finance, </w:t>
      </w:r>
      <w:r>
        <w:rPr>
          <w:rFonts w:ascii="Times New Roman" w:hAnsi="Times New Roman" w:cs="Times New Roman"/>
        </w:rPr>
        <w:t>11(4), 4170–4183.​</w:t>
      </w:r>
    </w:p>
    <w:p w14:paraId="2FFCB976">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Peng, Z. (2018) 'Theoretical Approaches to Iconology and Its Localization: A Review of Domestic Studies Since 2010', </w:t>
      </w:r>
      <w:r>
        <w:rPr>
          <w:rFonts w:ascii="Times New Roman" w:hAnsi="Times New Roman" w:cs="Times New Roman"/>
          <w:i/>
          <w:iCs/>
        </w:rPr>
        <w:t xml:space="preserve">Chinese Art Criticism, </w:t>
      </w:r>
      <w:r>
        <w:rPr>
          <w:rFonts w:ascii="Times New Roman" w:hAnsi="Times New Roman" w:cs="Times New Roman"/>
        </w:rPr>
        <w:t>(in Chinese).</w:t>
      </w:r>
    </w:p>
    <w:p w14:paraId="28860F5A">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Schlunegger, M.C., Zumstein-Shaha, M. and Palm, R. (2024) ‘Methodologic and data-analysis triangulation in case studies: A scoping review’,</w:t>
      </w:r>
      <w:r>
        <w:rPr>
          <w:rFonts w:ascii="Times New Roman" w:hAnsi="Times New Roman" w:cs="Times New Roman"/>
          <w:i/>
          <w:iCs/>
        </w:rPr>
        <w:t xml:space="preserve"> Western Journal of Nursing Research,</w:t>
      </w:r>
      <w:r>
        <w:rPr>
          <w:rFonts w:ascii="Times New Roman" w:hAnsi="Times New Roman" w:cs="Times New Roman"/>
        </w:rPr>
        <w:t xml:space="preserve"> 46(8), pp. 611–622</w:t>
      </w:r>
    </w:p>
    <w:p w14:paraId="11A37828">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Smith, L. (2006) </w:t>
      </w:r>
      <w:r>
        <w:rPr>
          <w:rFonts w:ascii="Times New Roman" w:hAnsi="Times New Roman" w:cs="Times New Roman"/>
          <w:i/>
          <w:iCs/>
        </w:rPr>
        <w:t>Uses of Heritage.</w:t>
      </w:r>
      <w:r>
        <w:rPr>
          <w:rFonts w:ascii="Times New Roman" w:hAnsi="Times New Roman" w:cs="Times New Roman"/>
        </w:rPr>
        <w:t xml:space="preserve"> London: Routledge.</w:t>
      </w:r>
    </w:p>
    <w:p w14:paraId="1DAE1BD3">
      <w:pPr>
        <w:tabs>
          <w:tab w:val="left" w:pos="4560"/>
        </w:tabs>
        <w:spacing w:line="480" w:lineRule="auto"/>
        <w:ind w:left="420" w:hanging="420" w:hangingChars="200"/>
        <w:rPr>
          <w:rFonts w:hint="eastAsia" w:ascii="Times New Roman" w:hAnsi="Times New Roman" w:eastAsia="宋体" w:cs="Times New Roman"/>
          <w:szCs w:val="21"/>
        </w:rPr>
      </w:pPr>
      <w:r>
        <w:rPr>
          <w:rFonts w:ascii="Times New Roman" w:hAnsi="Times New Roman" w:cs="Times New Roman"/>
        </w:rPr>
        <w:t xml:space="preserve">Smith, L. and Akagawa, N. (eds.) 2009. </w:t>
      </w:r>
      <w:r>
        <w:rPr>
          <w:rFonts w:ascii="Times New Roman" w:hAnsi="Times New Roman" w:cs="Times New Roman"/>
          <w:i/>
          <w:iCs/>
        </w:rPr>
        <w:t>Intangible Heritage</w:t>
      </w:r>
      <w:r>
        <w:rPr>
          <w:rFonts w:ascii="Times New Roman" w:hAnsi="Times New Roman" w:cs="Times New Roman"/>
        </w:rPr>
        <w:t>. London: Routledge.</w:t>
      </w:r>
    </w:p>
    <w:p w14:paraId="24EEB2E5">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Spradley, J.P. (1979)</w:t>
      </w:r>
      <w:r>
        <w:rPr>
          <w:rFonts w:ascii="Times New Roman" w:hAnsi="Times New Roman" w:cs="Times New Roman"/>
          <w:i/>
          <w:iCs/>
        </w:rPr>
        <w:t xml:space="preserve"> The Ethnographic Interview</w:t>
      </w:r>
      <w:r>
        <w:rPr>
          <w:rFonts w:ascii="Times New Roman" w:hAnsi="Times New Roman" w:cs="Times New Roman"/>
        </w:rPr>
        <w:t>. New York: Holt, Rinehart and Winston.</w:t>
      </w:r>
    </w:p>
    <w:p w14:paraId="107B1478">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Sun, Y. (2024) </w:t>
      </w:r>
      <w:r>
        <w:rPr>
          <w:rFonts w:ascii="Times New Roman" w:hAnsi="Times New Roman" w:cs="Times New Roman"/>
          <w:i/>
          <w:iCs/>
        </w:rPr>
        <w:t xml:space="preserve">Exploration and Practice of the Application of Song, Jin and Yuan Cizhou Kiln Art in Landscape Design </w:t>
      </w:r>
      <w:r>
        <w:rPr>
          <w:rFonts w:ascii="Times New Roman" w:hAnsi="Times New Roman" w:cs="Times New Roman"/>
        </w:rPr>
        <w:t xml:space="preserve">(Master’s thesis, Shijiazhuang Tiedao University). </w:t>
      </w:r>
    </w:p>
    <w:p w14:paraId="6C98A1D0">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UNESCO (2003) </w:t>
      </w:r>
      <w:r>
        <w:rPr>
          <w:rFonts w:ascii="Times New Roman" w:hAnsi="Times New Roman" w:cs="Times New Roman"/>
          <w:i/>
          <w:iCs/>
        </w:rPr>
        <w:t xml:space="preserve">Convention for the Safeguarding of the Intangible Cultural Heritage. </w:t>
      </w:r>
      <w:r>
        <w:rPr>
          <w:rFonts w:ascii="Times New Roman" w:hAnsi="Times New Roman" w:cs="Times New Roman"/>
        </w:rPr>
        <w:t xml:space="preserve">Paris: United Nations Educational, Scientific and Cultural Organization. </w:t>
      </w:r>
    </w:p>
    <w:p w14:paraId="64993865">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Van Manen, M. (2016) </w:t>
      </w:r>
      <w:r>
        <w:rPr>
          <w:rFonts w:ascii="Times New Roman" w:hAnsi="Times New Roman" w:cs="Times New Roman"/>
          <w:i/>
          <w:iCs/>
        </w:rPr>
        <w:t>Researching Lived Experience: Human Science for an Action Sensitive Pedagogy.</w:t>
      </w:r>
      <w:r>
        <w:rPr>
          <w:rFonts w:ascii="Times New Roman" w:hAnsi="Times New Roman" w:cs="Times New Roman"/>
        </w:rPr>
        <w:t xml:space="preserve"> 2nd ed. London: Routledge.</w:t>
      </w:r>
    </w:p>
    <w:p w14:paraId="3FB6A62F">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eastAsia="宋体" w:cs="Times New Roman"/>
          <w:kern w:val="0"/>
          <w:szCs w:val="21"/>
          <w:lang w:bidi="ar"/>
        </w:rPr>
        <w:t>Verganti, R. (2009)</w:t>
      </w:r>
      <w:r>
        <w:rPr>
          <w:rFonts w:ascii="Times New Roman" w:hAnsi="Times New Roman" w:eastAsia="宋体" w:cs="Times New Roman"/>
          <w:i/>
          <w:iCs/>
          <w:kern w:val="0"/>
          <w:szCs w:val="21"/>
          <w:lang w:bidi="ar"/>
        </w:rPr>
        <w:t xml:space="preserve"> Design-Driven Innovation: Changing the Rules of Competition by Radically Innovating What Things Mean. </w:t>
      </w:r>
      <w:r>
        <w:rPr>
          <w:rFonts w:ascii="Times New Roman" w:hAnsi="Times New Roman" w:eastAsia="宋体" w:cs="Times New Roman"/>
          <w:kern w:val="0"/>
          <w:szCs w:val="21"/>
          <w:lang w:bidi="ar"/>
        </w:rPr>
        <w:t>Boston: Harvard Business Press.</w:t>
      </w:r>
      <w:bookmarkStart w:id="0" w:name="_GoBack"/>
      <w:bookmarkEnd w:id="0"/>
    </w:p>
    <w:p w14:paraId="018C77B5">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Wang, P. and Zhang, J. (2022) ‘Implications of Cizhou Kiln for Product Design’, </w:t>
      </w:r>
      <w:r>
        <w:rPr>
          <w:rFonts w:ascii="Times New Roman" w:hAnsi="Times New Roman" w:cs="Times New Roman"/>
          <w:i/>
          <w:iCs/>
        </w:rPr>
        <w:t>Proceedings of the 2022 International Conference on Science Education and Art Appreciation (SEAA 2022), Advances in Social Science, Education and Humanities Research,</w:t>
      </w:r>
      <w:r>
        <w:rPr>
          <w:rFonts w:ascii="Times New Roman" w:hAnsi="Times New Roman" w:cs="Times New Roman"/>
        </w:rPr>
        <w:t xml:space="preserve"> 675, pp. 488–494. </w:t>
      </w:r>
    </w:p>
    <w:p w14:paraId="24416257">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Wang, Q. (2025) 'Communication of Intangible Cultural Heritage in the Context of New Media', </w:t>
      </w:r>
      <w:r>
        <w:rPr>
          <w:rFonts w:ascii="Times New Roman" w:hAnsi="Times New Roman" w:cs="Times New Roman"/>
          <w:i/>
          <w:szCs w:val="21"/>
        </w:rPr>
        <w:t xml:space="preserve">Chinese Academy of Social Sciences </w:t>
      </w:r>
      <w:r>
        <w:rPr>
          <w:rStyle w:val="8"/>
          <w:rFonts w:ascii="Times New Roman" w:hAnsi="Times New Roman" w:eastAsia="宋体" w:cs="Times New Roman"/>
          <w:kern w:val="0"/>
          <w:szCs w:val="21"/>
          <w:lang w:bidi="ar"/>
        </w:rPr>
        <w:t>Online</w:t>
      </w:r>
      <w:r>
        <w:rPr>
          <w:rFonts w:ascii="Times New Roman" w:hAnsi="Times New Roman" w:eastAsia="宋体" w:cs="Times New Roman"/>
          <w:i/>
          <w:kern w:val="0"/>
          <w:szCs w:val="21"/>
          <w:lang w:bidi="ar"/>
        </w:rPr>
        <w:t>.</w:t>
      </w:r>
    </w:p>
    <w:p w14:paraId="00593FA7">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Wang, Z. and Sun, Y. (2024) ‘Cizhou Kiln Pattern Design’,</w:t>
      </w:r>
      <w:r>
        <w:rPr>
          <w:rFonts w:ascii="Times New Roman" w:hAnsi="Times New Roman" w:cs="Times New Roman"/>
          <w:i/>
          <w:iCs/>
        </w:rPr>
        <w:t xml:space="preserve"> Printing and Dyeing</w:t>
      </w:r>
      <w:r>
        <w:rPr>
          <w:rFonts w:ascii="Times New Roman" w:hAnsi="Times New Roman" w:cs="Times New Roman"/>
        </w:rPr>
        <w:t xml:space="preserve">, 50(11), p. 101. </w:t>
      </w:r>
    </w:p>
    <w:p w14:paraId="2E9CDD3A">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 xml:space="preserve">Xu, N. &amp; Zhao, Y. (2023). A Moderated Mediation Analysis of the Relationship between Cultural Embeddedness of Regional Brand Products and Behavior Loyalty: A Case Study of Wudang Mountains in Hubei Province of China. </w:t>
      </w:r>
      <w:r>
        <w:rPr>
          <w:rFonts w:ascii="Times New Roman" w:hAnsi="Times New Roman" w:cs="Times New Roman"/>
          <w:i/>
          <w:iCs/>
        </w:rPr>
        <w:t>Sustainability,</w:t>
      </w:r>
      <w:r>
        <w:rPr>
          <w:rFonts w:ascii="Times New Roman" w:hAnsi="Times New Roman" w:cs="Times New Roman"/>
        </w:rPr>
        <w:t xml:space="preserve"> 15(10), 7927.</w:t>
      </w:r>
    </w:p>
    <w:p w14:paraId="459838D9">
      <w:pPr>
        <w:tabs>
          <w:tab w:val="left" w:pos="4560"/>
        </w:tabs>
        <w:spacing w:line="480" w:lineRule="auto"/>
        <w:ind w:left="420" w:hanging="420" w:hangingChars="200"/>
        <w:rPr>
          <w:rFonts w:ascii="Times New Roman" w:hAnsi="Times New Roman" w:eastAsia="宋体" w:cs="Times New Roman"/>
          <w:szCs w:val="21"/>
        </w:rPr>
      </w:pPr>
      <w:r>
        <w:rPr>
          <w:rFonts w:ascii="Times New Roman" w:hAnsi="Times New Roman" w:cs="Times New Roman"/>
        </w:rPr>
        <w:t>Yao, G. and Yao, C. (2024) 'Digital Communication of Intangible Cultural Heritage: Conceptual Framework, Practical Dilemmas, and Implementation Pathways',</w:t>
      </w:r>
      <w:r>
        <w:rPr>
          <w:rFonts w:ascii="Times New Roman" w:hAnsi="Times New Roman" w:cs="Times New Roman"/>
          <w:i/>
          <w:iCs/>
        </w:rPr>
        <w:t xml:space="preserve"> Journal of Xihua University (Philosophy and Social Sciences Edition)</w:t>
      </w:r>
      <w:r>
        <w:rPr>
          <w:rFonts w:ascii="Times New Roman" w:hAnsi="Times New Roman" w:cs="Times New Roman"/>
        </w:rPr>
        <w:t xml:space="preserve">, 6, pp.88–97. </w:t>
      </w:r>
    </w:p>
    <w:p w14:paraId="250462D3">
      <w:pPr>
        <w:tabs>
          <w:tab w:val="left" w:pos="4560"/>
        </w:tabs>
        <w:spacing w:line="480" w:lineRule="auto"/>
        <w:ind w:left="420" w:hanging="420" w:hangingChars="200"/>
        <w:rPr>
          <w:rFonts w:hint="eastAsia" w:ascii="Times New Roman" w:hAnsi="Times New Roman" w:eastAsia="宋体" w:cs="Times New Roman"/>
          <w:szCs w:val="21"/>
        </w:rPr>
      </w:pPr>
      <w:r>
        <w:rPr>
          <w:rFonts w:ascii="Times New Roman" w:hAnsi="Times New Roman" w:cs="Times New Roman"/>
        </w:rPr>
        <w:t xml:space="preserve">Zhao, F. (2019) </w:t>
      </w:r>
      <w:r>
        <w:rPr>
          <w:rFonts w:ascii="Times New Roman" w:hAnsi="Times New Roman" w:cs="Times New Roman"/>
          <w:i/>
          <w:iCs/>
        </w:rPr>
        <w:t xml:space="preserve">Research on the Application of Cizhou Kiln Decorative Elements in Modern Decorative Painting. </w:t>
      </w:r>
      <w:r>
        <w:rPr>
          <w:rFonts w:ascii="Times New Roman" w:hAnsi="Times New Roman" w:cs="Times New Roman"/>
        </w:rPr>
        <w:t>Master's thesis. Central South University of Forestry and Technology.</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超刚黑">
    <w:panose1 w:val="00000900000000000000"/>
    <w:charset w:val="88"/>
    <w:family w:val="auto"/>
    <w:pitch w:val="default"/>
    <w:sig w:usb0="A00002FF" w:usb1="3ACFFD7A" w:usb2="00000016" w:usb3="00000000" w:csb0="00100005"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2199164"/>
      <w:docPartObj>
        <w:docPartGallery w:val="autotext"/>
      </w:docPartObj>
    </w:sdtPr>
    <w:sdtContent>
      <w:p w14:paraId="645E16FC">
        <w:pPr>
          <w:pStyle w:val="2"/>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531CD553">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BFE540"/>
    <w:rsid w:val="002B5E6B"/>
    <w:rsid w:val="002D158C"/>
    <w:rsid w:val="005B5F76"/>
    <w:rsid w:val="00997B92"/>
    <w:rsid w:val="009A12FB"/>
    <w:rsid w:val="00C777BF"/>
    <w:rsid w:val="00DA0076"/>
    <w:rsid w:val="0B6F5E1E"/>
    <w:rsid w:val="0D5DBF67"/>
    <w:rsid w:val="1FFF4ED3"/>
    <w:rsid w:val="35D63724"/>
    <w:rsid w:val="3B6DADB0"/>
    <w:rsid w:val="3FFA0652"/>
    <w:rsid w:val="47DEC20E"/>
    <w:rsid w:val="49F7CACF"/>
    <w:rsid w:val="4FBFCE07"/>
    <w:rsid w:val="5DBFC375"/>
    <w:rsid w:val="5EF3C0D6"/>
    <w:rsid w:val="5EFD3D91"/>
    <w:rsid w:val="5FBB941E"/>
    <w:rsid w:val="5FD9F5E4"/>
    <w:rsid w:val="5FFD285A"/>
    <w:rsid w:val="6BBFE540"/>
    <w:rsid w:val="6F7B824C"/>
    <w:rsid w:val="6FAF383A"/>
    <w:rsid w:val="7459723A"/>
    <w:rsid w:val="77FF824B"/>
    <w:rsid w:val="79FCFBBC"/>
    <w:rsid w:val="7B7AB60E"/>
    <w:rsid w:val="7CFFF2A0"/>
    <w:rsid w:val="7D3F6209"/>
    <w:rsid w:val="7DBF88A1"/>
    <w:rsid w:val="7F9C408E"/>
    <w:rsid w:val="AFFB95C4"/>
    <w:rsid w:val="B7FF2B44"/>
    <w:rsid w:val="BEF49EE8"/>
    <w:rsid w:val="BF7F1706"/>
    <w:rsid w:val="BFE6A056"/>
    <w:rsid w:val="C75A00C2"/>
    <w:rsid w:val="C97F7169"/>
    <w:rsid w:val="D3F70A59"/>
    <w:rsid w:val="D64D1BF2"/>
    <w:rsid w:val="DADF1458"/>
    <w:rsid w:val="DED70A88"/>
    <w:rsid w:val="E5FF73EF"/>
    <w:rsid w:val="ECCB34B7"/>
    <w:rsid w:val="EEEF40BB"/>
    <w:rsid w:val="F3B2B310"/>
    <w:rsid w:val="F57FBF88"/>
    <w:rsid w:val="F6F9CADD"/>
    <w:rsid w:val="F7EB734D"/>
    <w:rsid w:val="FCFFFCC4"/>
    <w:rsid w:val="FD66496C"/>
    <w:rsid w:val="FDFDFD9E"/>
    <w:rsid w:val="FEFF3EB1"/>
    <w:rsid w:val="FF57DDD0"/>
    <w:rsid w:val="FF5F652F"/>
    <w:rsid w:val="FFFFC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0"/>
    <w:uiPriority w:val="99"/>
    <w:pPr>
      <w:tabs>
        <w:tab w:val="center" w:pos="4153"/>
        <w:tab w:val="right" w:pos="8306"/>
      </w:tabs>
      <w:snapToGrid w:val="0"/>
      <w:jc w:val="left"/>
    </w:pPr>
    <w:rPr>
      <w:sz w:val="18"/>
      <w:szCs w:val="18"/>
    </w:rPr>
  </w:style>
  <w:style w:type="paragraph" w:styleId="3">
    <w:name w:val="header"/>
    <w:basedOn w:val="1"/>
    <w:link w:val="9"/>
    <w:uiPriority w:val="0"/>
    <w:pPr>
      <w:tabs>
        <w:tab w:val="center" w:pos="4153"/>
        <w:tab w:val="right" w:pos="8306"/>
      </w:tabs>
      <w:snapToGrid w:val="0"/>
      <w:jc w:val="center"/>
    </w:pPr>
    <w:rPr>
      <w:sz w:val="18"/>
      <w:szCs w:val="18"/>
    </w:rPr>
  </w:style>
  <w:style w:type="paragraph" w:styleId="4">
    <w:name w:val="Normal (Web)"/>
    <w:basedOn w:val="1"/>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Emphasis"/>
    <w:basedOn w:val="6"/>
    <w:qFormat/>
    <w:uiPriority w:val="0"/>
    <w:rPr>
      <w:i/>
    </w:rPr>
  </w:style>
  <w:style w:type="character" w:customStyle="1" w:styleId="9">
    <w:name w:val="页眉 字符"/>
    <w:basedOn w:val="6"/>
    <w:link w:val="3"/>
    <w:uiPriority w:val="0"/>
    <w:rPr>
      <w:rFonts w:asciiTheme="minorHAnsi" w:hAnsiTheme="minorHAnsi" w:eastAsiaTheme="minorEastAsia" w:cstheme="minorBidi"/>
      <w:kern w:val="2"/>
      <w:sz w:val="18"/>
      <w:szCs w:val="18"/>
    </w:rPr>
  </w:style>
  <w:style w:type="character" w:customStyle="1" w:styleId="10">
    <w:name w:val="页脚 字符"/>
    <w:basedOn w:val="6"/>
    <w:link w:val="2"/>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29</Pages>
  <Words>6633</Words>
  <Characters>40069</Characters>
  <Lines>667</Lines>
  <Paragraphs>269</Paragraphs>
  <TotalTime>31</TotalTime>
  <ScaleCrop>false</ScaleCrop>
  <LinksUpToDate>false</LinksUpToDate>
  <CharactersWithSpaces>46433</CharactersWithSpaces>
  <Application>WPS Office_6.14.0.8924_F1E327BC-269C-435d-A152-05C5408002CA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2025-05-03T00:22:00Z</dcterms:created>
  <dc:creator>薛mm</dc:creator>
  <cp:lastModifiedBy>薛mm</cp:lastModifiedBy>
  <dcterms:modified xsi:type="dcterms:W3CDTF">2025-05-06T15:53:03Z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2052-6.14.0.8924</vt:lpwstr>
  </property>
  <property fmtid="{D5CDD505-2E9C-101B-9397-08002B2CF9AE}" pid="3" name="ICV">
    <vt:lpwstr>C263724402E7206735161A68E6B2D706_43</vt:lpwstr>
  </property>
</Properties>
</file>