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233"/>
        <w:gridCol w:w="5233"/>
      </w:tblGrid>
      <w:tr w:rsidR="001E51BC" w14:paraId="3BEE866F" w14:textId="77777777">
        <w:tblPrEx>
          <w:tblCellMar>
            <w:top w:w="0" w:type="dxa"/>
            <w:bottom w:w="0" w:type="dxa"/>
          </w:tblCellMar>
        </w:tblPrEx>
        <w:tc>
          <w:tcPr>
            <w:tcW w:w="5233" w:type="dxa"/>
            <w:shd w:val="clear" w:color="auto" w:fill="DEEBF7"/>
            <w:tcMar>
              <w:top w:w="95" w:type="dxa"/>
              <w:left w:w="170" w:type="dxa"/>
              <w:bottom w:w="95" w:type="dxa"/>
              <w:right w:w="170" w:type="dxa"/>
            </w:tcMar>
            <w:vAlign w:val="center"/>
          </w:tcPr>
          <w:p w14:paraId="3BEE866D" w14:textId="77777777" w:rsidR="001E51BC" w:rsidRDefault="00000000">
            <w:r>
              <w:rPr>
                <w:b/>
                <w:bCs/>
                <w:color w:val="1F4E79"/>
                <w:sz w:val="18"/>
                <w:szCs w:val="18"/>
              </w:rPr>
              <w:t xml:space="preserve">Module:  </w:t>
            </w:r>
            <w:r>
              <w:rPr>
                <w:color w:val="262626"/>
                <w:sz w:val="18"/>
                <w:szCs w:val="18"/>
              </w:rPr>
              <w:t>LCHS4003</w:t>
            </w:r>
          </w:p>
        </w:tc>
        <w:tc>
          <w:tcPr>
            <w:tcW w:w="5233" w:type="dxa"/>
            <w:shd w:val="clear" w:color="auto" w:fill="DEEBF7"/>
            <w:tcMar>
              <w:top w:w="95" w:type="dxa"/>
              <w:left w:w="170" w:type="dxa"/>
              <w:bottom w:w="95" w:type="dxa"/>
              <w:right w:w="170" w:type="dxa"/>
            </w:tcMar>
            <w:vAlign w:val="center"/>
          </w:tcPr>
          <w:p w14:paraId="3BEE866E" w14:textId="77777777" w:rsidR="001E51BC" w:rsidRDefault="00000000">
            <w:r>
              <w:rPr>
                <w:b/>
                <w:bCs/>
                <w:color w:val="1F4E79"/>
                <w:sz w:val="18"/>
                <w:szCs w:val="18"/>
              </w:rPr>
              <w:t xml:space="preserve">Lecturer:  </w:t>
            </w:r>
            <w:r>
              <w:rPr>
                <w:color w:val="262626"/>
                <w:sz w:val="18"/>
                <w:szCs w:val="18"/>
              </w:rPr>
              <w:t xml:space="preserve">Vivian </w:t>
            </w:r>
            <w:proofErr w:type="spellStart"/>
            <w:r>
              <w:rPr>
                <w:color w:val="262626"/>
                <w:sz w:val="18"/>
                <w:szCs w:val="18"/>
              </w:rPr>
              <w:t>Osuchukwu</w:t>
            </w:r>
            <w:proofErr w:type="spellEnd"/>
          </w:p>
        </w:tc>
      </w:tr>
      <w:tr w:rsidR="001E51BC" w14:paraId="3BEE8672" w14:textId="77777777">
        <w:tblPrEx>
          <w:tblCellMar>
            <w:top w:w="0" w:type="dxa"/>
            <w:bottom w:w="0" w:type="dxa"/>
          </w:tblCellMar>
        </w:tblPrEx>
        <w:tc>
          <w:tcPr>
            <w:tcW w:w="5233" w:type="dxa"/>
            <w:shd w:val="clear" w:color="auto" w:fill="DEEBF7"/>
            <w:tcMar>
              <w:top w:w="95" w:type="dxa"/>
              <w:left w:w="170" w:type="dxa"/>
              <w:bottom w:w="95" w:type="dxa"/>
              <w:right w:w="170" w:type="dxa"/>
            </w:tcMar>
            <w:vAlign w:val="center"/>
          </w:tcPr>
          <w:p w14:paraId="3BEE8670" w14:textId="77777777" w:rsidR="001E51BC" w:rsidRDefault="00000000">
            <w:r>
              <w:rPr>
                <w:b/>
                <w:bCs/>
                <w:color w:val="1F4E79"/>
                <w:sz w:val="18"/>
                <w:szCs w:val="18"/>
              </w:rPr>
              <w:t xml:space="preserve">Module title:  </w:t>
            </w:r>
            <w:r>
              <w:rPr>
                <w:color w:val="262626"/>
                <w:sz w:val="18"/>
                <w:szCs w:val="18"/>
              </w:rPr>
              <w:t>Introduction to Health and Social Care</w:t>
            </w:r>
          </w:p>
        </w:tc>
        <w:tc>
          <w:tcPr>
            <w:tcW w:w="5233" w:type="dxa"/>
            <w:shd w:val="clear" w:color="auto" w:fill="DEEBF7"/>
            <w:tcMar>
              <w:top w:w="95" w:type="dxa"/>
              <w:left w:w="170" w:type="dxa"/>
              <w:bottom w:w="95" w:type="dxa"/>
              <w:right w:w="170" w:type="dxa"/>
            </w:tcMar>
            <w:vAlign w:val="center"/>
          </w:tcPr>
          <w:p w14:paraId="3BEE8671" w14:textId="77777777" w:rsidR="001E51BC" w:rsidRDefault="00000000">
            <w:r>
              <w:rPr>
                <w:b/>
                <w:bCs/>
                <w:color w:val="1F4E79"/>
                <w:sz w:val="18"/>
                <w:szCs w:val="18"/>
              </w:rPr>
              <w:t xml:space="preserve">Student:  </w:t>
            </w:r>
            <w:r>
              <w:rPr>
                <w:color w:val="262626"/>
                <w:sz w:val="18"/>
                <w:szCs w:val="18"/>
              </w:rPr>
              <w:t>Maria Alexandra Moise</w:t>
            </w:r>
          </w:p>
        </w:tc>
      </w:tr>
    </w:tbl>
    <w:p w14:paraId="3BEE8673" w14:textId="77777777" w:rsidR="001E51BC" w:rsidRDefault="001E51BC">
      <w:pPr>
        <w:spacing w:after="7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150"/>
        <w:gridCol w:w="9316"/>
      </w:tblGrid>
      <w:tr w:rsidR="001E51BC" w14:paraId="3BEE8677" w14:textId="77777777">
        <w:tblPrEx>
          <w:tblCellMar>
            <w:top w:w="0" w:type="dxa"/>
            <w:bottom w:w="0" w:type="dxa"/>
          </w:tblCellMar>
        </w:tblPrEx>
        <w:tc>
          <w:tcPr>
            <w:tcW w:w="1150" w:type="dxa"/>
            <w:shd w:val="clear" w:color="auto" w:fill="1F4E79"/>
            <w:tcMar>
              <w:top w:w="200" w:type="dxa"/>
              <w:left w:w="200" w:type="dxa"/>
              <w:bottom w:w="200" w:type="dxa"/>
              <w:right w:w="60" w:type="dxa"/>
            </w:tcMar>
            <w:vAlign w:val="center"/>
          </w:tcPr>
          <w:p w14:paraId="3BEE8674" w14:textId="4F297827" w:rsidR="001E51BC" w:rsidRDefault="001E51BC">
            <w:pPr>
              <w:jc w:val="center"/>
            </w:pPr>
          </w:p>
        </w:tc>
        <w:tc>
          <w:tcPr>
            <w:tcW w:w="9316" w:type="dxa"/>
            <w:shd w:val="clear" w:color="auto" w:fill="1F4E79"/>
            <w:tcMar>
              <w:top w:w="200" w:type="dxa"/>
              <w:left w:w="120" w:type="dxa"/>
              <w:bottom w:w="200" w:type="dxa"/>
              <w:right w:w="220" w:type="dxa"/>
            </w:tcMar>
            <w:vAlign w:val="center"/>
          </w:tcPr>
          <w:p w14:paraId="3BEE8675" w14:textId="77777777" w:rsidR="001E51BC" w:rsidRDefault="00000000">
            <w:pPr>
              <w:spacing w:after="30"/>
            </w:pPr>
            <w:r>
              <w:rPr>
                <w:b/>
                <w:bCs/>
                <w:color w:val="FFFFFF"/>
                <w:sz w:val="38"/>
                <w:szCs w:val="38"/>
              </w:rPr>
              <w:t>NHS DENTISTRY SERVICES IN THE UK</w:t>
            </w:r>
          </w:p>
          <w:p w14:paraId="3BEE8676" w14:textId="77777777" w:rsidR="001E51BC" w:rsidRDefault="00000000">
            <w:r>
              <w:rPr>
                <w:color w:val="CFE0F2"/>
                <w:sz w:val="19"/>
                <w:szCs w:val="19"/>
              </w:rPr>
              <w:t xml:space="preserve">A healthcare </w:t>
            </w:r>
            <w:proofErr w:type="gramStart"/>
            <w:r>
              <w:rPr>
                <w:color w:val="CFE0F2"/>
                <w:sz w:val="19"/>
                <w:szCs w:val="19"/>
              </w:rPr>
              <w:t>poster  ·</w:t>
            </w:r>
            <w:proofErr w:type="gramEnd"/>
            <w:r>
              <w:rPr>
                <w:color w:val="CFE0F2"/>
                <w:sz w:val="19"/>
                <w:szCs w:val="19"/>
              </w:rPr>
              <w:t xml:space="preserve">  LCHS4003 Introduction to Health and Social </w:t>
            </w:r>
            <w:proofErr w:type="gramStart"/>
            <w:r>
              <w:rPr>
                <w:color w:val="CFE0F2"/>
                <w:sz w:val="19"/>
                <w:szCs w:val="19"/>
              </w:rPr>
              <w:t>Care  ·</w:t>
            </w:r>
            <w:proofErr w:type="gramEnd"/>
            <w:r>
              <w:rPr>
                <w:color w:val="CFE0F2"/>
                <w:sz w:val="19"/>
                <w:szCs w:val="19"/>
              </w:rPr>
              <w:t xml:space="preserve">  Task 1</w:t>
            </w:r>
          </w:p>
        </w:tc>
      </w:tr>
    </w:tbl>
    <w:p w14:paraId="3BEE8678" w14:textId="77777777" w:rsidR="001E51BC" w:rsidRDefault="001E51BC">
      <w:pPr>
        <w:spacing w:after="7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66"/>
      </w:tblGrid>
      <w:tr w:rsidR="001E51BC" w14:paraId="3BEE867B" w14:textId="77777777">
        <w:tblPrEx>
          <w:tblCellMar>
            <w:top w:w="0" w:type="dxa"/>
            <w:bottom w:w="0" w:type="dxa"/>
          </w:tblCellMar>
        </w:tblPrEx>
        <w:tc>
          <w:tcPr>
            <w:tcW w:w="10466" w:type="dxa"/>
            <w:shd w:val="clear" w:color="auto" w:fill="DEEBF7"/>
            <w:tcMar>
              <w:top w:w="130" w:type="dxa"/>
              <w:left w:w="170" w:type="dxa"/>
              <w:bottom w:w="130" w:type="dxa"/>
              <w:right w:w="170" w:type="dxa"/>
            </w:tcMar>
          </w:tcPr>
          <w:p w14:paraId="3BEE8679" w14:textId="77777777" w:rsidR="001E51BC" w:rsidRDefault="00000000">
            <w:pPr>
              <w:spacing w:after="70"/>
            </w:pPr>
            <w:r>
              <w:rPr>
                <w:b/>
                <w:bCs/>
                <w:color w:val="1F4E79"/>
                <w:sz w:val="23"/>
                <w:szCs w:val="23"/>
              </w:rPr>
              <w:t>What is NHS dentistry?</w:t>
            </w:r>
          </w:p>
          <w:p w14:paraId="3BEE867A" w14:textId="77777777" w:rsidR="001E51BC" w:rsidRDefault="00000000">
            <w:pPr>
              <w:spacing w:after="90" w:line="252" w:lineRule="auto"/>
            </w:pPr>
            <w:r>
              <w:rPr>
                <w:color w:val="262626"/>
                <w:sz w:val="19"/>
                <w:szCs w:val="19"/>
              </w:rPr>
              <w:t>NHS dentistry is the dental care provided through the National Health Service. Dentists check teeth, treat problems such as toothache, fill cavities, remove teeth when needed, and advise on keeping the mouth healthy. Oral health is closely linked to overall health: poor teeth and gum problems are associated with serious conditions such as heart disease and diabetes (NHS England, 2022). Treatment is meant to be affordable for everyone, with set prices depending on the care needed.</w:t>
            </w:r>
          </w:p>
        </w:tc>
      </w:tr>
    </w:tbl>
    <w:p w14:paraId="3BEE867C" w14:textId="77777777" w:rsidR="001E51BC" w:rsidRDefault="001E51BC">
      <w:pPr>
        <w:spacing w:after="7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100"/>
        <w:gridCol w:w="1406"/>
        <w:gridCol w:w="3960"/>
      </w:tblGrid>
      <w:tr w:rsidR="001E51BC" w14:paraId="3BEE8687" w14:textId="77777777">
        <w:tblPrEx>
          <w:tblCellMar>
            <w:top w:w="0" w:type="dxa"/>
            <w:bottom w:w="0" w:type="dxa"/>
          </w:tblCellMar>
        </w:tblPrEx>
        <w:tc>
          <w:tcPr>
            <w:tcW w:w="5100" w:type="dxa"/>
            <w:tcMar>
              <w:top w:w="0" w:type="dxa"/>
              <w:left w:w="0" w:type="dxa"/>
              <w:bottom w:w="0" w:type="dxa"/>
              <w:right w:w="0" w:type="dxa"/>
            </w:tcMar>
          </w:tcPr>
          <w:p w14:paraId="3BEE867D" w14:textId="77777777" w:rsidR="001E51BC" w:rsidRDefault="00000000">
            <w:pPr>
              <w:spacing w:after="70"/>
            </w:pPr>
            <w:r>
              <w:rPr>
                <w:b/>
                <w:bCs/>
                <w:color w:val="1F4E79"/>
                <w:sz w:val="23"/>
                <w:szCs w:val="23"/>
              </w:rPr>
              <w:t>A short history</w:t>
            </w:r>
          </w:p>
          <w:p w14:paraId="3BEE867E" w14:textId="77777777" w:rsidR="001E51BC" w:rsidRDefault="00000000">
            <w:pPr>
              <w:spacing w:after="90" w:line="252" w:lineRule="auto"/>
            </w:pPr>
            <w:r>
              <w:rPr>
                <w:color w:val="262626"/>
                <w:sz w:val="19"/>
                <w:szCs w:val="19"/>
              </w:rPr>
              <w:t>Before the NHS, most people could not afford to see a dentist. Dentistry was first regulated by the Dental Act 1878 (</w:t>
            </w:r>
            <w:proofErr w:type="spellStart"/>
            <w:r>
              <w:rPr>
                <w:color w:val="262626"/>
                <w:sz w:val="19"/>
                <w:szCs w:val="19"/>
              </w:rPr>
              <w:t>Gelbier</w:t>
            </w:r>
            <w:proofErr w:type="spellEnd"/>
            <w:r>
              <w:rPr>
                <w:color w:val="262626"/>
                <w:sz w:val="19"/>
                <w:szCs w:val="19"/>
              </w:rPr>
              <w:t>, 2005). When the NHS began in 1948, dental care became free for the first time and was hugely popular — by 1950 over 33 million treatments had been provided (King’s Fund, 2022). Demand was so high that patient charges were introduced in 1951.</w:t>
            </w:r>
          </w:p>
          <w:p w14:paraId="3BEE867F" w14:textId="77777777" w:rsidR="001E51BC" w:rsidRDefault="00000000">
            <w:pPr>
              <w:spacing w:line="252" w:lineRule="auto"/>
            </w:pPr>
            <w:r>
              <w:rPr>
                <w:color w:val="262626"/>
                <w:sz w:val="19"/>
                <w:szCs w:val="19"/>
              </w:rPr>
              <w:t>In 2006 the government brought in Units of Dental Activity (UDAs) to pay dentists. This has been widely criticised for not always encouraging the most helpful treatments (Steele, 2009). COVID-19 then created a backlog of around 5 million missed appointments (King’s Fund, 2022). In 2024 the NHS launched a Dental Recovery Plan to improve access.</w:t>
            </w:r>
          </w:p>
        </w:tc>
        <w:tc>
          <w:tcPr>
            <w:tcW w:w="1406" w:type="dxa"/>
          </w:tcPr>
          <w:p w14:paraId="3BEE8680" w14:textId="77777777" w:rsidR="001E51BC" w:rsidRDefault="001E51BC"/>
        </w:tc>
        <w:tc>
          <w:tcPr>
            <w:tcW w:w="3960" w:type="dxa"/>
            <w:shd w:val="clear" w:color="auto" w:fill="1F4E79"/>
            <w:tcMar>
              <w:top w:w="140" w:type="dxa"/>
              <w:left w:w="160" w:type="dxa"/>
              <w:bottom w:w="140" w:type="dxa"/>
              <w:right w:w="160" w:type="dxa"/>
            </w:tcMar>
          </w:tcPr>
          <w:p w14:paraId="3BEE8681" w14:textId="77777777" w:rsidR="001E51BC" w:rsidRDefault="00000000">
            <w:pPr>
              <w:spacing w:after="80"/>
            </w:pPr>
            <w:r>
              <w:rPr>
                <w:b/>
                <w:bCs/>
                <w:color w:val="FFFFFF"/>
                <w:sz w:val="22"/>
                <w:szCs w:val="22"/>
              </w:rPr>
              <w:t>KEY FACTS</w:t>
            </w:r>
          </w:p>
          <w:p w14:paraId="3BEE8682" w14:textId="77777777" w:rsidR="001E51BC" w:rsidRDefault="00000000">
            <w:pPr>
              <w:pStyle w:val="ListParagraph"/>
              <w:numPr>
                <w:ilvl w:val="0"/>
                <w:numId w:val="2"/>
              </w:numPr>
              <w:spacing w:after="60"/>
            </w:pPr>
            <w:r>
              <w:rPr>
                <w:color w:val="FFFFFF"/>
                <w:sz w:val="18"/>
                <w:szCs w:val="18"/>
              </w:rPr>
              <w:t>~11,200 NHS dental practices in England</w:t>
            </w:r>
          </w:p>
          <w:p w14:paraId="3BEE8683" w14:textId="77777777" w:rsidR="001E51BC" w:rsidRDefault="00000000">
            <w:pPr>
              <w:pStyle w:val="ListParagraph"/>
              <w:numPr>
                <w:ilvl w:val="0"/>
                <w:numId w:val="2"/>
              </w:numPr>
              <w:spacing w:after="60"/>
            </w:pPr>
            <w:r>
              <w:rPr>
                <w:color w:val="FFFFFF"/>
                <w:sz w:val="18"/>
                <w:szCs w:val="18"/>
              </w:rPr>
              <w:t>~37 million courses of treatment per year</w:t>
            </w:r>
          </w:p>
          <w:p w14:paraId="3BEE8684" w14:textId="77777777" w:rsidR="001E51BC" w:rsidRDefault="00000000">
            <w:pPr>
              <w:pStyle w:val="ListParagraph"/>
              <w:numPr>
                <w:ilvl w:val="0"/>
                <w:numId w:val="2"/>
              </w:numPr>
              <w:spacing w:after="60"/>
            </w:pPr>
            <w:r>
              <w:rPr>
                <w:color w:val="FFFFFF"/>
                <w:sz w:val="18"/>
                <w:szCs w:val="18"/>
              </w:rPr>
              <w:t>12M+ people cannot register with an NHS dentist</w:t>
            </w:r>
          </w:p>
          <w:p w14:paraId="3BEE8685" w14:textId="77777777" w:rsidR="001E51BC" w:rsidRDefault="00000000">
            <w:pPr>
              <w:pStyle w:val="ListParagraph"/>
              <w:numPr>
                <w:ilvl w:val="0"/>
                <w:numId w:val="2"/>
              </w:numPr>
              <w:spacing w:after="60"/>
            </w:pPr>
            <w:r>
              <w:rPr>
                <w:color w:val="FFFFFF"/>
                <w:sz w:val="18"/>
                <w:szCs w:val="18"/>
              </w:rPr>
              <w:t>23% of five-year-olds have tooth decay</w:t>
            </w:r>
          </w:p>
          <w:p w14:paraId="3BEE8686" w14:textId="77777777" w:rsidR="001E51BC" w:rsidRDefault="00000000">
            <w:pPr>
              <w:pStyle w:val="ListParagraph"/>
              <w:numPr>
                <w:ilvl w:val="0"/>
                <w:numId w:val="2"/>
              </w:numPr>
              <w:spacing w:after="60"/>
            </w:pPr>
            <w:r>
              <w:rPr>
                <w:color w:val="FFFFFF"/>
                <w:sz w:val="18"/>
                <w:szCs w:val="18"/>
              </w:rPr>
              <w:t>~£3.1 billion spent on NHS dental services a year</w:t>
            </w:r>
          </w:p>
        </w:tc>
      </w:tr>
    </w:tbl>
    <w:p w14:paraId="3BEE8688" w14:textId="77777777" w:rsidR="001E51BC" w:rsidRDefault="001E51BC">
      <w:pPr>
        <w:spacing w:after="8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66"/>
      </w:tblGrid>
      <w:tr w:rsidR="001E51BC" w14:paraId="3BEE868B" w14:textId="77777777">
        <w:tblPrEx>
          <w:tblCellMar>
            <w:top w:w="0" w:type="dxa"/>
            <w:bottom w:w="0" w:type="dxa"/>
          </w:tblCellMar>
        </w:tblPrEx>
        <w:tc>
          <w:tcPr>
            <w:tcW w:w="10466" w:type="dxa"/>
            <w:shd w:val="clear" w:color="auto" w:fill="F2F7FC"/>
            <w:tcMar>
              <w:top w:w="130" w:type="dxa"/>
              <w:left w:w="170" w:type="dxa"/>
              <w:bottom w:w="130" w:type="dxa"/>
              <w:right w:w="170" w:type="dxa"/>
            </w:tcMar>
          </w:tcPr>
          <w:p w14:paraId="3BEE8689" w14:textId="77777777" w:rsidR="001E51BC" w:rsidRDefault="00000000">
            <w:pPr>
              <w:spacing w:after="70"/>
            </w:pPr>
            <w:r>
              <w:rPr>
                <w:b/>
                <w:bCs/>
                <w:color w:val="1F4E79"/>
                <w:sz w:val="23"/>
                <w:szCs w:val="23"/>
              </w:rPr>
              <w:t>How NHS dentistry has changed</w:t>
            </w:r>
          </w:p>
          <w:p w14:paraId="3BEE868A" w14:textId="77777777" w:rsidR="001E51BC" w:rsidRDefault="00000000">
            <w:pPr>
              <w:spacing w:before="10"/>
              <w:jc w:val="center"/>
            </w:pPr>
            <w:r>
              <w:rPr>
                <w:noProof/>
              </w:rPr>
              <w:drawing>
                <wp:inline distT="0" distB="0" distL="0" distR="0" wp14:anchorId="3BEE86E0" wp14:editId="3BEE86E1">
                  <wp:extent cx="6143625" cy="1276350"/>
                  <wp:effectExtent l="0" t="0" r="0" b="0"/>
                  <wp:docPr id="1130545670" name="denttimeline" descr="History of NHS dentistry milestones" title="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6143625" cy="1276350"/>
                          </a:xfrm>
                          <a:prstGeom prst="rect">
                            <a:avLst/>
                          </a:prstGeom>
                        </pic:spPr>
                      </pic:pic>
                    </a:graphicData>
                  </a:graphic>
                </wp:inline>
              </w:drawing>
            </w:r>
          </w:p>
        </w:tc>
      </w:tr>
    </w:tbl>
    <w:p w14:paraId="3BEE868C" w14:textId="77777777" w:rsidR="001E51BC" w:rsidRDefault="001E51BC">
      <w:pPr>
        <w:spacing w:after="8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66"/>
      </w:tblGrid>
      <w:tr w:rsidR="001E51BC" w14:paraId="3BEE86A5" w14:textId="77777777">
        <w:tblPrEx>
          <w:tblCellMar>
            <w:top w:w="0" w:type="dxa"/>
            <w:bottom w:w="0" w:type="dxa"/>
          </w:tblCellMar>
        </w:tblPrEx>
        <w:tc>
          <w:tcPr>
            <w:tcW w:w="10466" w:type="dxa"/>
            <w:shd w:val="clear" w:color="auto" w:fill="F2F7FC"/>
            <w:tcMar>
              <w:top w:w="130" w:type="dxa"/>
              <w:left w:w="170" w:type="dxa"/>
              <w:bottom w:w="130" w:type="dxa"/>
              <w:right w:w="170" w:type="dxa"/>
            </w:tcMar>
          </w:tcPr>
          <w:p w14:paraId="3BEE868D" w14:textId="77777777" w:rsidR="001E51BC" w:rsidRDefault="00000000">
            <w:pPr>
              <w:spacing w:after="70"/>
            </w:pPr>
            <w:r>
              <w:rPr>
                <w:b/>
                <w:bCs/>
                <w:color w:val="1F4E79"/>
                <w:sz w:val="23"/>
                <w:szCs w:val="23"/>
              </w:rPr>
              <w:t>How NHS dentistry works today</w:t>
            </w:r>
          </w:p>
          <w:p w14:paraId="3BEE868E" w14:textId="77777777" w:rsidR="001E51BC" w:rsidRDefault="00000000">
            <w:pPr>
              <w:spacing w:after="90" w:line="252" w:lineRule="auto"/>
            </w:pPr>
            <w:r>
              <w:rPr>
                <w:color w:val="262626"/>
                <w:sz w:val="19"/>
                <w:szCs w:val="19"/>
              </w:rPr>
              <w:t>NHS dental treatment in England is organised into three price bands. Treatment is free for children under 18, pregnant women, new mothers, and people receiving certain benefits.</w:t>
            </w:r>
          </w:p>
          <w:tbl>
            <w:tblPr>
              <w:tblW w:w="100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4300"/>
              <w:gridCol w:w="300"/>
              <w:gridCol w:w="5400"/>
            </w:tblGrid>
            <w:tr w:rsidR="001E51BC" w14:paraId="3BEE86A2" w14:textId="77777777">
              <w:tblPrEx>
                <w:tblCellMar>
                  <w:top w:w="0" w:type="dxa"/>
                  <w:bottom w:w="0" w:type="dxa"/>
                </w:tblCellMar>
              </w:tblPrEx>
              <w:tc>
                <w:tcPr>
                  <w:tcW w:w="4300" w:type="dxa"/>
                  <w:tcMar>
                    <w:top w:w="0" w:type="dxa"/>
                    <w:left w:w="0" w:type="dxa"/>
                    <w:bottom w:w="0" w:type="dxa"/>
                    <w:right w:w="0" w:type="dxa"/>
                  </w:tcMar>
                  <w:vAlign w:val="center"/>
                </w:tcPr>
                <w:tbl>
                  <w:tblPr>
                    <w:tblW w:w="4100" w:type="dxa"/>
                    <w:tblBorders>
                      <w:top w:val="single" w:sz="2" w:space="0" w:color="FFFFFF"/>
                      <w:left w:val="single" w:sz="2" w:space="0" w:color="FFFFFF"/>
                      <w:bottom w:val="single" w:sz="2" w:space="0" w:color="FFFFFF"/>
                      <w:right w:val="single" w:sz="2" w:space="0" w:color="FFFFFF"/>
                      <w:insideH w:val="single" w:sz="2" w:space="0" w:color="FFFFFF"/>
                      <w:insideV w:val="single" w:sz="2" w:space="0" w:color="FFFFFF"/>
                    </w:tblBorders>
                    <w:tblCellMar>
                      <w:left w:w="10" w:type="dxa"/>
                      <w:right w:w="10" w:type="dxa"/>
                    </w:tblCellMar>
                    <w:tblLook w:val="04A0" w:firstRow="1" w:lastRow="0" w:firstColumn="1" w:lastColumn="0" w:noHBand="0" w:noVBand="1"/>
                  </w:tblPr>
                  <w:tblGrid>
                    <w:gridCol w:w="1050"/>
                    <w:gridCol w:w="1150"/>
                    <w:gridCol w:w="1900"/>
                  </w:tblGrid>
                  <w:tr w:rsidR="001E51BC" w14:paraId="3BEE8692" w14:textId="77777777">
                    <w:tblPrEx>
                      <w:tblCellMar>
                        <w:top w:w="0" w:type="dxa"/>
                        <w:bottom w:w="0" w:type="dxa"/>
                      </w:tblCellMar>
                    </w:tblPrEx>
                    <w:tc>
                      <w:tcPr>
                        <w:tcW w:w="1050" w:type="dxa"/>
                        <w:shd w:val="clear" w:color="auto" w:fill="2E75B6"/>
                        <w:tcMar>
                          <w:top w:w="60" w:type="dxa"/>
                          <w:left w:w="100" w:type="dxa"/>
                          <w:bottom w:w="60" w:type="dxa"/>
                          <w:right w:w="100" w:type="dxa"/>
                        </w:tcMar>
                      </w:tcPr>
                      <w:p w14:paraId="3BEE868F" w14:textId="77777777" w:rsidR="001E51BC" w:rsidRDefault="00000000">
                        <w:r>
                          <w:rPr>
                            <w:b/>
                            <w:bCs/>
                            <w:color w:val="FFFFFF"/>
                            <w:sz w:val="17"/>
                            <w:szCs w:val="17"/>
                          </w:rPr>
                          <w:lastRenderedPageBreak/>
                          <w:t>Band</w:t>
                        </w:r>
                      </w:p>
                    </w:tc>
                    <w:tc>
                      <w:tcPr>
                        <w:tcW w:w="1150" w:type="dxa"/>
                        <w:shd w:val="clear" w:color="auto" w:fill="2E75B6"/>
                        <w:tcMar>
                          <w:top w:w="60" w:type="dxa"/>
                          <w:left w:w="100" w:type="dxa"/>
                          <w:bottom w:w="60" w:type="dxa"/>
                          <w:right w:w="100" w:type="dxa"/>
                        </w:tcMar>
                      </w:tcPr>
                      <w:p w14:paraId="3BEE8690" w14:textId="77777777" w:rsidR="001E51BC" w:rsidRDefault="00000000">
                        <w:r>
                          <w:rPr>
                            <w:b/>
                            <w:bCs/>
                            <w:color w:val="FFFFFF"/>
                            <w:sz w:val="17"/>
                            <w:szCs w:val="17"/>
                          </w:rPr>
                          <w:t>Cost</w:t>
                        </w:r>
                      </w:p>
                    </w:tc>
                    <w:tc>
                      <w:tcPr>
                        <w:tcW w:w="1900" w:type="dxa"/>
                        <w:shd w:val="clear" w:color="auto" w:fill="2E75B6"/>
                        <w:tcMar>
                          <w:top w:w="60" w:type="dxa"/>
                          <w:left w:w="100" w:type="dxa"/>
                          <w:bottom w:w="60" w:type="dxa"/>
                          <w:right w:w="100" w:type="dxa"/>
                        </w:tcMar>
                      </w:tcPr>
                      <w:p w14:paraId="3BEE8691" w14:textId="77777777" w:rsidR="001E51BC" w:rsidRDefault="00000000">
                        <w:r>
                          <w:rPr>
                            <w:b/>
                            <w:bCs/>
                            <w:color w:val="FFFFFF"/>
                            <w:sz w:val="17"/>
                            <w:szCs w:val="17"/>
                          </w:rPr>
                          <w:t>Covers</w:t>
                        </w:r>
                      </w:p>
                    </w:tc>
                  </w:tr>
                  <w:tr w:rsidR="001E51BC" w14:paraId="3BEE8696" w14:textId="77777777">
                    <w:tblPrEx>
                      <w:tblCellMar>
                        <w:top w:w="0" w:type="dxa"/>
                        <w:bottom w:w="0" w:type="dxa"/>
                      </w:tblCellMar>
                    </w:tblPrEx>
                    <w:tc>
                      <w:tcPr>
                        <w:tcW w:w="1050" w:type="dxa"/>
                        <w:shd w:val="clear" w:color="auto" w:fill="EAF1FA"/>
                        <w:tcMar>
                          <w:top w:w="60" w:type="dxa"/>
                          <w:left w:w="100" w:type="dxa"/>
                          <w:bottom w:w="60" w:type="dxa"/>
                          <w:right w:w="100" w:type="dxa"/>
                        </w:tcMar>
                        <w:vAlign w:val="center"/>
                      </w:tcPr>
                      <w:p w14:paraId="3BEE8693" w14:textId="77777777" w:rsidR="001E51BC" w:rsidRDefault="00000000">
                        <w:r>
                          <w:rPr>
                            <w:b/>
                            <w:bCs/>
                            <w:color w:val="1F4E79"/>
                            <w:sz w:val="17"/>
                            <w:szCs w:val="17"/>
                          </w:rPr>
                          <w:t>Band 1</w:t>
                        </w:r>
                      </w:p>
                    </w:tc>
                    <w:tc>
                      <w:tcPr>
                        <w:tcW w:w="1150" w:type="dxa"/>
                        <w:tcMar>
                          <w:top w:w="60" w:type="dxa"/>
                          <w:left w:w="100" w:type="dxa"/>
                          <w:bottom w:w="60" w:type="dxa"/>
                          <w:right w:w="100" w:type="dxa"/>
                        </w:tcMar>
                        <w:vAlign w:val="center"/>
                      </w:tcPr>
                      <w:p w14:paraId="3BEE8694" w14:textId="77777777" w:rsidR="001E51BC" w:rsidRDefault="00000000">
                        <w:r>
                          <w:rPr>
                            <w:b/>
                            <w:bCs/>
                            <w:color w:val="1F4E79"/>
                            <w:sz w:val="17"/>
                            <w:szCs w:val="17"/>
                          </w:rPr>
                          <w:t>£26.80</w:t>
                        </w:r>
                      </w:p>
                    </w:tc>
                    <w:tc>
                      <w:tcPr>
                        <w:tcW w:w="1900" w:type="dxa"/>
                        <w:tcMar>
                          <w:top w:w="60" w:type="dxa"/>
                          <w:left w:w="100" w:type="dxa"/>
                          <w:bottom w:w="60" w:type="dxa"/>
                          <w:right w:w="100" w:type="dxa"/>
                        </w:tcMar>
                        <w:vAlign w:val="center"/>
                      </w:tcPr>
                      <w:p w14:paraId="3BEE8695" w14:textId="77777777" w:rsidR="001E51BC" w:rsidRDefault="00000000">
                        <w:r>
                          <w:rPr>
                            <w:color w:val="262626"/>
                            <w:sz w:val="17"/>
                            <w:szCs w:val="17"/>
                          </w:rPr>
                          <w:t>Check-up, X-rays, scale &amp; polish</w:t>
                        </w:r>
                      </w:p>
                    </w:tc>
                  </w:tr>
                  <w:tr w:rsidR="001E51BC" w14:paraId="3BEE869A" w14:textId="77777777">
                    <w:tblPrEx>
                      <w:tblCellMar>
                        <w:top w:w="0" w:type="dxa"/>
                        <w:bottom w:w="0" w:type="dxa"/>
                      </w:tblCellMar>
                    </w:tblPrEx>
                    <w:tc>
                      <w:tcPr>
                        <w:tcW w:w="1050" w:type="dxa"/>
                        <w:shd w:val="clear" w:color="auto" w:fill="EAF1FA"/>
                        <w:tcMar>
                          <w:top w:w="60" w:type="dxa"/>
                          <w:left w:w="100" w:type="dxa"/>
                          <w:bottom w:w="60" w:type="dxa"/>
                          <w:right w:w="100" w:type="dxa"/>
                        </w:tcMar>
                        <w:vAlign w:val="center"/>
                      </w:tcPr>
                      <w:p w14:paraId="3BEE8697" w14:textId="77777777" w:rsidR="001E51BC" w:rsidRDefault="00000000">
                        <w:r>
                          <w:rPr>
                            <w:b/>
                            <w:bCs/>
                            <w:color w:val="1F4E79"/>
                            <w:sz w:val="17"/>
                            <w:szCs w:val="17"/>
                          </w:rPr>
                          <w:t>Band 2</w:t>
                        </w:r>
                      </w:p>
                    </w:tc>
                    <w:tc>
                      <w:tcPr>
                        <w:tcW w:w="1150" w:type="dxa"/>
                        <w:tcMar>
                          <w:top w:w="60" w:type="dxa"/>
                          <w:left w:w="100" w:type="dxa"/>
                          <w:bottom w:w="60" w:type="dxa"/>
                          <w:right w:w="100" w:type="dxa"/>
                        </w:tcMar>
                        <w:vAlign w:val="center"/>
                      </w:tcPr>
                      <w:p w14:paraId="3BEE8698" w14:textId="77777777" w:rsidR="001E51BC" w:rsidRDefault="00000000">
                        <w:r>
                          <w:rPr>
                            <w:b/>
                            <w:bCs/>
                            <w:color w:val="1F4E79"/>
                            <w:sz w:val="17"/>
                            <w:szCs w:val="17"/>
                          </w:rPr>
                          <w:t>£73.50</w:t>
                        </w:r>
                      </w:p>
                    </w:tc>
                    <w:tc>
                      <w:tcPr>
                        <w:tcW w:w="1900" w:type="dxa"/>
                        <w:tcMar>
                          <w:top w:w="60" w:type="dxa"/>
                          <w:left w:w="100" w:type="dxa"/>
                          <w:bottom w:w="60" w:type="dxa"/>
                          <w:right w:w="100" w:type="dxa"/>
                        </w:tcMar>
                        <w:vAlign w:val="center"/>
                      </w:tcPr>
                      <w:p w14:paraId="3BEE8699" w14:textId="77777777" w:rsidR="001E51BC" w:rsidRDefault="00000000">
                        <w:r>
                          <w:rPr>
                            <w:color w:val="262626"/>
                            <w:sz w:val="17"/>
                            <w:szCs w:val="17"/>
                          </w:rPr>
                          <w:t>Fillings, extractions, root canal</w:t>
                        </w:r>
                      </w:p>
                    </w:tc>
                  </w:tr>
                  <w:tr w:rsidR="001E51BC" w14:paraId="3BEE869E" w14:textId="77777777">
                    <w:tblPrEx>
                      <w:tblCellMar>
                        <w:top w:w="0" w:type="dxa"/>
                        <w:bottom w:w="0" w:type="dxa"/>
                      </w:tblCellMar>
                    </w:tblPrEx>
                    <w:tc>
                      <w:tcPr>
                        <w:tcW w:w="1050" w:type="dxa"/>
                        <w:shd w:val="clear" w:color="auto" w:fill="EAF1FA"/>
                        <w:tcMar>
                          <w:top w:w="60" w:type="dxa"/>
                          <w:left w:w="100" w:type="dxa"/>
                          <w:bottom w:w="60" w:type="dxa"/>
                          <w:right w:w="100" w:type="dxa"/>
                        </w:tcMar>
                        <w:vAlign w:val="center"/>
                      </w:tcPr>
                      <w:p w14:paraId="3BEE869B" w14:textId="77777777" w:rsidR="001E51BC" w:rsidRDefault="00000000">
                        <w:r>
                          <w:rPr>
                            <w:b/>
                            <w:bCs/>
                            <w:color w:val="1F4E79"/>
                            <w:sz w:val="17"/>
                            <w:szCs w:val="17"/>
                          </w:rPr>
                          <w:t>Band 3</w:t>
                        </w:r>
                      </w:p>
                    </w:tc>
                    <w:tc>
                      <w:tcPr>
                        <w:tcW w:w="1150" w:type="dxa"/>
                        <w:tcMar>
                          <w:top w:w="60" w:type="dxa"/>
                          <w:left w:w="100" w:type="dxa"/>
                          <w:bottom w:w="60" w:type="dxa"/>
                          <w:right w:w="100" w:type="dxa"/>
                        </w:tcMar>
                        <w:vAlign w:val="center"/>
                      </w:tcPr>
                      <w:p w14:paraId="3BEE869C" w14:textId="77777777" w:rsidR="001E51BC" w:rsidRDefault="00000000">
                        <w:r>
                          <w:rPr>
                            <w:b/>
                            <w:bCs/>
                            <w:color w:val="1F4E79"/>
                            <w:sz w:val="17"/>
                            <w:szCs w:val="17"/>
                          </w:rPr>
                          <w:t>£319.10</w:t>
                        </w:r>
                      </w:p>
                    </w:tc>
                    <w:tc>
                      <w:tcPr>
                        <w:tcW w:w="1900" w:type="dxa"/>
                        <w:tcMar>
                          <w:top w:w="60" w:type="dxa"/>
                          <w:left w:w="100" w:type="dxa"/>
                          <w:bottom w:w="60" w:type="dxa"/>
                          <w:right w:w="100" w:type="dxa"/>
                        </w:tcMar>
                        <w:vAlign w:val="center"/>
                      </w:tcPr>
                      <w:p w14:paraId="3BEE869D" w14:textId="77777777" w:rsidR="001E51BC" w:rsidRDefault="00000000">
                        <w:r>
                          <w:rPr>
                            <w:color w:val="262626"/>
                            <w:sz w:val="17"/>
                            <w:szCs w:val="17"/>
                          </w:rPr>
                          <w:t>Crowns, dentures, bridges</w:t>
                        </w:r>
                      </w:p>
                    </w:tc>
                  </w:tr>
                </w:tbl>
                <w:p w14:paraId="3BEE869F" w14:textId="77777777" w:rsidR="001E51BC" w:rsidRDefault="001E51BC"/>
              </w:tc>
              <w:tc>
                <w:tcPr>
                  <w:tcW w:w="300" w:type="dxa"/>
                </w:tcPr>
                <w:p w14:paraId="3BEE86A0" w14:textId="77777777" w:rsidR="001E51BC" w:rsidRDefault="001E51BC"/>
              </w:tc>
              <w:tc>
                <w:tcPr>
                  <w:tcW w:w="5400" w:type="dxa"/>
                  <w:tcMar>
                    <w:top w:w="0" w:type="dxa"/>
                    <w:left w:w="0" w:type="dxa"/>
                    <w:bottom w:w="0" w:type="dxa"/>
                    <w:right w:w="0" w:type="dxa"/>
                  </w:tcMar>
                  <w:vAlign w:val="center"/>
                </w:tcPr>
                <w:p w14:paraId="3BEE86A1" w14:textId="77777777" w:rsidR="001E51BC" w:rsidRDefault="00000000">
                  <w:pPr>
                    <w:spacing w:before="40"/>
                    <w:jc w:val="center"/>
                  </w:pPr>
                  <w:r>
                    <w:rPr>
                      <w:noProof/>
                    </w:rPr>
                    <w:drawing>
                      <wp:inline distT="0" distB="0" distL="0" distR="0" wp14:anchorId="3BEE86E2" wp14:editId="3BEE86E3">
                        <wp:extent cx="2667000" cy="1743075"/>
                        <wp:effectExtent l="0" t="0" r="0" b="0"/>
                        <wp:docPr id="1688560992" name="chart" descr="Data chart" title="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667000" cy="1743075"/>
                                </a:xfrm>
                                <a:prstGeom prst="rect">
                                  <a:avLst/>
                                </a:prstGeom>
                              </pic:spPr>
                            </pic:pic>
                          </a:graphicData>
                        </a:graphic>
                      </wp:inline>
                    </w:drawing>
                  </w:r>
                </w:p>
              </w:tc>
            </w:tr>
          </w:tbl>
          <w:p w14:paraId="3BEE86A3" w14:textId="77777777" w:rsidR="001E51BC" w:rsidRDefault="001E51BC">
            <w:pPr>
              <w:spacing w:after="40"/>
            </w:pPr>
          </w:p>
          <w:p w14:paraId="3BEE86A4" w14:textId="77777777" w:rsidR="001E51BC" w:rsidRDefault="00000000">
            <w:pPr>
              <w:spacing w:line="252" w:lineRule="auto"/>
            </w:pPr>
            <w:r>
              <w:rPr>
                <w:color w:val="262626"/>
                <w:sz w:val="19"/>
                <w:szCs w:val="19"/>
              </w:rPr>
              <w:t>In 2024 the NHS launched its Dental Recovery Plan, offering dentists extra money for taking on new patients and introducing mobile dental vans for areas with no local dentist. The aim is 1.5 million extra appointments by 2025 (NHS England, 2024).</w:t>
            </w:r>
          </w:p>
        </w:tc>
      </w:tr>
    </w:tbl>
    <w:p w14:paraId="3BEE86A6" w14:textId="77777777" w:rsidR="001E51BC" w:rsidRDefault="001E51BC">
      <w:pPr>
        <w:spacing w:after="8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5133"/>
        <w:gridCol w:w="200"/>
        <w:gridCol w:w="5133"/>
      </w:tblGrid>
      <w:tr w:rsidR="001E51BC" w14:paraId="3BEE86AC" w14:textId="77777777">
        <w:tblPrEx>
          <w:tblCellMar>
            <w:top w:w="0" w:type="dxa"/>
            <w:bottom w:w="0" w:type="dxa"/>
          </w:tblCellMar>
        </w:tblPrEx>
        <w:tc>
          <w:tcPr>
            <w:tcW w:w="5133" w:type="dxa"/>
            <w:shd w:val="clear" w:color="auto" w:fill="FBE9E7"/>
            <w:tcMar>
              <w:top w:w="150" w:type="dxa"/>
              <w:left w:w="170" w:type="dxa"/>
              <w:bottom w:w="150" w:type="dxa"/>
              <w:right w:w="170" w:type="dxa"/>
            </w:tcMar>
          </w:tcPr>
          <w:p w14:paraId="3BEE86A7" w14:textId="77777777" w:rsidR="001E51BC" w:rsidRDefault="00000000">
            <w:pPr>
              <w:spacing w:after="70"/>
            </w:pPr>
            <w:r>
              <w:rPr>
                <w:b/>
                <w:bCs/>
                <w:color w:val="9C2D1E"/>
                <w:sz w:val="23"/>
                <w:szCs w:val="23"/>
              </w:rPr>
              <w:t>Problem 1 — the access crisis</w:t>
            </w:r>
          </w:p>
          <w:p w14:paraId="3BEE86A8" w14:textId="77777777" w:rsidR="001E51BC" w:rsidRDefault="00000000">
            <w:pPr>
              <w:spacing w:line="252" w:lineRule="auto"/>
            </w:pPr>
            <w:r>
              <w:rPr>
                <w:color w:val="262626"/>
                <w:sz w:val="19"/>
                <w:szCs w:val="19"/>
              </w:rPr>
              <w:t>More than 12 million people in England cannot find an NHS dentist accepting new patients (Healthwatch England, 2023), and over 90% of practices are not taking on new adult NHS patients (British Dental Association, 2023). Many people pay for costly private care or leave problems untreated until they become emergencies — emergency dental calls rose 40% between 2020 and 2023 (NHS 111, 2023).</w:t>
            </w:r>
          </w:p>
        </w:tc>
        <w:tc>
          <w:tcPr>
            <w:tcW w:w="200" w:type="dxa"/>
          </w:tcPr>
          <w:p w14:paraId="3BEE86A9" w14:textId="77777777" w:rsidR="001E51BC" w:rsidRDefault="001E51BC"/>
        </w:tc>
        <w:tc>
          <w:tcPr>
            <w:tcW w:w="5133" w:type="dxa"/>
            <w:shd w:val="clear" w:color="auto" w:fill="FFF3DD"/>
            <w:tcMar>
              <w:top w:w="150" w:type="dxa"/>
              <w:left w:w="170" w:type="dxa"/>
              <w:bottom w:w="150" w:type="dxa"/>
              <w:right w:w="170" w:type="dxa"/>
            </w:tcMar>
          </w:tcPr>
          <w:p w14:paraId="3BEE86AA" w14:textId="77777777" w:rsidR="001E51BC" w:rsidRDefault="00000000">
            <w:pPr>
              <w:spacing w:after="70"/>
            </w:pPr>
            <w:r>
              <w:rPr>
                <w:b/>
                <w:bCs/>
                <w:color w:val="8A5800"/>
                <w:sz w:val="23"/>
                <w:szCs w:val="23"/>
              </w:rPr>
              <w:t>Problem 2 — dentists leaving the NHS</w:t>
            </w:r>
          </w:p>
          <w:p w14:paraId="3BEE86AB" w14:textId="77777777" w:rsidR="001E51BC" w:rsidRDefault="00000000">
            <w:pPr>
              <w:spacing w:line="252" w:lineRule="auto"/>
            </w:pPr>
            <w:r>
              <w:rPr>
                <w:color w:val="262626"/>
                <w:sz w:val="19"/>
                <w:szCs w:val="19"/>
              </w:rPr>
              <w:t>The UDA system pays the same whether a dentist does a quick check-up or a complex filling, so taking on harder cases pays no better. Over 1,000 dentists left NHS dentistry in 2022 alone (NHS Business Services Authority, 2023), and 60% say they plan to cut their NHS work over the next five years (British Dental Journal, 2023) — risking an even worse access crisis.</w:t>
            </w:r>
          </w:p>
        </w:tc>
      </w:tr>
    </w:tbl>
    <w:p w14:paraId="3BEE86AD" w14:textId="77777777" w:rsidR="001E51BC" w:rsidRDefault="001E51BC">
      <w:pPr>
        <w:spacing w:after="80"/>
      </w:pPr>
    </w:p>
    <w:tbl>
      <w:tblPr>
        <w:tblW w:w="1046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10466"/>
      </w:tblGrid>
      <w:tr w:rsidR="001E51BC" w14:paraId="3BEE86B6" w14:textId="77777777">
        <w:tblPrEx>
          <w:tblCellMar>
            <w:top w:w="0" w:type="dxa"/>
            <w:bottom w:w="0" w:type="dxa"/>
          </w:tblCellMar>
        </w:tblPrEx>
        <w:tc>
          <w:tcPr>
            <w:tcW w:w="10466" w:type="dxa"/>
            <w:shd w:val="clear" w:color="auto" w:fill="F2F7FC"/>
            <w:tcMar>
              <w:top w:w="130" w:type="dxa"/>
              <w:left w:w="170" w:type="dxa"/>
              <w:bottom w:w="130" w:type="dxa"/>
              <w:right w:w="170" w:type="dxa"/>
            </w:tcMar>
          </w:tcPr>
          <w:p w14:paraId="3BEE86AE" w14:textId="77777777" w:rsidR="001E51BC" w:rsidRDefault="00000000">
            <w:pPr>
              <w:spacing w:after="70"/>
            </w:pPr>
            <w:r>
              <w:rPr>
                <w:b/>
                <w:bCs/>
                <w:color w:val="1F4E79"/>
                <w:sz w:val="23"/>
                <w:szCs w:val="23"/>
              </w:rPr>
              <w:t>The scale of the pressure</w:t>
            </w:r>
          </w:p>
          <w:tbl>
            <w:tblPr>
              <w:tblW w:w="100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4200"/>
              <w:gridCol w:w="200"/>
              <w:gridCol w:w="2700"/>
              <w:gridCol w:w="200"/>
              <w:gridCol w:w="2700"/>
            </w:tblGrid>
            <w:tr w:rsidR="001E51BC" w14:paraId="3BEE86B4" w14:textId="77777777">
              <w:tblPrEx>
                <w:tblCellMar>
                  <w:top w:w="0" w:type="dxa"/>
                  <w:bottom w:w="0" w:type="dxa"/>
                </w:tblCellMar>
              </w:tblPrEx>
              <w:tc>
                <w:tcPr>
                  <w:tcW w:w="4200" w:type="dxa"/>
                  <w:tcMar>
                    <w:top w:w="0" w:type="dxa"/>
                    <w:left w:w="0" w:type="dxa"/>
                    <w:bottom w:w="0" w:type="dxa"/>
                    <w:right w:w="0" w:type="dxa"/>
                  </w:tcMar>
                  <w:vAlign w:val="center"/>
                </w:tcPr>
                <w:p w14:paraId="3BEE86AF" w14:textId="77777777" w:rsidR="001E51BC" w:rsidRDefault="00000000">
                  <w:pPr>
                    <w:spacing w:before="40"/>
                    <w:jc w:val="center"/>
                  </w:pPr>
                  <w:r>
                    <w:rPr>
                      <w:noProof/>
                    </w:rPr>
                    <w:drawing>
                      <wp:inline distT="0" distB="0" distL="0" distR="0" wp14:anchorId="3BEE86E4" wp14:editId="3BEE86E5">
                        <wp:extent cx="2619375" cy="1704975"/>
                        <wp:effectExtent l="0" t="0" r="0" b="0"/>
                        <wp:docPr id="1013826812" name="chart" descr="Data chart" title="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2619375" cy="1704975"/>
                                </a:xfrm>
                                <a:prstGeom prst="rect">
                                  <a:avLst/>
                                </a:prstGeom>
                              </pic:spPr>
                            </pic:pic>
                          </a:graphicData>
                        </a:graphic>
                      </wp:inline>
                    </w:drawing>
                  </w:r>
                </w:p>
              </w:tc>
              <w:tc>
                <w:tcPr>
                  <w:tcW w:w="200" w:type="dxa"/>
                </w:tcPr>
                <w:p w14:paraId="3BEE86B0" w14:textId="77777777" w:rsidR="001E51BC" w:rsidRDefault="001E51BC"/>
              </w:tc>
              <w:tc>
                <w:tcPr>
                  <w:tcW w:w="2700" w:type="dxa"/>
                  <w:tcMar>
                    <w:top w:w="0" w:type="dxa"/>
                    <w:left w:w="0" w:type="dxa"/>
                    <w:bottom w:w="0" w:type="dxa"/>
                    <w:right w:w="0" w:type="dxa"/>
                  </w:tcMar>
                  <w:vAlign w:val="center"/>
                </w:tcPr>
                <w:p w14:paraId="3BEE86B1" w14:textId="77777777" w:rsidR="001E51BC" w:rsidRDefault="00000000">
                  <w:pPr>
                    <w:jc w:val="center"/>
                  </w:pPr>
                  <w:r>
                    <w:rPr>
                      <w:noProof/>
                    </w:rPr>
                    <w:drawing>
                      <wp:inline distT="0" distB="0" distL="0" distR="0" wp14:anchorId="3BEE86E6" wp14:editId="3BEE86E7">
                        <wp:extent cx="1428750" cy="1428750"/>
                        <wp:effectExtent l="0" t="0" r="0" b="0"/>
                        <wp:docPr id="1281721727" name="decay" descr="23 percent of five-year-olds have tooth decay" title="Don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1428750" cy="1428750"/>
                                </a:xfrm>
                                <a:prstGeom prst="rect">
                                  <a:avLst/>
                                </a:prstGeom>
                              </pic:spPr>
                            </pic:pic>
                          </a:graphicData>
                        </a:graphic>
                      </wp:inline>
                    </w:drawing>
                  </w:r>
                </w:p>
              </w:tc>
              <w:tc>
                <w:tcPr>
                  <w:tcW w:w="200" w:type="dxa"/>
                </w:tcPr>
                <w:p w14:paraId="3BEE86B2" w14:textId="77777777" w:rsidR="001E51BC" w:rsidRDefault="001E51BC"/>
              </w:tc>
              <w:tc>
                <w:tcPr>
                  <w:tcW w:w="2700" w:type="dxa"/>
                  <w:tcMar>
                    <w:top w:w="0" w:type="dxa"/>
                    <w:left w:w="0" w:type="dxa"/>
                    <w:bottom w:w="0" w:type="dxa"/>
                    <w:right w:w="0" w:type="dxa"/>
                  </w:tcMar>
                  <w:vAlign w:val="center"/>
                </w:tcPr>
                <w:p w14:paraId="3BEE86B3" w14:textId="77777777" w:rsidR="001E51BC" w:rsidRDefault="00000000">
                  <w:pPr>
                    <w:jc w:val="center"/>
                  </w:pPr>
                  <w:r>
                    <w:rPr>
                      <w:noProof/>
                    </w:rPr>
                    <w:drawing>
                      <wp:inline distT="0" distB="0" distL="0" distR="0" wp14:anchorId="3BEE86E8" wp14:editId="3BEE86E9">
                        <wp:extent cx="1428750" cy="1428750"/>
                        <wp:effectExtent l="0" t="0" r="0" b="0"/>
                        <wp:docPr id="2043947486" name="dentists" descr="60 percent of dentists plan to cut NHS work" title="Don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1428750" cy="1428750"/>
                                </a:xfrm>
                                <a:prstGeom prst="rect">
                                  <a:avLst/>
                                </a:prstGeom>
                              </pic:spPr>
                            </pic:pic>
                          </a:graphicData>
                        </a:graphic>
                      </wp:inline>
                    </w:drawing>
                  </w:r>
                </w:p>
              </w:tc>
            </w:tr>
          </w:tbl>
          <w:p w14:paraId="3BEE86B5" w14:textId="77777777" w:rsidR="001E51BC" w:rsidRDefault="001E51BC"/>
        </w:tc>
      </w:tr>
    </w:tbl>
    <w:p w14:paraId="3BEE86B7" w14:textId="77777777" w:rsidR="001E51BC" w:rsidRDefault="001E51BC">
      <w:pPr>
        <w:spacing w:after="70"/>
      </w:pPr>
    </w:p>
    <w:p w14:paraId="3BEE86B8" w14:textId="77777777" w:rsidR="001E51BC" w:rsidRDefault="00000000">
      <w:pPr>
        <w:pBdr>
          <w:top w:val="single" w:sz="4" w:space="4" w:color="1F4E79"/>
        </w:pBdr>
        <w:spacing w:after="90"/>
      </w:pPr>
      <w:r>
        <w:rPr>
          <w:b/>
          <w:bCs/>
          <w:color w:val="1F4E79"/>
          <w:sz w:val="19"/>
          <w:szCs w:val="19"/>
        </w:rPr>
        <w:t>References</w:t>
      </w:r>
    </w:p>
    <w:p w14:paraId="3BEE86B9" w14:textId="77777777" w:rsidR="001E51BC" w:rsidRDefault="00000000">
      <w:pPr>
        <w:spacing w:after="55"/>
        <w:ind w:left="320" w:hanging="320"/>
      </w:pPr>
      <w:r>
        <w:rPr>
          <w:color w:val="262626"/>
          <w:sz w:val="17"/>
          <w:szCs w:val="17"/>
        </w:rPr>
        <w:t xml:space="preserve">British Dental Association (2023) </w:t>
      </w:r>
      <w:r>
        <w:rPr>
          <w:i/>
          <w:iCs/>
          <w:color w:val="262626"/>
          <w:sz w:val="17"/>
          <w:szCs w:val="17"/>
        </w:rPr>
        <w:t>NHS Dentistry Crisis Report.</w:t>
      </w:r>
      <w:r>
        <w:rPr>
          <w:color w:val="262626"/>
          <w:sz w:val="17"/>
          <w:szCs w:val="17"/>
        </w:rPr>
        <w:t xml:space="preserve"> Available at: https://bda.org (Accessed: 10 June 2026).</w:t>
      </w:r>
    </w:p>
    <w:p w14:paraId="3BEE86BA" w14:textId="77777777" w:rsidR="001E51BC" w:rsidRDefault="00000000">
      <w:pPr>
        <w:spacing w:after="55"/>
        <w:ind w:left="320" w:hanging="320"/>
      </w:pPr>
      <w:r>
        <w:rPr>
          <w:color w:val="262626"/>
          <w:sz w:val="17"/>
          <w:szCs w:val="17"/>
        </w:rPr>
        <w:t xml:space="preserve">British Dental Journal (2023) </w:t>
      </w:r>
      <w:r>
        <w:rPr>
          <w:i/>
          <w:iCs/>
          <w:color w:val="262626"/>
          <w:sz w:val="17"/>
          <w:szCs w:val="17"/>
        </w:rPr>
        <w:t>Workforce Survey 2023.</w:t>
      </w:r>
      <w:r>
        <w:rPr>
          <w:color w:val="262626"/>
          <w:sz w:val="17"/>
          <w:szCs w:val="17"/>
        </w:rPr>
        <w:t xml:space="preserve"> London: BDJ.</w:t>
      </w:r>
    </w:p>
    <w:p w14:paraId="3BEE86BB" w14:textId="77777777" w:rsidR="001E51BC" w:rsidRDefault="00000000">
      <w:pPr>
        <w:spacing w:after="55"/>
        <w:ind w:left="320" w:hanging="320"/>
      </w:pPr>
      <w:proofErr w:type="spellStart"/>
      <w:r>
        <w:rPr>
          <w:color w:val="262626"/>
          <w:sz w:val="17"/>
          <w:szCs w:val="17"/>
        </w:rPr>
        <w:t>Gelbier</w:t>
      </w:r>
      <w:proofErr w:type="spellEnd"/>
      <w:r>
        <w:rPr>
          <w:color w:val="262626"/>
          <w:sz w:val="17"/>
          <w:szCs w:val="17"/>
        </w:rPr>
        <w:t xml:space="preserve">, S. (2005) ‘125 Years of Developments in Dentistry’, </w:t>
      </w:r>
      <w:r>
        <w:rPr>
          <w:i/>
          <w:iCs/>
          <w:color w:val="262626"/>
          <w:sz w:val="17"/>
          <w:szCs w:val="17"/>
        </w:rPr>
        <w:t>British Dental Journal,</w:t>
      </w:r>
      <w:r>
        <w:rPr>
          <w:color w:val="262626"/>
          <w:sz w:val="17"/>
          <w:szCs w:val="17"/>
        </w:rPr>
        <w:t xml:space="preserve"> 199(7), pp. 470–473.</w:t>
      </w:r>
    </w:p>
    <w:p w14:paraId="3BEE86BC" w14:textId="77777777" w:rsidR="001E51BC" w:rsidRDefault="00000000">
      <w:pPr>
        <w:spacing w:after="55"/>
        <w:ind w:left="320" w:hanging="320"/>
      </w:pPr>
      <w:r>
        <w:rPr>
          <w:color w:val="262626"/>
          <w:sz w:val="17"/>
          <w:szCs w:val="17"/>
        </w:rPr>
        <w:t xml:space="preserve">Healthwatch England (2023) </w:t>
      </w:r>
      <w:r>
        <w:rPr>
          <w:i/>
          <w:iCs/>
          <w:color w:val="262626"/>
          <w:sz w:val="17"/>
          <w:szCs w:val="17"/>
        </w:rPr>
        <w:t>Dentistry Access Report.</w:t>
      </w:r>
      <w:r>
        <w:rPr>
          <w:color w:val="262626"/>
          <w:sz w:val="17"/>
          <w:szCs w:val="17"/>
        </w:rPr>
        <w:t xml:space="preserve"> Available at: https://www.healthwatch.co.uk (Accessed: 10 June 2026).</w:t>
      </w:r>
    </w:p>
    <w:p w14:paraId="3BEE86BD" w14:textId="77777777" w:rsidR="001E51BC" w:rsidRDefault="00000000">
      <w:pPr>
        <w:spacing w:after="55"/>
        <w:ind w:left="320" w:hanging="320"/>
      </w:pPr>
      <w:r>
        <w:rPr>
          <w:color w:val="262626"/>
          <w:sz w:val="17"/>
          <w:szCs w:val="17"/>
        </w:rPr>
        <w:t xml:space="preserve">King’s Fund (2022) </w:t>
      </w:r>
      <w:r>
        <w:rPr>
          <w:i/>
          <w:iCs/>
          <w:color w:val="262626"/>
          <w:sz w:val="17"/>
          <w:szCs w:val="17"/>
        </w:rPr>
        <w:t>NHS Dentistry: A Service Under Pressure.</w:t>
      </w:r>
      <w:r>
        <w:rPr>
          <w:color w:val="262626"/>
          <w:sz w:val="17"/>
          <w:szCs w:val="17"/>
        </w:rPr>
        <w:t xml:space="preserve"> London: King’s Fund.</w:t>
      </w:r>
    </w:p>
    <w:p w14:paraId="3BEE86BE" w14:textId="77777777" w:rsidR="001E51BC" w:rsidRDefault="00000000">
      <w:pPr>
        <w:spacing w:after="55"/>
        <w:ind w:left="320" w:hanging="320"/>
      </w:pPr>
      <w:r>
        <w:rPr>
          <w:color w:val="262626"/>
          <w:sz w:val="17"/>
          <w:szCs w:val="17"/>
        </w:rPr>
        <w:t xml:space="preserve">NHS Business Services Authority (2023) </w:t>
      </w:r>
      <w:r>
        <w:rPr>
          <w:i/>
          <w:iCs/>
          <w:color w:val="262626"/>
          <w:sz w:val="17"/>
          <w:szCs w:val="17"/>
        </w:rPr>
        <w:t>Dental Statistics 2022–23.</w:t>
      </w:r>
      <w:r>
        <w:rPr>
          <w:color w:val="262626"/>
          <w:sz w:val="17"/>
          <w:szCs w:val="17"/>
        </w:rPr>
        <w:t xml:space="preserve"> Available at: https://nhsbsa.nhs.uk (Accessed: 10 June 2026).</w:t>
      </w:r>
    </w:p>
    <w:p w14:paraId="3BEE86BF" w14:textId="77777777" w:rsidR="001E51BC" w:rsidRDefault="00000000">
      <w:pPr>
        <w:spacing w:after="55"/>
        <w:ind w:left="320" w:hanging="320"/>
      </w:pPr>
      <w:r>
        <w:rPr>
          <w:color w:val="262626"/>
          <w:sz w:val="17"/>
          <w:szCs w:val="17"/>
        </w:rPr>
        <w:t xml:space="preserve">NHS Digital (2022) </w:t>
      </w:r>
      <w:r>
        <w:rPr>
          <w:i/>
          <w:iCs/>
          <w:color w:val="262626"/>
          <w:sz w:val="17"/>
          <w:szCs w:val="17"/>
        </w:rPr>
        <w:t>Children’s Dental Health Survey 2022.</w:t>
      </w:r>
      <w:r>
        <w:rPr>
          <w:color w:val="262626"/>
          <w:sz w:val="17"/>
          <w:szCs w:val="17"/>
        </w:rPr>
        <w:t xml:space="preserve"> Available at: https://digital.nhs.uk (Accessed: 10 June 2026).</w:t>
      </w:r>
    </w:p>
    <w:p w14:paraId="3BEE86C0" w14:textId="77777777" w:rsidR="001E51BC" w:rsidRDefault="00000000">
      <w:pPr>
        <w:spacing w:after="55"/>
        <w:ind w:left="320" w:hanging="320"/>
      </w:pPr>
      <w:r>
        <w:rPr>
          <w:color w:val="262626"/>
          <w:sz w:val="17"/>
          <w:szCs w:val="17"/>
        </w:rPr>
        <w:t xml:space="preserve">NHS England (2022) </w:t>
      </w:r>
      <w:r>
        <w:rPr>
          <w:i/>
          <w:iCs/>
          <w:color w:val="262626"/>
          <w:sz w:val="17"/>
          <w:szCs w:val="17"/>
        </w:rPr>
        <w:t>Oral Health: The Systemic Link.</w:t>
      </w:r>
      <w:r>
        <w:rPr>
          <w:color w:val="262626"/>
          <w:sz w:val="17"/>
          <w:szCs w:val="17"/>
        </w:rPr>
        <w:t xml:space="preserve"> London: NHS England.</w:t>
      </w:r>
    </w:p>
    <w:p w14:paraId="3BEE86C1" w14:textId="77777777" w:rsidR="001E51BC" w:rsidRDefault="00000000">
      <w:pPr>
        <w:spacing w:after="55"/>
        <w:ind w:left="320" w:hanging="320"/>
      </w:pPr>
      <w:r>
        <w:rPr>
          <w:color w:val="262626"/>
          <w:sz w:val="17"/>
          <w:szCs w:val="17"/>
        </w:rPr>
        <w:t xml:space="preserve">NHS England (2023) </w:t>
      </w:r>
      <w:r>
        <w:rPr>
          <w:i/>
          <w:iCs/>
          <w:color w:val="262626"/>
          <w:sz w:val="17"/>
          <w:szCs w:val="17"/>
        </w:rPr>
        <w:t>NHS Dental Contract.</w:t>
      </w:r>
      <w:r>
        <w:rPr>
          <w:color w:val="262626"/>
          <w:sz w:val="17"/>
          <w:szCs w:val="17"/>
        </w:rPr>
        <w:t xml:space="preserve"> Available at: https://www.england.nhs.uk (Accessed: 10 June 2026).</w:t>
      </w:r>
    </w:p>
    <w:p w14:paraId="3BEE86C2" w14:textId="77777777" w:rsidR="001E51BC" w:rsidRDefault="00000000">
      <w:pPr>
        <w:spacing w:after="55"/>
        <w:ind w:left="320" w:hanging="320"/>
      </w:pPr>
      <w:r>
        <w:rPr>
          <w:color w:val="262626"/>
          <w:sz w:val="17"/>
          <w:szCs w:val="17"/>
        </w:rPr>
        <w:t xml:space="preserve">NHS England (2024) </w:t>
      </w:r>
      <w:r>
        <w:rPr>
          <w:i/>
          <w:iCs/>
          <w:color w:val="262626"/>
          <w:sz w:val="17"/>
          <w:szCs w:val="17"/>
        </w:rPr>
        <w:t>NHS Dental Recovery Plan 2024.</w:t>
      </w:r>
      <w:r>
        <w:rPr>
          <w:color w:val="262626"/>
          <w:sz w:val="17"/>
          <w:szCs w:val="17"/>
        </w:rPr>
        <w:t xml:space="preserve"> Available at: https://www.england.nhs.uk (Accessed: 10 June 2026).</w:t>
      </w:r>
    </w:p>
    <w:p w14:paraId="3BEE86C3" w14:textId="77777777" w:rsidR="001E51BC" w:rsidRDefault="00000000">
      <w:pPr>
        <w:spacing w:after="55"/>
        <w:ind w:left="320" w:hanging="320"/>
      </w:pPr>
      <w:r>
        <w:rPr>
          <w:color w:val="262626"/>
          <w:sz w:val="17"/>
          <w:szCs w:val="17"/>
        </w:rPr>
        <w:t xml:space="preserve">Steele, J. (2009) </w:t>
      </w:r>
      <w:r>
        <w:rPr>
          <w:i/>
          <w:iCs/>
          <w:color w:val="262626"/>
          <w:sz w:val="17"/>
          <w:szCs w:val="17"/>
        </w:rPr>
        <w:t>NHS Dental Services in England: An Independent Review.</w:t>
      </w:r>
      <w:r>
        <w:rPr>
          <w:color w:val="262626"/>
          <w:sz w:val="17"/>
          <w:szCs w:val="17"/>
        </w:rPr>
        <w:t xml:space="preserve"> London: Department of Health.</w:t>
      </w:r>
    </w:p>
    <w:p w14:paraId="3BEE86C4" w14:textId="77777777" w:rsidR="001E51BC" w:rsidRDefault="001E51BC">
      <w:pPr>
        <w:sectPr w:rsidR="001E51BC">
          <w:footerReference w:type="default" r:id="rId12"/>
          <w:pgSz w:w="11906" w:h="16838"/>
          <w:pgMar w:top="720" w:right="720" w:bottom="720" w:left="720" w:header="708" w:footer="708" w:gutter="0"/>
          <w:cols w:space="720"/>
          <w:docGrid w:linePitch="360"/>
        </w:sectPr>
      </w:pPr>
    </w:p>
    <w:p w14:paraId="3BEE86C5" w14:textId="77777777" w:rsidR="001E51BC" w:rsidRDefault="00000000">
      <w:pPr>
        <w:pageBreakBefore/>
        <w:spacing w:after="40"/>
      </w:pPr>
      <w:r>
        <w:rPr>
          <w:b/>
          <w:bCs/>
          <w:color w:val="1F4E79"/>
          <w:sz w:val="34"/>
          <w:szCs w:val="34"/>
        </w:rPr>
        <w:lastRenderedPageBreak/>
        <w:t>Community Mental Health Services</w:t>
      </w:r>
    </w:p>
    <w:p w14:paraId="3BEE86C6" w14:textId="77777777" w:rsidR="001E51BC" w:rsidRDefault="00000000">
      <w:pPr>
        <w:spacing w:after="160"/>
      </w:pPr>
      <w:r>
        <w:rPr>
          <w:i/>
          <w:iCs/>
          <w:color w:val="5F6470"/>
        </w:rPr>
        <w:t xml:space="preserve">Where they came from, how they work, and why they </w:t>
      </w:r>
      <w:proofErr w:type="gramStart"/>
      <w:r>
        <w:rPr>
          <w:i/>
          <w:iCs/>
          <w:color w:val="5F6470"/>
        </w:rPr>
        <w:t>matter  ·</w:t>
      </w:r>
      <w:proofErr w:type="gramEnd"/>
      <w:r>
        <w:rPr>
          <w:i/>
          <w:iCs/>
          <w:color w:val="5F6470"/>
        </w:rPr>
        <w:t xml:space="preserve">  LCHS4003 Task 2</w:t>
      </w:r>
    </w:p>
    <w:p w14:paraId="3BEE86C7" w14:textId="77777777" w:rsidR="001E51BC" w:rsidRDefault="00000000">
      <w:pPr>
        <w:spacing w:before="200" w:after="100"/>
      </w:pPr>
      <w:r>
        <w:rPr>
          <w:b/>
          <w:bCs/>
          <w:color w:val="1F4E79"/>
          <w:sz w:val="26"/>
          <w:szCs w:val="26"/>
        </w:rPr>
        <w:t>Introduction</w:t>
      </w:r>
    </w:p>
    <w:p w14:paraId="3BEE86C8" w14:textId="77777777" w:rsidR="001E51BC" w:rsidRDefault="00000000">
      <w:pPr>
        <w:spacing w:after="160" w:line="276" w:lineRule="auto"/>
        <w:jc w:val="both"/>
      </w:pPr>
      <w:r>
        <w:rPr>
          <w:color w:val="262626"/>
          <w:sz w:val="22"/>
          <w:szCs w:val="22"/>
        </w:rPr>
        <w:t>Community mental health services help people with mental health conditions, such as depression, anxiety, or schizophrenia, to get support while living at home rather than in a hospital. This essay looks at how these services began in the UK, how they work today, and why they are important for the people who use them.</w:t>
      </w:r>
    </w:p>
    <w:p w14:paraId="3BEE86C9" w14:textId="77777777" w:rsidR="001E51BC" w:rsidRDefault="00000000">
      <w:pPr>
        <w:spacing w:before="200" w:after="100"/>
      </w:pPr>
      <w:r>
        <w:rPr>
          <w:b/>
          <w:bCs/>
          <w:color w:val="1F4E79"/>
          <w:sz w:val="26"/>
          <w:szCs w:val="26"/>
        </w:rPr>
        <w:t>Where it all started</w:t>
      </w:r>
    </w:p>
    <w:p w14:paraId="3BEE86CA" w14:textId="77777777" w:rsidR="001E51BC" w:rsidRDefault="00000000">
      <w:pPr>
        <w:spacing w:after="160" w:line="276" w:lineRule="auto"/>
        <w:jc w:val="both"/>
      </w:pPr>
      <w:r>
        <w:rPr>
          <w:color w:val="262626"/>
          <w:sz w:val="22"/>
          <w:szCs w:val="22"/>
        </w:rPr>
        <w:t>For most of history in the UK, people with mental health conditions were sent to large hospitals called asylums, where they were often locked away with very little treatment or support (Scull, 1979). This began to change in the 1950s when new medicines made it possible to manage conditions like schizophrenia more effectively outside of hospital. In 1961, the Health Minister Enoch Powell gave a famous speech calling for psychiatric hospitals to close and for care to move into the community instead (Department of Health, 1962).</w:t>
      </w:r>
    </w:p>
    <w:p w14:paraId="3BEE86CB" w14:textId="77777777" w:rsidR="001E51BC" w:rsidRDefault="00000000">
      <w:pPr>
        <w:spacing w:after="160" w:line="276" w:lineRule="auto"/>
        <w:jc w:val="both"/>
      </w:pPr>
      <w:r>
        <w:rPr>
          <w:color w:val="262626"/>
          <w:sz w:val="22"/>
          <w:szCs w:val="22"/>
        </w:rPr>
        <w:t>Over the following years, most of the large psychiatric hospitals in the UK shut down. The NHS and Community Care Act 1990 gave local councils and health services a legal duty to support people with mental health conditions in the community. The National Service Framework for Mental Health (Department of Health, 1999) then set out clear standards for community services and introduced Crisis Teams, which are specialist workers who visit people at home during a mental health emergency to prevent them from being admitted to hospital.</w:t>
      </w:r>
    </w:p>
    <w:p w14:paraId="3BEE86CC" w14:textId="77777777" w:rsidR="001E51BC" w:rsidRDefault="00000000">
      <w:pPr>
        <w:spacing w:before="200" w:after="100"/>
      </w:pPr>
      <w:r>
        <w:rPr>
          <w:b/>
          <w:bCs/>
          <w:color w:val="1F4E79"/>
          <w:sz w:val="26"/>
          <w:szCs w:val="26"/>
        </w:rPr>
        <w:t>How community mental health services work today</w:t>
      </w:r>
    </w:p>
    <w:p w14:paraId="3BEE86CD" w14:textId="77777777" w:rsidR="001E51BC" w:rsidRDefault="00000000">
      <w:pPr>
        <w:spacing w:after="160" w:line="276" w:lineRule="auto"/>
        <w:jc w:val="both"/>
      </w:pPr>
      <w:r>
        <w:rPr>
          <w:color w:val="262626"/>
          <w:sz w:val="22"/>
          <w:szCs w:val="22"/>
        </w:rPr>
        <w:t>Today, community mental health support is mainly provided by Community Mental Health Teams, known as CMHTs. These teams bring together different professionals including nurses, social workers, psychiatrists, and therapists, all working together to help people manage their conditions (Royal College of Psychiatrists, 2023). They meet with service users regularly, help with medication, support daily living, and connect people with other services such as housing or employment support.</w:t>
      </w:r>
    </w:p>
    <w:p w14:paraId="3BEE86CE" w14:textId="77777777" w:rsidR="001E51BC" w:rsidRDefault="00000000">
      <w:pPr>
        <w:spacing w:after="160" w:line="276" w:lineRule="auto"/>
        <w:jc w:val="both"/>
      </w:pPr>
      <w:r>
        <w:rPr>
          <w:color w:val="262626"/>
          <w:sz w:val="22"/>
          <w:szCs w:val="22"/>
        </w:rPr>
        <w:t>The NHS Long Term Plan (2019) invested more money in mental health services across England. NHS Talking Therapies now provides counselling for over one million people with depression or anxiety each year (NHS England, 2023). Crisis Resolution and Home Treatment teams also play an important role by visiting people at home during a mental health emergency, helping to reduce the need for hospital admission.</w:t>
      </w:r>
    </w:p>
    <w:p w14:paraId="3BEE86CF" w14:textId="77777777" w:rsidR="001E51BC" w:rsidRDefault="00000000">
      <w:pPr>
        <w:spacing w:before="200" w:after="100"/>
      </w:pPr>
      <w:r>
        <w:rPr>
          <w:b/>
          <w:bCs/>
          <w:color w:val="1F4E79"/>
          <w:sz w:val="26"/>
          <w:szCs w:val="26"/>
        </w:rPr>
        <w:t>Why community mental health services matter</w:t>
      </w:r>
    </w:p>
    <w:p w14:paraId="3BEE86D0" w14:textId="77777777" w:rsidR="001E51BC" w:rsidRDefault="00000000">
      <w:pPr>
        <w:spacing w:after="160" w:line="276" w:lineRule="auto"/>
        <w:jc w:val="both"/>
      </w:pPr>
      <w:r>
        <w:rPr>
          <w:color w:val="262626"/>
          <w:sz w:val="22"/>
          <w:szCs w:val="22"/>
        </w:rPr>
        <w:t>Research shows that people with mental health conditions do better and feel happier when they receive support at home rather than being admitted to hospital (Thornicroft et al., 2016). Staying in the community means people can keep their relationships, their daily routines, and their sense of independence, all of which are important for recovery.</w:t>
      </w:r>
    </w:p>
    <w:p w14:paraId="3BEE86D1" w14:textId="77777777" w:rsidR="001E51BC" w:rsidRDefault="00000000">
      <w:pPr>
        <w:spacing w:after="160" w:line="276" w:lineRule="auto"/>
        <w:jc w:val="both"/>
      </w:pPr>
      <w:r>
        <w:rPr>
          <w:color w:val="262626"/>
          <w:sz w:val="22"/>
          <w:szCs w:val="22"/>
        </w:rPr>
        <w:t xml:space="preserve">Community mental health services also relieve significant pressure on NHS hospitals. Studies show that Crisis Teams reduce hospital admissions for mental health crises by up to 25% (Johnson et al., 2018). The Mental Capacity Act 2005 also protects service users by making </w:t>
      </w:r>
      <w:r>
        <w:rPr>
          <w:color w:val="262626"/>
          <w:sz w:val="22"/>
          <w:szCs w:val="22"/>
        </w:rPr>
        <w:lastRenderedPageBreak/>
        <w:t>sure that anyone who cannot make their own decisions is treated with respect and in their best interests.</w:t>
      </w:r>
    </w:p>
    <w:p w14:paraId="3BEE86D2" w14:textId="77777777" w:rsidR="001E51BC" w:rsidRDefault="00000000">
      <w:pPr>
        <w:spacing w:before="200" w:after="100"/>
      </w:pPr>
      <w:r>
        <w:rPr>
          <w:b/>
          <w:bCs/>
          <w:color w:val="1F4E79"/>
          <w:sz w:val="26"/>
          <w:szCs w:val="26"/>
        </w:rPr>
        <w:t>Conclusion</w:t>
      </w:r>
    </w:p>
    <w:p w14:paraId="3BEE86D3" w14:textId="77777777" w:rsidR="001E51BC" w:rsidRDefault="00000000">
      <w:pPr>
        <w:spacing w:after="160" w:line="276" w:lineRule="auto"/>
        <w:jc w:val="both"/>
      </w:pPr>
      <w:r>
        <w:rPr>
          <w:color w:val="262626"/>
          <w:sz w:val="22"/>
          <w:szCs w:val="22"/>
        </w:rPr>
        <w:t>Community mental health services have changed enormously since the days of locked asylums. Today they support people with mental health conditions to live full lives in their own communities. By providing early help and keeping people out of hospital where possible, these services improve wellbeing, protect independence, and help to make the wider NHS more sustainable.</w:t>
      </w:r>
    </w:p>
    <w:p w14:paraId="3BEE86D4" w14:textId="77777777" w:rsidR="001E51BC" w:rsidRDefault="00000000">
      <w:pPr>
        <w:spacing w:before="200" w:after="100"/>
      </w:pPr>
      <w:r>
        <w:rPr>
          <w:b/>
          <w:bCs/>
          <w:color w:val="1F4E79"/>
          <w:sz w:val="26"/>
          <w:szCs w:val="26"/>
        </w:rPr>
        <w:t>References</w:t>
      </w:r>
    </w:p>
    <w:p w14:paraId="3BEE86D5" w14:textId="77777777" w:rsidR="001E51BC" w:rsidRDefault="00000000">
      <w:pPr>
        <w:spacing w:after="90" w:line="252" w:lineRule="auto"/>
        <w:ind w:left="360" w:hanging="360"/>
      </w:pPr>
      <w:r>
        <w:rPr>
          <w:color w:val="262626"/>
        </w:rPr>
        <w:t>Department of Health (1962) A Hospital Plan for England and Wales. London: HMSO.</w:t>
      </w:r>
    </w:p>
    <w:p w14:paraId="3BEE86D6" w14:textId="77777777" w:rsidR="001E51BC" w:rsidRDefault="00000000">
      <w:pPr>
        <w:spacing w:after="90" w:line="252" w:lineRule="auto"/>
        <w:ind w:left="360" w:hanging="360"/>
      </w:pPr>
      <w:r>
        <w:rPr>
          <w:color w:val="262626"/>
        </w:rPr>
        <w:t>Department of Health (1999) National Service Framework for Mental Health. London: Department of Health.</w:t>
      </w:r>
    </w:p>
    <w:p w14:paraId="3BEE86D7" w14:textId="77777777" w:rsidR="001E51BC" w:rsidRDefault="00000000">
      <w:pPr>
        <w:spacing w:after="90" w:line="252" w:lineRule="auto"/>
        <w:ind w:left="360" w:hanging="360"/>
      </w:pPr>
      <w:r>
        <w:rPr>
          <w:color w:val="262626"/>
        </w:rPr>
        <w:t>Johnson, S. et al. (2018) ‘Crisis Resolution Teams and Inpatient Mental Health Care’, British Journal of Psychiatry, 213(5), pp. 1–8.</w:t>
      </w:r>
    </w:p>
    <w:p w14:paraId="3BEE86D8" w14:textId="77777777" w:rsidR="001E51BC" w:rsidRDefault="00000000">
      <w:pPr>
        <w:spacing w:after="90" w:line="252" w:lineRule="auto"/>
        <w:ind w:left="360" w:hanging="360"/>
      </w:pPr>
      <w:r>
        <w:rPr>
          <w:color w:val="262626"/>
        </w:rPr>
        <w:t>NHS and Community Care Act 1990. London: HMSO.</w:t>
      </w:r>
    </w:p>
    <w:p w14:paraId="3BEE86D9" w14:textId="77777777" w:rsidR="001E51BC" w:rsidRDefault="00000000">
      <w:pPr>
        <w:spacing w:after="90" w:line="252" w:lineRule="auto"/>
        <w:ind w:left="360" w:hanging="360"/>
      </w:pPr>
      <w:r>
        <w:rPr>
          <w:color w:val="262626"/>
        </w:rPr>
        <w:t>NHS England (2019) The NHS Long Term Plan. Available at: https://www.longtermplan.nhs.uk (Accessed: 10 June 2026).</w:t>
      </w:r>
    </w:p>
    <w:p w14:paraId="3BEE86DA" w14:textId="77777777" w:rsidR="001E51BC" w:rsidRDefault="00000000">
      <w:pPr>
        <w:spacing w:after="90" w:line="252" w:lineRule="auto"/>
        <w:ind w:left="360" w:hanging="360"/>
      </w:pPr>
      <w:r>
        <w:rPr>
          <w:color w:val="262626"/>
        </w:rPr>
        <w:t>NHS England (2023) NHS Talking Therapies Annual Report 2022–23. Available at: https://www.england.nhs.uk (Accessed: 10 June 2026).</w:t>
      </w:r>
    </w:p>
    <w:p w14:paraId="3BEE86DB" w14:textId="77777777" w:rsidR="001E51BC" w:rsidRDefault="00000000">
      <w:pPr>
        <w:spacing w:after="90" w:line="252" w:lineRule="auto"/>
        <w:ind w:left="360" w:hanging="360"/>
      </w:pPr>
      <w:r>
        <w:rPr>
          <w:color w:val="262626"/>
        </w:rPr>
        <w:t>Royal College of Psychiatrists (2023) Community Mental Health Teams. Available at: https://www.rcpsych.ac.uk (Accessed: 10 June 2026).</w:t>
      </w:r>
    </w:p>
    <w:p w14:paraId="3BEE86DC" w14:textId="77777777" w:rsidR="001E51BC" w:rsidRDefault="00000000">
      <w:pPr>
        <w:spacing w:after="90" w:line="252" w:lineRule="auto"/>
        <w:ind w:left="360" w:hanging="360"/>
      </w:pPr>
      <w:r>
        <w:rPr>
          <w:color w:val="262626"/>
        </w:rPr>
        <w:t>Scull, A. (1979) Museums of Madness: The Social Organisation of Insanity in Nineteenth Century England. London: Allen Lane.</w:t>
      </w:r>
    </w:p>
    <w:p w14:paraId="3BEE86DD" w14:textId="77777777" w:rsidR="001E51BC" w:rsidRDefault="00000000">
      <w:pPr>
        <w:spacing w:after="90" w:line="252" w:lineRule="auto"/>
        <w:ind w:left="360" w:hanging="360"/>
      </w:pPr>
      <w:r>
        <w:rPr>
          <w:color w:val="262626"/>
        </w:rPr>
        <w:t>Thornicroft, G. et al. (2016) ‘Evidence for Effective Interventions to Reduce Mental Health-Related Stigma’, The Lancet, 387(10023), pp. 1123–1132.</w:t>
      </w:r>
    </w:p>
    <w:sectPr w:rsidR="001E51BC">
      <w:footerReference w:type="default" r:id="rId13"/>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45AAE" w14:textId="77777777" w:rsidR="00B70D02" w:rsidRDefault="00B70D02">
      <w:r>
        <w:separator/>
      </w:r>
    </w:p>
  </w:endnote>
  <w:endnote w:type="continuationSeparator" w:id="0">
    <w:p w14:paraId="7E8D97F2" w14:textId="77777777" w:rsidR="00B70D02" w:rsidRDefault="00B70D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E86EA" w14:textId="37058F5A" w:rsidR="001E51BC" w:rsidRDefault="00000000">
    <w:pPr>
      <w:pBdr>
        <w:top w:val="single" w:sz="4" w:space="6" w:color="D9D9D9"/>
      </w:pBdr>
      <w:tabs>
        <w:tab w:val="right" w:pos="10466"/>
      </w:tabs>
    </w:pPr>
    <w:r>
      <w:rPr>
        <w:color w:val="5F6470"/>
        <w:sz w:val="16"/>
        <w:szCs w:val="16"/>
      </w:rPr>
      <w:t>LCHS</w:t>
    </w:r>
    <w:proofErr w:type="gramStart"/>
    <w:r>
      <w:rPr>
        <w:color w:val="5F6470"/>
        <w:sz w:val="16"/>
        <w:szCs w:val="16"/>
      </w:rPr>
      <w:t>4003  ·</w:t>
    </w:r>
    <w:proofErr w:type="gramEnd"/>
    <w:r>
      <w:rPr>
        <w:color w:val="5F6470"/>
        <w:sz w:val="16"/>
        <w:szCs w:val="16"/>
      </w:rPr>
      <w:t xml:space="preserve">  Task 1: NHS Dentistry Services (poster)</w:t>
    </w:r>
    <w:r>
      <w:rPr>
        <w:color w:val="5F6470"/>
        <w:sz w:val="16"/>
        <w:szCs w:val="16"/>
      </w:rPr>
      <w:tab/>
      <w:t xml:space="preserve">Page </w:t>
    </w:r>
    <w:r>
      <w:rPr>
        <w:color w:val="5F6470"/>
        <w:sz w:val="16"/>
        <w:szCs w:val="16"/>
      </w:rPr>
      <w:fldChar w:fldCharType="begin"/>
    </w:r>
    <w:r>
      <w:rPr>
        <w:color w:val="5F6470"/>
        <w:sz w:val="16"/>
        <w:szCs w:val="16"/>
      </w:rPr>
      <w:instrText>PAGE</w:instrText>
    </w:r>
    <w:r>
      <w:rPr>
        <w:color w:val="5F6470"/>
        <w:sz w:val="16"/>
        <w:szCs w:val="16"/>
      </w:rPr>
      <w:fldChar w:fldCharType="separate"/>
    </w:r>
    <w:r w:rsidR="003A12FD">
      <w:rPr>
        <w:noProof/>
        <w:color w:val="5F6470"/>
        <w:sz w:val="16"/>
        <w:szCs w:val="16"/>
      </w:rPr>
      <w:t>1</w:t>
    </w:r>
    <w:r>
      <w:rPr>
        <w:color w:val="5F6470"/>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E86EB" w14:textId="6B593082" w:rsidR="001E51BC" w:rsidRDefault="00000000">
    <w:pPr>
      <w:pBdr>
        <w:top w:val="single" w:sz="4" w:space="6" w:color="D9D9D9"/>
      </w:pBdr>
      <w:tabs>
        <w:tab w:val="right" w:pos="10466"/>
      </w:tabs>
    </w:pPr>
    <w:r>
      <w:rPr>
        <w:color w:val="5F6470"/>
        <w:sz w:val="16"/>
        <w:szCs w:val="16"/>
      </w:rPr>
      <w:t>LCHS</w:t>
    </w:r>
    <w:proofErr w:type="gramStart"/>
    <w:r>
      <w:rPr>
        <w:color w:val="5F6470"/>
        <w:sz w:val="16"/>
        <w:szCs w:val="16"/>
      </w:rPr>
      <w:t>4003  ·</w:t>
    </w:r>
    <w:proofErr w:type="gramEnd"/>
    <w:r>
      <w:rPr>
        <w:color w:val="5F6470"/>
        <w:sz w:val="16"/>
        <w:szCs w:val="16"/>
      </w:rPr>
      <w:t xml:space="preserve">  Task 2: Community Mental Health (essay)</w:t>
    </w:r>
    <w:r>
      <w:rPr>
        <w:color w:val="5F6470"/>
        <w:sz w:val="16"/>
        <w:szCs w:val="16"/>
      </w:rPr>
      <w:tab/>
      <w:t xml:space="preserve">Page </w:t>
    </w:r>
    <w:r>
      <w:rPr>
        <w:color w:val="5F6470"/>
        <w:sz w:val="16"/>
        <w:szCs w:val="16"/>
      </w:rPr>
      <w:fldChar w:fldCharType="begin"/>
    </w:r>
    <w:r>
      <w:rPr>
        <w:color w:val="5F6470"/>
        <w:sz w:val="16"/>
        <w:szCs w:val="16"/>
      </w:rPr>
      <w:instrText>PAGE</w:instrText>
    </w:r>
    <w:r>
      <w:rPr>
        <w:color w:val="5F6470"/>
        <w:sz w:val="16"/>
        <w:szCs w:val="16"/>
      </w:rPr>
      <w:fldChar w:fldCharType="separate"/>
    </w:r>
    <w:r w:rsidR="003A12FD">
      <w:rPr>
        <w:noProof/>
        <w:color w:val="5F6470"/>
        <w:sz w:val="16"/>
        <w:szCs w:val="16"/>
      </w:rPr>
      <w:t>3</w:t>
    </w:r>
    <w:r>
      <w:rPr>
        <w:color w:val="5F6470"/>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A9495" w14:textId="77777777" w:rsidR="00B70D02" w:rsidRDefault="00B70D02">
      <w:r>
        <w:separator/>
      </w:r>
    </w:p>
  </w:footnote>
  <w:footnote w:type="continuationSeparator" w:id="0">
    <w:p w14:paraId="627E19D6" w14:textId="77777777" w:rsidR="00B70D02" w:rsidRDefault="00B70D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A76781"/>
    <w:multiLevelType w:val="hybridMultilevel"/>
    <w:tmpl w:val="3F368B78"/>
    <w:lvl w:ilvl="0" w:tplc="1F72E1BC">
      <w:start w:val="1"/>
      <w:numFmt w:val="bullet"/>
      <w:lvlText w:val="●"/>
      <w:lvlJc w:val="left"/>
      <w:pPr>
        <w:ind w:left="720" w:hanging="360"/>
      </w:pPr>
    </w:lvl>
    <w:lvl w:ilvl="1" w:tplc="81AE7118">
      <w:start w:val="1"/>
      <w:numFmt w:val="bullet"/>
      <w:lvlText w:val="○"/>
      <w:lvlJc w:val="left"/>
      <w:pPr>
        <w:ind w:left="1440" w:hanging="360"/>
      </w:pPr>
    </w:lvl>
    <w:lvl w:ilvl="2" w:tplc="219EF8B4">
      <w:start w:val="1"/>
      <w:numFmt w:val="bullet"/>
      <w:lvlText w:val="■"/>
      <w:lvlJc w:val="left"/>
      <w:pPr>
        <w:ind w:left="2160" w:hanging="360"/>
      </w:pPr>
    </w:lvl>
    <w:lvl w:ilvl="3" w:tplc="9FCE10EA">
      <w:start w:val="1"/>
      <w:numFmt w:val="bullet"/>
      <w:lvlText w:val="●"/>
      <w:lvlJc w:val="left"/>
      <w:pPr>
        <w:ind w:left="2880" w:hanging="360"/>
      </w:pPr>
    </w:lvl>
    <w:lvl w:ilvl="4" w:tplc="41B07D8A">
      <w:start w:val="1"/>
      <w:numFmt w:val="bullet"/>
      <w:lvlText w:val="○"/>
      <w:lvlJc w:val="left"/>
      <w:pPr>
        <w:ind w:left="3600" w:hanging="360"/>
      </w:pPr>
    </w:lvl>
    <w:lvl w:ilvl="5" w:tplc="915018F0">
      <w:start w:val="1"/>
      <w:numFmt w:val="bullet"/>
      <w:lvlText w:val="■"/>
      <w:lvlJc w:val="left"/>
      <w:pPr>
        <w:ind w:left="4320" w:hanging="360"/>
      </w:pPr>
    </w:lvl>
    <w:lvl w:ilvl="6" w:tplc="0304175C">
      <w:start w:val="1"/>
      <w:numFmt w:val="bullet"/>
      <w:lvlText w:val="●"/>
      <w:lvlJc w:val="left"/>
      <w:pPr>
        <w:ind w:left="5040" w:hanging="360"/>
      </w:pPr>
    </w:lvl>
    <w:lvl w:ilvl="7" w:tplc="6BFE7FAC">
      <w:start w:val="1"/>
      <w:numFmt w:val="bullet"/>
      <w:lvlText w:val="●"/>
      <w:lvlJc w:val="left"/>
      <w:pPr>
        <w:ind w:left="5760" w:hanging="360"/>
      </w:pPr>
    </w:lvl>
    <w:lvl w:ilvl="8" w:tplc="79CCFDD2">
      <w:start w:val="1"/>
      <w:numFmt w:val="bullet"/>
      <w:lvlText w:val="●"/>
      <w:lvlJc w:val="left"/>
      <w:pPr>
        <w:ind w:left="6480" w:hanging="360"/>
      </w:pPr>
    </w:lvl>
  </w:abstractNum>
  <w:abstractNum w:abstractNumId="1" w15:restartNumberingAfterBreak="0">
    <w:nsid w:val="54B1575B"/>
    <w:multiLevelType w:val="hybridMultilevel"/>
    <w:tmpl w:val="25A807EA"/>
    <w:lvl w:ilvl="0" w:tplc="F01C2B42">
      <w:start w:val="1"/>
      <w:numFmt w:val="bullet"/>
      <w:lvlText w:val="•"/>
      <w:lvlJc w:val="left"/>
      <w:pPr>
        <w:ind w:left="300" w:hanging="220"/>
      </w:pPr>
      <w:rPr>
        <w:color w:val="FFFFFF"/>
      </w:rPr>
    </w:lvl>
    <w:lvl w:ilvl="1" w:tplc="DE3A024E">
      <w:numFmt w:val="decimal"/>
      <w:lvlText w:val=""/>
      <w:lvlJc w:val="left"/>
    </w:lvl>
    <w:lvl w:ilvl="2" w:tplc="BCD4A728">
      <w:numFmt w:val="decimal"/>
      <w:lvlText w:val=""/>
      <w:lvlJc w:val="left"/>
    </w:lvl>
    <w:lvl w:ilvl="3" w:tplc="3A92555E">
      <w:numFmt w:val="decimal"/>
      <w:lvlText w:val=""/>
      <w:lvlJc w:val="left"/>
    </w:lvl>
    <w:lvl w:ilvl="4" w:tplc="5FAE3554">
      <w:numFmt w:val="decimal"/>
      <w:lvlText w:val=""/>
      <w:lvlJc w:val="left"/>
    </w:lvl>
    <w:lvl w:ilvl="5" w:tplc="269A4F6A">
      <w:numFmt w:val="decimal"/>
      <w:lvlText w:val=""/>
      <w:lvlJc w:val="left"/>
    </w:lvl>
    <w:lvl w:ilvl="6" w:tplc="05DC1F86">
      <w:numFmt w:val="decimal"/>
      <w:lvlText w:val=""/>
      <w:lvlJc w:val="left"/>
    </w:lvl>
    <w:lvl w:ilvl="7" w:tplc="C63697FE">
      <w:numFmt w:val="decimal"/>
      <w:lvlText w:val=""/>
      <w:lvlJc w:val="left"/>
    </w:lvl>
    <w:lvl w:ilvl="8" w:tplc="8BD608FE">
      <w:numFmt w:val="decimal"/>
      <w:lvlText w:val=""/>
      <w:lvlJc w:val="left"/>
    </w:lvl>
  </w:abstractNum>
  <w:num w:numId="1" w16cid:durableId="1643660620">
    <w:abstractNumId w:val="0"/>
    <w:lvlOverride w:ilvl="0">
      <w:startOverride w:val="1"/>
    </w:lvlOverride>
  </w:num>
  <w:num w:numId="2" w16cid:durableId="143578332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1BC"/>
    <w:rsid w:val="001E51BC"/>
    <w:rsid w:val="003A12FD"/>
    <w:rsid w:val="00B70D02"/>
    <w:rsid w:val="00CF0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E866D"/>
  <w15:docId w15:val="{398816F8-E8DC-4279-AD5F-B12A7D35C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1351</Words>
  <Characters>7706</Characters>
  <Application>Microsoft Office Word</Application>
  <DocSecurity>0</DocSecurity>
  <Lines>64</Lines>
  <Paragraphs>18</Paragraphs>
  <ScaleCrop>false</ScaleCrop>
  <Company/>
  <LinksUpToDate>false</LinksUpToDate>
  <CharactersWithSpaces>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Alexandra Moise</cp:lastModifiedBy>
  <cp:revision>2</cp:revision>
  <dcterms:created xsi:type="dcterms:W3CDTF">2026-06-21T18:26:00Z</dcterms:created>
  <dcterms:modified xsi:type="dcterms:W3CDTF">2026-06-21T18:34:00Z</dcterms:modified>
</cp:coreProperties>
</file>