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2EF1C374" w14:textId="77777777" w:rsidR="00AB44FB" w:rsidRDefault="00AB44FB" w:rsidP="00AB44F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David Langley</w:t>
            </w:r>
          </w:p>
          <w:p w14:paraId="0BE3FD41" w14:textId="77777777" w:rsidR="00AB44FB" w:rsidRDefault="00AB44FB" w:rsidP="00AB44FB">
            <w:pPr>
              <w:overflowPunct/>
              <w:autoSpaceDE/>
              <w:autoSpaceDN/>
              <w:adjustRightInd/>
              <w:ind w:right="-957"/>
              <w:textAlignment w:val="auto"/>
              <w:rPr>
                <w:rFonts w:ascii="Times New Roman" w:hAnsi="Times New Roman" w:cs="Times New Roman"/>
                <w:b/>
                <w:color w:val="auto"/>
                <w:sz w:val="48"/>
              </w:rPr>
            </w:pPr>
          </w:p>
          <w:p w14:paraId="44775E5C" w14:textId="77777777" w:rsidR="00AB44FB" w:rsidRDefault="00AB44FB" w:rsidP="00AB44F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0951604@student.uwtsd.ac.uk</w:t>
            </w:r>
          </w:p>
          <w:p w14:paraId="326BCEA8" w14:textId="77777777" w:rsidR="00AB44FB" w:rsidRDefault="00AB44FB" w:rsidP="00AB44FB">
            <w:pPr>
              <w:overflowPunct/>
              <w:autoSpaceDE/>
              <w:autoSpaceDN/>
              <w:adjustRightInd/>
              <w:ind w:right="-957"/>
              <w:textAlignment w:val="auto"/>
              <w:rPr>
                <w:rFonts w:ascii="Times New Roman" w:hAnsi="Times New Roman" w:cs="Times New Roman"/>
                <w:b/>
                <w:color w:val="auto"/>
                <w:sz w:val="48"/>
              </w:rPr>
            </w:pPr>
          </w:p>
          <w:p w14:paraId="6CE3D7B3" w14:textId="77777777" w:rsidR="00AB44FB" w:rsidRDefault="00AB44FB" w:rsidP="00AB44FB">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622FD17A" w14:textId="25D02936" w:rsidR="0085230E" w:rsidRPr="005D3F07" w:rsidRDefault="00AB44F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0951604</w:t>
            </w: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proofErr w:type="gramStart"/>
            <w:r w:rsidR="00B037B0">
              <w:rPr>
                <w:rFonts w:ascii="Times New Roman" w:hAnsi="Times New Roman" w:cs="Times New Roman"/>
                <w:b/>
                <w:color w:val="auto"/>
                <w:sz w:val="48"/>
              </w:rPr>
              <w:t>21</w:t>
            </w:r>
            <w:proofErr w:type="gramEnd"/>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 xml:space="preserve">Task </w:t>
      </w:r>
      <w:proofErr w:type="gramStart"/>
      <w:r w:rsidRPr="00EE5BC3">
        <w:rPr>
          <w:b/>
          <w:sz w:val="28"/>
          <w:szCs w:val="28"/>
        </w:rPr>
        <w:t>3</w:t>
      </w:r>
      <w:proofErr w:type="gramEnd"/>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19704A86" w14:textId="77777777" w:rsidR="00AB44FB" w:rsidRPr="00906DD7" w:rsidRDefault="00AB44FB" w:rsidP="00AB44FB">
      <w:pPr>
        <w:jc w:val="both"/>
        <w:rPr>
          <w:b/>
          <w:bCs/>
          <w:sz w:val="24"/>
          <w:szCs w:val="24"/>
        </w:rPr>
      </w:pPr>
      <w:r w:rsidRPr="00906DD7">
        <w:rPr>
          <w:b/>
          <w:bCs/>
          <w:sz w:val="24"/>
          <w:szCs w:val="24"/>
        </w:rPr>
        <w:t xml:space="preserve">Task </w:t>
      </w:r>
      <w:proofErr w:type="gramStart"/>
      <w:r w:rsidRPr="00906DD7">
        <w:rPr>
          <w:b/>
          <w:bCs/>
          <w:sz w:val="24"/>
          <w:szCs w:val="24"/>
        </w:rPr>
        <w:t>3</w:t>
      </w:r>
      <w:proofErr w:type="gramEnd"/>
    </w:p>
    <w:p w14:paraId="03E7AEBB" w14:textId="77777777" w:rsidR="00AB44FB" w:rsidRPr="00B0440F" w:rsidRDefault="00AB44FB" w:rsidP="00AB44FB">
      <w:pPr>
        <w:jc w:val="both"/>
      </w:pPr>
    </w:p>
    <w:p w14:paraId="6A26EA50" w14:textId="77777777" w:rsidR="00AB44FB" w:rsidRPr="00906DD7" w:rsidRDefault="00AB44FB" w:rsidP="00AB44FB">
      <w:pPr>
        <w:jc w:val="both"/>
        <w:rPr>
          <w:b/>
          <w:bCs/>
          <w:sz w:val="24"/>
          <w:szCs w:val="24"/>
        </w:rPr>
      </w:pPr>
      <w:r w:rsidRPr="00906DD7">
        <w:rPr>
          <w:b/>
          <w:bCs/>
          <w:sz w:val="24"/>
          <w:szCs w:val="24"/>
        </w:rPr>
        <w:t>Introduction</w:t>
      </w:r>
    </w:p>
    <w:p w14:paraId="71F7E99C" w14:textId="48DD0E4C" w:rsidR="00AB44FB" w:rsidRPr="00906DD7" w:rsidRDefault="00AB44FB" w:rsidP="00AB44FB">
      <w:pPr>
        <w:jc w:val="both"/>
        <w:rPr>
          <w:sz w:val="24"/>
          <w:szCs w:val="24"/>
        </w:rPr>
      </w:pPr>
      <w:r w:rsidRPr="00906DD7">
        <w:rPr>
          <w:sz w:val="24"/>
          <w:szCs w:val="24"/>
        </w:rPr>
        <w:t xml:space="preserve">This reflection is based on a case allocated to me within a learning disability social work team I had recently joined. This team supports adults with learning disabilities, from the age of eighteen until the end of life, primarily covering the urban areas of a city in Wales. It demonstrates the complexities of supporting adults with learning disabilities who may be experiencing abuse but are resistant to support or intervention </w:t>
      </w:r>
      <w:sdt>
        <w:sdtPr>
          <w:rPr>
            <w:sz w:val="24"/>
            <w:szCs w:val="24"/>
          </w:rPr>
          <w:id w:val="1673906322"/>
          <w:citation/>
        </w:sdtPr>
        <w:sdtContent>
          <w:r w:rsidRPr="00906DD7">
            <w:rPr>
              <w:sz w:val="24"/>
              <w:szCs w:val="24"/>
            </w:rPr>
            <w:fldChar w:fldCharType="begin"/>
          </w:r>
          <w:r w:rsidRPr="00906DD7">
            <w:rPr>
              <w:sz w:val="24"/>
              <w:szCs w:val="24"/>
            </w:rPr>
            <w:instrText xml:space="preserve"> CITATION Hin07 \l 2057 </w:instrText>
          </w:r>
          <w:r w:rsidRPr="00906DD7">
            <w:rPr>
              <w:sz w:val="24"/>
              <w:szCs w:val="24"/>
            </w:rPr>
            <w:fldChar w:fldCharType="separate"/>
          </w:r>
          <w:r w:rsidRPr="00906DD7">
            <w:rPr>
              <w:noProof/>
              <w:sz w:val="24"/>
              <w:szCs w:val="24"/>
            </w:rPr>
            <w:t>(Hines, et al., 2007)</w:t>
          </w:r>
          <w:r w:rsidRPr="00906DD7">
            <w:rPr>
              <w:sz w:val="24"/>
              <w:szCs w:val="24"/>
            </w:rPr>
            <w:fldChar w:fldCharType="end"/>
          </w:r>
        </w:sdtContent>
      </w:sdt>
      <w:r w:rsidRPr="00906DD7">
        <w:rPr>
          <w:sz w:val="24"/>
          <w:szCs w:val="24"/>
        </w:rPr>
        <w:t xml:space="preserve">. It also highlights the need for reflection in action, reviewing unconscious biases, to develop better quality practice where safeguarding is concerned. Additionally, it explores the type of dilemmas that can arise around </w:t>
      </w:r>
      <w:r w:rsidRPr="00906DD7">
        <w:rPr>
          <w:sz w:val="24"/>
          <w:szCs w:val="24"/>
        </w:rPr>
        <w:lastRenderedPageBreak/>
        <w:t>respecting the voice and control of citizens and their autonomy, versus the local authority’s duty to safeguard its vulnerable residents and their obligation to uphold their rights.</w:t>
      </w:r>
    </w:p>
    <w:p w14:paraId="4EC9EAC0" w14:textId="77777777" w:rsidR="00AB44FB" w:rsidRPr="00906DD7" w:rsidRDefault="00AB44FB" w:rsidP="00AB44FB">
      <w:pPr>
        <w:jc w:val="both"/>
        <w:rPr>
          <w:sz w:val="24"/>
          <w:szCs w:val="24"/>
        </w:rPr>
      </w:pPr>
    </w:p>
    <w:p w14:paraId="333FA2F0" w14:textId="77777777" w:rsidR="00AB44FB" w:rsidRPr="00906DD7" w:rsidRDefault="00AB44FB" w:rsidP="00AB44FB">
      <w:pPr>
        <w:jc w:val="both"/>
        <w:rPr>
          <w:b/>
          <w:bCs/>
          <w:sz w:val="24"/>
          <w:szCs w:val="24"/>
        </w:rPr>
      </w:pPr>
      <w:r w:rsidRPr="00906DD7">
        <w:rPr>
          <w:b/>
          <w:bCs/>
          <w:sz w:val="24"/>
          <w:szCs w:val="24"/>
        </w:rPr>
        <w:t>Case Study</w:t>
      </w:r>
    </w:p>
    <w:p w14:paraId="2B5AAD33" w14:textId="2C97CB82" w:rsidR="00AB44FB" w:rsidRPr="00906DD7" w:rsidRDefault="00147E83" w:rsidP="00AB44FB">
      <w:pPr>
        <w:jc w:val="both"/>
        <w:rPr>
          <w:sz w:val="24"/>
          <w:szCs w:val="24"/>
        </w:rPr>
      </w:pPr>
      <w:r w:rsidRPr="00906DD7">
        <w:rPr>
          <w:sz w:val="24"/>
          <w:szCs w:val="24"/>
        </w:rPr>
        <w:t>Mr 1</w:t>
      </w:r>
      <w:r w:rsidR="00AB44FB" w:rsidRPr="00906DD7">
        <w:rPr>
          <w:sz w:val="24"/>
          <w:szCs w:val="24"/>
        </w:rPr>
        <w:t xml:space="preserve"> was a white Welsh man in his late thirties with a mild learning disability, who had relocated from a neighbouring Local Authority (LA) to live with </w:t>
      </w:r>
      <w:r w:rsidR="008839D9">
        <w:rPr>
          <w:sz w:val="24"/>
          <w:szCs w:val="24"/>
        </w:rPr>
        <w:t xml:space="preserve">his </w:t>
      </w:r>
      <w:r w:rsidR="00AB44FB" w:rsidRPr="00906DD7">
        <w:rPr>
          <w:sz w:val="24"/>
          <w:szCs w:val="24"/>
        </w:rPr>
        <w:t xml:space="preserve">girlfriend [Ms 2] and her mother [Ms 3] </w:t>
      </w:r>
      <w:r w:rsidR="008839D9">
        <w:rPr>
          <w:sz w:val="24"/>
          <w:szCs w:val="24"/>
        </w:rPr>
        <w:t>near</w:t>
      </w:r>
      <w:r w:rsidR="00AB44FB" w:rsidRPr="00906DD7">
        <w:rPr>
          <w:sz w:val="24"/>
          <w:szCs w:val="24"/>
        </w:rPr>
        <w:t xml:space="preserve"> the beginning of the COVID-19 lockdowns. The LA I work for became aware of Mr 1 when a nurse made a safeguarding report, prompting my LA to make reasonable inquiries and ensure he was not being subjected to abuse. His half-brother also contacted the LA, alleging that Mr 1’s girlfriend and her mother were abusing him and had made him cut all ties with his support network. Later information revealed that Mr 1’s father had passed away, his mother was in a care home with dementia and the adult foster family he lived with before moving, had now retired. Mr 1’s previous LA had discharged their duties, As Mr 1 was now an ordinary resident of my LA and there for it was no longer their duty to safeguard him. As part of my induction to the social work team, I first met Mr 1 while shadowing another social worker on a visit to his girlfriend’s home, to make the inquiries required and determine whether actions needed to be taken (S126(a) Social Service and Well-being (Wales) </w:t>
      </w:r>
      <w:sdt>
        <w:sdtPr>
          <w:rPr>
            <w:sz w:val="24"/>
            <w:szCs w:val="24"/>
          </w:rPr>
          <w:id w:val="-1507359208"/>
          <w:citation/>
        </w:sdtPr>
        <w:sdtContent>
          <w:r w:rsidR="00AB44FB" w:rsidRPr="00906DD7">
            <w:rPr>
              <w:sz w:val="24"/>
              <w:szCs w:val="24"/>
            </w:rPr>
            <w:fldChar w:fldCharType="begin"/>
          </w:r>
          <w:r w:rsidR="00AB44FB" w:rsidRPr="00906DD7">
            <w:rPr>
              <w:sz w:val="24"/>
              <w:szCs w:val="24"/>
            </w:rPr>
            <w:instrText xml:space="preserve">CITATION UKG14 \n  \l 2057 </w:instrText>
          </w:r>
          <w:r w:rsidR="00AB44FB" w:rsidRPr="00906DD7">
            <w:rPr>
              <w:sz w:val="24"/>
              <w:szCs w:val="24"/>
            </w:rPr>
            <w:fldChar w:fldCharType="separate"/>
          </w:r>
          <w:r w:rsidR="00AB44FB" w:rsidRPr="00906DD7">
            <w:rPr>
              <w:noProof/>
              <w:sz w:val="24"/>
              <w:szCs w:val="24"/>
            </w:rPr>
            <w:t>(2014)</w:t>
          </w:r>
          <w:r w:rsidR="00AB44FB" w:rsidRPr="00906DD7">
            <w:rPr>
              <w:sz w:val="24"/>
              <w:szCs w:val="24"/>
            </w:rPr>
            <w:fldChar w:fldCharType="end"/>
          </w:r>
        </w:sdtContent>
      </w:sdt>
      <w:r w:rsidR="00AB44FB" w:rsidRPr="00906DD7">
        <w:rPr>
          <w:sz w:val="24"/>
          <w:szCs w:val="24"/>
        </w:rPr>
        <w:t xml:space="preserve"> (SSWBA2014) to safeguard Mr 1.</w:t>
      </w:r>
    </w:p>
    <w:p w14:paraId="50B35977" w14:textId="77777777" w:rsidR="00AB44FB" w:rsidRPr="00906DD7" w:rsidRDefault="00AB44FB" w:rsidP="00AB44FB">
      <w:pPr>
        <w:jc w:val="both"/>
        <w:rPr>
          <w:b/>
          <w:bCs/>
          <w:sz w:val="24"/>
          <w:szCs w:val="24"/>
        </w:rPr>
      </w:pPr>
    </w:p>
    <w:p w14:paraId="0B7BFF34" w14:textId="5386157F" w:rsidR="00AB44FB" w:rsidRPr="00906DD7" w:rsidRDefault="00AB44FB" w:rsidP="00AB44FB">
      <w:pPr>
        <w:jc w:val="both"/>
        <w:rPr>
          <w:sz w:val="24"/>
          <w:szCs w:val="24"/>
        </w:rPr>
      </w:pPr>
      <w:r w:rsidRPr="00906DD7">
        <w:rPr>
          <w:sz w:val="24"/>
          <w:szCs w:val="24"/>
        </w:rPr>
        <w:t xml:space="preserve">When we arrived at Ms 3’s home, Mr 1 would not let us in, stating that Ms 3 was </w:t>
      </w:r>
      <w:r w:rsidR="00147E83" w:rsidRPr="00906DD7">
        <w:rPr>
          <w:sz w:val="24"/>
          <w:szCs w:val="24"/>
        </w:rPr>
        <w:t>out,</w:t>
      </w:r>
      <w:r w:rsidRPr="00906DD7">
        <w:rPr>
          <w:sz w:val="24"/>
          <w:szCs w:val="24"/>
        </w:rPr>
        <w:t xml:space="preserve"> and we would have to wait outside until she was home. When Ms 3 arrived, we were allowed in to speak with Mr 1 however, Ms 2 and Ms 3 remained present for the whole visit. My colleague spoke to Mr 1 about </w:t>
      </w:r>
      <w:r w:rsidR="008839D9">
        <w:rPr>
          <w:sz w:val="24"/>
          <w:szCs w:val="24"/>
        </w:rPr>
        <w:t>what</w:t>
      </w:r>
      <w:r w:rsidRPr="00906DD7">
        <w:rPr>
          <w:sz w:val="24"/>
          <w:szCs w:val="24"/>
        </w:rPr>
        <w:t xml:space="preserve"> support he had in his previous LA, but Mr 1 declined, stating he did not need any support. Mr 1 stated he had been living in his current arrangement for several years without social services and did not need them now. Aside from that, Mr 1 spoke little and gave only short answers during the meeting. He appeared defensive and reluctant to engage with the questions and when asked open questions, he would look to Ms 2 and Ms 3 for answers. When offered, Mr 1 declined an assessment, stating he had no support needs and did not want input from social services. When my colleague broached the subject of Mr 1’s half-brother’s allegations, Mr 1 stated he was “fine” and that he was “just interfering” and he did not want anything to do with him.</w:t>
      </w:r>
    </w:p>
    <w:p w14:paraId="2EFA209E" w14:textId="77777777" w:rsidR="00AB44FB" w:rsidRPr="00906DD7" w:rsidRDefault="00AB44FB" w:rsidP="00AB44FB">
      <w:pPr>
        <w:jc w:val="both"/>
        <w:rPr>
          <w:sz w:val="24"/>
          <w:szCs w:val="24"/>
        </w:rPr>
      </w:pPr>
    </w:p>
    <w:p w14:paraId="4CC2261D" w14:textId="741AE958" w:rsidR="00AB44FB" w:rsidRPr="00906DD7" w:rsidRDefault="00AB44FB" w:rsidP="00AB44FB">
      <w:pPr>
        <w:jc w:val="both"/>
        <w:rPr>
          <w:sz w:val="24"/>
          <w:szCs w:val="24"/>
        </w:rPr>
      </w:pPr>
      <w:r w:rsidRPr="00906DD7">
        <w:rPr>
          <w:sz w:val="24"/>
          <w:szCs w:val="24"/>
        </w:rPr>
        <w:t xml:space="preserve">At the end of the meeting, my colleague provided Mr 1 with contact information should he change his mind, and we left the home. After the meeting, my colleague rationalised that Mr 1 looked well, he did not appear to be in distress, and clearly stated he did not want any further involvement from social services. He understood the </w:t>
      </w:r>
      <w:r w:rsidR="008839D9">
        <w:rPr>
          <w:sz w:val="24"/>
          <w:szCs w:val="24"/>
        </w:rPr>
        <w:t xml:space="preserve">consequences of </w:t>
      </w:r>
      <w:r w:rsidRPr="00906DD7">
        <w:rPr>
          <w:sz w:val="24"/>
          <w:szCs w:val="24"/>
        </w:rPr>
        <w:t xml:space="preserve">choice he was making about declining a social work assessment, so </w:t>
      </w:r>
      <w:r w:rsidR="008839D9">
        <w:rPr>
          <w:sz w:val="24"/>
          <w:szCs w:val="24"/>
        </w:rPr>
        <w:t xml:space="preserve">the </w:t>
      </w:r>
      <w:r w:rsidRPr="00906DD7">
        <w:rPr>
          <w:sz w:val="24"/>
          <w:szCs w:val="24"/>
        </w:rPr>
        <w:t>LA’s duty had been met and his case would be closed.</w:t>
      </w:r>
    </w:p>
    <w:p w14:paraId="4F3D02C5" w14:textId="77777777" w:rsidR="00AB44FB" w:rsidRPr="00906DD7" w:rsidRDefault="00AB44FB" w:rsidP="00AB44FB">
      <w:pPr>
        <w:jc w:val="both"/>
        <w:rPr>
          <w:sz w:val="24"/>
          <w:szCs w:val="24"/>
        </w:rPr>
      </w:pPr>
    </w:p>
    <w:p w14:paraId="72A03068" w14:textId="3FFC4E42" w:rsidR="00AB44FB" w:rsidRPr="00906DD7" w:rsidRDefault="00AB44FB" w:rsidP="00AB44FB">
      <w:pPr>
        <w:jc w:val="both"/>
        <w:rPr>
          <w:sz w:val="24"/>
          <w:szCs w:val="24"/>
        </w:rPr>
      </w:pPr>
      <w:r w:rsidRPr="00906DD7">
        <w:rPr>
          <w:sz w:val="24"/>
          <w:szCs w:val="24"/>
        </w:rPr>
        <w:t xml:space="preserve">While my colleague’s explanation of their decision was clear, I was left with the impression that Mr 1’s uncomfortable body language and his repeated reliance on the others to answer for him alluded to some level of coercive practice or </w:t>
      </w:r>
      <w:r w:rsidR="008839D9">
        <w:rPr>
          <w:sz w:val="24"/>
          <w:szCs w:val="24"/>
        </w:rPr>
        <w:t xml:space="preserve">potentially </w:t>
      </w:r>
      <w:r w:rsidRPr="00906DD7">
        <w:rPr>
          <w:sz w:val="24"/>
          <w:szCs w:val="24"/>
        </w:rPr>
        <w:t xml:space="preserve">a lack of understanding about the questions. I noted that even the seating arrangement appeared oppressive, with Ms 2 and Ms 3 seated facing Mr 1 during the discussion. Unknown to me at this time, these observations would later embed unconscious biases in my approach to working with Mr 1, when his case was later allocated to me. </w:t>
      </w:r>
      <w:r w:rsidR="008839D9">
        <w:rPr>
          <w:sz w:val="24"/>
          <w:szCs w:val="24"/>
        </w:rPr>
        <w:t xml:space="preserve">At the time, </w:t>
      </w:r>
      <w:r w:rsidRPr="00906DD7">
        <w:rPr>
          <w:sz w:val="24"/>
          <w:szCs w:val="24"/>
        </w:rPr>
        <w:t xml:space="preserve">I felt it would have been beneficial to speak to Mr 1 alone before closing the case and ensure that he was not ‘protecting’ Ms 2 and Ms 3 out of fear of the </w:t>
      </w:r>
      <w:r w:rsidRPr="00906DD7">
        <w:rPr>
          <w:sz w:val="24"/>
          <w:szCs w:val="24"/>
        </w:rPr>
        <w:lastRenderedPageBreak/>
        <w:t>repercussions. However, as I was still new to the team and was there only to observe, I accepted that the decision was not mine to pursue and continued with my induction to the team.</w:t>
      </w:r>
    </w:p>
    <w:p w14:paraId="066DF4C1" w14:textId="77777777" w:rsidR="00AB44FB" w:rsidRPr="00906DD7" w:rsidRDefault="00AB44FB" w:rsidP="00AB44FB">
      <w:pPr>
        <w:jc w:val="both"/>
        <w:rPr>
          <w:sz w:val="24"/>
          <w:szCs w:val="24"/>
        </w:rPr>
      </w:pPr>
    </w:p>
    <w:p w14:paraId="4353440A" w14:textId="77777777" w:rsidR="00AB44FB" w:rsidRPr="00906DD7" w:rsidRDefault="00AB44FB" w:rsidP="00AB44FB">
      <w:pPr>
        <w:jc w:val="both"/>
        <w:rPr>
          <w:b/>
          <w:bCs/>
          <w:sz w:val="24"/>
          <w:szCs w:val="24"/>
        </w:rPr>
      </w:pPr>
      <w:r w:rsidRPr="00906DD7">
        <w:rPr>
          <w:b/>
          <w:bCs/>
          <w:sz w:val="24"/>
          <w:szCs w:val="24"/>
        </w:rPr>
        <w:t>Safeguarding Procedures, Relevant Legislation, and International Law</w:t>
      </w:r>
    </w:p>
    <w:p w14:paraId="6C6608C0" w14:textId="306B8D3D" w:rsidR="00AB44FB" w:rsidRPr="00906DD7" w:rsidRDefault="00AB44FB" w:rsidP="00AB44FB">
      <w:pPr>
        <w:jc w:val="both"/>
        <w:rPr>
          <w:sz w:val="24"/>
          <w:szCs w:val="24"/>
        </w:rPr>
      </w:pPr>
      <w:r w:rsidRPr="00906DD7">
        <w:rPr>
          <w:sz w:val="24"/>
          <w:szCs w:val="24"/>
        </w:rPr>
        <w:t>Because of his learning disability, Mr 1 had been identified as a potential ‘adult at risk’ under section 126 of the Social Service and Well-being (Wales) Act (2014)</w:t>
      </w:r>
      <w:r w:rsidR="00546E66">
        <w:rPr>
          <w:sz w:val="24"/>
          <w:szCs w:val="24"/>
        </w:rPr>
        <w:t xml:space="preserve"> (SSWBA2014)</w:t>
      </w:r>
      <w:r w:rsidRPr="00906DD7">
        <w:rPr>
          <w:sz w:val="24"/>
          <w:szCs w:val="24"/>
        </w:rPr>
        <w:t xml:space="preserve">. At the point at which the LA had ‘reasonable cause’ to suspect potential abuse occurring </w:t>
      </w:r>
      <w:sdt>
        <w:sdtPr>
          <w:rPr>
            <w:sz w:val="24"/>
            <w:szCs w:val="24"/>
          </w:rPr>
          <w:id w:val="929003681"/>
          <w:citation/>
        </w:sdtPr>
        <w:sdtContent>
          <w:r w:rsidRPr="00906DD7">
            <w:rPr>
              <w:sz w:val="24"/>
              <w:szCs w:val="24"/>
            </w:rPr>
            <w:fldChar w:fldCharType="begin"/>
          </w:r>
          <w:r w:rsidRPr="00906DD7">
            <w:rPr>
              <w:sz w:val="24"/>
              <w:szCs w:val="24"/>
            </w:rPr>
            <w:instrText xml:space="preserve"> CITATION Wel18 \l 2057 </w:instrText>
          </w:r>
          <w:r w:rsidRPr="00906DD7">
            <w:rPr>
              <w:sz w:val="24"/>
              <w:szCs w:val="24"/>
            </w:rPr>
            <w:fldChar w:fldCharType="separate"/>
          </w:r>
          <w:r w:rsidRPr="00906DD7">
            <w:rPr>
              <w:noProof/>
              <w:sz w:val="24"/>
              <w:szCs w:val="24"/>
            </w:rPr>
            <w:t>(Welsh Government, 2018)</w:t>
          </w:r>
          <w:r w:rsidRPr="00906DD7">
            <w:rPr>
              <w:sz w:val="24"/>
              <w:szCs w:val="24"/>
            </w:rPr>
            <w:fldChar w:fldCharType="end"/>
          </w:r>
        </w:sdtContent>
      </w:sdt>
      <w:r w:rsidRPr="00906DD7">
        <w:rPr>
          <w:sz w:val="24"/>
          <w:szCs w:val="24"/>
        </w:rPr>
        <w:t xml:space="preserve">, they were compelled by the SSWBA2014 Codes of Practice on Safeguarding </w:t>
      </w:r>
      <w:sdt>
        <w:sdtPr>
          <w:rPr>
            <w:sz w:val="24"/>
            <w:szCs w:val="24"/>
          </w:rPr>
          <w:id w:val="576405555"/>
          <w:citation/>
        </w:sdtPr>
        <w:sdtContent>
          <w:r w:rsidRPr="00906DD7">
            <w:rPr>
              <w:sz w:val="24"/>
              <w:szCs w:val="24"/>
            </w:rPr>
            <w:fldChar w:fldCharType="begin"/>
          </w:r>
          <w:r w:rsidRPr="00906DD7">
            <w:rPr>
              <w:sz w:val="24"/>
              <w:szCs w:val="24"/>
            </w:rPr>
            <w:instrText xml:space="preserve">CITATION Placeholder2 \p 6 \l 2057 </w:instrText>
          </w:r>
          <w:r w:rsidRPr="00906DD7">
            <w:rPr>
              <w:sz w:val="24"/>
              <w:szCs w:val="24"/>
            </w:rPr>
            <w:fldChar w:fldCharType="separate"/>
          </w:r>
          <w:r w:rsidRPr="00906DD7">
            <w:rPr>
              <w:noProof/>
              <w:sz w:val="24"/>
              <w:szCs w:val="24"/>
            </w:rPr>
            <w:t>(Welsh Government, 2018, p. 6)</w:t>
          </w:r>
          <w:r w:rsidRPr="00906DD7">
            <w:rPr>
              <w:sz w:val="24"/>
              <w:szCs w:val="24"/>
            </w:rPr>
            <w:fldChar w:fldCharType="end"/>
          </w:r>
        </w:sdtContent>
      </w:sdt>
      <w:r w:rsidRPr="00906DD7">
        <w:rPr>
          <w:sz w:val="24"/>
          <w:szCs w:val="24"/>
        </w:rPr>
        <w:t xml:space="preserve"> to raise the concern with the relevant agencies and the Local Safeguarding Boards for further investigation and information gathering </w:t>
      </w:r>
      <w:sdt>
        <w:sdtPr>
          <w:rPr>
            <w:sz w:val="24"/>
            <w:szCs w:val="24"/>
          </w:rPr>
          <w:id w:val="928858106"/>
          <w:citation/>
        </w:sdtPr>
        <w:sdtContent>
          <w:r w:rsidRPr="00906DD7">
            <w:rPr>
              <w:sz w:val="24"/>
              <w:szCs w:val="24"/>
            </w:rPr>
            <w:fldChar w:fldCharType="begin"/>
          </w:r>
          <w:r w:rsidRPr="00906DD7">
            <w:rPr>
              <w:sz w:val="24"/>
              <w:szCs w:val="24"/>
            </w:rPr>
            <w:instrText xml:space="preserve">CITATION The15 \p s3.2.c \l 2057 </w:instrText>
          </w:r>
          <w:r w:rsidRPr="00906DD7">
            <w:rPr>
              <w:sz w:val="24"/>
              <w:szCs w:val="24"/>
            </w:rPr>
            <w:fldChar w:fldCharType="separate"/>
          </w:r>
          <w:r w:rsidRPr="00906DD7">
            <w:rPr>
              <w:noProof/>
              <w:sz w:val="24"/>
              <w:szCs w:val="24"/>
            </w:rPr>
            <w:t>(Welsh Government, 2015, p. s3.2.c)</w:t>
          </w:r>
          <w:r w:rsidRPr="00906DD7">
            <w:rPr>
              <w:sz w:val="24"/>
              <w:szCs w:val="24"/>
            </w:rPr>
            <w:fldChar w:fldCharType="end"/>
          </w:r>
        </w:sdtContent>
      </w:sdt>
      <w:r w:rsidRPr="00906DD7">
        <w:rPr>
          <w:sz w:val="24"/>
          <w:szCs w:val="24"/>
        </w:rPr>
        <w:t>. In England, the equivalent legislation that informs their LA’s duties to safeguard those deemed ‘at risk,’ (separate from Welsh devolved legislation), is The Care Act</w:t>
      </w:r>
      <w:sdt>
        <w:sdtPr>
          <w:rPr>
            <w:sz w:val="24"/>
            <w:szCs w:val="24"/>
          </w:rPr>
          <w:id w:val="-1297682670"/>
          <w:citation/>
        </w:sdtPr>
        <w:sdtContent>
          <w:r w:rsidRPr="00906DD7">
            <w:rPr>
              <w:sz w:val="24"/>
              <w:szCs w:val="24"/>
            </w:rPr>
            <w:fldChar w:fldCharType="begin"/>
          </w:r>
          <w:r w:rsidRPr="00906DD7">
            <w:rPr>
              <w:sz w:val="24"/>
              <w:szCs w:val="24"/>
            </w:rPr>
            <w:instrText xml:space="preserve">CITATION The14 \n  \l 2057 </w:instrText>
          </w:r>
          <w:r w:rsidRPr="00906DD7">
            <w:rPr>
              <w:sz w:val="24"/>
              <w:szCs w:val="24"/>
            </w:rPr>
            <w:fldChar w:fldCharType="separate"/>
          </w:r>
          <w:r w:rsidRPr="00906DD7">
            <w:rPr>
              <w:noProof/>
              <w:sz w:val="24"/>
              <w:szCs w:val="24"/>
            </w:rPr>
            <w:t xml:space="preserve"> (2014)</w:t>
          </w:r>
          <w:r w:rsidRPr="00906DD7">
            <w:rPr>
              <w:sz w:val="24"/>
              <w:szCs w:val="24"/>
            </w:rPr>
            <w:fldChar w:fldCharType="end"/>
          </w:r>
        </w:sdtContent>
      </w:sdt>
      <w:r w:rsidRPr="00906DD7">
        <w:rPr>
          <w:sz w:val="24"/>
          <w:szCs w:val="24"/>
        </w:rPr>
        <w:t xml:space="preserve">. </w:t>
      </w:r>
    </w:p>
    <w:p w14:paraId="216A94C7" w14:textId="77777777" w:rsidR="00AB44FB" w:rsidRPr="00906DD7" w:rsidRDefault="00AB44FB" w:rsidP="00AB44FB">
      <w:pPr>
        <w:jc w:val="both"/>
        <w:rPr>
          <w:sz w:val="24"/>
          <w:szCs w:val="24"/>
        </w:rPr>
      </w:pPr>
    </w:p>
    <w:p w14:paraId="10DA66D8" w14:textId="4E28F481" w:rsidR="00AB44FB" w:rsidRPr="00906DD7" w:rsidRDefault="00AB44FB" w:rsidP="00AB44FB">
      <w:pPr>
        <w:jc w:val="both"/>
        <w:rPr>
          <w:sz w:val="24"/>
          <w:szCs w:val="24"/>
        </w:rPr>
      </w:pPr>
      <w:r w:rsidRPr="00906DD7">
        <w:rPr>
          <w:sz w:val="24"/>
          <w:szCs w:val="24"/>
        </w:rPr>
        <w:t xml:space="preserve">Articles 3, 5, and 8 of the Human Rights Act </w:t>
      </w:r>
      <w:sdt>
        <w:sdtPr>
          <w:rPr>
            <w:sz w:val="24"/>
            <w:szCs w:val="24"/>
          </w:rPr>
          <w:id w:val="-485401044"/>
          <w:citation/>
        </w:sdtPr>
        <w:sdtContent>
          <w:r w:rsidRPr="00906DD7">
            <w:rPr>
              <w:sz w:val="24"/>
              <w:szCs w:val="24"/>
            </w:rPr>
            <w:fldChar w:fldCharType="begin"/>
          </w:r>
          <w:r w:rsidRPr="00906DD7">
            <w:rPr>
              <w:sz w:val="24"/>
              <w:szCs w:val="24"/>
            </w:rPr>
            <w:instrText xml:space="preserve">CITATION Hum981 \n  \l 2057 </w:instrText>
          </w:r>
          <w:r w:rsidRPr="00906DD7">
            <w:rPr>
              <w:sz w:val="24"/>
              <w:szCs w:val="24"/>
            </w:rPr>
            <w:fldChar w:fldCharType="separate"/>
          </w:r>
          <w:r w:rsidRPr="00906DD7">
            <w:rPr>
              <w:noProof/>
              <w:sz w:val="24"/>
              <w:szCs w:val="24"/>
            </w:rPr>
            <w:t>(1998)</w:t>
          </w:r>
          <w:r w:rsidRPr="00906DD7">
            <w:rPr>
              <w:sz w:val="24"/>
              <w:szCs w:val="24"/>
            </w:rPr>
            <w:fldChar w:fldCharType="end"/>
          </w:r>
        </w:sdtContent>
      </w:sdt>
      <w:r w:rsidRPr="00906DD7">
        <w:rPr>
          <w:sz w:val="24"/>
          <w:szCs w:val="24"/>
        </w:rPr>
        <w:t xml:space="preserve"> include Mr 1’s rights not to be subjected to inhumane treatment, liberty and security, and respect for his private and family life. These compel public authorities across the UK to act in a way that is compatible with the European Convention on Human Rights</w:t>
      </w:r>
      <w:sdt>
        <w:sdtPr>
          <w:rPr>
            <w:sz w:val="24"/>
            <w:szCs w:val="24"/>
          </w:rPr>
          <w:id w:val="183485113"/>
          <w:citation/>
        </w:sdtPr>
        <w:sdtContent>
          <w:r w:rsidRPr="00906DD7">
            <w:rPr>
              <w:sz w:val="24"/>
              <w:szCs w:val="24"/>
            </w:rPr>
            <w:fldChar w:fldCharType="begin"/>
          </w:r>
          <w:r w:rsidRPr="00906DD7">
            <w:rPr>
              <w:sz w:val="24"/>
              <w:szCs w:val="24"/>
            </w:rPr>
            <w:instrText xml:space="preserve">CITATION Eur50 \n  \l 2057 </w:instrText>
          </w:r>
          <w:r w:rsidRPr="00906DD7">
            <w:rPr>
              <w:sz w:val="24"/>
              <w:szCs w:val="24"/>
            </w:rPr>
            <w:fldChar w:fldCharType="separate"/>
          </w:r>
          <w:r w:rsidRPr="00906DD7">
            <w:rPr>
              <w:noProof/>
              <w:sz w:val="24"/>
              <w:szCs w:val="24"/>
            </w:rPr>
            <w:t xml:space="preserve"> (1950)</w:t>
          </w:r>
          <w:r w:rsidRPr="00906DD7">
            <w:rPr>
              <w:sz w:val="24"/>
              <w:szCs w:val="24"/>
            </w:rPr>
            <w:fldChar w:fldCharType="end"/>
          </w:r>
        </w:sdtContent>
      </w:sdt>
      <w:r w:rsidRPr="00906DD7">
        <w:rPr>
          <w:sz w:val="24"/>
          <w:szCs w:val="24"/>
        </w:rPr>
        <w:t xml:space="preserve">. The wider legislation that informs the EU and UK legislation around disability is the United Nations Conventions on the Rights of Persons with Disabilities </w:t>
      </w:r>
      <w:sdt>
        <w:sdtPr>
          <w:rPr>
            <w:sz w:val="24"/>
            <w:szCs w:val="24"/>
          </w:rPr>
          <w:id w:val="-1744090676"/>
          <w:citation/>
        </w:sdtPr>
        <w:sdtContent>
          <w:r w:rsidRPr="00906DD7">
            <w:rPr>
              <w:sz w:val="24"/>
              <w:szCs w:val="24"/>
            </w:rPr>
            <w:fldChar w:fldCharType="begin"/>
          </w:r>
          <w:r w:rsidRPr="00906DD7">
            <w:rPr>
              <w:sz w:val="24"/>
              <w:szCs w:val="24"/>
            </w:rPr>
            <w:instrText xml:space="preserve"> CITATION Uni06 \l 2057 </w:instrText>
          </w:r>
          <w:r w:rsidRPr="00906DD7">
            <w:rPr>
              <w:sz w:val="24"/>
              <w:szCs w:val="24"/>
            </w:rPr>
            <w:fldChar w:fldCharType="separate"/>
          </w:r>
          <w:r w:rsidRPr="00906DD7">
            <w:rPr>
              <w:noProof/>
              <w:sz w:val="24"/>
              <w:szCs w:val="24"/>
            </w:rPr>
            <w:t>(United Nations, 2006)</w:t>
          </w:r>
          <w:r w:rsidRPr="00906DD7">
            <w:rPr>
              <w:sz w:val="24"/>
              <w:szCs w:val="24"/>
            </w:rPr>
            <w:fldChar w:fldCharType="end"/>
          </w:r>
        </w:sdtContent>
      </w:sdt>
      <w:r w:rsidRPr="00906DD7">
        <w:rPr>
          <w:sz w:val="24"/>
          <w:szCs w:val="24"/>
        </w:rPr>
        <w:t xml:space="preserve"> which set minimum standards for non-discrimination, participation, and inclusion of people with disabilities. These articles set out the rights of persons with learning disabilities (such as Mr 1) to be treated with dignity and respect. Given the potential abuses towards Mr 1, these articles provide the framework for understanding his rights and obligations the LA and its safeguarding team have. The alignment of the UN articles and Welsh legislation reinforces the person-centred approach of the SSWBA2014 and improves the efficacy of safeguarding in Wales, and by acknowledging and incorporating these international human rights laws into my practice, it ensured that any interventions were legally compliant and upheld the highest standards of human rights.</w:t>
      </w:r>
    </w:p>
    <w:p w14:paraId="25A82A10" w14:textId="77777777" w:rsidR="00AB44FB" w:rsidRPr="00906DD7" w:rsidRDefault="00AB44FB" w:rsidP="00AB44FB">
      <w:pPr>
        <w:jc w:val="both"/>
        <w:rPr>
          <w:sz w:val="24"/>
          <w:szCs w:val="24"/>
        </w:rPr>
      </w:pPr>
    </w:p>
    <w:p w14:paraId="3F626721" w14:textId="584DF774" w:rsidR="00AB44FB" w:rsidRPr="00906DD7" w:rsidRDefault="00AB44FB" w:rsidP="00AB44FB">
      <w:pPr>
        <w:jc w:val="both"/>
        <w:rPr>
          <w:sz w:val="24"/>
          <w:szCs w:val="24"/>
        </w:rPr>
      </w:pPr>
      <w:r w:rsidRPr="00906DD7">
        <w:rPr>
          <w:sz w:val="24"/>
          <w:szCs w:val="24"/>
        </w:rPr>
        <w:t xml:space="preserve">As per Welsh Safeguarding procedures, before our involvement with Mr 1, a decision was made regarding the “immediate concerns” and </w:t>
      </w:r>
      <w:sdt>
        <w:sdtPr>
          <w:rPr>
            <w:sz w:val="24"/>
            <w:szCs w:val="24"/>
          </w:rPr>
          <w:id w:val="-1712418693"/>
          <w:citation/>
        </w:sdtPr>
        <w:sdtContent>
          <w:r w:rsidRPr="00906DD7">
            <w:rPr>
              <w:sz w:val="24"/>
              <w:szCs w:val="24"/>
            </w:rPr>
            <w:fldChar w:fldCharType="begin"/>
          </w:r>
          <w:r w:rsidRPr="00906DD7">
            <w:rPr>
              <w:sz w:val="24"/>
              <w:szCs w:val="24"/>
            </w:rPr>
            <w:instrText xml:space="preserve">CITATION Wal231 \l 2057 </w:instrText>
          </w:r>
          <w:r w:rsidRPr="00906DD7">
            <w:rPr>
              <w:sz w:val="24"/>
              <w:szCs w:val="24"/>
            </w:rPr>
            <w:fldChar w:fldCharType="separate"/>
          </w:r>
          <w:r w:rsidRPr="00906DD7">
            <w:rPr>
              <w:noProof/>
              <w:sz w:val="24"/>
              <w:szCs w:val="24"/>
            </w:rPr>
            <w:t xml:space="preserve"> (Wales Safeguarding Procedures (b), 2023)</w:t>
          </w:r>
          <w:r w:rsidRPr="00906DD7">
            <w:rPr>
              <w:sz w:val="24"/>
              <w:szCs w:val="24"/>
            </w:rPr>
            <w:fldChar w:fldCharType="end"/>
          </w:r>
        </w:sdtContent>
      </w:sdt>
      <w:r w:rsidRPr="00906DD7">
        <w:rPr>
          <w:sz w:val="24"/>
          <w:szCs w:val="24"/>
        </w:rPr>
        <w:t xml:space="preserve"> who needed to be involved (e.g., police, health visitors, etc…). Neither the police nor any other professionals were involved as Mr 1 had declined any safeguarding intervention and had begrudgingly agreed to the visit from my colleague. However, if Mr 1 had agreed to proceed  or had been assed as lacking capacity to make the decision independently, a ‘Safeguarding Enquiry’ would have been triggered </w:t>
      </w:r>
      <w:sdt>
        <w:sdtPr>
          <w:rPr>
            <w:sz w:val="24"/>
            <w:szCs w:val="24"/>
          </w:rPr>
          <w:id w:val="-1724137510"/>
          <w:citation/>
        </w:sdtPr>
        <w:sdtContent>
          <w:r w:rsidRPr="00906DD7">
            <w:rPr>
              <w:sz w:val="24"/>
              <w:szCs w:val="24"/>
            </w:rPr>
            <w:fldChar w:fldCharType="begin"/>
          </w:r>
          <w:r w:rsidRPr="00906DD7">
            <w:rPr>
              <w:sz w:val="24"/>
              <w:szCs w:val="24"/>
            </w:rPr>
            <w:instrText xml:space="preserve">CITATION Wel232 \l 2057 </w:instrText>
          </w:r>
          <w:r w:rsidRPr="00906DD7">
            <w:rPr>
              <w:sz w:val="24"/>
              <w:szCs w:val="24"/>
            </w:rPr>
            <w:fldChar w:fldCharType="separate"/>
          </w:r>
          <w:r w:rsidRPr="00906DD7">
            <w:rPr>
              <w:noProof/>
              <w:sz w:val="24"/>
              <w:szCs w:val="24"/>
            </w:rPr>
            <w:t>(Wales Safeguarding Procedures (d), 2023)</w:t>
          </w:r>
          <w:r w:rsidRPr="00906DD7">
            <w:rPr>
              <w:sz w:val="24"/>
              <w:szCs w:val="24"/>
            </w:rPr>
            <w:fldChar w:fldCharType="end"/>
          </w:r>
        </w:sdtContent>
      </w:sdt>
      <w:r w:rsidRPr="00906DD7">
        <w:rPr>
          <w:sz w:val="24"/>
          <w:szCs w:val="24"/>
        </w:rPr>
        <w:t xml:space="preserve"> and information sharing between involved agencies would have begun, with a view to build a holistic understanding of the circumstances.</w:t>
      </w:r>
    </w:p>
    <w:p w14:paraId="3D1B231F" w14:textId="77777777" w:rsidR="00AB44FB" w:rsidRPr="00906DD7" w:rsidRDefault="00AB44FB" w:rsidP="00AB44FB">
      <w:pPr>
        <w:jc w:val="both"/>
        <w:rPr>
          <w:sz w:val="24"/>
          <w:szCs w:val="24"/>
        </w:rPr>
      </w:pPr>
    </w:p>
    <w:p w14:paraId="551F36B3" w14:textId="77777777" w:rsidR="00AB44FB" w:rsidRPr="00906DD7" w:rsidRDefault="00AB44FB" w:rsidP="00AB44FB">
      <w:pPr>
        <w:jc w:val="both"/>
        <w:rPr>
          <w:b/>
          <w:bCs/>
          <w:sz w:val="24"/>
          <w:szCs w:val="24"/>
        </w:rPr>
      </w:pPr>
      <w:r w:rsidRPr="00906DD7">
        <w:rPr>
          <w:b/>
          <w:bCs/>
          <w:sz w:val="24"/>
          <w:szCs w:val="24"/>
        </w:rPr>
        <w:t>Preparation for Assessment</w:t>
      </w:r>
    </w:p>
    <w:p w14:paraId="29825416" w14:textId="6EFFB852" w:rsidR="00AB44FB" w:rsidRPr="00906DD7" w:rsidRDefault="00AB44FB" w:rsidP="00AB44FB">
      <w:pPr>
        <w:jc w:val="both"/>
        <w:rPr>
          <w:sz w:val="24"/>
          <w:szCs w:val="24"/>
        </w:rPr>
      </w:pPr>
      <w:r w:rsidRPr="00906DD7">
        <w:rPr>
          <w:sz w:val="24"/>
          <w:szCs w:val="24"/>
        </w:rPr>
        <w:t>My direct involvement with Mr 1 came about because he contacted the LA some weeks later, requesting a social worker for reasons he would not discuss over the phone. Before contacting Mr 1 I reviewed his referral and the historical information the LA had already captured. I checked if there were any other professionals currently involved with Mr 4, as part of collaborative and multi-agency working (</w:t>
      </w:r>
      <w:r w:rsidR="00546E66">
        <w:rPr>
          <w:sz w:val="24"/>
          <w:szCs w:val="24"/>
        </w:rPr>
        <w:t xml:space="preserve">section </w:t>
      </w:r>
      <w:r w:rsidRPr="00906DD7">
        <w:rPr>
          <w:sz w:val="24"/>
          <w:szCs w:val="24"/>
        </w:rPr>
        <w:t xml:space="preserve">162 SSWBA2014) and if there were any specific communication needs or risk assessments that I needed to be aware of before visiting. I also reviewed the </w:t>
      </w:r>
      <w:r w:rsidRPr="00906DD7">
        <w:rPr>
          <w:sz w:val="24"/>
          <w:szCs w:val="24"/>
        </w:rPr>
        <w:lastRenderedPageBreak/>
        <w:t>previous social work assessments by my colleague and from his original LA. At this stage there were no other professionals currently involved with Mr 1, but there had been information confirming Mr 1’s diagnosis of a learning disability and some past health conditions.</w:t>
      </w:r>
    </w:p>
    <w:p w14:paraId="07E0886B" w14:textId="77777777" w:rsidR="00AB44FB" w:rsidRPr="00906DD7" w:rsidRDefault="00AB44FB" w:rsidP="00AB44FB">
      <w:pPr>
        <w:jc w:val="both"/>
        <w:rPr>
          <w:sz w:val="24"/>
          <w:szCs w:val="24"/>
        </w:rPr>
      </w:pPr>
    </w:p>
    <w:p w14:paraId="4BDE1BBB" w14:textId="742E377B" w:rsidR="00AB44FB" w:rsidRPr="00906DD7" w:rsidRDefault="00AB44FB" w:rsidP="00AB44FB">
      <w:pPr>
        <w:jc w:val="both"/>
        <w:rPr>
          <w:sz w:val="24"/>
          <w:szCs w:val="24"/>
        </w:rPr>
      </w:pPr>
      <w:r w:rsidRPr="00906DD7">
        <w:rPr>
          <w:sz w:val="24"/>
          <w:szCs w:val="24"/>
        </w:rPr>
        <w:t>While reviewing the available information, I read a safeguarding report made by a nurse he met during his visit to A&amp;E. It stated that Mr 1 had originally alleged Ms 2 had “physically assaulted him,” that Ms 3 “owed him four hundred pounds,” and that they both would “regularly take money from him.” However, it was also noted in the report that he had not wanted to involve the police or social services.</w:t>
      </w:r>
    </w:p>
    <w:p w14:paraId="22DAAAE1" w14:textId="77777777" w:rsidR="00AB44FB" w:rsidRPr="00906DD7" w:rsidRDefault="00AB44FB" w:rsidP="00AB44FB">
      <w:pPr>
        <w:jc w:val="both"/>
        <w:rPr>
          <w:sz w:val="24"/>
          <w:szCs w:val="24"/>
        </w:rPr>
      </w:pPr>
    </w:p>
    <w:p w14:paraId="39DA3A54" w14:textId="7AD7895B" w:rsidR="00AB44FB" w:rsidRPr="00906DD7" w:rsidRDefault="00AB44FB" w:rsidP="00AB44FB">
      <w:pPr>
        <w:jc w:val="both"/>
        <w:rPr>
          <w:sz w:val="24"/>
          <w:szCs w:val="24"/>
        </w:rPr>
      </w:pPr>
      <w:r w:rsidRPr="00906DD7">
        <w:rPr>
          <w:sz w:val="24"/>
          <w:szCs w:val="24"/>
        </w:rPr>
        <w:t xml:space="preserve">I consulted with my supervisor about what the expectations were for our involvement with Mr 1, given the vagueness of his referral, all the recent events surrounding Mr 1, and the information I had read in the original safeguarding referral. We identified that I would be meeting Mr 1 under part 3 of the SSWBA2014 (the duty to assess the needs of an individual), so my approach would be ‘person-centred’ and ‘strength-based’ </w:t>
      </w:r>
      <w:sdt>
        <w:sdtPr>
          <w:rPr>
            <w:sz w:val="24"/>
            <w:szCs w:val="24"/>
          </w:rPr>
          <w:id w:val="-1107266874"/>
          <w:citation/>
        </w:sdtPr>
        <w:sdtContent>
          <w:r w:rsidRPr="00906DD7">
            <w:rPr>
              <w:sz w:val="24"/>
              <w:szCs w:val="24"/>
            </w:rPr>
            <w:fldChar w:fldCharType="begin"/>
          </w:r>
          <w:r w:rsidRPr="00906DD7">
            <w:rPr>
              <w:sz w:val="24"/>
              <w:szCs w:val="24"/>
            </w:rPr>
            <w:instrText>CITATION Sal96 \l 2057  \m Jon95</w:instrText>
          </w:r>
          <w:r w:rsidRPr="00906DD7">
            <w:rPr>
              <w:sz w:val="24"/>
              <w:szCs w:val="24"/>
            </w:rPr>
            <w:fldChar w:fldCharType="separate"/>
          </w:r>
          <w:r w:rsidRPr="00906DD7">
            <w:rPr>
              <w:noProof/>
              <w:sz w:val="24"/>
              <w:szCs w:val="24"/>
            </w:rPr>
            <w:t>(Saleebey, 1996; Jong &amp; Miller, 1995)</w:t>
          </w:r>
          <w:r w:rsidRPr="00906DD7">
            <w:rPr>
              <w:sz w:val="24"/>
              <w:szCs w:val="24"/>
            </w:rPr>
            <w:fldChar w:fldCharType="end"/>
          </w:r>
        </w:sdtContent>
      </w:sdt>
      <w:r w:rsidRPr="00906DD7">
        <w:rPr>
          <w:sz w:val="24"/>
          <w:szCs w:val="24"/>
        </w:rPr>
        <w:t>, promoting the principles of the SSWBA2014.</w:t>
      </w:r>
    </w:p>
    <w:p w14:paraId="03FC7206" w14:textId="77777777" w:rsidR="00AB44FB" w:rsidRPr="00906DD7" w:rsidRDefault="00AB44FB" w:rsidP="00AB44FB">
      <w:pPr>
        <w:jc w:val="both"/>
        <w:rPr>
          <w:sz w:val="24"/>
          <w:szCs w:val="24"/>
        </w:rPr>
      </w:pPr>
    </w:p>
    <w:p w14:paraId="06AF0AED" w14:textId="337A08B3" w:rsidR="00AB44FB" w:rsidRPr="00906DD7" w:rsidRDefault="00AB44FB" w:rsidP="00AB44FB">
      <w:pPr>
        <w:jc w:val="both"/>
        <w:rPr>
          <w:sz w:val="24"/>
          <w:szCs w:val="24"/>
        </w:rPr>
      </w:pPr>
      <w:r w:rsidRPr="00906DD7">
        <w:rPr>
          <w:sz w:val="24"/>
          <w:szCs w:val="24"/>
        </w:rPr>
        <w:t xml:space="preserve">I shared with my supervisor that Mr 1’s files, demonstrated several common indicators of potential domestic abuse and coercive control, including being isolated from his family and support network, Ms 3 having control of his finances (Ms 3 was his appointee), signs of physical injury (Mr 1 had visited A&amp;E with bruised ribs after an argument with Ms 2), and recently Mr 1 being made homeless for a brief period </w:t>
      </w:r>
      <w:sdt>
        <w:sdtPr>
          <w:rPr>
            <w:sz w:val="24"/>
            <w:szCs w:val="24"/>
          </w:rPr>
          <w:id w:val="1749692045"/>
          <w:citation/>
        </w:sdtPr>
        <w:sdtContent>
          <w:r w:rsidRPr="00906DD7">
            <w:rPr>
              <w:sz w:val="24"/>
              <w:szCs w:val="24"/>
            </w:rPr>
            <w:fldChar w:fldCharType="begin"/>
          </w:r>
          <w:r w:rsidRPr="00906DD7">
            <w:rPr>
              <w:sz w:val="24"/>
              <w:szCs w:val="24"/>
            </w:rPr>
            <w:instrText xml:space="preserve"> CITATION Wal23 \l 2057 </w:instrText>
          </w:r>
          <w:r w:rsidRPr="00906DD7">
            <w:rPr>
              <w:sz w:val="24"/>
              <w:szCs w:val="24"/>
            </w:rPr>
            <w:fldChar w:fldCharType="separate"/>
          </w:r>
          <w:r w:rsidRPr="00906DD7">
            <w:rPr>
              <w:noProof/>
              <w:sz w:val="24"/>
              <w:szCs w:val="24"/>
            </w:rPr>
            <w:t>(Wales Safeguarding Procedures (a), 2023)</w:t>
          </w:r>
          <w:r w:rsidRPr="00906DD7">
            <w:rPr>
              <w:sz w:val="24"/>
              <w:szCs w:val="24"/>
            </w:rPr>
            <w:fldChar w:fldCharType="end"/>
          </w:r>
        </w:sdtContent>
      </w:sdt>
      <w:r w:rsidRPr="00906DD7">
        <w:rPr>
          <w:sz w:val="24"/>
          <w:szCs w:val="24"/>
        </w:rPr>
        <w:t>.</w:t>
      </w:r>
    </w:p>
    <w:p w14:paraId="0442E92A" w14:textId="77777777" w:rsidR="00AB44FB" w:rsidRPr="00906DD7" w:rsidRDefault="00AB44FB" w:rsidP="00AB44FB">
      <w:pPr>
        <w:jc w:val="both"/>
        <w:rPr>
          <w:sz w:val="24"/>
          <w:szCs w:val="24"/>
        </w:rPr>
      </w:pPr>
    </w:p>
    <w:p w14:paraId="15F7932D" w14:textId="7342096C" w:rsidR="00AB44FB" w:rsidRPr="00906DD7" w:rsidRDefault="00AB44FB" w:rsidP="00AB44FB">
      <w:pPr>
        <w:jc w:val="both"/>
        <w:rPr>
          <w:sz w:val="24"/>
          <w:szCs w:val="24"/>
        </w:rPr>
      </w:pPr>
      <w:r w:rsidRPr="00906DD7">
        <w:rPr>
          <w:sz w:val="24"/>
          <w:szCs w:val="24"/>
        </w:rPr>
        <w:t xml:space="preserve">My supervisor acknowledged the points I had raised and noted that, while we were not currently involved with Mr 1 under Part 7 of the SSWBA2014 (safeguarding), it was still part of my role as a statutory worker to report any concerns for an adult at risk </w:t>
      </w:r>
      <w:sdt>
        <w:sdtPr>
          <w:rPr>
            <w:sz w:val="24"/>
            <w:szCs w:val="24"/>
          </w:rPr>
          <w:id w:val="-580909070"/>
          <w:citation/>
        </w:sdtPr>
        <w:sdtContent>
          <w:r w:rsidRPr="00906DD7">
            <w:rPr>
              <w:sz w:val="24"/>
              <w:szCs w:val="24"/>
            </w:rPr>
            <w:fldChar w:fldCharType="begin"/>
          </w:r>
          <w:r w:rsidRPr="00906DD7">
            <w:rPr>
              <w:sz w:val="24"/>
              <w:szCs w:val="24"/>
            </w:rPr>
            <w:instrText xml:space="preserve">CITATION Soc24 \l 2057 </w:instrText>
          </w:r>
          <w:r w:rsidRPr="00906DD7">
            <w:rPr>
              <w:sz w:val="24"/>
              <w:szCs w:val="24"/>
            </w:rPr>
            <w:fldChar w:fldCharType="separate"/>
          </w:r>
          <w:r w:rsidRPr="00906DD7">
            <w:rPr>
              <w:noProof/>
              <w:sz w:val="24"/>
              <w:szCs w:val="24"/>
            </w:rPr>
            <w:t>(Wales Safeguarding Procedures (f), 2024)</w:t>
          </w:r>
          <w:r w:rsidRPr="00906DD7">
            <w:rPr>
              <w:sz w:val="24"/>
              <w:szCs w:val="24"/>
            </w:rPr>
            <w:fldChar w:fldCharType="end"/>
          </w:r>
        </w:sdtContent>
      </w:sdt>
      <w:r w:rsidRPr="00906DD7">
        <w:rPr>
          <w:sz w:val="24"/>
          <w:szCs w:val="24"/>
        </w:rPr>
        <w:t>. Should I have concerns about Mr 1’s well-being or safety after meeting him, I could request a consultation with our Safeguarding department. For now, I would be there to assess Mr 1’s support needs and promote his voice and control via a needs assessment.</w:t>
      </w:r>
    </w:p>
    <w:p w14:paraId="55D5F18C" w14:textId="77777777" w:rsidR="00AB44FB" w:rsidRPr="00906DD7" w:rsidRDefault="00AB44FB" w:rsidP="00AB44FB">
      <w:pPr>
        <w:jc w:val="both"/>
        <w:rPr>
          <w:sz w:val="24"/>
          <w:szCs w:val="24"/>
        </w:rPr>
      </w:pPr>
    </w:p>
    <w:p w14:paraId="0BA07DA6" w14:textId="77777777" w:rsidR="00AB44FB" w:rsidRPr="00906DD7" w:rsidRDefault="00AB44FB" w:rsidP="00AB44FB">
      <w:pPr>
        <w:jc w:val="both"/>
        <w:rPr>
          <w:b/>
          <w:bCs/>
          <w:sz w:val="24"/>
          <w:szCs w:val="24"/>
        </w:rPr>
      </w:pPr>
      <w:r w:rsidRPr="00906DD7">
        <w:rPr>
          <w:b/>
          <w:bCs/>
          <w:sz w:val="24"/>
          <w:szCs w:val="24"/>
        </w:rPr>
        <w:t>Integration of Analysis in Assessment</w:t>
      </w:r>
    </w:p>
    <w:p w14:paraId="27011176" w14:textId="3C500B21" w:rsidR="00AB44FB" w:rsidRPr="00906DD7" w:rsidRDefault="00AB44FB" w:rsidP="00AB44FB">
      <w:pPr>
        <w:jc w:val="both"/>
        <w:rPr>
          <w:sz w:val="24"/>
          <w:szCs w:val="24"/>
        </w:rPr>
      </w:pPr>
      <w:r w:rsidRPr="00906DD7">
        <w:rPr>
          <w:sz w:val="24"/>
          <w:szCs w:val="24"/>
        </w:rPr>
        <w:t xml:space="preserve">Having prepared myself with the information available, I contacted Mr 1 and arranged a meeting. As the LA in which I am based is in Wales, there is the ‘active offer’ </w:t>
      </w:r>
      <w:sdt>
        <w:sdtPr>
          <w:rPr>
            <w:sz w:val="24"/>
            <w:szCs w:val="24"/>
          </w:rPr>
          <w:id w:val="393241679"/>
          <w:citation/>
        </w:sdtPr>
        <w:sdtContent>
          <w:r w:rsidRPr="00906DD7">
            <w:rPr>
              <w:sz w:val="24"/>
              <w:szCs w:val="24"/>
            </w:rPr>
            <w:fldChar w:fldCharType="begin"/>
          </w:r>
          <w:r w:rsidRPr="00906DD7">
            <w:rPr>
              <w:sz w:val="24"/>
              <w:szCs w:val="24"/>
            </w:rPr>
            <w:instrText xml:space="preserve"> CITATION ADS15 \l 2057 </w:instrText>
          </w:r>
          <w:r w:rsidRPr="00906DD7">
            <w:rPr>
              <w:sz w:val="24"/>
              <w:szCs w:val="24"/>
            </w:rPr>
            <w:fldChar w:fldCharType="separate"/>
          </w:r>
          <w:r w:rsidRPr="00906DD7">
            <w:rPr>
              <w:noProof/>
              <w:sz w:val="24"/>
              <w:szCs w:val="24"/>
            </w:rPr>
            <w:t>(ADSS Cymru, 2015)</w:t>
          </w:r>
          <w:r w:rsidRPr="00906DD7">
            <w:rPr>
              <w:sz w:val="24"/>
              <w:szCs w:val="24"/>
            </w:rPr>
            <w:fldChar w:fldCharType="end"/>
          </w:r>
        </w:sdtContent>
      </w:sdt>
      <w:r w:rsidRPr="00906DD7">
        <w:rPr>
          <w:sz w:val="24"/>
          <w:szCs w:val="24"/>
        </w:rPr>
        <w:t xml:space="preserve"> which entitles people to receive services in the Welsh language medium. Despite already having met and conversed with Mr 1 in English, I still made the active offer as I was aware he had previously resided in an LA with a large Welsh-speaking population and may feel more comfortable if Welsh was his first language, which he declined.</w:t>
      </w:r>
    </w:p>
    <w:p w14:paraId="6F07B2A2" w14:textId="77777777" w:rsidR="00AB44FB" w:rsidRPr="00906DD7" w:rsidRDefault="00AB44FB" w:rsidP="00AB44FB">
      <w:pPr>
        <w:jc w:val="both"/>
        <w:rPr>
          <w:sz w:val="24"/>
          <w:szCs w:val="24"/>
        </w:rPr>
      </w:pPr>
    </w:p>
    <w:p w14:paraId="155CD7BB" w14:textId="54038669" w:rsidR="00AB44FB" w:rsidRPr="00906DD7" w:rsidRDefault="00AB44FB" w:rsidP="00AB44FB">
      <w:pPr>
        <w:jc w:val="both"/>
        <w:rPr>
          <w:sz w:val="24"/>
          <w:szCs w:val="24"/>
        </w:rPr>
      </w:pPr>
      <w:r w:rsidRPr="00906DD7">
        <w:rPr>
          <w:sz w:val="24"/>
          <w:szCs w:val="24"/>
        </w:rPr>
        <w:t xml:space="preserve">During this meeting with Mr 1, he again appeared defensive, but Ms 3 was more forthcoming about the dynamics in their home and their expectations for social services. Ms 3 conceded that Mr 1 and her daughter’s relationship was volatile at times, and they often argued. She stated that since moving in, Mr 1 and Ms 2 rarely leave their bedroom, and when they run out of money for cigarettes, “they start shouting”. Ms 3 added that Ms 2 had accessed social services as a child because of her behaviour and emotional outbursts. Ms 3 also stated that ‘she had her own problems, and this [the arguing] isn’t helping.’ I thanked Ms 3 for sharing this information and </w:t>
      </w:r>
      <w:r w:rsidRPr="00906DD7">
        <w:rPr>
          <w:sz w:val="24"/>
          <w:szCs w:val="24"/>
        </w:rPr>
        <w:lastRenderedPageBreak/>
        <w:t>offered Ms 2 and Ms 3 to be referred for support themselves and in their own (as per S24 SSWBA2014), but they both declined.</w:t>
      </w:r>
    </w:p>
    <w:p w14:paraId="25CCE38C" w14:textId="77777777" w:rsidR="00AB44FB" w:rsidRPr="00906DD7" w:rsidRDefault="00AB44FB" w:rsidP="00AB44FB">
      <w:pPr>
        <w:jc w:val="both"/>
        <w:rPr>
          <w:sz w:val="24"/>
          <w:szCs w:val="24"/>
        </w:rPr>
      </w:pPr>
    </w:p>
    <w:p w14:paraId="404237B1" w14:textId="321075AD" w:rsidR="00AB44FB" w:rsidRPr="00906DD7" w:rsidRDefault="00AB44FB" w:rsidP="00AB44FB">
      <w:pPr>
        <w:jc w:val="both"/>
        <w:rPr>
          <w:sz w:val="24"/>
          <w:szCs w:val="24"/>
        </w:rPr>
      </w:pPr>
      <w:r w:rsidRPr="00906DD7">
        <w:rPr>
          <w:sz w:val="24"/>
          <w:szCs w:val="24"/>
        </w:rPr>
        <w:t>The additional information regarding Ms 2 and Ms 3’s previous involvement with social services reframed my perception of the dynamics within their relationships and their (apparent) defensive attitude towards social services. At the time, Ms 3 put forward the information about Ms 2, which conflicted with the narrative I had unconsciously formed about Mr 1 being a ‘victim’ and Ms 2 and Ms 3 taking advantage of him. While it did not rule out potential abuses, I now see that all three people involved were vulnerable. This provided me with a useful experiential point of reference about the importance of reflection in action and working towards non-judgmental practice.</w:t>
      </w:r>
    </w:p>
    <w:p w14:paraId="475F663B" w14:textId="77777777" w:rsidR="00AB44FB" w:rsidRPr="00906DD7" w:rsidRDefault="00AB44FB" w:rsidP="00AB44FB">
      <w:pPr>
        <w:jc w:val="both"/>
        <w:rPr>
          <w:sz w:val="24"/>
          <w:szCs w:val="24"/>
        </w:rPr>
      </w:pPr>
    </w:p>
    <w:p w14:paraId="31E1B29C" w14:textId="78448FBF" w:rsidR="00AB44FB" w:rsidRPr="00906DD7" w:rsidRDefault="00AB44FB" w:rsidP="00AB44FB">
      <w:pPr>
        <w:jc w:val="both"/>
        <w:rPr>
          <w:sz w:val="24"/>
          <w:szCs w:val="24"/>
        </w:rPr>
      </w:pPr>
      <w:r w:rsidRPr="00906DD7">
        <w:rPr>
          <w:sz w:val="24"/>
          <w:szCs w:val="24"/>
        </w:rPr>
        <w:t xml:space="preserve">As I proceeded, I attempted to implement a person-centred and strength-based approach </w:t>
      </w:r>
      <w:sdt>
        <w:sdtPr>
          <w:rPr>
            <w:sz w:val="24"/>
            <w:szCs w:val="24"/>
          </w:rPr>
          <w:id w:val="695668866"/>
          <w:citation/>
        </w:sdtPr>
        <w:sdtContent>
          <w:r w:rsidRPr="00906DD7">
            <w:rPr>
              <w:sz w:val="24"/>
              <w:szCs w:val="24"/>
            </w:rPr>
            <w:fldChar w:fldCharType="begin"/>
          </w:r>
          <w:r w:rsidRPr="00906DD7">
            <w:rPr>
              <w:sz w:val="24"/>
              <w:szCs w:val="24"/>
            </w:rPr>
            <w:instrText xml:space="preserve"> CITATION Rog05 \l 2057 </w:instrText>
          </w:r>
          <w:r w:rsidRPr="00906DD7">
            <w:rPr>
              <w:sz w:val="24"/>
              <w:szCs w:val="24"/>
            </w:rPr>
            <w:fldChar w:fldCharType="separate"/>
          </w:r>
          <w:r w:rsidRPr="00906DD7">
            <w:rPr>
              <w:noProof/>
              <w:sz w:val="24"/>
              <w:szCs w:val="24"/>
            </w:rPr>
            <w:t>(Rogers, 2005)</w:t>
          </w:r>
          <w:r w:rsidRPr="00906DD7">
            <w:rPr>
              <w:sz w:val="24"/>
              <w:szCs w:val="24"/>
            </w:rPr>
            <w:fldChar w:fldCharType="end"/>
          </w:r>
        </w:sdtContent>
      </w:sdt>
      <w:r w:rsidRPr="00906DD7">
        <w:rPr>
          <w:sz w:val="24"/>
          <w:szCs w:val="24"/>
        </w:rPr>
        <w:t>, by encouraging Mr 1 to answer in his own words and attempting to empower him to actively participate and set goals. However, Mr 1 continued to look to Ms 2 and Ms 3 for answers and declined to discuss subjects outside of housing. This made it difficult to identify Mr 1’s strengths and capabilities or capture his authentic voice. I considered taking a more assertive approach, but given their already defensive demeanour, I decided it would be better to focus on building trust and rapport at this time and revisit my professional curiosities later.</w:t>
      </w:r>
    </w:p>
    <w:p w14:paraId="3A8DE7F5" w14:textId="77777777" w:rsidR="00AB44FB" w:rsidRPr="00906DD7" w:rsidRDefault="00AB44FB" w:rsidP="00AB44FB">
      <w:pPr>
        <w:jc w:val="both"/>
        <w:rPr>
          <w:sz w:val="24"/>
          <w:szCs w:val="24"/>
        </w:rPr>
      </w:pPr>
    </w:p>
    <w:p w14:paraId="7108814F" w14:textId="1B986840" w:rsidR="00AB44FB" w:rsidRPr="00906DD7" w:rsidRDefault="00AB44FB" w:rsidP="00AB44FB">
      <w:pPr>
        <w:jc w:val="both"/>
        <w:rPr>
          <w:sz w:val="24"/>
          <w:szCs w:val="24"/>
        </w:rPr>
      </w:pPr>
      <w:r w:rsidRPr="00906DD7">
        <w:rPr>
          <w:sz w:val="24"/>
          <w:szCs w:val="24"/>
        </w:rPr>
        <w:t xml:space="preserve">I discovered that Mr 1 had never lived independently and would need assistance to access housing, with support to set to manage his tenancy. Ms 3 stated that Mr 1’s reading was poor, he had no domestic skills, and he would be vulnerable to victimisation such as ‘mate crimes’ </w:t>
      </w:r>
      <w:sdt>
        <w:sdtPr>
          <w:rPr>
            <w:sz w:val="24"/>
            <w:szCs w:val="24"/>
          </w:rPr>
          <w:id w:val="-1017376124"/>
          <w:citation/>
        </w:sdtPr>
        <w:sdtContent>
          <w:r w:rsidRPr="00906DD7">
            <w:rPr>
              <w:sz w:val="24"/>
              <w:szCs w:val="24"/>
            </w:rPr>
            <w:fldChar w:fldCharType="begin"/>
          </w:r>
          <w:r w:rsidRPr="00906DD7">
            <w:rPr>
              <w:sz w:val="24"/>
              <w:szCs w:val="24"/>
            </w:rPr>
            <w:instrText xml:space="preserve"> CITATION Wil17 \l 2057 </w:instrText>
          </w:r>
          <w:r w:rsidRPr="00906DD7">
            <w:rPr>
              <w:sz w:val="24"/>
              <w:szCs w:val="24"/>
            </w:rPr>
            <w:fldChar w:fldCharType="separate"/>
          </w:r>
          <w:r w:rsidRPr="00906DD7">
            <w:rPr>
              <w:noProof/>
              <w:sz w:val="24"/>
              <w:szCs w:val="24"/>
            </w:rPr>
            <w:t>(Wilson, et al., 2017)</w:t>
          </w:r>
          <w:r w:rsidRPr="00906DD7">
            <w:rPr>
              <w:sz w:val="24"/>
              <w:szCs w:val="24"/>
            </w:rPr>
            <w:fldChar w:fldCharType="end"/>
          </w:r>
        </w:sdtContent>
      </w:sdt>
      <w:r w:rsidRPr="00906DD7">
        <w:rPr>
          <w:sz w:val="24"/>
          <w:szCs w:val="24"/>
        </w:rPr>
        <w:t xml:space="preserve">. She stated that Mr 1 needed accommodation with a warden or support staff on-site because he would be too trusting to live in a social housing complex, as he would be vulnerable to exploitation. Mr 1 agreed with Ms 3 and added that he did not want to live in a shared living arrangement but wanted his own tenancy. Ms 3 also informed me that Mr 1 had made a homeless application with housing options but had not been offered anything since. I got consent from Mr 1 to speak with housing options to discuss his application and provide any additional information I gathered, in line with multi-agency working. </w:t>
      </w:r>
    </w:p>
    <w:p w14:paraId="6E55B5B3" w14:textId="77777777" w:rsidR="00AB44FB" w:rsidRPr="00906DD7" w:rsidRDefault="00AB44FB" w:rsidP="00AB44FB">
      <w:pPr>
        <w:jc w:val="both"/>
        <w:rPr>
          <w:sz w:val="24"/>
          <w:szCs w:val="24"/>
        </w:rPr>
      </w:pPr>
    </w:p>
    <w:p w14:paraId="6928738F" w14:textId="289A3733" w:rsidR="00AB44FB" w:rsidRPr="00906DD7" w:rsidRDefault="00AB44FB" w:rsidP="00AB44FB">
      <w:pPr>
        <w:jc w:val="both"/>
        <w:rPr>
          <w:sz w:val="24"/>
          <w:szCs w:val="24"/>
        </w:rPr>
      </w:pPr>
      <w:r w:rsidRPr="00906DD7">
        <w:rPr>
          <w:sz w:val="24"/>
          <w:szCs w:val="24"/>
        </w:rPr>
        <w:t>I captured what was discussed and advised them I would make inquiries about housing and agreed to meet again in a week. I considered Mr 1’s presentation and whether I thought he was at risk of significant harm and if there were signs of abuse. I had not observed any physical indicators of abuse (e.g., scratches, marks, or bruising</w:t>
      </w:r>
      <w:r w:rsidR="00D67761">
        <w:rPr>
          <w:sz w:val="24"/>
          <w:szCs w:val="24"/>
        </w:rPr>
        <w:t xml:space="preserve"> and</w:t>
      </w:r>
      <w:r w:rsidRPr="00906DD7">
        <w:rPr>
          <w:sz w:val="24"/>
          <w:szCs w:val="24"/>
        </w:rPr>
        <w:t xml:space="preserve"> Mr 1 did not look dishevelled or unwell) </w:t>
      </w:r>
      <w:sdt>
        <w:sdtPr>
          <w:rPr>
            <w:sz w:val="24"/>
            <w:szCs w:val="24"/>
          </w:rPr>
          <w:id w:val="253941128"/>
          <w:citation/>
        </w:sdtPr>
        <w:sdtContent>
          <w:r w:rsidRPr="00906DD7">
            <w:rPr>
              <w:sz w:val="24"/>
              <w:szCs w:val="24"/>
            </w:rPr>
            <w:fldChar w:fldCharType="begin"/>
          </w:r>
          <w:r w:rsidRPr="00906DD7">
            <w:rPr>
              <w:sz w:val="24"/>
              <w:szCs w:val="24"/>
            </w:rPr>
            <w:instrText xml:space="preserve"> CITATION Man24 \l 2057 </w:instrText>
          </w:r>
          <w:r w:rsidRPr="00906DD7">
            <w:rPr>
              <w:sz w:val="24"/>
              <w:szCs w:val="24"/>
            </w:rPr>
            <w:fldChar w:fldCharType="separate"/>
          </w:r>
          <w:r w:rsidRPr="00906DD7">
            <w:rPr>
              <w:noProof/>
              <w:sz w:val="24"/>
              <w:szCs w:val="24"/>
            </w:rPr>
            <w:t>(ManKind Initiative, 2024)</w:t>
          </w:r>
          <w:r w:rsidRPr="00906DD7">
            <w:rPr>
              <w:sz w:val="24"/>
              <w:szCs w:val="24"/>
            </w:rPr>
            <w:fldChar w:fldCharType="end"/>
          </w:r>
        </w:sdtContent>
      </w:sdt>
      <w:r w:rsidRPr="00906DD7">
        <w:rPr>
          <w:sz w:val="24"/>
          <w:szCs w:val="24"/>
        </w:rPr>
        <w:t xml:space="preserve">. However, Mr 1’s body language and demeanour had been submissive, and he had mostly been ‘going along’ with what was being said by Ms 3. I found Mr 1’s situation difficult to unpack, with there being little research available about the male experience of domestic abuse and even less about the intersectionality of being a male with learning disabilities experiencing domestic abuse </w:t>
      </w:r>
      <w:sdt>
        <w:sdtPr>
          <w:rPr>
            <w:sz w:val="24"/>
            <w:szCs w:val="24"/>
          </w:rPr>
          <w:id w:val="-1130164082"/>
          <w:citation/>
        </w:sdtPr>
        <w:sdtContent>
          <w:r w:rsidRPr="00906DD7">
            <w:rPr>
              <w:sz w:val="24"/>
              <w:szCs w:val="24"/>
            </w:rPr>
            <w:fldChar w:fldCharType="begin"/>
          </w:r>
          <w:r w:rsidRPr="00906DD7">
            <w:rPr>
              <w:sz w:val="24"/>
              <w:szCs w:val="24"/>
            </w:rPr>
            <w:instrText xml:space="preserve"> CITATION Nix09 \l 2057 </w:instrText>
          </w:r>
          <w:r w:rsidRPr="00906DD7">
            <w:rPr>
              <w:sz w:val="24"/>
              <w:szCs w:val="24"/>
            </w:rPr>
            <w:fldChar w:fldCharType="separate"/>
          </w:r>
          <w:r w:rsidRPr="00906DD7">
            <w:rPr>
              <w:noProof/>
              <w:sz w:val="24"/>
              <w:szCs w:val="24"/>
            </w:rPr>
            <w:t>(Nixon, 2009)</w:t>
          </w:r>
          <w:r w:rsidRPr="00906DD7">
            <w:rPr>
              <w:sz w:val="24"/>
              <w:szCs w:val="24"/>
            </w:rPr>
            <w:fldChar w:fldCharType="end"/>
          </w:r>
        </w:sdtContent>
      </w:sdt>
      <w:r w:rsidRPr="00906DD7">
        <w:rPr>
          <w:sz w:val="24"/>
          <w:szCs w:val="24"/>
        </w:rPr>
        <w:t xml:space="preserve">, despite ‘people with learning disabilities being three times more likely to experience domestic abuse’ </w:t>
      </w:r>
      <w:sdt>
        <w:sdtPr>
          <w:rPr>
            <w:sz w:val="24"/>
            <w:szCs w:val="24"/>
          </w:rPr>
          <w:id w:val="-1859196631"/>
          <w:citation/>
        </w:sdtPr>
        <w:sdtContent>
          <w:r w:rsidRPr="00906DD7">
            <w:rPr>
              <w:sz w:val="24"/>
              <w:szCs w:val="24"/>
            </w:rPr>
            <w:fldChar w:fldCharType="begin"/>
          </w:r>
          <w:r w:rsidRPr="00906DD7">
            <w:rPr>
              <w:sz w:val="24"/>
              <w:szCs w:val="24"/>
            </w:rPr>
            <w:instrText xml:space="preserve">CITATION Cho24 \l 2057 </w:instrText>
          </w:r>
          <w:r w:rsidRPr="00906DD7">
            <w:rPr>
              <w:sz w:val="24"/>
              <w:szCs w:val="24"/>
            </w:rPr>
            <w:fldChar w:fldCharType="separate"/>
          </w:r>
          <w:r w:rsidRPr="00906DD7">
            <w:rPr>
              <w:noProof/>
              <w:sz w:val="24"/>
              <w:szCs w:val="24"/>
            </w:rPr>
            <w:t>(Choice Support, 2024)</w:t>
          </w:r>
          <w:r w:rsidRPr="00906DD7">
            <w:rPr>
              <w:sz w:val="24"/>
              <w:szCs w:val="24"/>
            </w:rPr>
            <w:fldChar w:fldCharType="end"/>
          </w:r>
        </w:sdtContent>
      </w:sdt>
      <w:r w:rsidRPr="00906DD7">
        <w:rPr>
          <w:sz w:val="24"/>
          <w:szCs w:val="24"/>
        </w:rPr>
        <w:t xml:space="preserve">. During the time I worked with Mr 1, I attended training on ‘supporting male survivors of domestic abuse,’ which improved my awareness of the subject and the limited services on offer. </w:t>
      </w:r>
    </w:p>
    <w:p w14:paraId="4FE62591" w14:textId="77777777" w:rsidR="00AB44FB" w:rsidRPr="00906DD7" w:rsidRDefault="00AB44FB" w:rsidP="00AB44FB">
      <w:pPr>
        <w:jc w:val="both"/>
        <w:rPr>
          <w:sz w:val="24"/>
          <w:szCs w:val="24"/>
        </w:rPr>
      </w:pPr>
    </w:p>
    <w:p w14:paraId="4B3C05BD" w14:textId="445D8DCC" w:rsidR="00AB44FB" w:rsidRPr="00906DD7" w:rsidRDefault="00AB44FB" w:rsidP="00AB44FB">
      <w:pPr>
        <w:jc w:val="both"/>
        <w:rPr>
          <w:sz w:val="24"/>
          <w:szCs w:val="24"/>
        </w:rPr>
      </w:pPr>
      <w:r w:rsidRPr="00906DD7">
        <w:rPr>
          <w:sz w:val="24"/>
          <w:szCs w:val="24"/>
        </w:rPr>
        <w:t xml:space="preserve">Furthermore, the situation presented both an ethical and a practical dilemma, so far in that Mr 1 was entitled to have support during our meetings; however, the presence of Ms 2 and Ms 3 was </w:t>
      </w:r>
      <w:r w:rsidRPr="00906DD7">
        <w:rPr>
          <w:sz w:val="24"/>
          <w:szCs w:val="24"/>
        </w:rPr>
        <w:lastRenderedPageBreak/>
        <w:t xml:space="preserve">impacting the accuracy of the information I gathered. On the face of it, Ms 3 </w:t>
      </w:r>
      <w:proofErr w:type="gramStart"/>
      <w:r w:rsidRPr="00906DD7">
        <w:rPr>
          <w:sz w:val="24"/>
          <w:szCs w:val="24"/>
        </w:rPr>
        <w:t>appeared to be</w:t>
      </w:r>
      <w:proofErr w:type="gramEnd"/>
      <w:r w:rsidRPr="00906DD7">
        <w:rPr>
          <w:sz w:val="24"/>
          <w:szCs w:val="24"/>
        </w:rPr>
        <w:t xml:space="preserve"> acting in Mr 1’s best interest, sharing her worries about his level of vulnerability, but contradictory to this, Mr 1 had alleged she had done the very thing she was calling for his protection from. In my past experiences, this type of support would not typically raise suspicions, but here there was a potential conflict of interest between Ms 3 advocating for Mr 1, when considering the historic allegations he had made. This dynamic potentially undermined the principles of person-centred working that I used in my approach and presented a risk of Mr 1’s wishes and feelings being marginalised by Ms</w:t>
      </w:r>
      <w:r w:rsidR="00147E83">
        <w:rPr>
          <w:sz w:val="24"/>
          <w:szCs w:val="24"/>
        </w:rPr>
        <w:t xml:space="preserve"> </w:t>
      </w:r>
      <w:r w:rsidRPr="00906DD7">
        <w:rPr>
          <w:sz w:val="24"/>
          <w:szCs w:val="24"/>
        </w:rPr>
        <w:t>3’s wishes.</w:t>
      </w:r>
    </w:p>
    <w:p w14:paraId="58B50A3C" w14:textId="77777777" w:rsidR="00AB44FB" w:rsidRPr="00906DD7" w:rsidRDefault="00AB44FB" w:rsidP="00AB44FB">
      <w:pPr>
        <w:jc w:val="both"/>
        <w:rPr>
          <w:sz w:val="24"/>
          <w:szCs w:val="24"/>
        </w:rPr>
      </w:pPr>
    </w:p>
    <w:p w14:paraId="34569330" w14:textId="77777777" w:rsidR="00AB44FB" w:rsidRPr="00906DD7" w:rsidRDefault="00AB44FB" w:rsidP="00AB44FB">
      <w:pPr>
        <w:jc w:val="both"/>
        <w:rPr>
          <w:b/>
          <w:bCs/>
          <w:sz w:val="24"/>
          <w:szCs w:val="24"/>
        </w:rPr>
      </w:pPr>
      <w:r w:rsidRPr="00906DD7">
        <w:rPr>
          <w:b/>
          <w:bCs/>
          <w:sz w:val="24"/>
          <w:szCs w:val="24"/>
        </w:rPr>
        <w:t>Professional Judgement in Increasingly Complex Situations</w:t>
      </w:r>
    </w:p>
    <w:p w14:paraId="785967C9" w14:textId="3156C844" w:rsidR="00AB44FB" w:rsidRPr="00906DD7" w:rsidRDefault="00AB44FB" w:rsidP="00AB44FB">
      <w:pPr>
        <w:jc w:val="both"/>
        <w:rPr>
          <w:sz w:val="24"/>
          <w:szCs w:val="24"/>
        </w:rPr>
      </w:pPr>
      <w:r w:rsidRPr="00906DD7">
        <w:rPr>
          <w:sz w:val="24"/>
          <w:szCs w:val="24"/>
        </w:rPr>
        <w:t xml:space="preserve">I requested another supervision session to discuss my assessment and share my concerns. During supervision, I expressed that I felt unsure about Mr 1’s situation. I could not say with certainty if </w:t>
      </w:r>
      <w:proofErr w:type="gramStart"/>
      <w:r w:rsidRPr="00906DD7">
        <w:rPr>
          <w:sz w:val="24"/>
          <w:szCs w:val="24"/>
        </w:rPr>
        <w:t>Mr 1 was being abused by Ms 2 and Ms 3</w:t>
      </w:r>
      <w:proofErr w:type="gramEnd"/>
      <w:r w:rsidRPr="00906DD7">
        <w:rPr>
          <w:sz w:val="24"/>
          <w:szCs w:val="24"/>
        </w:rPr>
        <w:t xml:space="preserve">, and if he was unable to protect himself because of his learning disability. Ms 3’s voice had so far dominated the meetings, and I still knew little about Mr 1’s wishes. We agreed it would be helpful to speak with Mr 1 away from Ms 2 and Ms 3 to accurately capture Mr 1’s voice </w:t>
      </w:r>
      <w:sdt>
        <w:sdtPr>
          <w:rPr>
            <w:sz w:val="24"/>
            <w:szCs w:val="24"/>
          </w:rPr>
          <w:id w:val="2144916921"/>
          <w:citation/>
        </w:sdtPr>
        <w:sdtContent>
          <w:r w:rsidRPr="00906DD7">
            <w:rPr>
              <w:sz w:val="24"/>
              <w:szCs w:val="24"/>
            </w:rPr>
            <w:fldChar w:fldCharType="begin"/>
          </w:r>
          <w:r w:rsidRPr="00906DD7">
            <w:rPr>
              <w:sz w:val="24"/>
              <w:szCs w:val="24"/>
            </w:rPr>
            <w:instrText xml:space="preserve"> CITATION Car05 \l 2057 </w:instrText>
          </w:r>
          <w:r w:rsidRPr="00906DD7">
            <w:rPr>
              <w:sz w:val="24"/>
              <w:szCs w:val="24"/>
            </w:rPr>
            <w:fldChar w:fldCharType="separate"/>
          </w:r>
          <w:r w:rsidRPr="00906DD7">
            <w:rPr>
              <w:noProof/>
              <w:sz w:val="24"/>
              <w:szCs w:val="24"/>
            </w:rPr>
            <w:t>(Carnaby &amp; Carnaby, 2005)</w:t>
          </w:r>
          <w:r w:rsidRPr="00906DD7">
            <w:rPr>
              <w:sz w:val="24"/>
              <w:szCs w:val="24"/>
            </w:rPr>
            <w:fldChar w:fldCharType="end"/>
          </w:r>
        </w:sdtContent>
      </w:sdt>
      <w:r w:rsidRPr="00906DD7">
        <w:rPr>
          <w:sz w:val="24"/>
          <w:szCs w:val="24"/>
        </w:rPr>
        <w:t xml:space="preserve"> and address my professional curiosity regarding the alleged abuses. My supervisor  pointed out, that since Mr 1 was requesting assistance with accommodation, a capacity assessment under the Mental Capacity Act </w:t>
      </w:r>
      <w:r w:rsidR="00D67761">
        <w:rPr>
          <w:noProof/>
          <w:sz w:val="24"/>
          <w:szCs w:val="24"/>
        </w:rPr>
        <w:t xml:space="preserve">(2005) </w:t>
      </w:r>
      <w:r w:rsidRPr="00906DD7">
        <w:rPr>
          <w:sz w:val="24"/>
          <w:szCs w:val="24"/>
        </w:rPr>
        <w:t xml:space="preserve">(MCA2005) would be required to establish if he could make capacitated decisions about his accommodation needs and finances, (given he had never lived independently and had an appointee for finances) and this could provide the opportunity needed to speak with Mr </w:t>
      </w:r>
      <w:r w:rsidR="00D67761">
        <w:rPr>
          <w:sz w:val="24"/>
          <w:szCs w:val="24"/>
        </w:rPr>
        <w:t>1</w:t>
      </w:r>
      <w:r w:rsidRPr="00906DD7">
        <w:rPr>
          <w:sz w:val="24"/>
          <w:szCs w:val="24"/>
        </w:rPr>
        <w:t xml:space="preserve"> alone and address my concerns. </w:t>
      </w:r>
    </w:p>
    <w:p w14:paraId="18EF7193" w14:textId="77777777" w:rsidR="00AB44FB" w:rsidRPr="00906DD7" w:rsidRDefault="00AB44FB" w:rsidP="00AB44FB">
      <w:pPr>
        <w:jc w:val="both"/>
        <w:rPr>
          <w:sz w:val="24"/>
          <w:szCs w:val="24"/>
        </w:rPr>
      </w:pPr>
    </w:p>
    <w:p w14:paraId="34E4C914" w14:textId="42E189CA" w:rsidR="00AB44FB" w:rsidRPr="00906DD7" w:rsidRDefault="00AB44FB" w:rsidP="00AB44FB">
      <w:pPr>
        <w:jc w:val="both"/>
        <w:rPr>
          <w:sz w:val="24"/>
          <w:szCs w:val="24"/>
        </w:rPr>
      </w:pPr>
      <w:r w:rsidRPr="00906DD7">
        <w:rPr>
          <w:sz w:val="24"/>
          <w:szCs w:val="24"/>
        </w:rPr>
        <w:t xml:space="preserve">As I had already met Mr 1 and had some understanding of his level of communication, I was aware that it was unlikely I would need to use any special aids or props to assist Mr 1 in taking part in the assessment (as per the </w:t>
      </w:r>
      <w:r w:rsidR="00D67761">
        <w:rPr>
          <w:sz w:val="24"/>
          <w:szCs w:val="24"/>
        </w:rPr>
        <w:t>MCA</w:t>
      </w:r>
      <w:r w:rsidRPr="00906DD7">
        <w:rPr>
          <w:sz w:val="24"/>
          <w:szCs w:val="24"/>
        </w:rPr>
        <w:t xml:space="preserve">2005 Code of Practice </w:t>
      </w:r>
      <w:sdt>
        <w:sdtPr>
          <w:rPr>
            <w:sz w:val="24"/>
            <w:szCs w:val="24"/>
          </w:rPr>
          <w:id w:val="1339967443"/>
          <w:citation/>
        </w:sdtPr>
        <w:sdtContent>
          <w:r w:rsidRPr="00906DD7">
            <w:rPr>
              <w:sz w:val="24"/>
              <w:szCs w:val="24"/>
            </w:rPr>
            <w:fldChar w:fldCharType="begin"/>
          </w:r>
          <w:r w:rsidRPr="00906DD7">
            <w:rPr>
              <w:sz w:val="24"/>
              <w:szCs w:val="24"/>
            </w:rPr>
            <w:instrText xml:space="preserve">CITATION Dep07 \n  \l 2057 </w:instrText>
          </w:r>
          <w:r w:rsidRPr="00906DD7">
            <w:rPr>
              <w:sz w:val="24"/>
              <w:szCs w:val="24"/>
            </w:rPr>
            <w:fldChar w:fldCharType="separate"/>
          </w:r>
          <w:r w:rsidRPr="00906DD7">
            <w:rPr>
              <w:noProof/>
              <w:sz w:val="24"/>
              <w:szCs w:val="24"/>
            </w:rPr>
            <w:t>(2007)</w:t>
          </w:r>
          <w:r w:rsidRPr="00906DD7">
            <w:rPr>
              <w:sz w:val="24"/>
              <w:szCs w:val="24"/>
            </w:rPr>
            <w:fldChar w:fldCharType="end"/>
          </w:r>
        </w:sdtContent>
      </w:sdt>
      <w:r w:rsidRPr="00906DD7">
        <w:rPr>
          <w:sz w:val="24"/>
          <w:szCs w:val="24"/>
        </w:rPr>
        <w:t xml:space="preserve"> (MCA-COP2007). I discussed my approach to the assessment with my supervisor, and we agreed that, as per the principles of the MCA2005, I should approach the assessment with the presumption that Mr 1 has capacity. I identified the ‘salient points’ (p.32, MCA-COP2007) of the decisions being made and planned the questions that would establish if Mr 1 </w:t>
      </w:r>
      <w:proofErr w:type="gramStart"/>
      <w:r w:rsidRPr="00906DD7">
        <w:rPr>
          <w:sz w:val="24"/>
          <w:szCs w:val="24"/>
        </w:rPr>
        <w:t>was</w:t>
      </w:r>
      <w:proofErr w:type="gramEnd"/>
      <w:r w:rsidRPr="00906DD7">
        <w:rPr>
          <w:sz w:val="24"/>
          <w:szCs w:val="24"/>
        </w:rPr>
        <w:t xml:space="preserve"> able to make informed decisions specifically about holding a tenancy and managing his finances independently. It was agreed this meeting could provide an opportunity to speak with Mr 1 alone </w:t>
      </w:r>
      <w:r w:rsidR="00D67761">
        <w:rPr>
          <w:sz w:val="24"/>
          <w:szCs w:val="24"/>
        </w:rPr>
        <w:t xml:space="preserve">and </w:t>
      </w:r>
      <w:r w:rsidRPr="00906DD7">
        <w:rPr>
          <w:sz w:val="24"/>
          <w:szCs w:val="24"/>
        </w:rPr>
        <w:t xml:space="preserve">provide a </w:t>
      </w:r>
      <w:r w:rsidR="00D67761">
        <w:rPr>
          <w:sz w:val="24"/>
          <w:szCs w:val="24"/>
        </w:rPr>
        <w:t xml:space="preserve">safe </w:t>
      </w:r>
      <w:r w:rsidRPr="00906DD7">
        <w:rPr>
          <w:sz w:val="24"/>
          <w:szCs w:val="24"/>
        </w:rPr>
        <w:t xml:space="preserve">space where he could share anything he may not wish to say in front of </w:t>
      </w:r>
      <w:r w:rsidR="00D67761">
        <w:rPr>
          <w:sz w:val="24"/>
          <w:szCs w:val="24"/>
        </w:rPr>
        <w:t>Ms 2 or Ms 3</w:t>
      </w:r>
      <w:r w:rsidRPr="00906DD7">
        <w:rPr>
          <w:sz w:val="24"/>
          <w:szCs w:val="24"/>
        </w:rPr>
        <w:t>. Unfortunately, this did not go to plan initially and it took several more meetings with Ms 2 and Ms 3 present before I was eventually able to meet with Mr 1 by himself.</w:t>
      </w:r>
    </w:p>
    <w:p w14:paraId="4802D257" w14:textId="77777777" w:rsidR="00AB44FB" w:rsidRPr="00906DD7" w:rsidRDefault="00AB44FB" w:rsidP="00AB44FB">
      <w:pPr>
        <w:jc w:val="both"/>
        <w:rPr>
          <w:sz w:val="24"/>
          <w:szCs w:val="24"/>
        </w:rPr>
      </w:pPr>
    </w:p>
    <w:p w14:paraId="2F4C37C9" w14:textId="19F4B81F" w:rsidR="00AB44FB" w:rsidRPr="00906DD7" w:rsidRDefault="00AB44FB" w:rsidP="00AB44FB">
      <w:pPr>
        <w:jc w:val="both"/>
        <w:rPr>
          <w:sz w:val="24"/>
          <w:szCs w:val="24"/>
        </w:rPr>
      </w:pPr>
      <w:r w:rsidRPr="00906DD7">
        <w:rPr>
          <w:sz w:val="24"/>
          <w:szCs w:val="24"/>
        </w:rPr>
        <w:t>As Mr 1 had already made a housing application, I tried arranged a meeting with him at Housing Options, to link in with his case manager there and work together to ensure his housing application was correct and his specific needs were being considered. I also thought this would be the opportunity to meet Mr 1 by himself and have and open discussion about his situation. Unfortunately, Mr 1 did not show up to the meeting, and would not reply to my messages. While I was at Housing Options, I linked in with Mr 1’s case manager there and collaborated with them to ensure his application was accurate. We also agreed that Mr 1 would benefit from not being placed in a homeless hostel if he were made homeless again,</w:t>
      </w:r>
      <w:r w:rsidR="00D67761">
        <w:rPr>
          <w:sz w:val="24"/>
          <w:szCs w:val="24"/>
        </w:rPr>
        <w:t xml:space="preserve"> so</w:t>
      </w:r>
      <w:r w:rsidRPr="00906DD7">
        <w:rPr>
          <w:sz w:val="24"/>
          <w:szCs w:val="24"/>
        </w:rPr>
        <w:t xml:space="preserve"> his caseworker agreed to ensure Mr 1 would go into a place of safety such as a bed and breakfast or a hotel.</w:t>
      </w:r>
    </w:p>
    <w:p w14:paraId="1A04EE3E" w14:textId="77777777" w:rsidR="00AB44FB" w:rsidRPr="00906DD7" w:rsidRDefault="00AB44FB" w:rsidP="00AB44FB">
      <w:pPr>
        <w:jc w:val="both"/>
        <w:rPr>
          <w:sz w:val="24"/>
          <w:szCs w:val="24"/>
        </w:rPr>
      </w:pPr>
    </w:p>
    <w:p w14:paraId="4A347A4B" w14:textId="77777777" w:rsidR="00AB44FB" w:rsidRPr="00906DD7" w:rsidRDefault="00AB44FB" w:rsidP="00AB44FB">
      <w:pPr>
        <w:jc w:val="both"/>
        <w:rPr>
          <w:b/>
          <w:bCs/>
          <w:sz w:val="24"/>
          <w:szCs w:val="24"/>
        </w:rPr>
      </w:pPr>
      <w:r w:rsidRPr="00906DD7">
        <w:rPr>
          <w:b/>
          <w:bCs/>
          <w:sz w:val="24"/>
          <w:szCs w:val="24"/>
        </w:rPr>
        <w:lastRenderedPageBreak/>
        <w:t xml:space="preserve">Theories </w:t>
      </w:r>
    </w:p>
    <w:p w14:paraId="5A446ACF" w14:textId="5C482FFD" w:rsidR="00AB44FB" w:rsidRPr="00906DD7" w:rsidRDefault="00AB44FB" w:rsidP="00AB44FB">
      <w:pPr>
        <w:jc w:val="both"/>
        <w:rPr>
          <w:sz w:val="24"/>
          <w:szCs w:val="24"/>
        </w:rPr>
      </w:pPr>
      <w:r w:rsidRPr="00906DD7">
        <w:rPr>
          <w:sz w:val="24"/>
          <w:szCs w:val="24"/>
        </w:rPr>
        <w:t xml:space="preserve">I considered what theories could be used to better understand Mr 1’s situation and encourage better engagement during my interactions with him. With my supervisor, I discussed Bowlby’s </w:t>
      </w:r>
      <w:sdt>
        <w:sdtPr>
          <w:rPr>
            <w:sz w:val="24"/>
            <w:szCs w:val="24"/>
          </w:rPr>
          <w:id w:val="1653250255"/>
          <w:citation/>
        </w:sdtPr>
        <w:sdtContent>
          <w:r w:rsidRPr="00906DD7">
            <w:rPr>
              <w:sz w:val="24"/>
              <w:szCs w:val="24"/>
            </w:rPr>
            <w:fldChar w:fldCharType="begin"/>
          </w:r>
          <w:r w:rsidRPr="00906DD7">
            <w:rPr>
              <w:sz w:val="24"/>
              <w:szCs w:val="24"/>
            </w:rPr>
            <w:instrText xml:space="preserve">CITATION Bow82 \n  \l 2057 </w:instrText>
          </w:r>
          <w:r w:rsidRPr="00906DD7">
            <w:rPr>
              <w:sz w:val="24"/>
              <w:szCs w:val="24"/>
            </w:rPr>
            <w:fldChar w:fldCharType="separate"/>
          </w:r>
          <w:r w:rsidRPr="00906DD7">
            <w:rPr>
              <w:noProof/>
              <w:sz w:val="24"/>
              <w:szCs w:val="24"/>
            </w:rPr>
            <w:t>(1982)</w:t>
          </w:r>
          <w:r w:rsidRPr="00906DD7">
            <w:rPr>
              <w:sz w:val="24"/>
              <w:szCs w:val="24"/>
            </w:rPr>
            <w:fldChar w:fldCharType="end"/>
          </w:r>
        </w:sdtContent>
      </w:sdt>
      <w:r w:rsidRPr="00906DD7">
        <w:rPr>
          <w:sz w:val="24"/>
          <w:szCs w:val="24"/>
        </w:rPr>
        <w:t xml:space="preserve"> theories of ‘Attachment and Loss’ to explain Mr 1’s reluctance to meet with me without Ms 2 and Ms 3, even though he had previously claimed they had been abusing him. Bowlby observed that early relationships with caregivers, shape our patterns of attachment to others and how we seek and perceive comfort and security in relationships. Given that Mr 1’s father had passed away some years ago, his mother was in a nursing home with dementia, and his relationship with his half-brother had become strained, (even the adult fostering family he had lived with had now retired), so it could be hypothesised that Mr 1 had effectively experienced a dissolution of his support network through the loss of all his primary relationships. These experiences could have left Mr 1 feeling alone and insecure, resulting in an elevated dependency on his girlfriend and her mother for stability and to fulfil these emotional attachments, despite the negative aspects of it</w:t>
      </w:r>
      <w:sdt>
        <w:sdtPr>
          <w:rPr>
            <w:sz w:val="24"/>
            <w:szCs w:val="24"/>
          </w:rPr>
          <w:id w:val="645097813"/>
          <w:citation/>
        </w:sdtPr>
        <w:sdtContent>
          <w:r w:rsidRPr="00906DD7">
            <w:rPr>
              <w:sz w:val="24"/>
              <w:szCs w:val="24"/>
            </w:rPr>
            <w:fldChar w:fldCharType="begin"/>
          </w:r>
          <w:r w:rsidRPr="00906DD7">
            <w:rPr>
              <w:sz w:val="24"/>
              <w:szCs w:val="24"/>
            </w:rPr>
            <w:instrText xml:space="preserve"> CITATION How11 \l 2057 </w:instrText>
          </w:r>
          <w:r w:rsidRPr="00906DD7">
            <w:rPr>
              <w:sz w:val="24"/>
              <w:szCs w:val="24"/>
            </w:rPr>
            <w:fldChar w:fldCharType="separate"/>
          </w:r>
          <w:r w:rsidRPr="00906DD7">
            <w:rPr>
              <w:noProof/>
              <w:sz w:val="24"/>
              <w:szCs w:val="24"/>
            </w:rPr>
            <w:t xml:space="preserve"> (Howe, 2011)</w:t>
          </w:r>
          <w:r w:rsidRPr="00906DD7">
            <w:rPr>
              <w:sz w:val="24"/>
              <w:szCs w:val="24"/>
            </w:rPr>
            <w:fldChar w:fldCharType="end"/>
          </w:r>
        </w:sdtContent>
      </w:sdt>
      <w:r w:rsidRPr="00906DD7">
        <w:rPr>
          <w:sz w:val="24"/>
          <w:szCs w:val="24"/>
        </w:rPr>
        <w:t xml:space="preserve">. Working from this perspective enabled me to re-frame my understanding of Mr 1’s choices and acknowledge that I would need to place an emphasis on building trust and encouraging his voice in a supportive manner </w:t>
      </w:r>
      <w:sdt>
        <w:sdtPr>
          <w:rPr>
            <w:sz w:val="24"/>
            <w:szCs w:val="24"/>
          </w:rPr>
          <w:id w:val="-1606727128"/>
          <w:citation/>
        </w:sdtPr>
        <w:sdtContent>
          <w:r w:rsidRPr="00906DD7">
            <w:rPr>
              <w:sz w:val="24"/>
              <w:szCs w:val="24"/>
            </w:rPr>
            <w:fldChar w:fldCharType="begin"/>
          </w:r>
          <w:r w:rsidRPr="00906DD7">
            <w:rPr>
              <w:sz w:val="24"/>
              <w:szCs w:val="24"/>
            </w:rPr>
            <w:instrText xml:space="preserve"> CITATION Sch06 \l 2057 </w:instrText>
          </w:r>
          <w:r w:rsidRPr="00906DD7">
            <w:rPr>
              <w:sz w:val="24"/>
              <w:szCs w:val="24"/>
            </w:rPr>
            <w:fldChar w:fldCharType="separate"/>
          </w:r>
          <w:r w:rsidRPr="00906DD7">
            <w:rPr>
              <w:noProof/>
              <w:sz w:val="24"/>
              <w:szCs w:val="24"/>
            </w:rPr>
            <w:t>(Schuengel &amp; Janessen, 2006)</w:t>
          </w:r>
          <w:r w:rsidRPr="00906DD7">
            <w:rPr>
              <w:sz w:val="24"/>
              <w:szCs w:val="24"/>
            </w:rPr>
            <w:fldChar w:fldCharType="end"/>
          </w:r>
        </w:sdtContent>
      </w:sdt>
      <w:r w:rsidRPr="00906DD7">
        <w:rPr>
          <w:sz w:val="24"/>
          <w:szCs w:val="24"/>
        </w:rPr>
        <w:t>.</w:t>
      </w:r>
    </w:p>
    <w:p w14:paraId="0DC25FB1" w14:textId="77777777" w:rsidR="00AB44FB" w:rsidRPr="00906DD7" w:rsidRDefault="00AB44FB" w:rsidP="00AB44FB">
      <w:pPr>
        <w:jc w:val="both"/>
        <w:rPr>
          <w:sz w:val="24"/>
          <w:szCs w:val="24"/>
        </w:rPr>
      </w:pPr>
    </w:p>
    <w:p w14:paraId="74DDD0A1" w14:textId="4055FB21" w:rsidR="00AB44FB" w:rsidRPr="00906DD7" w:rsidRDefault="00AB44FB" w:rsidP="00AB44FB">
      <w:pPr>
        <w:jc w:val="both"/>
        <w:rPr>
          <w:sz w:val="24"/>
          <w:szCs w:val="24"/>
        </w:rPr>
      </w:pPr>
      <w:r w:rsidRPr="00906DD7">
        <w:rPr>
          <w:sz w:val="24"/>
          <w:szCs w:val="24"/>
        </w:rPr>
        <w:t>I was aware that I would still need to meet Mr 1 (at least once) without Ms 2 and Ms 3 to complete the capacity assessments and social work needs assessment accurately. At this point, Mr 1 would still most only communicate by text or in person with Ms 2 and Ms 3 present, making it exceedingly difficult to speak freely with Mr</w:t>
      </w:r>
      <w:r w:rsidR="00A0403B">
        <w:rPr>
          <w:sz w:val="24"/>
          <w:szCs w:val="24"/>
        </w:rPr>
        <w:t xml:space="preserve"> </w:t>
      </w:r>
      <w:r w:rsidRPr="00906DD7">
        <w:rPr>
          <w:sz w:val="24"/>
          <w:szCs w:val="24"/>
        </w:rPr>
        <w:t xml:space="preserve">1. I recognised that I would need to establish a better line of communication with Mr 1 if I were going to be able to sensitively explain the need to complete the assessments without him relying on Ms 2 and Ms 3 to speak for him. I believed that it would damage the rapport I had already begun to build with Mr 1 </w:t>
      </w:r>
      <w:sdt>
        <w:sdtPr>
          <w:rPr>
            <w:sz w:val="24"/>
            <w:szCs w:val="24"/>
          </w:rPr>
          <w:id w:val="1631361809"/>
          <w:citation/>
        </w:sdtPr>
        <w:sdtContent>
          <w:r w:rsidRPr="00906DD7">
            <w:rPr>
              <w:sz w:val="24"/>
              <w:szCs w:val="24"/>
            </w:rPr>
            <w:fldChar w:fldCharType="begin"/>
          </w:r>
          <w:r w:rsidRPr="00906DD7">
            <w:rPr>
              <w:sz w:val="24"/>
              <w:szCs w:val="24"/>
            </w:rPr>
            <w:instrText xml:space="preserve"> CITATION Bog06 \l 2057 </w:instrText>
          </w:r>
          <w:r w:rsidRPr="00906DD7">
            <w:rPr>
              <w:sz w:val="24"/>
              <w:szCs w:val="24"/>
            </w:rPr>
            <w:fldChar w:fldCharType="separate"/>
          </w:r>
          <w:r w:rsidRPr="00906DD7">
            <w:rPr>
              <w:noProof/>
              <w:sz w:val="24"/>
              <w:szCs w:val="24"/>
            </w:rPr>
            <w:t>(Bogo, 2006)</w:t>
          </w:r>
          <w:r w:rsidRPr="00906DD7">
            <w:rPr>
              <w:sz w:val="24"/>
              <w:szCs w:val="24"/>
            </w:rPr>
            <w:fldChar w:fldCharType="end"/>
          </w:r>
        </w:sdtContent>
      </w:sdt>
      <w:r w:rsidRPr="00906DD7">
        <w:rPr>
          <w:sz w:val="24"/>
          <w:szCs w:val="24"/>
        </w:rPr>
        <w:t>, if he believed I was jeopardising his relationship.</w:t>
      </w:r>
    </w:p>
    <w:p w14:paraId="7C99ADB1" w14:textId="77777777" w:rsidR="00AB44FB" w:rsidRPr="00906DD7" w:rsidRDefault="00AB44FB" w:rsidP="00AB44FB">
      <w:pPr>
        <w:jc w:val="both"/>
        <w:rPr>
          <w:sz w:val="24"/>
          <w:szCs w:val="24"/>
        </w:rPr>
      </w:pPr>
    </w:p>
    <w:p w14:paraId="2EA94D39" w14:textId="16697C50" w:rsidR="00AB44FB" w:rsidRPr="00906DD7" w:rsidRDefault="00AB44FB" w:rsidP="00AB44FB">
      <w:pPr>
        <w:jc w:val="both"/>
        <w:rPr>
          <w:sz w:val="24"/>
          <w:szCs w:val="24"/>
        </w:rPr>
      </w:pPr>
      <w:r w:rsidRPr="00906DD7">
        <w:rPr>
          <w:sz w:val="24"/>
          <w:szCs w:val="24"/>
        </w:rPr>
        <w:t xml:space="preserve">By speaking frankly and openly, I was able to reassure Mr 1 enough that he agreed to meet me at a local café </w:t>
      </w:r>
      <w:r w:rsidR="00AE1C3F">
        <w:rPr>
          <w:sz w:val="24"/>
          <w:szCs w:val="24"/>
        </w:rPr>
        <w:t xml:space="preserve">(that he choose) </w:t>
      </w:r>
      <w:r w:rsidRPr="00906DD7">
        <w:rPr>
          <w:sz w:val="24"/>
          <w:szCs w:val="24"/>
        </w:rPr>
        <w:t xml:space="preserve">and have an open and uninterrupted conversation and address my professional curiosities and continue the assessments. The informal and familiar environment contributed to Mr 1’s willingness to engage more openly, as I was able to capture Mr 1’s accurate and authentic views and wishes. I was also able to establish that Mr 1 was capacitated to make decisions around his living arrangements and his finances, as per the MCA2005. I also broached the issue of the past allegations he had previously made, and why he made them. Mr 1 acknowledged the allegations but attributed them to something he said in anger at being ‘kicked out,’ and he reassured me he was not being abused. While I was not fully convinced by his explanation, I accepted that this was Mr 1’s wish and that he was making capacitated decisions. I provided Mr 1 with information about services he could access if his situation changed and reassured him, he could also contact me while I was his allocated social worker. </w:t>
      </w:r>
    </w:p>
    <w:p w14:paraId="3004492B" w14:textId="77777777" w:rsidR="00AB44FB" w:rsidRPr="00906DD7" w:rsidRDefault="00AB44FB" w:rsidP="00AB44FB">
      <w:pPr>
        <w:jc w:val="both"/>
        <w:rPr>
          <w:sz w:val="24"/>
          <w:szCs w:val="24"/>
        </w:rPr>
      </w:pPr>
    </w:p>
    <w:p w14:paraId="2F77B8B6" w14:textId="77777777" w:rsidR="00AB44FB" w:rsidRPr="00906DD7" w:rsidRDefault="00AB44FB" w:rsidP="00AB44FB">
      <w:pPr>
        <w:jc w:val="both"/>
        <w:rPr>
          <w:sz w:val="24"/>
          <w:szCs w:val="24"/>
        </w:rPr>
      </w:pPr>
      <w:r w:rsidRPr="00906DD7">
        <w:rPr>
          <w:sz w:val="24"/>
          <w:szCs w:val="24"/>
        </w:rPr>
        <w:t>At the time of writing this, Mr 1 remains allocated to me and is still living with his girlfriend and her mother, waiting for an offer of an accommodation. Mr 1 maintains that he is not being coerced or abused.</w:t>
      </w:r>
    </w:p>
    <w:p w14:paraId="1EF5D98A" w14:textId="77777777" w:rsidR="00AB44FB" w:rsidRPr="00906DD7" w:rsidRDefault="00AB44FB" w:rsidP="00AB44FB">
      <w:pPr>
        <w:jc w:val="both"/>
        <w:rPr>
          <w:sz w:val="24"/>
          <w:szCs w:val="24"/>
        </w:rPr>
      </w:pPr>
    </w:p>
    <w:p w14:paraId="58A7382E" w14:textId="77777777" w:rsidR="00AB44FB" w:rsidRPr="00906DD7" w:rsidRDefault="00AB44FB" w:rsidP="00AB44FB">
      <w:pPr>
        <w:jc w:val="both"/>
        <w:rPr>
          <w:b/>
          <w:bCs/>
          <w:sz w:val="24"/>
          <w:szCs w:val="24"/>
        </w:rPr>
      </w:pPr>
      <w:r w:rsidRPr="00906DD7">
        <w:rPr>
          <w:b/>
          <w:bCs/>
          <w:sz w:val="24"/>
          <w:szCs w:val="24"/>
        </w:rPr>
        <w:t>Reflection and Conclusions</w:t>
      </w:r>
    </w:p>
    <w:p w14:paraId="22232DA1" w14:textId="6D71DF73" w:rsidR="00AB44FB" w:rsidRPr="00906DD7" w:rsidRDefault="00AB44FB" w:rsidP="00AB44FB">
      <w:pPr>
        <w:jc w:val="both"/>
        <w:rPr>
          <w:sz w:val="24"/>
          <w:szCs w:val="24"/>
        </w:rPr>
      </w:pPr>
      <w:r w:rsidRPr="00906DD7">
        <w:rPr>
          <w:sz w:val="24"/>
          <w:szCs w:val="24"/>
        </w:rPr>
        <w:lastRenderedPageBreak/>
        <w:t xml:space="preserve">This reflective account highlighted the intricate complexities and ethical considerations required to safeguard vulnerable adults with a cognitive impairment, </w:t>
      </w:r>
      <w:r w:rsidR="00AE1C3F">
        <w:rPr>
          <w:sz w:val="24"/>
          <w:szCs w:val="24"/>
        </w:rPr>
        <w:t>(</w:t>
      </w:r>
      <w:r w:rsidRPr="00906DD7">
        <w:rPr>
          <w:sz w:val="24"/>
          <w:szCs w:val="24"/>
        </w:rPr>
        <w:t>specifically in this case</w:t>
      </w:r>
      <w:r w:rsidR="00AE1C3F">
        <w:rPr>
          <w:sz w:val="24"/>
          <w:szCs w:val="24"/>
        </w:rPr>
        <w:t>, where there</w:t>
      </w:r>
      <w:r w:rsidRPr="00906DD7">
        <w:rPr>
          <w:sz w:val="24"/>
          <w:szCs w:val="24"/>
        </w:rPr>
        <w:t xml:space="preserve"> a learning disability</w:t>
      </w:r>
      <w:r w:rsidR="00AE1C3F">
        <w:rPr>
          <w:sz w:val="24"/>
          <w:szCs w:val="24"/>
        </w:rPr>
        <w:t>) who are resistant to engage</w:t>
      </w:r>
      <w:r w:rsidRPr="00906DD7">
        <w:rPr>
          <w:sz w:val="24"/>
          <w:szCs w:val="24"/>
        </w:rPr>
        <w:t xml:space="preserve">. The process must involve working within a multidisciplinary framework, where a person-centred and strengths-based approach is crucial to navigate the delicate balance between ensuring a vulnerable person’s safety and respecting their rights and autonomy. The brief work I did with Housing Options demonstrates the importance </w:t>
      </w:r>
      <w:r w:rsidR="00AE1C3F">
        <w:rPr>
          <w:sz w:val="24"/>
          <w:szCs w:val="24"/>
        </w:rPr>
        <w:t xml:space="preserve">of </w:t>
      </w:r>
      <w:r w:rsidRPr="00906DD7">
        <w:rPr>
          <w:sz w:val="24"/>
          <w:szCs w:val="24"/>
        </w:rPr>
        <w:t>collaborative and multiagency working</w:t>
      </w:r>
      <w:r w:rsidR="00AE1C3F">
        <w:rPr>
          <w:sz w:val="24"/>
          <w:szCs w:val="24"/>
        </w:rPr>
        <w:t>,</w:t>
      </w:r>
      <w:r w:rsidRPr="00906DD7">
        <w:rPr>
          <w:sz w:val="24"/>
          <w:szCs w:val="24"/>
        </w:rPr>
        <w:t xml:space="preserve"> and its impact on the quality of social work being done and the effectiveness of the support offered.</w:t>
      </w:r>
    </w:p>
    <w:p w14:paraId="3A9A4910" w14:textId="77777777" w:rsidR="00AB44FB" w:rsidRPr="00906DD7" w:rsidRDefault="00AB44FB" w:rsidP="00AB44FB">
      <w:pPr>
        <w:jc w:val="both"/>
        <w:rPr>
          <w:sz w:val="24"/>
          <w:szCs w:val="24"/>
        </w:rPr>
      </w:pPr>
    </w:p>
    <w:p w14:paraId="4BF1C0E8" w14:textId="599E97BE" w:rsidR="00AB44FB" w:rsidRPr="00906DD7" w:rsidRDefault="00AB44FB" w:rsidP="00AB44FB">
      <w:pPr>
        <w:jc w:val="both"/>
        <w:rPr>
          <w:sz w:val="24"/>
          <w:szCs w:val="24"/>
        </w:rPr>
      </w:pPr>
      <w:r w:rsidRPr="00906DD7">
        <w:rPr>
          <w:sz w:val="24"/>
          <w:szCs w:val="24"/>
        </w:rPr>
        <w:t>Mr 1</w:t>
      </w:r>
      <w:r w:rsidR="00AE1C3F">
        <w:rPr>
          <w:sz w:val="24"/>
          <w:szCs w:val="24"/>
        </w:rPr>
        <w:t>’s</w:t>
      </w:r>
      <w:r w:rsidRPr="00906DD7">
        <w:rPr>
          <w:sz w:val="24"/>
          <w:szCs w:val="24"/>
        </w:rPr>
        <w:t xml:space="preserve"> case illustrated some of the challenges involved in safeguarding those who are resistant or weary of social services. In this case I had to make decisions as the situations unfolded and weigh up the risks and benefits of prioritising building trust over my own instincts to want to act and try to reduce or remove the risks around Mr 1. In reflection, my choice (I believe) was the right one for the situation and had I chose</w:t>
      </w:r>
      <w:r w:rsidR="00AE1C3F">
        <w:rPr>
          <w:sz w:val="24"/>
          <w:szCs w:val="24"/>
        </w:rPr>
        <w:t>n</w:t>
      </w:r>
      <w:r w:rsidRPr="00906DD7">
        <w:rPr>
          <w:sz w:val="24"/>
          <w:szCs w:val="24"/>
        </w:rPr>
        <w:t xml:space="preserve"> to intervene, there was an elevated risk that Mr 1 would have disengaged with social services. </w:t>
      </w:r>
    </w:p>
    <w:p w14:paraId="148252CF" w14:textId="77777777" w:rsidR="00AB44FB" w:rsidRPr="00906DD7" w:rsidRDefault="00AB44FB" w:rsidP="00AB44FB">
      <w:pPr>
        <w:jc w:val="both"/>
        <w:rPr>
          <w:sz w:val="24"/>
          <w:szCs w:val="24"/>
        </w:rPr>
      </w:pPr>
    </w:p>
    <w:p w14:paraId="66AF9076" w14:textId="77777777" w:rsidR="00AB44FB" w:rsidRPr="00906DD7" w:rsidRDefault="00AB44FB" w:rsidP="00AB44FB">
      <w:pPr>
        <w:jc w:val="both"/>
        <w:rPr>
          <w:sz w:val="24"/>
          <w:szCs w:val="24"/>
        </w:rPr>
      </w:pPr>
      <w:r w:rsidRPr="00906DD7">
        <w:rPr>
          <w:sz w:val="24"/>
          <w:szCs w:val="24"/>
        </w:rPr>
        <w:t xml:space="preserve">The case highlighted the critical role of professional judgment in increasingly complex situations and the need for social workers to reflect in practice, review their biases, and remain focused on the individual’s wishes, their values, and their voice, even when there are safeguarding concerns and the potential of abuse occurring. </w:t>
      </w:r>
    </w:p>
    <w:p w14:paraId="7845E0B8" w14:textId="77777777" w:rsidR="00AB44FB" w:rsidRPr="00906DD7" w:rsidRDefault="00AB44FB" w:rsidP="00AB44FB">
      <w:pPr>
        <w:jc w:val="both"/>
        <w:rPr>
          <w:sz w:val="24"/>
          <w:szCs w:val="24"/>
        </w:rPr>
      </w:pPr>
    </w:p>
    <w:p w14:paraId="2BCAFB97" w14:textId="77777777" w:rsidR="00AB44FB" w:rsidRPr="00906DD7" w:rsidRDefault="00AB44FB" w:rsidP="00AB44FB">
      <w:pPr>
        <w:jc w:val="both"/>
        <w:rPr>
          <w:sz w:val="24"/>
          <w:szCs w:val="24"/>
        </w:rPr>
      </w:pPr>
    </w:p>
    <w:p w14:paraId="2522965D" w14:textId="4BC1033D" w:rsidR="00AB44FB" w:rsidRPr="00906DD7" w:rsidRDefault="00AB44FB" w:rsidP="00AB44FB">
      <w:pPr>
        <w:jc w:val="both"/>
        <w:rPr>
          <w:sz w:val="24"/>
          <w:szCs w:val="24"/>
        </w:rPr>
      </w:pPr>
      <w:r w:rsidRPr="00906DD7">
        <w:rPr>
          <w:sz w:val="24"/>
          <w:szCs w:val="24"/>
        </w:rPr>
        <w:t>(40</w:t>
      </w:r>
      <w:r w:rsidR="00AE1C3F">
        <w:rPr>
          <w:sz w:val="24"/>
          <w:szCs w:val="24"/>
        </w:rPr>
        <w:t>49</w:t>
      </w:r>
      <w:r w:rsidRPr="00906DD7">
        <w:rPr>
          <w:sz w:val="24"/>
          <w:szCs w:val="24"/>
        </w:rPr>
        <w:t xml:space="preserve"> </w:t>
      </w:r>
      <w:r>
        <w:rPr>
          <w:sz w:val="24"/>
          <w:szCs w:val="24"/>
        </w:rPr>
        <w:t>W</w:t>
      </w:r>
      <w:r w:rsidRPr="00906DD7">
        <w:rPr>
          <w:sz w:val="24"/>
          <w:szCs w:val="24"/>
        </w:rPr>
        <w:t>ords)</w:t>
      </w: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204BA3" w14:textId="77777777" w:rsidR="00F233C2" w:rsidRDefault="00F233C2">
      <w:r>
        <w:separator/>
      </w:r>
    </w:p>
  </w:endnote>
  <w:endnote w:type="continuationSeparator" w:id="0">
    <w:p w14:paraId="3940B072" w14:textId="77777777" w:rsidR="00F233C2" w:rsidRDefault="00F233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69A842" w14:textId="77777777" w:rsidR="00F233C2" w:rsidRDefault="00F233C2">
      <w:r>
        <w:separator/>
      </w:r>
    </w:p>
  </w:footnote>
  <w:footnote w:type="continuationSeparator" w:id="0">
    <w:p w14:paraId="5E14ED9D" w14:textId="77777777" w:rsidR="00F233C2" w:rsidRDefault="00F233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4"/>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47E8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0ED"/>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6E66"/>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39D9"/>
    <w:rsid w:val="008859E8"/>
    <w:rsid w:val="0088737B"/>
    <w:rsid w:val="00891078"/>
    <w:rsid w:val="00892716"/>
    <w:rsid w:val="00893067"/>
    <w:rsid w:val="008933DE"/>
    <w:rsid w:val="008958FA"/>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403B"/>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44FB"/>
    <w:rsid w:val="00AB5518"/>
    <w:rsid w:val="00AC3A0E"/>
    <w:rsid w:val="00AC4A04"/>
    <w:rsid w:val="00AC5679"/>
    <w:rsid w:val="00AD336F"/>
    <w:rsid w:val="00AE134C"/>
    <w:rsid w:val="00AE1868"/>
    <w:rsid w:val="00AE1C3F"/>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67761"/>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16F5"/>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33C2"/>
    <w:rsid w:val="00F254D1"/>
    <w:rsid w:val="00F32B82"/>
    <w:rsid w:val="00F34C86"/>
    <w:rsid w:val="00F4043E"/>
    <w:rsid w:val="00F41795"/>
    <w:rsid w:val="00F41BBC"/>
    <w:rsid w:val="00F444F0"/>
    <w:rsid w:val="00F446FF"/>
    <w:rsid w:val="00F45521"/>
    <w:rsid w:val="00F50847"/>
    <w:rsid w:val="00F53F27"/>
    <w:rsid w:val="00F546D1"/>
    <w:rsid w:val="00F60281"/>
    <w:rsid w:val="00F64E39"/>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b:Source>
    <b:Tag>Hin07</b:Tag>
    <b:SourceType>JournalArticle</b:SourceType>
    <b:Guid>{2F930673-167C-C044-8852-AD19780A1F3D}</b:Guid>
    <b:Title> Characteristics of Callers to the Domestic Abuse Helpline for Men</b:Title>
    <b:Year>2007</b:Year>
    <b:JournalName>J Fame Viol</b:JournalName>
    <b:Issue>22</b:Issue>
    <b:Pages>63 - 72</b:Pages>
    <b:Author>
      <b:Author>
        <b:NameList>
          <b:Person>
            <b:Last>Hines</b:Last>
            <b:Middle>Denise</b:Middle>
            <b:First>A</b:First>
          </b:Person>
          <b:Person>
            <b:Last>Brown</b:Last>
            <b:First>Jan</b:First>
          </b:Person>
          <b:Person>
            <b:Last>Dunning</b:Last>
            <b:First>Edward</b:First>
          </b:Person>
        </b:NameList>
      </b:Author>
    </b:Author>
    <b:LCID>en-GB</b:LCID>
    <b:RefOrder>24</b:RefOrder>
  </b:Source>
  <b:Source>
    <b:Tag>UKG14</b:Tag>
    <b:SourceType>DocumentFromInternetSite</b:SourceType>
    <b:Guid>{FEE4DE01-6275-234E-AF6F-EBAA914C718A}</b:Guid>
    <b:Author>
      <b:Author>
        <b:Corporate>Welsh Government</b:Corporate>
      </b:Author>
    </b:Author>
    <b:Title>Social Service and Well-being (Wales) Act 2014 [SSWBA2014]</b:Title>
    <b:InternetSiteTitle>legislation.gov.uk</b:InternetSiteTitle>
    <b:URL>https://www.legislation.gov.uk/anaw/2014/4/contents</b:URL>
    <b:Year>2014</b:Year>
    <b:Month>May</b:Month>
    <b:Day>1</b:Day>
    <b:LCID>en-GB</b:LCID>
    <b:RefOrder>3</b:RefOrder>
  </b:Source>
  <b:Source>
    <b:Tag>Wel18</b:Tag>
    <b:SourceType>Report</b:SourceType>
    <b:Guid>{86FAD741-526B-DF4B-813B-AA1607692C39}</b:Guid>
    <b:Title>Working Together to Safeguard People: Volume 6 – Handling Individual Cases to Protect Adults at Risk</b:Title>
    <b:Publisher>Crown copyright</b:Publisher>
    <b:Year>2018</b:Year>
    <b:Author>
      <b:Author>
        <b:Corporate>Welsh Government</b:Corporate>
      </b:Author>
    </b:Author>
    <b:URL>https://www.gov.wales/sites/default/files/publications/2019-06/volume-6-handling-individual-cases-to-protect-adults-at-risk.pdf</b:URL>
    <b:YearAccessed>2023</b:YearAccessed>
    <b:MonthAccessed>May</b:MonthAccessed>
    <b:DayAccessed>18</b:DayAccessed>
    <b:RefOrder>25</b:RefOrder>
  </b:Source>
  <b:Source>
    <b:Tag>Placeholder2</b:Tag>
    <b:SourceType>DocumentFromInternetSite</b:SourceType>
    <b:Guid>{52FFC589-736A-CC49-A51A-EF88E9AADC45}</b:Guid>
    <b:Title>Social Service and Well-being (Wales) Act 2014 Working Together to Safeguard People: Volume 6 – Handling Individual Cases to Protect Adults at Risk</b:Title>
    <b:URL>https://www.gov.wales/sites/default/files/publications/2019-06/volume-6-handling-individual-cases-to-protect-adults-at-risk.pdf</b:URL>
    <b:Year>2018</b:Year>
    <b:YearAccessed>2023</b:YearAccessed>
    <b:MonthAccessed>September</b:MonthAccessed>
    <b:DayAccessed>11</b:DayAccessed>
    <b:Author>
      <b:Author>
        <b:Corporate>Welsh Government</b:Corporate>
      </b:Author>
    </b:Author>
    <b:LCID>en-GB</b:LCID>
    <b:RefOrder>26</b:RefOrder>
  </b:Source>
  <b:Source>
    <b:Tag>The15</b:Tag>
    <b:SourceType>InternetSite</b:SourceType>
    <b:Guid>{80BD3E3B-8B25-994D-A712-EF05C963B5A0}</b:Guid>
    <b:URL>https://www.legislation.gov.uk/wsi/2015/1466/regulation/3/made</b:URL>
    <b:Year>2015</b:Year>
    <b:YearAccessed>2023</b:YearAccessed>
    <b:MonthAccessed>May</b:MonthAccessed>
    <b:DayAccessed>17</b:DayAccessed>
    <b:Author>
      <b:Author>
        <b:Corporate>Welsh Government</b:Corporate>
      </b:Author>
    </b:Author>
    <b:Title>The Safeguarding Boards (Functions and Procedures) (Wales) Regulations</b:Title>
    <b:RefOrder>27</b:RefOrder>
  </b:Source>
  <b:Source>
    <b:Tag>The14</b:Tag>
    <b:SourceType>InternetSite</b:SourceType>
    <b:Guid>{CB1E2BEC-323D-D34E-B8E2-BA2FFED13A9B}</b:Guid>
    <b:Author>
      <b:Author>
        <b:Corporate>UK Government </b:Corporate>
      </b:Author>
    </b:Author>
    <b:Title>The Care Act </b:Title>
    <b:URL>https://www.legislation.gov.uk/ukpga/2014/23/contents/enacted</b:URL>
    <b:Year>2014</b:Year>
    <b:YearAccessed>2023</b:YearAccessed>
    <b:MonthAccessed>May</b:MonthAccessed>
    <b:DayAccessed>17</b:DayAccessed>
    <b:RefOrder>28</b:RefOrder>
  </b:Source>
  <b:Source>
    <b:Tag>Hum981</b:Tag>
    <b:SourceType>DocumentFromInternetSite</b:SourceType>
    <b:Guid>{EDA73E4A-4CC3-5B4F-9E7A-045D7C271583}</b:Guid>
    <b:Title>The Human Rights Act [HRA1998]</b:Title>
    <b:URL>https://www.legislation.gov.uk/ukpga/1998/42/contents</b:URL>
    <b:Year>1998</b:Year>
    <b:YearAccessed>2023</b:YearAccessed>
    <b:MonthAccessed>September</b:MonthAccessed>
    <b:DayAccessed>10</b:DayAccessed>
    <b:Author>
      <b:Author>
        <b:Corporate>UK Government</b:Corporate>
      </b:Author>
    </b:Author>
    <b:LCID>en-GB</b:LCID>
    <b:RefOrder>9</b:RefOrder>
  </b:Source>
  <b:Source>
    <b:Tag>Eur50</b:Tag>
    <b:SourceType>DocumentFromInternetSite</b:SourceType>
    <b:Guid>{BF095EF8-E726-AF4D-8AA0-8EFB2CFA6BB6}</b:Guid>
    <b:Title>European Convention on Human Rights</b:Title>
    <b:URL>https://www.echr.coe.int/documents/d/echr/convention_ENG</b:URL>
    <b:Year>1950</b:Year>
    <b:YearAccessed>2023</b:YearAccessed>
    <b:MonthAccessed>September </b:MonthAccessed>
    <b:DayAccessed>10</b:DayAccessed>
    <b:Month>November</b:Month>
    <b:Day>4</b:Day>
    <b:LCID>en-GB</b:LCID>
    <b:Author>
      <b:Author>
        <b:Corporate>European Court of Human Rights</b:Corporate>
      </b:Author>
    </b:Author>
    <b:RefOrder>29</b:RefOrder>
  </b:Source>
  <b:Source>
    <b:Tag>Uni06</b:Tag>
    <b:SourceType>DocumentFromInternetSite</b:SourceType>
    <b:Guid>{A75C8451-4BC1-5342-AF96-C23D3D3CD025}</b:Guid>
    <b:Title>Convention On The Rights Of Persons With Disabilities</b:Title>
    <b:URL>https://social.desa.un.org/issues/disability/crpd/convention-on-the-rights-of-persons-with-disabilities-articles</b:URL>
    <b:Year>2006</b:Year>
    <b:YearAccessed>2024</b:YearAccessed>
    <b:MonthAccessed>May</b:MonthAccessed>
    <b:DayAccessed>20</b:DayAccessed>
    <b:LCID>en-GB</b:LCID>
    <b:Author>
      <b:Author>
        <b:Corporate>United Nations</b:Corporate>
      </b:Author>
    </b:Author>
    <b:RefOrder>30</b:RefOrder>
  </b:Source>
  <b:Source>
    <b:Tag>Wal231</b:Tag>
    <b:SourceType>InternetSite</b:SourceType>
    <b:Guid>{8E55E2EF-3963-4E41-A533-CCCBAEFF4113}</b:Guid>
    <b:Author>
      <b:Author>
        <b:Corporate>Wales Safeguarding Procedures (b)</b:Corporate>
      </b:Author>
    </b:Author>
    <b:Title>Managing immediate concerns about the safety of an adult at risk</b:Title>
    <b:Year>2023</b:Year>
    <b:LCID>en-GB</b:LCID>
    <b:URL>https://www.safeguarding.wales/en/adu-i/adu-i-a2/a2-p6/</b:URL>
    <b:YearAccessed>2023</b:YearAccessed>
    <b:MonthAccessed>May</b:MonthAccessed>
    <b:DayAccessed>21</b:DayAccessed>
    <b:RefOrder>31</b:RefOrder>
  </b:Source>
  <b:Source>
    <b:Tag>Wel232</b:Tag>
    <b:SourceType>InternetSite</b:SourceType>
    <b:Guid>{C4542543-2171-6544-AA90-7C65ACB97EF6}</b:Guid>
    <b:Author>
      <b:Author>
        <b:Corporate>Wales Safeguarding Procedures (d)</b:Corporate>
      </b:Author>
    </b:Author>
    <b:Title>Responding to a report: overview of task and process</b:Title>
    <b:URL>https://www.safeguarding.wales/en/adu-i/adu-i-a3pt1/a3pt1-p2/</b:URL>
    <b:Year>2023</b:Year>
    <b:YearAccessed>2023</b:YearAccessed>
    <b:MonthAccessed>September</b:MonthAccessed>
    <b:DayAccessed>12</b:DayAccessed>
    <b:RefOrder>32</b:RefOrder>
  </b:Source>
  <b:Source>
    <b:Tag>Sal96</b:Tag>
    <b:SourceType>JournalArticle</b:SourceType>
    <b:Guid>{9FBBCC50-2562-A241-81F6-831216EAF76D}</b:Guid>
    <b:Title>The Strengths Perspective in Social Work Practice: Extensions and Cautions</b:Title>
    <b:JournalName>Social Woek</b:JournalName>
    <b:Year>1996</b:Year>
    <b:Volume>41</b:Volume>
    <b:Issue>3</b:Issue>
    <b:Pages>296 - 305</b:Pages>
    <b:Author>
      <b:Author>
        <b:NameList>
          <b:Person>
            <b:Last>Saleebey</b:Last>
            <b:First>Dennis</b:First>
          </b:Person>
        </b:NameList>
      </b:Author>
    </b:Author>
    <b:LCID>en-GB</b:LCID>
    <b:RefOrder>33</b:RefOrder>
  </b:Source>
  <b:Source>
    <b:Tag>Jon95</b:Tag>
    <b:SourceType>JournalArticle</b:SourceType>
    <b:Guid>{4B091411-63E6-6E42-BCB3-97B5422574C7}</b:Guid>
    <b:Title>How to Interview for Client Strengths</b:Title>
    <b:Year>1995</b:Year>
    <b:Volume>40</b:Volume>
    <b:Issue>6</b:Issue>
    <b:Pages>729 - 736</b:Pages>
    <b:Author>
      <b:Author>
        <b:NameList>
          <b:Person>
            <b:Last>Jong</b:Last>
            <b:Middle>De</b:Middle>
            <b:First>Peter</b:First>
          </b:Person>
          <b:Person>
            <b:Last>Miller</b:Last>
            <b:Middle>D.</b:Middle>
            <b:First>Scott</b:First>
          </b:Person>
        </b:NameList>
      </b:Author>
    </b:Author>
    <b:LCID>en-GB</b:LCID>
    <b:RefOrder>34</b:RefOrder>
  </b:Source>
  <b:Source>
    <b:Tag>Wal23</b:Tag>
    <b:SourceType>InternetSite</b:SourceType>
    <b:Guid>{98406F90-B124-E24E-991C-DE5D6784152F}</b:Guid>
    <b:Author>
      <b:Author>
        <b:Corporate>Wales Safeguarding Procedures (a)</b:Corporate>
      </b:Author>
    </b:Author>
    <b:Title>Pointers for Practice: Signs and Indicators of Possible Abuse and Neglect in an Adult at risk</b:Title>
    <b:URL>https://www.safeguarding.wales/en/adu-i/adu-i-ap/a1p-p2/</b:URL>
    <b:Year>2023</b:Year>
    <b:YearAccessed>2023</b:YearAccessed>
    <b:MonthAccessed>May</b:MonthAccessed>
    <b:DayAccessed>17</b:DayAccessed>
    <b:RefOrder>35</b:RefOrder>
  </b:Source>
  <b:Source>
    <b:Tag>Soc24</b:Tag>
    <b:SourceType>InternetSite</b:SourceType>
    <b:Guid>{0CECCA37-C30F-0944-BB40-694631F66BE5}</b:Guid>
    <b:Title>The ‘statutory duty to report’ explained</b:Title>
    <b:URL>https://safeguarding.wales/en/adu-i/adu-i-a2/a2-p2/</b:URL>
    <b:Year>2024</b:Year>
    <b:YearAccessed>2024</b:YearAccessed>
    <b:MonthAccessed>April</b:MonthAccessed>
    <b:DayAccessed>30</b:DayAccessed>
    <b:Author>
      <b:Author>
        <b:Corporate>Wales Safeguarding Procedures (f)</b:Corporate>
      </b:Author>
    </b:Author>
    <b:RefOrder>36</b:RefOrder>
  </b:Source>
  <b:Source>
    <b:Tag>ADS15</b:Tag>
    <b:SourceType>DocumentFromInternetSite</b:SourceType>
    <b:Guid>{44FE339A-E28F-024B-8A49-9219BF9AF915}</b:Guid>
    <b:Title>More Than Just Words</b:Title>
    <b:Year>2015</b:Year>
    <b:Author>
      <b:Author>
        <b:Corporate>ADSS Cymru</b:Corporate>
      </b:Author>
    </b:Author>
    <b:URL>https://www.gov.wales/sites/default/files/publications/2019-04/delivering-the-active-offer-information-pack-social-services-and-social-care.pdf</b:URL>
    <b:YearAccessed>2024</b:YearAccessed>
    <b:MonthAccessed>June</b:MonthAccessed>
    <b:DayAccessed>4</b:DayAccessed>
    <b:LCID>en-GB</b:LCID>
    <b:RefOrder>37</b:RefOrder>
  </b:Source>
  <b:Source>
    <b:Tag>Rog05</b:Tag>
    <b:SourceType>Book</b:SourceType>
    <b:Guid>{CD6C14D2-BDD7-C247-A2C6-0A50C6F334B5}</b:Guid>
    <b:LCID>en-GB</b:LCID>
    <b:Title>Client-Centred Therapy: Its Current Practice, Implications and Theory</b:Title>
    <b:Publisher>Houghton Mifflin Harcourt</b:Publisher>
    <b:Year>2005</b:Year>
    <b:Author>
      <b:Author>
        <b:NameList>
          <b:Person>
            <b:Last>Rogers</b:Last>
            <b:Middle>R</b:Middle>
            <b:First>C</b:First>
          </b:Person>
        </b:NameList>
      </b:Author>
    </b:Author>
    <b:RefOrder>38</b:RefOrder>
  </b:Source>
  <b:Source>
    <b:Tag>Wil17</b:Tag>
    <b:SourceType>JournalArticle</b:SourceType>
    <b:Guid>{852155D2-AF70-EB47-A67C-3D2F934E7EB7}</b:Guid>
    <b:Title>Mate Crime and People with Learning Disabilities </b:Title>
    <b:Year>2017</b:Year>
    <b:JournalName>Journal of Adult Protection </b:JournalName>
    <b:Volume>19</b:Volume>
    <b:Issue>6</b:Issue>
    <b:Pages>319 - 331</b:Pages>
    <b:Author>
      <b:Author>
        <b:NameList>
          <b:Person>
            <b:Last>Wilson</b:Last>
            <b:First>C</b:First>
          </b:Person>
          <b:Person>
            <b:Last>Roulstone</b:Last>
            <b:First>A</b:First>
          </b:Person>
          <b:Person>
            <b:Last>Martin</b:Last>
            <b:First>A</b:First>
          </b:Person>
        </b:NameList>
      </b:Author>
    </b:Author>
    <b:LCID>en-GB</b:LCID>
    <b:RefOrder>39</b:RefOrder>
  </b:Source>
  <b:Source>
    <b:Tag>Man24</b:Tag>
    <b:SourceType>InternetSite</b:SourceType>
    <b:Guid>{0B59E6EF-EA2A-814F-AB9B-4A5EE29E7435}</b:Guid>
    <b:Title>Is a man you known a victim? Spotting the Signs</b:Title>
    <b:URL>https://mankind.org.uk/help-for-victims/is-a-man-you-know-a-victim-spotting-the-signs/#:~:text=Men%20who%20are%20being%20physically,the%20summer%20or%20sunglasses%20indoors)</b:URL>
    <b:Year>2024</b:Year>
    <b:YearAccessed>2024</b:YearAccessed>
    <b:MonthAccessed>May</b:MonthAccessed>
    <b:DayAccessed>22</b:DayAccessed>
    <b:LCID>en-GB</b:LCID>
    <b:Author>
      <b:Author>
        <b:Corporate>ManKind Initiative</b:Corporate>
      </b:Author>
    </b:Author>
    <b:RefOrder>40</b:RefOrder>
  </b:Source>
  <b:Source>
    <b:Tag>Nix09</b:Tag>
    <b:SourceType>JournalArticle</b:SourceType>
    <b:Guid>{3B9FB776-06B9-BE4A-946F-712EECB948BD}</b:Guid>
    <b:Title>Defining the Issue: The Intersection of Domestic Abuse and Disability</b:Title>
    <b:Year>2009</b:Year>
    <b:LCID>en-GB</b:LCID>
    <b:JournalName>Social Policy &amp; Society</b:JournalName>
    <b:Volume>8</b:Volume>
    <b:Issue>4</b:Issue>
    <b:Pages>475 - 485</b:Pages>
    <b:Author>
      <b:Author>
        <b:NameList>
          <b:Person>
            <b:Last>Nixon</b:Last>
            <b:First>Jennifer</b:First>
          </b:Person>
        </b:NameList>
      </b:Author>
    </b:Author>
    <b:RefOrder>41</b:RefOrder>
  </b:Source>
  <b:Source>
    <b:Tag>Cho24</b:Tag>
    <b:SourceType>InternetSite</b:SourceType>
    <b:Guid>{1AF734DA-44AF-0544-84DC-98BB08BF6869}</b:Guid>
    <b:Author>
      <b:Author>
        <b:Corporate>Choice Support</b:Corporate>
      </b:Author>
    </b:Author>
    <b:Title>Supported Loving toolkit: Domestic abuse</b:Title>
    <b:URL>https://www.choicesupport.org.uk/about-us/what-we-do/supported-loving/supported-loving-toolkit/domestic-abuse#:~:text=People%20with%20learning%20disabilities%20are,for%20National%20Statistics%2C%202021%5D.</b:URL>
    <b:Year>2024</b:Year>
    <b:YearAccessed>2024</b:YearAccessed>
    <b:MonthAccessed>June</b:MonthAccessed>
    <b:DayAccessed>3</b:DayAccessed>
    <b:LCID>en-GB</b:LCID>
    <b:RefOrder>42</b:RefOrder>
  </b:Source>
  <b:Source>
    <b:Tag>Car05</b:Tag>
    <b:SourceType>Book</b:SourceType>
    <b:Guid>{A8885D45-31D2-E34F-A7EF-4F08F678FF9C}</b:Guid>
    <b:LCID>en-GB</b:LCID>
    <b:Title>Person Centred Planning and Care Management with People with Learning Disabilities</b:Title>
    <b:Year>2005</b:Year>
    <b:Author>
      <b:Author>
        <b:NameList>
          <b:Person>
            <b:Last>Carnaby </b:Last>
            <b:First>P.</b:First>
          </b:Person>
          <b:Person>
            <b:Last>Carnaby</b:Last>
            <b:First>S.</b:First>
          </b:Person>
        </b:NameList>
      </b:Author>
    </b:Author>
    <b:Publisher>Jessica Kingsley Publishing </b:Publisher>
    <b:RefOrder>43</b:RefOrder>
  </b:Source>
  <b:Source>
    <b:Tag>Placeholder3</b:Tag>
    <b:SourceType>DocumentFromInternetSite</b:SourceType>
    <b:Guid>{09124613-2A69-7043-9907-C8CA8DA02E1A}</b:Guid>
    <b:Title>Mental Capacity Act [MCA2005]</b:Title>
    <b:InternetSiteTitle>Legislation.gov.uk</b:InternetSiteTitle>
    <b:URL>https://www.legislation.gov.uk/ukpga/2005/9/contents?view=plain</b:URL>
    <b:Year>2005</b:Year>
    <b:Author>
      <b:Author>
        <b:Corporate>UK Government</b:Corporate>
      </b:Author>
    </b:Author>
    <b:YearAccessed>2023</b:YearAccessed>
    <b:MonthAccessed>February</b:MonthAccessed>
    <b:DayAccessed>5</b:DayAccessed>
    <b:LCID>en-GB</b:LCID>
    <b:RefOrder>44</b:RefOrder>
  </b:Source>
  <b:Source>
    <b:Tag>Dep07</b:Tag>
    <b:SourceType>DocumentFromInternetSite</b:SourceType>
    <b:Guid>{C0C77314-66CD-594F-AA54-E72F18C29503}</b:Guid>
    <b:Title>Mental Capacity Act 2005 Code of Practice [MCA-COP2007]</b:Title>
    <b:URL>https://assets.publishing.service.gov.uk/media/5f6cc6138fa8f541f6763295/Mental-capacity-act-code-of-practice.pdf</b:URL>
    <b:Year>2007</b:Year>
    <b:YearAccessed>2023</b:YearAccessed>
    <b:MonthAccessed>11</b:MonthAccessed>
    <b:DayAccessed>5</b:DayAccessed>
    <b:Author>
      <b:Author>
        <b:Corporate>Department for Constitutional Affairs </b:Corporate>
      </b:Author>
    </b:Author>
    <b:RefOrder>45</b:RefOrder>
  </b:Source>
  <b:Source>
    <b:Tag>Bow82</b:Tag>
    <b:SourceType>Book</b:SourceType>
    <b:Guid>{850FBB14-4E14-A848-A380-1CDF43772672}</b:Guid>
    <b:Title>Attachment and Loss</b:Title>
    <b:Year>1982</b:Year>
    <b:City>New York</b:City>
    <b:Publisher>Basic Boooks</b:Publisher>
    <b:Edition>Second</b:Edition>
    <b:Author>
      <b:Author>
        <b:NameList>
          <b:Person>
            <b:Last>Bowlby</b:Last>
            <b:First>John</b:First>
          </b:Person>
        </b:NameList>
      </b:Author>
    </b:Author>
    <b:RefOrder>46</b:RefOrder>
  </b:Source>
  <b:Source>
    <b:Tag>How11</b:Tag>
    <b:SourceType>Book</b:SourceType>
    <b:Guid>{3A0DE0C5-8FC6-C34B-94A4-35AB975C7785}</b:Guid>
    <b:Title>Attachment Across the Lifecourse: A Brief Introduction.</b:Title>
    <b:Publisher>Macmillan International Higher Education</b:Publisher>
    <b:Year>2011</b:Year>
    <b:Author>
      <b:Author>
        <b:NameList>
          <b:Person>
            <b:Last>Howe</b:Last>
            <b:First>D.</b:First>
          </b:Person>
        </b:NameList>
      </b:Author>
    </b:Author>
    <b:RefOrder>47</b:RefOrder>
  </b:Source>
  <b:Source>
    <b:Tag>Sch06</b:Tag>
    <b:SourceType>BookSection</b:SourceType>
    <b:Guid>{7CEF69E2-92EC-8641-85A4-1148E7F53B17}</b:Guid>
    <b:Title>Attachment in adult life</b:Title>
    <b:Publisher>Gilford Press</b:Publisher>
    <b:Year>2006</b:Year>
    <b:LCID>en-GB</b:LCID>
    <b:Pages>456 - 481</b:Pages>
    <b:Author>
      <b:Author>
        <b:NameList>
          <b:Person>
            <b:Last>Schuengel</b:Last>
            <b:First>C.</b:First>
          </b:Person>
          <b:Person>
            <b:Last>Janessen</b:Last>
            <b:First>C. G. C</b:First>
          </b:Person>
        </b:NameList>
      </b:Author>
      <b:Editor>
        <b:NameList>
          <b:Person>
            <b:Last>Cassidy</b:Last>
            <b:First>J</b:First>
          </b:Person>
          <b:Person>
            <b:Last>Shaver</b:Last>
            <b:Middle>R</b:Middle>
            <b:First>P</b:First>
          </b:Person>
        </b:NameList>
      </b:Editor>
    </b:Author>
    <b:BookTitle>Handbook of Attachment: Theory, Research and Clinical Applications</b:BookTitle>
    <b:RefOrder>48</b:RefOrder>
  </b:Source>
  <b:Source>
    <b:Tag>Bog06</b:Tag>
    <b:SourceType>Book</b:SourceType>
    <b:Guid>{94B2D5DE-010B-DC43-8935-5389C54B7346}</b:Guid>
    <b:Title>Social Work Practice: Concepts, Processes, and Interviewing</b:Title>
    <b:Publisher>Columbia University Press</b:Publisher>
    <b:Year>2006</b:Year>
    <b:Author>
      <b:Author>
        <b:NameList>
          <b:Person>
            <b:Last>Bogo</b:Last>
            <b:First>M.</b:First>
          </b:Person>
        </b:NameList>
      </b:Author>
    </b:Author>
    <b:LCID>en-GB</b:LCID>
    <b:RefOrder>49</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AFEFC1F-437E-A74D-97E4-4CBC18622EF8}">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9</Pages>
  <Words>3893</Words>
  <Characters>22196</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David Langley (0951604)</cp:lastModifiedBy>
  <cp:revision>4</cp:revision>
  <cp:lastPrinted>2020-02-11T19:20:00Z</cp:lastPrinted>
  <dcterms:created xsi:type="dcterms:W3CDTF">2024-10-07T10:11:00Z</dcterms:created>
  <dcterms:modified xsi:type="dcterms:W3CDTF">2024-10-07T16:35:00Z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