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D34B1" w14:textId="77777777" w:rsidR="00CB3B41" w:rsidRPr="00CB3B41" w:rsidRDefault="00CB3B41" w:rsidP="00CB3B41">
      <w:pPr>
        <w:pStyle w:val="Body"/>
        <w:spacing w:before="80" w:after="80"/>
      </w:pPr>
      <w:r w:rsidRPr="00CB3B41">
        <w:rPr>
          <w:noProof/>
        </w:rPr>
        <w:drawing>
          <wp:inline distT="0" distB="0" distL="0" distR="0" wp14:anchorId="2E0B5DD6" wp14:editId="051B9557">
            <wp:extent cx="3489529" cy="1392456"/>
            <wp:effectExtent l="0" t="0" r="0" b="0"/>
            <wp:docPr id="1" name="image1.png" descr="University of Wales Trinity Saint David - University Transcription Services"/>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 University Transcription Services"/>
                    <pic:cNvPicPr preferRelativeResize="0"/>
                  </pic:nvPicPr>
                  <pic:blipFill>
                    <a:blip r:embed="rId8"/>
                    <a:srcRect/>
                    <a:stretch>
                      <a:fillRect/>
                    </a:stretch>
                  </pic:blipFill>
                  <pic:spPr>
                    <a:xfrm>
                      <a:off x="0" y="0"/>
                      <a:ext cx="3489529" cy="1392456"/>
                    </a:xfrm>
                    <a:prstGeom prst="rect">
                      <a:avLst/>
                    </a:prstGeom>
                    <a:ln/>
                  </pic:spPr>
                </pic:pic>
              </a:graphicData>
            </a:graphic>
          </wp:inline>
        </w:drawing>
      </w:r>
    </w:p>
    <w:p w14:paraId="4DBB61F6" w14:textId="77777777" w:rsidR="00CB3B41" w:rsidRPr="00CB3B41" w:rsidRDefault="00CB3B41" w:rsidP="00CB3B41">
      <w:pPr>
        <w:pStyle w:val="Body"/>
        <w:spacing w:before="80" w:after="80"/>
        <w:rPr>
          <w:b/>
          <w:bCs/>
        </w:rPr>
      </w:pPr>
    </w:p>
    <w:p w14:paraId="4B2AF198" w14:textId="77777777" w:rsidR="00CB3B41" w:rsidRDefault="00CB3B41" w:rsidP="00CB3B41">
      <w:pPr>
        <w:pStyle w:val="Body"/>
        <w:spacing w:before="80" w:after="80"/>
        <w:rPr>
          <w:b/>
          <w:bCs/>
        </w:rPr>
      </w:pPr>
    </w:p>
    <w:p w14:paraId="4953FE11" w14:textId="77777777" w:rsidR="00CB3B41" w:rsidRDefault="00CB3B41" w:rsidP="00CB3B41">
      <w:pPr>
        <w:pStyle w:val="Body"/>
        <w:spacing w:before="80" w:after="80"/>
        <w:rPr>
          <w:b/>
          <w:bCs/>
        </w:rPr>
      </w:pPr>
    </w:p>
    <w:p w14:paraId="52F3C816" w14:textId="77777777" w:rsidR="00CB3B41" w:rsidRDefault="00CB3B41" w:rsidP="00CB3B41">
      <w:pPr>
        <w:pStyle w:val="Body"/>
        <w:spacing w:before="80" w:after="80"/>
        <w:rPr>
          <w:b/>
          <w:bCs/>
        </w:rPr>
      </w:pPr>
    </w:p>
    <w:p w14:paraId="001A4DA0" w14:textId="24523977" w:rsidR="00CB3B41" w:rsidRPr="00CB3B41" w:rsidRDefault="00CB3B41" w:rsidP="00CB3B41">
      <w:pPr>
        <w:pStyle w:val="Body"/>
        <w:spacing w:before="80" w:after="80"/>
      </w:pPr>
      <w:r w:rsidRPr="00CB3B41">
        <w:rPr>
          <w:b/>
          <w:bCs/>
        </w:rPr>
        <w:t>Assessment:</w:t>
      </w:r>
      <w:r w:rsidRPr="00CB3B41">
        <w:t xml:space="preserve"> Individual Report — </w:t>
      </w:r>
      <w:r>
        <w:t>Strategic Management Analysis (H&amp;M</w:t>
      </w:r>
      <w:r w:rsidR="00EF2856">
        <w:t>)</w:t>
      </w:r>
    </w:p>
    <w:p w14:paraId="5D508059" w14:textId="77777777" w:rsidR="00CB3B41" w:rsidRDefault="00CB3B41" w:rsidP="00CB3B41">
      <w:pPr>
        <w:pStyle w:val="Body"/>
        <w:spacing w:before="80" w:after="80"/>
        <w:rPr>
          <w:b/>
          <w:bCs/>
        </w:rPr>
      </w:pPr>
    </w:p>
    <w:p w14:paraId="1B83217F" w14:textId="604D7C0A" w:rsidR="00CB3B41" w:rsidRPr="00CB3B41" w:rsidRDefault="00CB3B41" w:rsidP="00CB3B41">
      <w:pPr>
        <w:pStyle w:val="Body"/>
        <w:spacing w:before="80" w:after="80"/>
        <w:rPr>
          <w:b/>
          <w:bCs/>
        </w:rPr>
      </w:pPr>
      <w:r w:rsidRPr="00CB3B41">
        <w:rPr>
          <w:b/>
          <w:bCs/>
        </w:rPr>
        <w:t>Master of Business Administration (MBA)</w:t>
      </w:r>
    </w:p>
    <w:p w14:paraId="10A8CAE6" w14:textId="48D6A3FF" w:rsidR="00CB3B41" w:rsidRPr="00CB3B41" w:rsidRDefault="00CB3B41" w:rsidP="00CB3B41">
      <w:pPr>
        <w:pStyle w:val="Body"/>
        <w:spacing w:before="80" w:after="80"/>
      </w:pPr>
      <w:r w:rsidRPr="00CB3B41">
        <w:rPr>
          <w:b/>
          <w:bCs/>
        </w:rPr>
        <w:t>Module:</w:t>
      </w:r>
      <w:r w:rsidRPr="00CB3B41">
        <w:t xml:space="preserve"> </w:t>
      </w:r>
      <w:r w:rsidRPr="00CB3B41">
        <w:rPr>
          <w:lang w:val="en-US"/>
        </w:rPr>
        <w:t>Strategic Management</w:t>
      </w:r>
    </w:p>
    <w:p w14:paraId="367C9127" w14:textId="63A8B208" w:rsidR="00CB3B41" w:rsidRPr="00CB3B41" w:rsidRDefault="00CB3B41" w:rsidP="00CB3B41">
      <w:pPr>
        <w:pStyle w:val="Body"/>
        <w:spacing w:before="80" w:after="80"/>
      </w:pPr>
      <w:r w:rsidRPr="00CB3B41">
        <w:rPr>
          <w:b/>
          <w:bCs/>
        </w:rPr>
        <w:t>Module Code:</w:t>
      </w:r>
      <w:r w:rsidRPr="00CB3B41">
        <w:t xml:space="preserve"> LCMB700</w:t>
      </w:r>
      <w:r>
        <w:t>3</w:t>
      </w:r>
    </w:p>
    <w:p w14:paraId="63D95677" w14:textId="3DF35057" w:rsidR="00CB3B41" w:rsidRPr="00CB3B41" w:rsidRDefault="00CB3B41" w:rsidP="00CB3B41">
      <w:pPr>
        <w:pStyle w:val="Body"/>
        <w:spacing w:before="80" w:after="80"/>
      </w:pPr>
      <w:r w:rsidRPr="00CB3B41">
        <w:rPr>
          <w:b/>
          <w:bCs/>
        </w:rPr>
        <w:t xml:space="preserve">Lecturer: </w:t>
      </w:r>
      <w:r>
        <w:t>Amar</w:t>
      </w:r>
      <w:r w:rsidR="00EF2856">
        <w:t>e</w:t>
      </w:r>
      <w:r>
        <w:t xml:space="preserve"> Desta</w:t>
      </w:r>
    </w:p>
    <w:p w14:paraId="23D6F025" w14:textId="77777777" w:rsidR="00CB3B41" w:rsidRDefault="00CB3B41" w:rsidP="00CB3B41">
      <w:pPr>
        <w:pStyle w:val="Body"/>
        <w:spacing w:before="80" w:after="80"/>
      </w:pPr>
    </w:p>
    <w:p w14:paraId="6EA5572C" w14:textId="77777777" w:rsidR="00CB3B41" w:rsidRDefault="00CB3B41" w:rsidP="00CB3B41">
      <w:pPr>
        <w:pStyle w:val="Body"/>
        <w:spacing w:before="80" w:after="80"/>
      </w:pPr>
    </w:p>
    <w:p w14:paraId="347B026D" w14:textId="77777777" w:rsidR="00CB3B41" w:rsidRPr="00CB3B41" w:rsidRDefault="00CB3B41" w:rsidP="00CB3B41">
      <w:pPr>
        <w:pStyle w:val="Body"/>
        <w:spacing w:before="80" w:after="80"/>
      </w:pPr>
    </w:p>
    <w:p w14:paraId="07C777EA" w14:textId="77777777" w:rsidR="00CB3B41" w:rsidRPr="00CB3B41" w:rsidRDefault="00CB3B41" w:rsidP="00CB3B41">
      <w:pPr>
        <w:pStyle w:val="Body"/>
        <w:spacing w:before="80" w:after="80"/>
      </w:pPr>
      <w:r w:rsidRPr="00CB3B41">
        <w:rPr>
          <w:b/>
          <w:bCs/>
        </w:rPr>
        <w:t>Name:</w:t>
      </w:r>
      <w:r w:rsidRPr="00CB3B41">
        <w:t xml:space="preserve"> </w:t>
      </w:r>
      <w:proofErr w:type="spellStart"/>
      <w:r w:rsidRPr="00CB3B41">
        <w:t>Asaduzzaman</w:t>
      </w:r>
      <w:proofErr w:type="spellEnd"/>
      <w:r w:rsidRPr="00CB3B41">
        <w:t xml:space="preserve"> </w:t>
      </w:r>
      <w:proofErr w:type="spellStart"/>
      <w:r w:rsidRPr="00CB3B41">
        <w:t>Tutul</w:t>
      </w:r>
      <w:proofErr w:type="spellEnd"/>
    </w:p>
    <w:p w14:paraId="0A4FEF87" w14:textId="77777777" w:rsidR="00CB3B41" w:rsidRPr="00CB3B41" w:rsidRDefault="00CB3B41" w:rsidP="00CB3B41">
      <w:pPr>
        <w:pStyle w:val="Body"/>
        <w:spacing w:before="80" w:after="80"/>
      </w:pPr>
      <w:r w:rsidRPr="00CB3B41">
        <w:rPr>
          <w:b/>
          <w:bCs/>
        </w:rPr>
        <w:t xml:space="preserve">Student ID:  </w:t>
      </w:r>
      <w:r w:rsidRPr="00CB3B41">
        <w:t>2435434</w:t>
      </w:r>
    </w:p>
    <w:p w14:paraId="37A4C544" w14:textId="3A618C0A" w:rsidR="00CB3B41" w:rsidRPr="00CB3B41" w:rsidRDefault="00CB3B41" w:rsidP="00CB3B41">
      <w:pPr>
        <w:pStyle w:val="Body"/>
        <w:spacing w:before="80" w:after="80"/>
      </w:pPr>
      <w:r w:rsidRPr="00CB3B41">
        <w:rPr>
          <w:b/>
          <w:bCs/>
        </w:rPr>
        <w:t>Submission date:</w:t>
      </w:r>
      <w:r w:rsidRPr="00CB3B41">
        <w:t xml:space="preserve"> </w:t>
      </w:r>
      <w:r>
        <w:t>1 May</w:t>
      </w:r>
      <w:r w:rsidRPr="00CB3B41">
        <w:t xml:space="preserve"> 202</w:t>
      </w:r>
      <w:r>
        <w:t>6</w:t>
      </w:r>
    </w:p>
    <w:p w14:paraId="2E17D463" w14:textId="77777777" w:rsidR="00FC3E6C" w:rsidRDefault="00CB3B41" w:rsidP="00CB3B41">
      <w:pPr>
        <w:pStyle w:val="Body"/>
        <w:spacing w:before="80" w:after="80"/>
        <w:rPr>
          <w:rFonts w:ascii="Arial Unicode MS" w:hAnsi="Arial Unicode MS"/>
        </w:rPr>
        <w:sectPr w:rsidR="00FC3E6C">
          <w:footerReference w:type="default" r:id="rId9"/>
          <w:pgSz w:w="11900" w:h="16840"/>
          <w:pgMar w:top="1440" w:right="1440" w:bottom="1440" w:left="1440" w:header="708" w:footer="708" w:gutter="0"/>
          <w:cols w:space="720"/>
        </w:sectPr>
      </w:pPr>
      <w:r w:rsidRPr="00CB3B41">
        <w:rPr>
          <w:b/>
          <w:bCs/>
        </w:rPr>
        <w:t>Word count:</w:t>
      </w:r>
      <w:r w:rsidRPr="00CB3B41">
        <w:t xml:space="preserve"> 5000</w:t>
      </w:r>
      <w:r>
        <w:rPr>
          <w:rFonts w:ascii="Arial Unicode MS" w:hAnsi="Arial Unicode MS"/>
        </w:rPr>
        <w:br w:type="page"/>
      </w:r>
    </w:p>
    <w:sdt>
      <w:sdtPr>
        <w:rPr>
          <w:rFonts w:ascii="Arial" w:eastAsia="Arial Unicode MS" w:hAnsi="Arial" w:cs="Arial Unicode MS"/>
          <w:color w:val="000000"/>
          <w:sz w:val="24"/>
          <w:szCs w:val="24"/>
          <w:bdr w:val="nil"/>
          <w:lang w:val="en-US"/>
          <w14:textOutline w14:w="0" w14:cap="flat" w14:cmpd="sng" w14:algn="ctr">
            <w14:noFill/>
            <w14:prstDash w14:val="solid"/>
            <w14:bevel/>
          </w14:textOutline>
        </w:rPr>
        <w:id w:val="-1272089205"/>
        <w:docPartObj>
          <w:docPartGallery w:val="Table of Contents"/>
          <w:docPartUnique/>
        </w:docPartObj>
      </w:sdtPr>
      <w:sdtEndPr>
        <w:rPr>
          <w:b/>
          <w:bCs/>
        </w:rPr>
      </w:sdtEndPr>
      <w:sdtContent>
        <w:p w14:paraId="381F2998" w14:textId="4157A30C" w:rsidR="00FC3E6C" w:rsidRDefault="00FC3E6C">
          <w:pPr>
            <w:pStyle w:val="TOCHeading"/>
          </w:pPr>
          <w:r>
            <w:t>Contents</w:t>
          </w:r>
        </w:p>
        <w:p w14:paraId="3B46DEBE" w14:textId="51BEA7B7" w:rsidR="00E27034" w:rsidRDefault="00FC3E6C">
          <w:pPr>
            <w:pStyle w:val="TOC1"/>
            <w:rPr>
              <w:rFonts w:asciiTheme="minorHAnsi" w:eastAsiaTheme="minorEastAsia" w:hAnsiTheme="minorHAnsi" w:cstheme="minorBidi"/>
              <w:noProof/>
              <w:color w:val="auto"/>
              <w:kern w:val="2"/>
              <w:szCs w:val="21"/>
              <w:bdr w:val="none" w:sz="0" w:space="0" w:color="auto"/>
              <w:lang w:val="en-GB"/>
              <w14:ligatures w14:val="standardContextual"/>
            </w:rPr>
          </w:pPr>
          <w:r>
            <w:fldChar w:fldCharType="begin"/>
          </w:r>
          <w:r>
            <w:instrText xml:space="preserve"> TOC \o "1-3" \h \z \u </w:instrText>
          </w:r>
          <w:r>
            <w:fldChar w:fldCharType="separate"/>
          </w:r>
          <w:hyperlink w:anchor="_Toc228520754" w:history="1">
            <w:r w:rsidR="00E27034" w:rsidRPr="005B013E">
              <w:rPr>
                <w:rStyle w:val="Hyperlink"/>
                <w:rFonts w:eastAsia="Arial Unicode MS" w:cs="Arial Unicode MS"/>
                <w:noProof/>
                <w:lang w:val="fr-FR"/>
              </w:rPr>
              <w:t>Introduction</w:t>
            </w:r>
            <w:r w:rsidR="00E27034">
              <w:rPr>
                <w:noProof/>
                <w:webHidden/>
              </w:rPr>
              <w:tab/>
            </w:r>
            <w:r w:rsidR="00E27034">
              <w:rPr>
                <w:noProof/>
                <w:webHidden/>
              </w:rPr>
              <w:fldChar w:fldCharType="begin"/>
            </w:r>
            <w:r w:rsidR="00E27034">
              <w:rPr>
                <w:noProof/>
                <w:webHidden/>
              </w:rPr>
              <w:instrText xml:space="preserve"> PAGEREF _Toc228520754 \h </w:instrText>
            </w:r>
            <w:r w:rsidR="00E27034">
              <w:rPr>
                <w:noProof/>
                <w:webHidden/>
              </w:rPr>
            </w:r>
            <w:r w:rsidR="00E27034">
              <w:rPr>
                <w:noProof/>
                <w:webHidden/>
              </w:rPr>
              <w:fldChar w:fldCharType="separate"/>
            </w:r>
            <w:r w:rsidR="00E27034">
              <w:rPr>
                <w:noProof/>
                <w:webHidden/>
              </w:rPr>
              <w:t>1</w:t>
            </w:r>
            <w:r w:rsidR="00E27034">
              <w:rPr>
                <w:noProof/>
                <w:webHidden/>
              </w:rPr>
              <w:fldChar w:fldCharType="end"/>
            </w:r>
          </w:hyperlink>
        </w:p>
        <w:p w14:paraId="28DC02C1" w14:textId="7EE66841" w:rsidR="00E27034" w:rsidRDefault="00E27034">
          <w:pPr>
            <w:pStyle w:val="TOC1"/>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55" w:history="1">
            <w:r w:rsidRPr="005B013E">
              <w:rPr>
                <w:rStyle w:val="Hyperlink"/>
                <w:rFonts w:eastAsia="Arial Unicode MS" w:cs="Arial Unicode MS"/>
                <w:noProof/>
                <w:lang w:val="de-DE"/>
              </w:rPr>
              <w:t>SECTION 1: STRATEGIC ANALYSIS</w:t>
            </w:r>
            <w:r>
              <w:rPr>
                <w:noProof/>
                <w:webHidden/>
              </w:rPr>
              <w:tab/>
            </w:r>
            <w:r>
              <w:rPr>
                <w:noProof/>
                <w:webHidden/>
              </w:rPr>
              <w:fldChar w:fldCharType="begin"/>
            </w:r>
            <w:r>
              <w:rPr>
                <w:noProof/>
                <w:webHidden/>
              </w:rPr>
              <w:instrText xml:space="preserve"> PAGEREF _Toc228520755 \h </w:instrText>
            </w:r>
            <w:r>
              <w:rPr>
                <w:noProof/>
                <w:webHidden/>
              </w:rPr>
            </w:r>
            <w:r>
              <w:rPr>
                <w:noProof/>
                <w:webHidden/>
              </w:rPr>
              <w:fldChar w:fldCharType="separate"/>
            </w:r>
            <w:r>
              <w:rPr>
                <w:noProof/>
                <w:webHidden/>
              </w:rPr>
              <w:t>2</w:t>
            </w:r>
            <w:r>
              <w:rPr>
                <w:noProof/>
                <w:webHidden/>
              </w:rPr>
              <w:fldChar w:fldCharType="end"/>
            </w:r>
          </w:hyperlink>
        </w:p>
        <w:p w14:paraId="1B6276E3" w14:textId="298E04D8" w:rsidR="00E27034" w:rsidRDefault="00E27034">
          <w:pPr>
            <w:pStyle w:val="TOC2"/>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56" w:history="1">
            <w:r w:rsidRPr="005B013E">
              <w:rPr>
                <w:rStyle w:val="Hyperlink"/>
                <w:rFonts w:eastAsia="Arial Unicode MS" w:cs="Arial Unicode MS"/>
                <w:noProof/>
              </w:rPr>
              <w:t>1.1  Organizational Context and Overview</w:t>
            </w:r>
            <w:r>
              <w:rPr>
                <w:noProof/>
                <w:webHidden/>
              </w:rPr>
              <w:tab/>
            </w:r>
            <w:r>
              <w:rPr>
                <w:noProof/>
                <w:webHidden/>
              </w:rPr>
              <w:fldChar w:fldCharType="begin"/>
            </w:r>
            <w:r>
              <w:rPr>
                <w:noProof/>
                <w:webHidden/>
              </w:rPr>
              <w:instrText xml:space="preserve"> PAGEREF _Toc228520756 \h </w:instrText>
            </w:r>
            <w:r>
              <w:rPr>
                <w:noProof/>
                <w:webHidden/>
              </w:rPr>
            </w:r>
            <w:r>
              <w:rPr>
                <w:noProof/>
                <w:webHidden/>
              </w:rPr>
              <w:fldChar w:fldCharType="separate"/>
            </w:r>
            <w:r>
              <w:rPr>
                <w:noProof/>
                <w:webHidden/>
              </w:rPr>
              <w:t>2</w:t>
            </w:r>
            <w:r>
              <w:rPr>
                <w:noProof/>
                <w:webHidden/>
              </w:rPr>
              <w:fldChar w:fldCharType="end"/>
            </w:r>
          </w:hyperlink>
        </w:p>
        <w:p w14:paraId="2B77B4F6" w14:textId="21577D68"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57" w:history="1">
            <w:r w:rsidRPr="005B013E">
              <w:rPr>
                <w:rStyle w:val="Hyperlink"/>
                <w:rFonts w:eastAsia="Arial Unicode MS" w:cs="Arial Unicode MS"/>
                <w:noProof/>
              </w:rPr>
              <w:t>Background and History</w:t>
            </w:r>
            <w:r>
              <w:rPr>
                <w:noProof/>
                <w:webHidden/>
              </w:rPr>
              <w:tab/>
            </w:r>
            <w:r>
              <w:rPr>
                <w:noProof/>
                <w:webHidden/>
              </w:rPr>
              <w:fldChar w:fldCharType="begin"/>
            </w:r>
            <w:r>
              <w:rPr>
                <w:noProof/>
                <w:webHidden/>
              </w:rPr>
              <w:instrText xml:space="preserve"> PAGEREF _Toc228520757 \h </w:instrText>
            </w:r>
            <w:r>
              <w:rPr>
                <w:noProof/>
                <w:webHidden/>
              </w:rPr>
            </w:r>
            <w:r>
              <w:rPr>
                <w:noProof/>
                <w:webHidden/>
              </w:rPr>
              <w:fldChar w:fldCharType="separate"/>
            </w:r>
            <w:r>
              <w:rPr>
                <w:noProof/>
                <w:webHidden/>
              </w:rPr>
              <w:t>2</w:t>
            </w:r>
            <w:r>
              <w:rPr>
                <w:noProof/>
                <w:webHidden/>
              </w:rPr>
              <w:fldChar w:fldCharType="end"/>
            </w:r>
          </w:hyperlink>
        </w:p>
        <w:p w14:paraId="2A661AAF" w14:textId="314127B9"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58" w:history="1">
            <w:r w:rsidRPr="005B013E">
              <w:rPr>
                <w:rStyle w:val="Hyperlink"/>
                <w:rFonts w:eastAsia="Arial Unicode MS" w:cs="Arial Unicode MS"/>
                <w:noProof/>
              </w:rPr>
              <w:t>Mission, Vision, and Business Model</w:t>
            </w:r>
            <w:r>
              <w:rPr>
                <w:noProof/>
                <w:webHidden/>
              </w:rPr>
              <w:tab/>
            </w:r>
            <w:r>
              <w:rPr>
                <w:noProof/>
                <w:webHidden/>
              </w:rPr>
              <w:fldChar w:fldCharType="begin"/>
            </w:r>
            <w:r>
              <w:rPr>
                <w:noProof/>
                <w:webHidden/>
              </w:rPr>
              <w:instrText xml:space="preserve"> PAGEREF _Toc228520758 \h </w:instrText>
            </w:r>
            <w:r>
              <w:rPr>
                <w:noProof/>
                <w:webHidden/>
              </w:rPr>
            </w:r>
            <w:r>
              <w:rPr>
                <w:noProof/>
                <w:webHidden/>
              </w:rPr>
              <w:fldChar w:fldCharType="separate"/>
            </w:r>
            <w:r>
              <w:rPr>
                <w:noProof/>
                <w:webHidden/>
              </w:rPr>
              <w:t>2</w:t>
            </w:r>
            <w:r>
              <w:rPr>
                <w:noProof/>
                <w:webHidden/>
              </w:rPr>
              <w:fldChar w:fldCharType="end"/>
            </w:r>
          </w:hyperlink>
        </w:p>
        <w:p w14:paraId="2A1A72D5" w14:textId="5E3A3C66"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59" w:history="1">
            <w:r w:rsidRPr="005B013E">
              <w:rPr>
                <w:rStyle w:val="Hyperlink"/>
                <w:rFonts w:eastAsia="Arial Unicode MS" w:cs="Arial Unicode MS"/>
                <w:noProof/>
              </w:rPr>
              <w:t>Industry and Competitive Position</w:t>
            </w:r>
            <w:r>
              <w:rPr>
                <w:noProof/>
                <w:webHidden/>
              </w:rPr>
              <w:tab/>
            </w:r>
            <w:r>
              <w:rPr>
                <w:noProof/>
                <w:webHidden/>
              </w:rPr>
              <w:fldChar w:fldCharType="begin"/>
            </w:r>
            <w:r>
              <w:rPr>
                <w:noProof/>
                <w:webHidden/>
              </w:rPr>
              <w:instrText xml:space="preserve"> PAGEREF _Toc228520759 \h </w:instrText>
            </w:r>
            <w:r>
              <w:rPr>
                <w:noProof/>
                <w:webHidden/>
              </w:rPr>
            </w:r>
            <w:r>
              <w:rPr>
                <w:noProof/>
                <w:webHidden/>
              </w:rPr>
              <w:fldChar w:fldCharType="separate"/>
            </w:r>
            <w:r>
              <w:rPr>
                <w:noProof/>
                <w:webHidden/>
              </w:rPr>
              <w:t>2</w:t>
            </w:r>
            <w:r>
              <w:rPr>
                <w:noProof/>
                <w:webHidden/>
              </w:rPr>
              <w:fldChar w:fldCharType="end"/>
            </w:r>
          </w:hyperlink>
        </w:p>
        <w:p w14:paraId="53B42540" w14:textId="6335CDCC" w:rsidR="00E27034" w:rsidRDefault="00E27034">
          <w:pPr>
            <w:pStyle w:val="TOC2"/>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0" w:history="1">
            <w:r w:rsidRPr="005B013E">
              <w:rPr>
                <w:rStyle w:val="Hyperlink"/>
                <w:rFonts w:eastAsia="Arial Unicode MS" w:cs="Arial Unicode MS"/>
                <w:noProof/>
              </w:rPr>
              <w:t>1.2  External and Internal Environment Analysis</w:t>
            </w:r>
            <w:r>
              <w:rPr>
                <w:noProof/>
                <w:webHidden/>
              </w:rPr>
              <w:tab/>
            </w:r>
            <w:r>
              <w:rPr>
                <w:noProof/>
                <w:webHidden/>
              </w:rPr>
              <w:fldChar w:fldCharType="begin"/>
            </w:r>
            <w:r>
              <w:rPr>
                <w:noProof/>
                <w:webHidden/>
              </w:rPr>
              <w:instrText xml:space="preserve"> PAGEREF _Toc228520760 \h </w:instrText>
            </w:r>
            <w:r>
              <w:rPr>
                <w:noProof/>
                <w:webHidden/>
              </w:rPr>
            </w:r>
            <w:r>
              <w:rPr>
                <w:noProof/>
                <w:webHidden/>
              </w:rPr>
              <w:fldChar w:fldCharType="separate"/>
            </w:r>
            <w:r>
              <w:rPr>
                <w:noProof/>
                <w:webHidden/>
              </w:rPr>
              <w:t>3</w:t>
            </w:r>
            <w:r>
              <w:rPr>
                <w:noProof/>
                <w:webHidden/>
              </w:rPr>
              <w:fldChar w:fldCharType="end"/>
            </w:r>
          </w:hyperlink>
        </w:p>
        <w:p w14:paraId="4105FA37" w14:textId="7DB20176"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1" w:history="1">
            <w:r w:rsidRPr="005B013E">
              <w:rPr>
                <w:rStyle w:val="Hyperlink"/>
                <w:rFonts w:eastAsia="Arial Unicode MS" w:cs="Arial Unicode MS"/>
                <w:noProof/>
                <w:lang w:val="de-DE"/>
              </w:rPr>
              <w:t>Part A: PESTEL Analysis</w:t>
            </w:r>
            <w:r>
              <w:rPr>
                <w:noProof/>
                <w:webHidden/>
              </w:rPr>
              <w:tab/>
            </w:r>
            <w:r>
              <w:rPr>
                <w:noProof/>
                <w:webHidden/>
              </w:rPr>
              <w:fldChar w:fldCharType="begin"/>
            </w:r>
            <w:r>
              <w:rPr>
                <w:noProof/>
                <w:webHidden/>
              </w:rPr>
              <w:instrText xml:space="preserve"> PAGEREF _Toc228520761 \h </w:instrText>
            </w:r>
            <w:r>
              <w:rPr>
                <w:noProof/>
                <w:webHidden/>
              </w:rPr>
            </w:r>
            <w:r>
              <w:rPr>
                <w:noProof/>
                <w:webHidden/>
              </w:rPr>
              <w:fldChar w:fldCharType="separate"/>
            </w:r>
            <w:r>
              <w:rPr>
                <w:noProof/>
                <w:webHidden/>
              </w:rPr>
              <w:t>3</w:t>
            </w:r>
            <w:r>
              <w:rPr>
                <w:noProof/>
                <w:webHidden/>
              </w:rPr>
              <w:fldChar w:fldCharType="end"/>
            </w:r>
          </w:hyperlink>
        </w:p>
        <w:p w14:paraId="1D5CF463" w14:textId="5D6FA321"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2" w:history="1">
            <w:r w:rsidRPr="005B013E">
              <w:rPr>
                <w:rStyle w:val="Hyperlink"/>
                <w:rFonts w:eastAsia="Arial Unicode MS" w:cs="Arial Unicode MS"/>
                <w:noProof/>
              </w:rPr>
              <w:t>Part B: Porter's Five Forces Analysis</w:t>
            </w:r>
            <w:r>
              <w:rPr>
                <w:noProof/>
                <w:webHidden/>
              </w:rPr>
              <w:tab/>
            </w:r>
            <w:r>
              <w:rPr>
                <w:noProof/>
                <w:webHidden/>
              </w:rPr>
              <w:fldChar w:fldCharType="begin"/>
            </w:r>
            <w:r>
              <w:rPr>
                <w:noProof/>
                <w:webHidden/>
              </w:rPr>
              <w:instrText xml:space="preserve"> PAGEREF _Toc228520762 \h </w:instrText>
            </w:r>
            <w:r>
              <w:rPr>
                <w:noProof/>
                <w:webHidden/>
              </w:rPr>
            </w:r>
            <w:r>
              <w:rPr>
                <w:noProof/>
                <w:webHidden/>
              </w:rPr>
              <w:fldChar w:fldCharType="separate"/>
            </w:r>
            <w:r>
              <w:rPr>
                <w:noProof/>
                <w:webHidden/>
              </w:rPr>
              <w:t>5</w:t>
            </w:r>
            <w:r>
              <w:rPr>
                <w:noProof/>
                <w:webHidden/>
              </w:rPr>
              <w:fldChar w:fldCharType="end"/>
            </w:r>
          </w:hyperlink>
        </w:p>
        <w:p w14:paraId="12183CBB" w14:textId="7CD40D61"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3" w:history="1">
            <w:r w:rsidRPr="005B013E">
              <w:rPr>
                <w:rStyle w:val="Hyperlink"/>
                <w:rFonts w:eastAsia="Arial Unicode MS" w:cs="Arial Unicode MS"/>
                <w:noProof/>
              </w:rPr>
              <w:t>Part C: Internal Environment</w:t>
            </w:r>
            <w:r>
              <w:rPr>
                <w:noProof/>
                <w:webHidden/>
              </w:rPr>
              <w:tab/>
            </w:r>
            <w:r>
              <w:rPr>
                <w:noProof/>
                <w:webHidden/>
              </w:rPr>
              <w:fldChar w:fldCharType="begin"/>
            </w:r>
            <w:r>
              <w:rPr>
                <w:noProof/>
                <w:webHidden/>
              </w:rPr>
              <w:instrText xml:space="preserve"> PAGEREF _Toc228520763 \h </w:instrText>
            </w:r>
            <w:r>
              <w:rPr>
                <w:noProof/>
                <w:webHidden/>
              </w:rPr>
            </w:r>
            <w:r>
              <w:rPr>
                <w:noProof/>
                <w:webHidden/>
              </w:rPr>
              <w:fldChar w:fldCharType="separate"/>
            </w:r>
            <w:r>
              <w:rPr>
                <w:noProof/>
                <w:webHidden/>
              </w:rPr>
              <w:t>6</w:t>
            </w:r>
            <w:r>
              <w:rPr>
                <w:noProof/>
                <w:webHidden/>
              </w:rPr>
              <w:fldChar w:fldCharType="end"/>
            </w:r>
          </w:hyperlink>
        </w:p>
        <w:p w14:paraId="46DE7F57" w14:textId="4B9A713F"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4" w:history="1">
            <w:r w:rsidRPr="005B013E">
              <w:rPr>
                <w:rStyle w:val="Hyperlink"/>
                <w:rFonts w:eastAsia="Arial Unicode MS" w:cs="Arial Unicode MS"/>
                <w:noProof/>
              </w:rPr>
              <w:t>Part D: VRIO Analysis</w:t>
            </w:r>
            <w:r>
              <w:rPr>
                <w:noProof/>
                <w:webHidden/>
              </w:rPr>
              <w:tab/>
            </w:r>
            <w:r>
              <w:rPr>
                <w:noProof/>
                <w:webHidden/>
              </w:rPr>
              <w:fldChar w:fldCharType="begin"/>
            </w:r>
            <w:r>
              <w:rPr>
                <w:noProof/>
                <w:webHidden/>
              </w:rPr>
              <w:instrText xml:space="preserve"> PAGEREF _Toc228520764 \h </w:instrText>
            </w:r>
            <w:r>
              <w:rPr>
                <w:noProof/>
                <w:webHidden/>
              </w:rPr>
            </w:r>
            <w:r>
              <w:rPr>
                <w:noProof/>
                <w:webHidden/>
              </w:rPr>
              <w:fldChar w:fldCharType="separate"/>
            </w:r>
            <w:r>
              <w:rPr>
                <w:noProof/>
                <w:webHidden/>
              </w:rPr>
              <w:t>6</w:t>
            </w:r>
            <w:r>
              <w:rPr>
                <w:noProof/>
                <w:webHidden/>
              </w:rPr>
              <w:fldChar w:fldCharType="end"/>
            </w:r>
          </w:hyperlink>
        </w:p>
        <w:p w14:paraId="60C8094A" w14:textId="71915061" w:rsidR="00E27034" w:rsidRDefault="00E27034">
          <w:pPr>
            <w:pStyle w:val="TOC2"/>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5" w:history="1">
            <w:r w:rsidRPr="005B013E">
              <w:rPr>
                <w:rStyle w:val="Hyperlink"/>
                <w:rFonts w:eastAsia="Arial Unicode MS" w:cs="Arial Unicode MS"/>
                <w:noProof/>
              </w:rPr>
              <w:t>1.3 CSR and Sustainability Objectives</w:t>
            </w:r>
            <w:r>
              <w:rPr>
                <w:noProof/>
                <w:webHidden/>
              </w:rPr>
              <w:tab/>
            </w:r>
            <w:r>
              <w:rPr>
                <w:noProof/>
                <w:webHidden/>
              </w:rPr>
              <w:fldChar w:fldCharType="begin"/>
            </w:r>
            <w:r>
              <w:rPr>
                <w:noProof/>
                <w:webHidden/>
              </w:rPr>
              <w:instrText xml:space="preserve"> PAGEREF _Toc228520765 \h </w:instrText>
            </w:r>
            <w:r>
              <w:rPr>
                <w:noProof/>
                <w:webHidden/>
              </w:rPr>
            </w:r>
            <w:r>
              <w:rPr>
                <w:noProof/>
                <w:webHidden/>
              </w:rPr>
              <w:fldChar w:fldCharType="separate"/>
            </w:r>
            <w:r>
              <w:rPr>
                <w:noProof/>
                <w:webHidden/>
              </w:rPr>
              <w:t>8</w:t>
            </w:r>
            <w:r>
              <w:rPr>
                <w:noProof/>
                <w:webHidden/>
              </w:rPr>
              <w:fldChar w:fldCharType="end"/>
            </w:r>
          </w:hyperlink>
        </w:p>
        <w:p w14:paraId="7519502B" w14:textId="2A54FB90" w:rsidR="00E27034" w:rsidRDefault="00E27034">
          <w:pPr>
            <w:pStyle w:val="TOC2"/>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6" w:history="1">
            <w:r w:rsidRPr="005B013E">
              <w:rPr>
                <w:rStyle w:val="Hyperlink"/>
                <w:rFonts w:eastAsia="Arial Unicode MS" w:cs="Arial Unicode MS"/>
                <w:noProof/>
              </w:rPr>
              <w:t>1.4 Comprehensive and Holistic View</w:t>
            </w:r>
            <w:r>
              <w:rPr>
                <w:noProof/>
                <w:webHidden/>
              </w:rPr>
              <w:tab/>
            </w:r>
            <w:r>
              <w:rPr>
                <w:noProof/>
                <w:webHidden/>
              </w:rPr>
              <w:fldChar w:fldCharType="begin"/>
            </w:r>
            <w:r>
              <w:rPr>
                <w:noProof/>
                <w:webHidden/>
              </w:rPr>
              <w:instrText xml:space="preserve"> PAGEREF _Toc228520766 \h </w:instrText>
            </w:r>
            <w:r>
              <w:rPr>
                <w:noProof/>
                <w:webHidden/>
              </w:rPr>
            </w:r>
            <w:r>
              <w:rPr>
                <w:noProof/>
                <w:webHidden/>
              </w:rPr>
              <w:fldChar w:fldCharType="separate"/>
            </w:r>
            <w:r>
              <w:rPr>
                <w:noProof/>
                <w:webHidden/>
              </w:rPr>
              <w:t>9</w:t>
            </w:r>
            <w:r>
              <w:rPr>
                <w:noProof/>
                <w:webHidden/>
              </w:rPr>
              <w:fldChar w:fldCharType="end"/>
            </w:r>
          </w:hyperlink>
        </w:p>
        <w:p w14:paraId="67257E3A" w14:textId="4F4A515C"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7" w:history="1">
            <w:r w:rsidRPr="005B013E">
              <w:rPr>
                <w:rStyle w:val="Hyperlink"/>
                <w:rFonts w:eastAsia="Arial Unicode MS" w:cs="Arial Unicode MS"/>
                <w:noProof/>
              </w:rPr>
              <w:t>Financial Perspective</w:t>
            </w:r>
            <w:r>
              <w:rPr>
                <w:noProof/>
                <w:webHidden/>
              </w:rPr>
              <w:tab/>
            </w:r>
            <w:r>
              <w:rPr>
                <w:noProof/>
                <w:webHidden/>
              </w:rPr>
              <w:fldChar w:fldCharType="begin"/>
            </w:r>
            <w:r>
              <w:rPr>
                <w:noProof/>
                <w:webHidden/>
              </w:rPr>
              <w:instrText xml:space="preserve"> PAGEREF _Toc228520767 \h </w:instrText>
            </w:r>
            <w:r>
              <w:rPr>
                <w:noProof/>
                <w:webHidden/>
              </w:rPr>
            </w:r>
            <w:r>
              <w:rPr>
                <w:noProof/>
                <w:webHidden/>
              </w:rPr>
              <w:fldChar w:fldCharType="separate"/>
            </w:r>
            <w:r>
              <w:rPr>
                <w:noProof/>
                <w:webHidden/>
              </w:rPr>
              <w:t>9</w:t>
            </w:r>
            <w:r>
              <w:rPr>
                <w:noProof/>
                <w:webHidden/>
              </w:rPr>
              <w:fldChar w:fldCharType="end"/>
            </w:r>
          </w:hyperlink>
        </w:p>
        <w:p w14:paraId="2468539C" w14:textId="7810D582"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8" w:history="1">
            <w:r w:rsidRPr="005B013E">
              <w:rPr>
                <w:rStyle w:val="Hyperlink"/>
                <w:rFonts w:eastAsia="Arial Unicode MS" w:cs="Arial Unicode MS"/>
                <w:noProof/>
              </w:rPr>
              <w:t>Customer Perspective</w:t>
            </w:r>
            <w:r>
              <w:rPr>
                <w:noProof/>
                <w:webHidden/>
              </w:rPr>
              <w:tab/>
            </w:r>
            <w:r>
              <w:rPr>
                <w:noProof/>
                <w:webHidden/>
              </w:rPr>
              <w:fldChar w:fldCharType="begin"/>
            </w:r>
            <w:r>
              <w:rPr>
                <w:noProof/>
                <w:webHidden/>
              </w:rPr>
              <w:instrText xml:space="preserve"> PAGEREF _Toc228520768 \h </w:instrText>
            </w:r>
            <w:r>
              <w:rPr>
                <w:noProof/>
                <w:webHidden/>
              </w:rPr>
            </w:r>
            <w:r>
              <w:rPr>
                <w:noProof/>
                <w:webHidden/>
              </w:rPr>
              <w:fldChar w:fldCharType="separate"/>
            </w:r>
            <w:r>
              <w:rPr>
                <w:noProof/>
                <w:webHidden/>
              </w:rPr>
              <w:t>9</w:t>
            </w:r>
            <w:r>
              <w:rPr>
                <w:noProof/>
                <w:webHidden/>
              </w:rPr>
              <w:fldChar w:fldCharType="end"/>
            </w:r>
          </w:hyperlink>
        </w:p>
        <w:p w14:paraId="515C47A9" w14:textId="61996843"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69" w:history="1">
            <w:r w:rsidRPr="005B013E">
              <w:rPr>
                <w:rStyle w:val="Hyperlink"/>
                <w:rFonts w:eastAsia="Arial Unicode MS" w:cs="Arial Unicode MS"/>
                <w:noProof/>
              </w:rPr>
              <w:t>Internal Business Process Perspective</w:t>
            </w:r>
            <w:r>
              <w:rPr>
                <w:noProof/>
                <w:webHidden/>
              </w:rPr>
              <w:tab/>
            </w:r>
            <w:r>
              <w:rPr>
                <w:noProof/>
                <w:webHidden/>
              </w:rPr>
              <w:fldChar w:fldCharType="begin"/>
            </w:r>
            <w:r>
              <w:rPr>
                <w:noProof/>
                <w:webHidden/>
              </w:rPr>
              <w:instrText xml:space="preserve"> PAGEREF _Toc228520769 \h </w:instrText>
            </w:r>
            <w:r>
              <w:rPr>
                <w:noProof/>
                <w:webHidden/>
              </w:rPr>
            </w:r>
            <w:r>
              <w:rPr>
                <w:noProof/>
                <w:webHidden/>
              </w:rPr>
              <w:fldChar w:fldCharType="separate"/>
            </w:r>
            <w:r>
              <w:rPr>
                <w:noProof/>
                <w:webHidden/>
              </w:rPr>
              <w:t>10</w:t>
            </w:r>
            <w:r>
              <w:rPr>
                <w:noProof/>
                <w:webHidden/>
              </w:rPr>
              <w:fldChar w:fldCharType="end"/>
            </w:r>
          </w:hyperlink>
        </w:p>
        <w:p w14:paraId="5C35FCE1" w14:textId="584E1AA4"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0" w:history="1">
            <w:r w:rsidRPr="005B013E">
              <w:rPr>
                <w:rStyle w:val="Hyperlink"/>
                <w:rFonts w:eastAsia="Arial Unicode MS" w:cs="Arial Unicode MS"/>
                <w:noProof/>
              </w:rPr>
              <w:t>Learning and Growth Perspective</w:t>
            </w:r>
            <w:r>
              <w:rPr>
                <w:noProof/>
                <w:webHidden/>
              </w:rPr>
              <w:tab/>
            </w:r>
            <w:r>
              <w:rPr>
                <w:noProof/>
                <w:webHidden/>
              </w:rPr>
              <w:fldChar w:fldCharType="begin"/>
            </w:r>
            <w:r>
              <w:rPr>
                <w:noProof/>
                <w:webHidden/>
              </w:rPr>
              <w:instrText xml:space="preserve"> PAGEREF _Toc228520770 \h </w:instrText>
            </w:r>
            <w:r>
              <w:rPr>
                <w:noProof/>
                <w:webHidden/>
              </w:rPr>
            </w:r>
            <w:r>
              <w:rPr>
                <w:noProof/>
                <w:webHidden/>
              </w:rPr>
              <w:fldChar w:fldCharType="separate"/>
            </w:r>
            <w:r>
              <w:rPr>
                <w:noProof/>
                <w:webHidden/>
              </w:rPr>
              <w:t>11</w:t>
            </w:r>
            <w:r>
              <w:rPr>
                <w:noProof/>
                <w:webHidden/>
              </w:rPr>
              <w:fldChar w:fldCharType="end"/>
            </w:r>
          </w:hyperlink>
        </w:p>
        <w:p w14:paraId="1E331F74" w14:textId="6E5E8FE3" w:rsidR="00E27034" w:rsidRDefault="00E27034">
          <w:pPr>
            <w:pStyle w:val="TOC2"/>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1" w:history="1">
            <w:r w:rsidRPr="005B013E">
              <w:rPr>
                <w:rStyle w:val="Hyperlink"/>
                <w:rFonts w:eastAsia="Arial Unicode MS" w:cs="Arial Unicode MS"/>
                <w:noProof/>
              </w:rPr>
              <w:t>1.5 Strategic Choices and Implementation</w:t>
            </w:r>
            <w:r>
              <w:rPr>
                <w:noProof/>
                <w:webHidden/>
              </w:rPr>
              <w:tab/>
            </w:r>
            <w:r>
              <w:rPr>
                <w:noProof/>
                <w:webHidden/>
              </w:rPr>
              <w:fldChar w:fldCharType="begin"/>
            </w:r>
            <w:r>
              <w:rPr>
                <w:noProof/>
                <w:webHidden/>
              </w:rPr>
              <w:instrText xml:space="preserve"> PAGEREF _Toc228520771 \h </w:instrText>
            </w:r>
            <w:r>
              <w:rPr>
                <w:noProof/>
                <w:webHidden/>
              </w:rPr>
            </w:r>
            <w:r>
              <w:rPr>
                <w:noProof/>
                <w:webHidden/>
              </w:rPr>
              <w:fldChar w:fldCharType="separate"/>
            </w:r>
            <w:r>
              <w:rPr>
                <w:noProof/>
                <w:webHidden/>
              </w:rPr>
              <w:t>12</w:t>
            </w:r>
            <w:r>
              <w:rPr>
                <w:noProof/>
                <w:webHidden/>
              </w:rPr>
              <w:fldChar w:fldCharType="end"/>
            </w:r>
          </w:hyperlink>
        </w:p>
        <w:p w14:paraId="2A4A6535" w14:textId="1F08C86B"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2" w:history="1">
            <w:r w:rsidRPr="005B013E">
              <w:rPr>
                <w:rStyle w:val="Hyperlink"/>
                <w:rFonts w:eastAsia="Arial Unicode MS" w:cs="Arial Unicode MS"/>
                <w:noProof/>
              </w:rPr>
              <w:t>Business-Level Strategy</w:t>
            </w:r>
            <w:r>
              <w:rPr>
                <w:noProof/>
                <w:webHidden/>
              </w:rPr>
              <w:tab/>
            </w:r>
            <w:r>
              <w:rPr>
                <w:noProof/>
                <w:webHidden/>
              </w:rPr>
              <w:fldChar w:fldCharType="begin"/>
            </w:r>
            <w:r>
              <w:rPr>
                <w:noProof/>
                <w:webHidden/>
              </w:rPr>
              <w:instrText xml:space="preserve"> PAGEREF _Toc228520772 \h </w:instrText>
            </w:r>
            <w:r>
              <w:rPr>
                <w:noProof/>
                <w:webHidden/>
              </w:rPr>
            </w:r>
            <w:r>
              <w:rPr>
                <w:noProof/>
                <w:webHidden/>
              </w:rPr>
              <w:fldChar w:fldCharType="separate"/>
            </w:r>
            <w:r>
              <w:rPr>
                <w:noProof/>
                <w:webHidden/>
              </w:rPr>
              <w:t>12</w:t>
            </w:r>
            <w:r>
              <w:rPr>
                <w:noProof/>
                <w:webHidden/>
              </w:rPr>
              <w:fldChar w:fldCharType="end"/>
            </w:r>
          </w:hyperlink>
        </w:p>
        <w:p w14:paraId="03196159" w14:textId="4D6674D1"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3" w:history="1">
            <w:r w:rsidRPr="005B013E">
              <w:rPr>
                <w:rStyle w:val="Hyperlink"/>
                <w:rFonts w:eastAsia="Arial Unicode MS" w:cs="Arial Unicode MS"/>
                <w:noProof/>
              </w:rPr>
              <w:t>Corporate-Level Strategy</w:t>
            </w:r>
            <w:r>
              <w:rPr>
                <w:noProof/>
                <w:webHidden/>
              </w:rPr>
              <w:tab/>
            </w:r>
            <w:r>
              <w:rPr>
                <w:noProof/>
                <w:webHidden/>
              </w:rPr>
              <w:fldChar w:fldCharType="begin"/>
            </w:r>
            <w:r>
              <w:rPr>
                <w:noProof/>
                <w:webHidden/>
              </w:rPr>
              <w:instrText xml:space="preserve"> PAGEREF _Toc228520773 \h </w:instrText>
            </w:r>
            <w:r>
              <w:rPr>
                <w:noProof/>
                <w:webHidden/>
              </w:rPr>
            </w:r>
            <w:r>
              <w:rPr>
                <w:noProof/>
                <w:webHidden/>
              </w:rPr>
              <w:fldChar w:fldCharType="separate"/>
            </w:r>
            <w:r>
              <w:rPr>
                <w:noProof/>
                <w:webHidden/>
              </w:rPr>
              <w:t>12</w:t>
            </w:r>
            <w:r>
              <w:rPr>
                <w:noProof/>
                <w:webHidden/>
              </w:rPr>
              <w:fldChar w:fldCharType="end"/>
            </w:r>
          </w:hyperlink>
        </w:p>
        <w:p w14:paraId="7FB8448E" w14:textId="0033A6C8"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4" w:history="1">
            <w:r w:rsidRPr="005B013E">
              <w:rPr>
                <w:rStyle w:val="Hyperlink"/>
                <w:rFonts w:eastAsia="Arial Unicode MS" w:cs="Arial Unicode MS"/>
                <w:noProof/>
              </w:rPr>
              <w:t>Change Management and Implementation</w:t>
            </w:r>
            <w:r>
              <w:rPr>
                <w:noProof/>
                <w:webHidden/>
              </w:rPr>
              <w:tab/>
            </w:r>
            <w:r>
              <w:rPr>
                <w:noProof/>
                <w:webHidden/>
              </w:rPr>
              <w:fldChar w:fldCharType="begin"/>
            </w:r>
            <w:r>
              <w:rPr>
                <w:noProof/>
                <w:webHidden/>
              </w:rPr>
              <w:instrText xml:space="preserve"> PAGEREF _Toc228520774 \h </w:instrText>
            </w:r>
            <w:r>
              <w:rPr>
                <w:noProof/>
                <w:webHidden/>
              </w:rPr>
            </w:r>
            <w:r>
              <w:rPr>
                <w:noProof/>
                <w:webHidden/>
              </w:rPr>
              <w:fldChar w:fldCharType="separate"/>
            </w:r>
            <w:r>
              <w:rPr>
                <w:noProof/>
                <w:webHidden/>
              </w:rPr>
              <w:t>13</w:t>
            </w:r>
            <w:r>
              <w:rPr>
                <w:noProof/>
                <w:webHidden/>
              </w:rPr>
              <w:fldChar w:fldCharType="end"/>
            </w:r>
          </w:hyperlink>
        </w:p>
        <w:p w14:paraId="5B2B08C0" w14:textId="722D47EC" w:rsidR="00E27034" w:rsidRDefault="00E27034">
          <w:pPr>
            <w:pStyle w:val="TOC2"/>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5" w:history="1">
            <w:r w:rsidRPr="005B013E">
              <w:rPr>
                <w:rStyle w:val="Hyperlink"/>
                <w:rFonts w:eastAsia="Arial Unicode MS" w:cs="Arial Unicode MS"/>
                <w:noProof/>
              </w:rPr>
              <w:t>1.6 Strategic Evaluation and Recommendations</w:t>
            </w:r>
            <w:r>
              <w:rPr>
                <w:noProof/>
                <w:webHidden/>
              </w:rPr>
              <w:tab/>
            </w:r>
            <w:r>
              <w:rPr>
                <w:noProof/>
                <w:webHidden/>
              </w:rPr>
              <w:fldChar w:fldCharType="begin"/>
            </w:r>
            <w:r>
              <w:rPr>
                <w:noProof/>
                <w:webHidden/>
              </w:rPr>
              <w:instrText xml:space="preserve"> PAGEREF _Toc228520775 \h </w:instrText>
            </w:r>
            <w:r>
              <w:rPr>
                <w:noProof/>
                <w:webHidden/>
              </w:rPr>
            </w:r>
            <w:r>
              <w:rPr>
                <w:noProof/>
                <w:webHidden/>
              </w:rPr>
              <w:fldChar w:fldCharType="separate"/>
            </w:r>
            <w:r>
              <w:rPr>
                <w:noProof/>
                <w:webHidden/>
              </w:rPr>
              <w:t>14</w:t>
            </w:r>
            <w:r>
              <w:rPr>
                <w:noProof/>
                <w:webHidden/>
              </w:rPr>
              <w:fldChar w:fldCharType="end"/>
            </w:r>
          </w:hyperlink>
        </w:p>
        <w:p w14:paraId="1CFBA6C3" w14:textId="3132C2DB"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6" w:history="1">
            <w:r w:rsidRPr="005B013E">
              <w:rPr>
                <w:rStyle w:val="Hyperlink"/>
                <w:rFonts w:eastAsia="Arial Unicode MS" w:cs="Arial Unicode MS"/>
                <w:noProof/>
              </w:rPr>
              <w:t>SWOT Analysis</w:t>
            </w:r>
            <w:r>
              <w:rPr>
                <w:noProof/>
                <w:webHidden/>
              </w:rPr>
              <w:tab/>
            </w:r>
            <w:r>
              <w:rPr>
                <w:noProof/>
                <w:webHidden/>
              </w:rPr>
              <w:fldChar w:fldCharType="begin"/>
            </w:r>
            <w:r>
              <w:rPr>
                <w:noProof/>
                <w:webHidden/>
              </w:rPr>
              <w:instrText xml:space="preserve"> PAGEREF _Toc228520776 \h </w:instrText>
            </w:r>
            <w:r>
              <w:rPr>
                <w:noProof/>
                <w:webHidden/>
              </w:rPr>
            </w:r>
            <w:r>
              <w:rPr>
                <w:noProof/>
                <w:webHidden/>
              </w:rPr>
              <w:fldChar w:fldCharType="separate"/>
            </w:r>
            <w:r>
              <w:rPr>
                <w:noProof/>
                <w:webHidden/>
              </w:rPr>
              <w:t>14</w:t>
            </w:r>
            <w:r>
              <w:rPr>
                <w:noProof/>
                <w:webHidden/>
              </w:rPr>
              <w:fldChar w:fldCharType="end"/>
            </w:r>
          </w:hyperlink>
        </w:p>
        <w:p w14:paraId="7D3947B9" w14:textId="181003EA"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7" w:history="1">
            <w:r w:rsidRPr="005B013E">
              <w:rPr>
                <w:rStyle w:val="Hyperlink"/>
                <w:noProof/>
              </w:rPr>
              <w:t>Strategic Recommendations</w:t>
            </w:r>
            <w:r>
              <w:rPr>
                <w:noProof/>
                <w:webHidden/>
              </w:rPr>
              <w:tab/>
            </w:r>
            <w:r>
              <w:rPr>
                <w:noProof/>
                <w:webHidden/>
              </w:rPr>
              <w:fldChar w:fldCharType="begin"/>
            </w:r>
            <w:r>
              <w:rPr>
                <w:noProof/>
                <w:webHidden/>
              </w:rPr>
              <w:instrText xml:space="preserve"> PAGEREF _Toc228520777 \h </w:instrText>
            </w:r>
            <w:r>
              <w:rPr>
                <w:noProof/>
                <w:webHidden/>
              </w:rPr>
            </w:r>
            <w:r>
              <w:rPr>
                <w:noProof/>
                <w:webHidden/>
              </w:rPr>
              <w:fldChar w:fldCharType="separate"/>
            </w:r>
            <w:r>
              <w:rPr>
                <w:noProof/>
                <w:webHidden/>
              </w:rPr>
              <w:t>15</w:t>
            </w:r>
            <w:r>
              <w:rPr>
                <w:noProof/>
                <w:webHidden/>
              </w:rPr>
              <w:fldChar w:fldCharType="end"/>
            </w:r>
          </w:hyperlink>
        </w:p>
        <w:p w14:paraId="19818FF3" w14:textId="06CB10AE" w:rsidR="00E27034" w:rsidRDefault="00E27034">
          <w:pPr>
            <w:pStyle w:val="TOC2"/>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8" w:history="1">
            <w:r w:rsidRPr="005B013E">
              <w:rPr>
                <w:rStyle w:val="Hyperlink"/>
                <w:noProof/>
              </w:rPr>
              <w:t>Conclusion</w:t>
            </w:r>
            <w:r>
              <w:rPr>
                <w:noProof/>
                <w:webHidden/>
              </w:rPr>
              <w:tab/>
            </w:r>
            <w:r>
              <w:rPr>
                <w:noProof/>
                <w:webHidden/>
              </w:rPr>
              <w:fldChar w:fldCharType="begin"/>
            </w:r>
            <w:r>
              <w:rPr>
                <w:noProof/>
                <w:webHidden/>
              </w:rPr>
              <w:instrText xml:space="preserve"> PAGEREF _Toc228520778 \h </w:instrText>
            </w:r>
            <w:r>
              <w:rPr>
                <w:noProof/>
                <w:webHidden/>
              </w:rPr>
            </w:r>
            <w:r>
              <w:rPr>
                <w:noProof/>
                <w:webHidden/>
              </w:rPr>
              <w:fldChar w:fldCharType="separate"/>
            </w:r>
            <w:r>
              <w:rPr>
                <w:noProof/>
                <w:webHidden/>
              </w:rPr>
              <w:t>18</w:t>
            </w:r>
            <w:r>
              <w:rPr>
                <w:noProof/>
                <w:webHidden/>
              </w:rPr>
              <w:fldChar w:fldCharType="end"/>
            </w:r>
          </w:hyperlink>
        </w:p>
        <w:p w14:paraId="1A7C2DFA" w14:textId="68B89CEE" w:rsidR="00E27034" w:rsidRDefault="00E27034">
          <w:pPr>
            <w:pStyle w:val="TOC1"/>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79" w:history="1">
            <w:r w:rsidRPr="005B013E">
              <w:rPr>
                <w:rStyle w:val="Hyperlink"/>
                <w:noProof/>
                <w:lang w:val="de-DE"/>
              </w:rPr>
              <w:t>SECTION 2: REFLECTIVE ACCOUNT</w:t>
            </w:r>
            <w:r>
              <w:rPr>
                <w:noProof/>
                <w:webHidden/>
              </w:rPr>
              <w:tab/>
            </w:r>
            <w:r>
              <w:rPr>
                <w:noProof/>
                <w:webHidden/>
              </w:rPr>
              <w:fldChar w:fldCharType="begin"/>
            </w:r>
            <w:r>
              <w:rPr>
                <w:noProof/>
                <w:webHidden/>
              </w:rPr>
              <w:instrText xml:space="preserve"> PAGEREF _Toc228520779 \h </w:instrText>
            </w:r>
            <w:r>
              <w:rPr>
                <w:noProof/>
                <w:webHidden/>
              </w:rPr>
            </w:r>
            <w:r>
              <w:rPr>
                <w:noProof/>
                <w:webHidden/>
              </w:rPr>
              <w:fldChar w:fldCharType="separate"/>
            </w:r>
            <w:r>
              <w:rPr>
                <w:noProof/>
                <w:webHidden/>
              </w:rPr>
              <w:t>19</w:t>
            </w:r>
            <w:r>
              <w:rPr>
                <w:noProof/>
                <w:webHidden/>
              </w:rPr>
              <w:fldChar w:fldCharType="end"/>
            </w:r>
          </w:hyperlink>
        </w:p>
        <w:p w14:paraId="28FC9B5A" w14:textId="17BC6828"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80" w:history="1">
            <w:r w:rsidRPr="005B013E">
              <w:rPr>
                <w:rStyle w:val="Hyperlink"/>
                <w:noProof/>
              </w:rPr>
              <w:t>Description</w:t>
            </w:r>
            <w:r>
              <w:rPr>
                <w:noProof/>
                <w:webHidden/>
              </w:rPr>
              <w:tab/>
            </w:r>
            <w:r>
              <w:rPr>
                <w:noProof/>
                <w:webHidden/>
              </w:rPr>
              <w:fldChar w:fldCharType="begin"/>
            </w:r>
            <w:r>
              <w:rPr>
                <w:noProof/>
                <w:webHidden/>
              </w:rPr>
              <w:instrText xml:space="preserve"> PAGEREF _Toc228520780 \h </w:instrText>
            </w:r>
            <w:r>
              <w:rPr>
                <w:noProof/>
                <w:webHidden/>
              </w:rPr>
            </w:r>
            <w:r>
              <w:rPr>
                <w:noProof/>
                <w:webHidden/>
              </w:rPr>
              <w:fldChar w:fldCharType="separate"/>
            </w:r>
            <w:r>
              <w:rPr>
                <w:noProof/>
                <w:webHidden/>
              </w:rPr>
              <w:t>19</w:t>
            </w:r>
            <w:r>
              <w:rPr>
                <w:noProof/>
                <w:webHidden/>
              </w:rPr>
              <w:fldChar w:fldCharType="end"/>
            </w:r>
          </w:hyperlink>
        </w:p>
        <w:p w14:paraId="7DE082C4" w14:textId="0B7ACA95"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81" w:history="1">
            <w:r w:rsidRPr="005B013E">
              <w:rPr>
                <w:rStyle w:val="Hyperlink"/>
                <w:noProof/>
                <w:lang w:val="nl-NL"/>
              </w:rPr>
              <w:t>Feelings</w:t>
            </w:r>
            <w:r>
              <w:rPr>
                <w:noProof/>
                <w:webHidden/>
              </w:rPr>
              <w:tab/>
            </w:r>
            <w:r>
              <w:rPr>
                <w:noProof/>
                <w:webHidden/>
              </w:rPr>
              <w:fldChar w:fldCharType="begin"/>
            </w:r>
            <w:r>
              <w:rPr>
                <w:noProof/>
                <w:webHidden/>
              </w:rPr>
              <w:instrText xml:space="preserve"> PAGEREF _Toc228520781 \h </w:instrText>
            </w:r>
            <w:r>
              <w:rPr>
                <w:noProof/>
                <w:webHidden/>
              </w:rPr>
            </w:r>
            <w:r>
              <w:rPr>
                <w:noProof/>
                <w:webHidden/>
              </w:rPr>
              <w:fldChar w:fldCharType="separate"/>
            </w:r>
            <w:r>
              <w:rPr>
                <w:noProof/>
                <w:webHidden/>
              </w:rPr>
              <w:t>19</w:t>
            </w:r>
            <w:r>
              <w:rPr>
                <w:noProof/>
                <w:webHidden/>
              </w:rPr>
              <w:fldChar w:fldCharType="end"/>
            </w:r>
          </w:hyperlink>
        </w:p>
        <w:p w14:paraId="29058673" w14:textId="0B5546C4"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82" w:history="1">
            <w:r w:rsidRPr="005B013E">
              <w:rPr>
                <w:rStyle w:val="Hyperlink"/>
                <w:noProof/>
              </w:rPr>
              <w:t>Evaluation</w:t>
            </w:r>
            <w:r>
              <w:rPr>
                <w:noProof/>
                <w:webHidden/>
              </w:rPr>
              <w:tab/>
            </w:r>
            <w:r>
              <w:rPr>
                <w:noProof/>
                <w:webHidden/>
              </w:rPr>
              <w:fldChar w:fldCharType="begin"/>
            </w:r>
            <w:r>
              <w:rPr>
                <w:noProof/>
                <w:webHidden/>
              </w:rPr>
              <w:instrText xml:space="preserve"> PAGEREF _Toc228520782 \h </w:instrText>
            </w:r>
            <w:r>
              <w:rPr>
                <w:noProof/>
                <w:webHidden/>
              </w:rPr>
            </w:r>
            <w:r>
              <w:rPr>
                <w:noProof/>
                <w:webHidden/>
              </w:rPr>
              <w:fldChar w:fldCharType="separate"/>
            </w:r>
            <w:r>
              <w:rPr>
                <w:noProof/>
                <w:webHidden/>
              </w:rPr>
              <w:t>20</w:t>
            </w:r>
            <w:r>
              <w:rPr>
                <w:noProof/>
                <w:webHidden/>
              </w:rPr>
              <w:fldChar w:fldCharType="end"/>
            </w:r>
          </w:hyperlink>
        </w:p>
        <w:p w14:paraId="5403BD52" w14:textId="4FA02F26"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83" w:history="1">
            <w:r w:rsidRPr="005B013E">
              <w:rPr>
                <w:rStyle w:val="Hyperlink"/>
                <w:noProof/>
              </w:rPr>
              <w:t>Analysis</w:t>
            </w:r>
            <w:r>
              <w:rPr>
                <w:noProof/>
                <w:webHidden/>
              </w:rPr>
              <w:tab/>
            </w:r>
            <w:r>
              <w:rPr>
                <w:noProof/>
                <w:webHidden/>
              </w:rPr>
              <w:fldChar w:fldCharType="begin"/>
            </w:r>
            <w:r>
              <w:rPr>
                <w:noProof/>
                <w:webHidden/>
              </w:rPr>
              <w:instrText xml:space="preserve"> PAGEREF _Toc228520783 \h </w:instrText>
            </w:r>
            <w:r>
              <w:rPr>
                <w:noProof/>
                <w:webHidden/>
              </w:rPr>
            </w:r>
            <w:r>
              <w:rPr>
                <w:noProof/>
                <w:webHidden/>
              </w:rPr>
              <w:fldChar w:fldCharType="separate"/>
            </w:r>
            <w:r>
              <w:rPr>
                <w:noProof/>
                <w:webHidden/>
              </w:rPr>
              <w:t>20</w:t>
            </w:r>
            <w:r>
              <w:rPr>
                <w:noProof/>
                <w:webHidden/>
              </w:rPr>
              <w:fldChar w:fldCharType="end"/>
            </w:r>
          </w:hyperlink>
        </w:p>
        <w:p w14:paraId="2E82E0EF" w14:textId="08A02144" w:rsidR="00E27034" w:rsidRDefault="00E27034">
          <w:pPr>
            <w:pStyle w:val="TOC3"/>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84" w:history="1">
            <w:r w:rsidRPr="005B013E">
              <w:rPr>
                <w:rStyle w:val="Hyperlink"/>
                <w:noProof/>
                <w:lang w:val="fr-FR"/>
              </w:rPr>
              <w:t>Action Plan</w:t>
            </w:r>
            <w:r>
              <w:rPr>
                <w:noProof/>
                <w:webHidden/>
              </w:rPr>
              <w:tab/>
            </w:r>
            <w:r>
              <w:rPr>
                <w:noProof/>
                <w:webHidden/>
              </w:rPr>
              <w:fldChar w:fldCharType="begin"/>
            </w:r>
            <w:r>
              <w:rPr>
                <w:noProof/>
                <w:webHidden/>
              </w:rPr>
              <w:instrText xml:space="preserve"> PAGEREF _Toc228520784 \h </w:instrText>
            </w:r>
            <w:r>
              <w:rPr>
                <w:noProof/>
                <w:webHidden/>
              </w:rPr>
            </w:r>
            <w:r>
              <w:rPr>
                <w:noProof/>
                <w:webHidden/>
              </w:rPr>
              <w:fldChar w:fldCharType="separate"/>
            </w:r>
            <w:r>
              <w:rPr>
                <w:noProof/>
                <w:webHidden/>
              </w:rPr>
              <w:t>21</w:t>
            </w:r>
            <w:r>
              <w:rPr>
                <w:noProof/>
                <w:webHidden/>
              </w:rPr>
              <w:fldChar w:fldCharType="end"/>
            </w:r>
          </w:hyperlink>
        </w:p>
        <w:p w14:paraId="6DFC0B1C" w14:textId="753F5449" w:rsidR="00E27034" w:rsidRDefault="00E27034">
          <w:pPr>
            <w:pStyle w:val="TOC1"/>
            <w:rPr>
              <w:rFonts w:asciiTheme="minorHAnsi" w:eastAsiaTheme="minorEastAsia" w:hAnsiTheme="minorHAnsi" w:cstheme="minorBidi"/>
              <w:noProof/>
              <w:color w:val="auto"/>
              <w:kern w:val="2"/>
              <w:szCs w:val="21"/>
              <w:bdr w:val="none" w:sz="0" w:space="0" w:color="auto"/>
              <w:lang w:val="en-GB"/>
              <w14:ligatures w14:val="standardContextual"/>
            </w:rPr>
          </w:pPr>
          <w:hyperlink w:anchor="_Toc228520785" w:history="1">
            <w:r w:rsidRPr="005B013E">
              <w:rPr>
                <w:rStyle w:val="Hyperlink"/>
                <w:rFonts w:eastAsia="Arial Unicode MS" w:cs="Arial Unicode MS"/>
                <w:noProof/>
                <w:lang w:val="fr-FR"/>
              </w:rPr>
              <w:t>Reference List</w:t>
            </w:r>
            <w:r>
              <w:rPr>
                <w:noProof/>
                <w:webHidden/>
              </w:rPr>
              <w:tab/>
            </w:r>
            <w:r>
              <w:rPr>
                <w:noProof/>
                <w:webHidden/>
              </w:rPr>
              <w:fldChar w:fldCharType="begin"/>
            </w:r>
            <w:r>
              <w:rPr>
                <w:noProof/>
                <w:webHidden/>
              </w:rPr>
              <w:instrText xml:space="preserve"> PAGEREF _Toc228520785 \h </w:instrText>
            </w:r>
            <w:r>
              <w:rPr>
                <w:noProof/>
                <w:webHidden/>
              </w:rPr>
            </w:r>
            <w:r>
              <w:rPr>
                <w:noProof/>
                <w:webHidden/>
              </w:rPr>
              <w:fldChar w:fldCharType="separate"/>
            </w:r>
            <w:r>
              <w:rPr>
                <w:noProof/>
                <w:webHidden/>
              </w:rPr>
              <w:t>22</w:t>
            </w:r>
            <w:r>
              <w:rPr>
                <w:noProof/>
                <w:webHidden/>
              </w:rPr>
              <w:fldChar w:fldCharType="end"/>
            </w:r>
          </w:hyperlink>
        </w:p>
        <w:p w14:paraId="1E8B6E4F" w14:textId="79432CA7" w:rsidR="00FC3E6C" w:rsidRDefault="00FC3E6C">
          <w:r>
            <w:rPr>
              <w:b/>
              <w:bCs/>
            </w:rPr>
            <w:fldChar w:fldCharType="end"/>
          </w:r>
        </w:p>
      </w:sdtContent>
    </w:sdt>
    <w:p w14:paraId="107A2670" w14:textId="5C244C6A" w:rsidR="000B500E" w:rsidRDefault="00FC3E6C">
      <w:pPr>
        <w:pStyle w:val="Body"/>
        <w:rPr>
          <w:rFonts w:ascii="Aptos" w:eastAsia="Aptos" w:hAnsi="Aptos" w:cs="Aptos"/>
          <w:kern w:val="2"/>
        </w:rPr>
      </w:pPr>
      <w:r>
        <w:rPr>
          <w:rFonts w:ascii="Aptos" w:eastAsia="Aptos" w:hAnsi="Aptos" w:cs="Aptos"/>
          <w:kern w:val="2"/>
        </w:rPr>
        <w:t xml:space="preserve"> </w:t>
      </w:r>
    </w:p>
    <w:p w14:paraId="7E7E9B21" w14:textId="77777777" w:rsidR="00FC3E6C" w:rsidRDefault="00000000">
      <w:pPr>
        <w:pStyle w:val="Body"/>
        <w:rPr>
          <w:rFonts w:ascii="Arial Unicode MS" w:hAnsi="Arial Unicode MS"/>
        </w:rPr>
        <w:sectPr w:rsidR="00FC3E6C" w:rsidSect="00FC3E6C">
          <w:footerReference w:type="default" r:id="rId10"/>
          <w:pgSz w:w="11900" w:h="16840"/>
          <w:pgMar w:top="1440" w:right="1440" w:bottom="1440" w:left="1440" w:header="708" w:footer="708" w:gutter="0"/>
          <w:pgNumType w:fmt="upperLetter" w:start="1"/>
          <w:cols w:space="720"/>
        </w:sectPr>
      </w:pPr>
      <w:r>
        <w:rPr>
          <w:rFonts w:ascii="Arial Unicode MS" w:hAnsi="Arial Unicode MS"/>
        </w:rPr>
        <w:br w:type="page"/>
      </w:r>
    </w:p>
    <w:p w14:paraId="39215242" w14:textId="77777777" w:rsidR="000B500E" w:rsidRDefault="000B500E">
      <w:pPr>
        <w:pStyle w:val="Body"/>
      </w:pPr>
    </w:p>
    <w:p w14:paraId="4E5D70F6" w14:textId="77777777" w:rsidR="000B500E" w:rsidRDefault="00000000">
      <w:pPr>
        <w:pStyle w:val="Heading"/>
      </w:pPr>
      <w:bookmarkStart w:id="0" w:name="_Toc"/>
      <w:bookmarkStart w:id="1" w:name="_Toc228518541"/>
      <w:bookmarkStart w:id="2" w:name="_Toc228520754"/>
      <w:r>
        <w:rPr>
          <w:rFonts w:eastAsia="Arial Unicode MS" w:cs="Arial Unicode MS"/>
          <w:lang w:val="fr-FR"/>
        </w:rPr>
        <w:t>Introduction</w:t>
      </w:r>
      <w:bookmarkEnd w:id="0"/>
      <w:bookmarkEnd w:id="1"/>
      <w:bookmarkEnd w:id="2"/>
    </w:p>
    <w:p w14:paraId="101884FB" w14:textId="77777777" w:rsidR="00C36384" w:rsidRDefault="00C36384" w:rsidP="00C36384">
      <w:r>
        <w:t>H&amp;M continues to operate at scale, with 2024 net sales of SEK 234,478 million, a store portfolio of 4,253 stores, and e-commerce sales accounting for about 30 per cent of group net sales - all data that indicate the company's continued operational growth, but do not reflect its strategic sustainability (H&amp;M Group, 2025a). But size is no longer H&amp;M's strategic challenge. This report suggests that H&amp;M's problem is the authenticity of its sustainability message versus the reality of a scale-driven, fast-fashion business model, at a time when digital convergence, AI-enabled retailing and regulatory pressures are making fuzzy strategic positioning more difficult.</w:t>
      </w:r>
    </w:p>
    <w:p w14:paraId="17B25A2B" w14:textId="77777777" w:rsidR="00C36384" w:rsidRDefault="00C36384" w:rsidP="00C36384">
      <w:r>
        <w:t>This is significant because H&amp;M is trying to simultaneously compete on price, style, digital and sustainability in an industry where these elements are being redefined by more specific competitors. The advent of "ultra-fast fashion" brands like Shein has shrunk the cost envelope beyond H&amp;M's capabilities; Zara's data-driven supply chain is still the industry standard-bearer for speed to market; and the rise of ethical consumerism is driving up sustainability expectations from consumer to producer rather than sustainability messaging (McKinsey and Company and Business of Fashion, 2023). Meanwhile, regulators are not relying solely on voluntary disclosure: the Dutch Authority for Consumers and Markets (2022) required H&amp;M to correct sustainability claims deemed to mislead, and H&amp;M's reputation now rests on an auditable operational capability, rather than mere persuasive marketing.</w:t>
      </w:r>
    </w:p>
    <w:p w14:paraId="3F739CD7" w14:textId="50F3A157" w:rsidR="000B500E" w:rsidRDefault="00C36384" w:rsidP="00EB0657">
      <w:r>
        <w:t>H&amp;M has made real material gains. Its 2024 sustainability report shows a 24 per cent decline in scope 3 emissions on its 2019 baseline, 89 per cent of products in commerce made with recycled or sustainably produced materials, and substantial investment in decarbonising and tracing its suppliers (H&amp;M Group, 2025b). But this does not solve the strategic dilemma identified by Fletcher (2014): the need to drive more frequent, low-cost transactions is incompatible with a sustainable environmental commitment through piecemeal sustainability measures. The question this report asks, therefore, is not whether H&amp;M is making sustainability inroads, but whether it is making them deeply enough - and fast enough - to transform sustainability from communications capital to a truly sustainable and inimitable competitive advantage before regulatory, reputational and competitive factors converge.</w:t>
      </w:r>
      <w:r>
        <w:rPr>
          <w:rFonts w:ascii="Arial Unicode MS" w:hAnsi="Arial Unicode MS"/>
        </w:rPr>
        <w:br w:type="page"/>
      </w:r>
    </w:p>
    <w:p w14:paraId="5154AFDB" w14:textId="77777777" w:rsidR="000B500E" w:rsidRDefault="00000000">
      <w:pPr>
        <w:pStyle w:val="Heading"/>
      </w:pPr>
      <w:bookmarkStart w:id="3" w:name="_Toc1"/>
      <w:bookmarkStart w:id="4" w:name="_Toc228518542"/>
      <w:bookmarkStart w:id="5" w:name="_Toc228520755"/>
      <w:r>
        <w:rPr>
          <w:rFonts w:eastAsia="Arial Unicode MS" w:cs="Arial Unicode MS"/>
          <w:lang w:val="de-DE"/>
        </w:rPr>
        <w:lastRenderedPageBreak/>
        <w:t>SECTION 1: STRATEGIC ANALYSIS</w:t>
      </w:r>
      <w:bookmarkEnd w:id="3"/>
      <w:bookmarkEnd w:id="4"/>
      <w:bookmarkEnd w:id="5"/>
    </w:p>
    <w:p w14:paraId="38EB56E6" w14:textId="6278661F" w:rsidR="000B500E" w:rsidRDefault="00000000">
      <w:pPr>
        <w:pStyle w:val="Heading2"/>
      </w:pPr>
      <w:bookmarkStart w:id="6" w:name="_Toc2"/>
      <w:bookmarkStart w:id="7" w:name="_Toc228518543"/>
      <w:bookmarkStart w:id="8" w:name="_Toc228520756"/>
      <w:proofErr w:type="gramStart"/>
      <w:r>
        <w:rPr>
          <w:rFonts w:eastAsia="Arial Unicode MS" w:cs="Arial Unicode MS"/>
          <w:lang w:val="en-US"/>
        </w:rPr>
        <w:t xml:space="preserve">1.1  </w:t>
      </w:r>
      <w:r w:rsidR="00483087">
        <w:rPr>
          <w:rFonts w:eastAsia="Arial Unicode MS" w:cs="Arial Unicode MS"/>
          <w:lang w:val="en-US"/>
        </w:rPr>
        <w:t>Organizational</w:t>
      </w:r>
      <w:proofErr w:type="gramEnd"/>
      <w:r>
        <w:rPr>
          <w:rFonts w:eastAsia="Arial Unicode MS" w:cs="Arial Unicode MS"/>
          <w:lang w:val="en-US"/>
        </w:rPr>
        <w:t xml:space="preserve"> Context and Overview</w:t>
      </w:r>
      <w:bookmarkEnd w:id="6"/>
      <w:bookmarkEnd w:id="7"/>
      <w:bookmarkEnd w:id="8"/>
    </w:p>
    <w:p w14:paraId="37719670" w14:textId="77777777" w:rsidR="000B500E" w:rsidRDefault="00000000">
      <w:pPr>
        <w:pStyle w:val="Heading3"/>
      </w:pPr>
      <w:bookmarkStart w:id="9" w:name="_Toc3"/>
      <w:bookmarkStart w:id="10" w:name="_Toc228518544"/>
      <w:bookmarkStart w:id="11" w:name="_Toc228520757"/>
      <w:r>
        <w:rPr>
          <w:rFonts w:eastAsia="Arial Unicode MS" w:cs="Arial Unicode MS"/>
          <w:lang w:val="en-US"/>
        </w:rPr>
        <w:t>Background and History</w:t>
      </w:r>
      <w:bookmarkEnd w:id="9"/>
      <w:bookmarkEnd w:id="10"/>
      <w:bookmarkEnd w:id="11"/>
    </w:p>
    <w:p w14:paraId="7702D902" w14:textId="77777777" w:rsidR="00C36384" w:rsidRPr="00C36384" w:rsidRDefault="00C36384" w:rsidP="00C36384">
      <w:r w:rsidRPr="00C36384">
        <w:t>H&amp;M was established in 1947 by Erling Persson in Vasteras, Sweden, as a women's clothing retailer, initially known as Hennes, which translates to '</w:t>
      </w:r>
      <w:proofErr w:type="spellStart"/>
      <w:r w:rsidRPr="00C36384">
        <w:t>hers'</w:t>
      </w:r>
      <w:proofErr w:type="spellEnd"/>
      <w:r w:rsidRPr="00C36384">
        <w:t xml:space="preserve"> in Swedish. After purchasing the hunting equipment wholesaler Mauritz Widforss in 1968, the retailer began selling men's clothing and changed its name to Hennes and Mauritz. In the subsequent decades, H&amp;M grew to become one of the world's most prominent fashion brands with a presence throughout Europe, the US and Asia. Today the H&amp;M Group includes a range of brands, including H&amp;M, COS, Weekday, Monki, and Other Stories, ARKET, and </w:t>
      </w:r>
      <w:proofErr w:type="spellStart"/>
      <w:r w:rsidRPr="00C36384">
        <w:t>Afound</w:t>
      </w:r>
      <w:proofErr w:type="spellEnd"/>
      <w:r w:rsidRPr="00C36384">
        <w:t>, which cater to different segments of the market, from basic everyday wear to high-end lifestyle collections (H&amp;M Group, 2023).</w:t>
      </w:r>
    </w:p>
    <w:p w14:paraId="281195E6" w14:textId="03E434C1" w:rsidR="000B500E" w:rsidRDefault="00C36384" w:rsidP="00C36384">
      <w:r w:rsidRPr="00C36384">
        <w:t>In 2023 H&amp;M Group's net sales amounted to SEK 236 billion, with more than 4,200 stores and a strong focus on online sales (H&amp;M Group, 2023). With a workforce of approximately 155,000 employees, it is one of the fashion industry's biggest employees.</w:t>
      </w:r>
    </w:p>
    <w:p w14:paraId="45B063A2" w14:textId="77777777" w:rsidR="000B500E" w:rsidRDefault="00000000">
      <w:pPr>
        <w:pStyle w:val="Heading3"/>
      </w:pPr>
      <w:bookmarkStart w:id="12" w:name="_Toc4"/>
      <w:bookmarkStart w:id="13" w:name="_Toc228518545"/>
      <w:bookmarkStart w:id="14" w:name="_Toc228520758"/>
      <w:r>
        <w:rPr>
          <w:rFonts w:eastAsia="Arial Unicode MS" w:cs="Arial Unicode MS"/>
          <w:lang w:val="en-US"/>
        </w:rPr>
        <w:t>Mission, Vision, and Business Model</w:t>
      </w:r>
      <w:bookmarkEnd w:id="12"/>
      <w:bookmarkEnd w:id="13"/>
      <w:bookmarkEnd w:id="14"/>
    </w:p>
    <w:p w14:paraId="1AEB17D8" w14:textId="3CFBC2CB" w:rsidR="000B500E" w:rsidRDefault="00C36384">
      <w:pPr>
        <w:pStyle w:val="Body"/>
        <w:spacing w:before="80" w:after="160" w:line="360" w:lineRule="auto"/>
        <w:jc w:val="both"/>
      </w:pPr>
      <w:r w:rsidRPr="00C36384">
        <w:rPr>
          <w:lang w:val="en-US"/>
        </w:rPr>
        <w:t xml:space="preserve">H&amp;M's corporate vision is to provide fashion and quality at the best price in a sustainable manner. This represents a three-fold business strategy (price, fashion, sustainability), but also presents a source of tension, as fast fashion is underpinned by a business model focused on mass production and cost-efficient supply chains, both of which can be at odds with serious sustainability goals (Fletcher, 2014). H&amp;M's strategy is based on an omni-channel retail model, which integrates a global physical retail presence with a growing online presence. Unlike its key competitor Inditex (Zara), which is heavily dependent on a </w:t>
      </w:r>
      <w:proofErr w:type="spellStart"/>
      <w:r w:rsidRPr="00C36384">
        <w:rPr>
          <w:lang w:val="en-US"/>
        </w:rPr>
        <w:t>centralised</w:t>
      </w:r>
      <w:proofErr w:type="spellEnd"/>
      <w:r w:rsidRPr="00C36384">
        <w:rPr>
          <w:lang w:val="en-US"/>
        </w:rPr>
        <w:t xml:space="preserve"> manufacturing approach close to its home base of Spain to ensure the fastest time-to-market, H&amp;M is primarily dependent on outsourcing production to suppliers in Bangladesh, China, India and other low-cost production hubs. This is cheaper, but creates vulnerability and ethical risk (</w:t>
      </w:r>
      <w:proofErr w:type="spellStart"/>
      <w:r w:rsidRPr="00C36384">
        <w:rPr>
          <w:lang w:val="en-US"/>
        </w:rPr>
        <w:t>Tokatli</w:t>
      </w:r>
      <w:proofErr w:type="spellEnd"/>
      <w:r w:rsidRPr="00C36384">
        <w:rPr>
          <w:lang w:val="en-US"/>
        </w:rPr>
        <w:t>, 2008).</w:t>
      </w:r>
    </w:p>
    <w:p w14:paraId="47FE72B7" w14:textId="77777777" w:rsidR="000B500E" w:rsidRDefault="00000000">
      <w:pPr>
        <w:pStyle w:val="Heading3"/>
      </w:pPr>
      <w:bookmarkStart w:id="15" w:name="_Toc5"/>
      <w:bookmarkStart w:id="16" w:name="_Toc228518546"/>
      <w:bookmarkStart w:id="17" w:name="_Toc228520759"/>
      <w:r>
        <w:rPr>
          <w:rFonts w:eastAsia="Arial Unicode MS" w:cs="Arial Unicode MS"/>
          <w:lang w:val="en-US"/>
        </w:rPr>
        <w:t>Industry and Competitive Position</w:t>
      </w:r>
      <w:bookmarkEnd w:id="15"/>
      <w:bookmarkEnd w:id="16"/>
      <w:bookmarkEnd w:id="17"/>
    </w:p>
    <w:p w14:paraId="0783A7A2" w14:textId="0F5EDFBB" w:rsidR="000B500E" w:rsidRDefault="00C36384">
      <w:pPr>
        <w:pStyle w:val="Body"/>
        <w:spacing w:before="80" w:after="160" w:line="360" w:lineRule="auto"/>
        <w:jc w:val="both"/>
      </w:pPr>
      <w:r w:rsidRPr="00C36384">
        <w:rPr>
          <w:lang w:val="en-US"/>
        </w:rPr>
        <w:lastRenderedPageBreak/>
        <w:t>H&amp;M operates in the international fast-fashion apparel market against Inditex (Zara), Uniqlo (Fast Retailing), Primark, ASOS, Boohoo, Shein and Mango, to name a few. The market environment has become highly fragmented in the digital economy, with ultra-fast fashion retailers like Shein that offer thousands of new products each day for very low prices, radically changing consumers' perceptions on speed and price (Caro and Martinez-de-Albeniz, 2015). In terms of strategic positioning H&amp;M sits in the middle: not as fashion-driven as Zara, not as cost-driven as Shein, not as quality-driven as Uniqlo. This danger of being "stuck in the middle" (Porter, 1985) is one of the key strategic issues for H&amp;M, as elaborated in Section 1.5.</w:t>
      </w:r>
    </w:p>
    <w:p w14:paraId="24AC8BF1" w14:textId="77777777" w:rsidR="000B500E" w:rsidRDefault="00000000">
      <w:pPr>
        <w:pStyle w:val="Heading2"/>
      </w:pPr>
      <w:bookmarkStart w:id="18" w:name="_Toc6"/>
      <w:bookmarkStart w:id="19" w:name="_Toc228518547"/>
      <w:bookmarkStart w:id="20" w:name="_Toc228520760"/>
      <w:proofErr w:type="gramStart"/>
      <w:r>
        <w:rPr>
          <w:rFonts w:eastAsia="Arial Unicode MS" w:cs="Arial Unicode MS"/>
          <w:lang w:val="en-US"/>
        </w:rPr>
        <w:t>1.2  External</w:t>
      </w:r>
      <w:proofErr w:type="gramEnd"/>
      <w:r>
        <w:rPr>
          <w:rFonts w:eastAsia="Arial Unicode MS" w:cs="Arial Unicode MS"/>
          <w:lang w:val="en-US"/>
        </w:rPr>
        <w:t xml:space="preserve"> and Internal Environment Analysis</w:t>
      </w:r>
      <w:bookmarkEnd w:id="18"/>
      <w:bookmarkEnd w:id="19"/>
      <w:bookmarkEnd w:id="20"/>
    </w:p>
    <w:p w14:paraId="0A8165AF" w14:textId="77777777" w:rsidR="000B500E" w:rsidRDefault="00000000">
      <w:pPr>
        <w:pStyle w:val="Heading3"/>
      </w:pPr>
      <w:bookmarkStart w:id="21" w:name="_Toc7"/>
      <w:bookmarkStart w:id="22" w:name="_Toc228518548"/>
      <w:bookmarkStart w:id="23" w:name="_Toc228520761"/>
      <w:r>
        <w:rPr>
          <w:rFonts w:eastAsia="Arial Unicode MS" w:cs="Arial Unicode MS"/>
          <w:lang w:val="de-DE"/>
        </w:rPr>
        <w:t>Part A: PESTEL Analysis</w:t>
      </w:r>
      <w:bookmarkEnd w:id="21"/>
      <w:bookmarkEnd w:id="22"/>
      <w:bookmarkEnd w:id="23"/>
    </w:p>
    <w:p w14:paraId="2126A8D8" w14:textId="77777777" w:rsidR="000B500E" w:rsidRDefault="00000000">
      <w:pPr>
        <w:pStyle w:val="Body"/>
        <w:spacing w:before="80" w:after="160" w:line="360" w:lineRule="auto"/>
        <w:jc w:val="both"/>
      </w:pPr>
      <w:r>
        <w:rPr>
          <w:lang w:val="en-US"/>
        </w:rPr>
        <w:t xml:space="preserve">PESTEL analysis examines the macro-environmental factors affecting an </w:t>
      </w:r>
      <w:proofErr w:type="spellStart"/>
      <w:r>
        <w:rPr>
          <w:lang w:val="en-US"/>
        </w:rPr>
        <w:t>organisation's</w:t>
      </w:r>
      <w:proofErr w:type="spellEnd"/>
      <w:r>
        <w:rPr>
          <w:lang w:val="en-US"/>
        </w:rPr>
        <w:t xml:space="preserve"> strategic context (Johnson, Whittington and Scholes, 2017). The following analysis identifies the most strategically significant factors for H&amp;M.</w:t>
      </w:r>
    </w:p>
    <w:p w14:paraId="632817C5" w14:textId="77777777" w:rsidR="000B500E" w:rsidRPr="00FC3E6C" w:rsidRDefault="00000000" w:rsidP="00FC3E6C">
      <w:pPr>
        <w:rPr>
          <w:b/>
          <w:bCs/>
        </w:rPr>
      </w:pPr>
      <w:bookmarkStart w:id="24" w:name="_Toc8"/>
      <w:r w:rsidRPr="00FC3E6C">
        <w:rPr>
          <w:b/>
          <w:bCs/>
          <w:lang w:val="it-IT"/>
        </w:rPr>
        <w:t>Political Factors</w:t>
      </w:r>
      <w:bookmarkEnd w:id="24"/>
    </w:p>
    <w:p w14:paraId="1424CE57" w14:textId="3D8CE6B7" w:rsidR="000B500E" w:rsidRDefault="00A74ED3">
      <w:pPr>
        <w:pStyle w:val="Body"/>
        <w:spacing w:before="80" w:after="160" w:line="360" w:lineRule="auto"/>
        <w:jc w:val="both"/>
      </w:pPr>
      <w:r w:rsidRPr="00A74ED3">
        <w:rPr>
          <w:lang w:val="en-US"/>
        </w:rPr>
        <w:t xml:space="preserve">H&amp;M sources its products from several emerging markets, making it vulnerable to political, trade and </w:t>
      </w:r>
      <w:proofErr w:type="spellStart"/>
      <w:r w:rsidRPr="00A74ED3">
        <w:rPr>
          <w:lang w:val="en-US"/>
        </w:rPr>
        <w:t>labour</w:t>
      </w:r>
      <w:proofErr w:type="spellEnd"/>
      <w:r w:rsidRPr="00A74ED3">
        <w:rPr>
          <w:lang w:val="en-US"/>
        </w:rPr>
        <w:t xml:space="preserve"> policy risk in these economies. Tensions between Western powers and China - a major production country for H&amp;M - present tariff risk and reputation risk (McKinsey, 2022). The European Union's Corporate Sustainability Due Diligence Directive (CSDDD) will mandate human rights and environmental supply chain audits for large companies, giving rise to compliance costs. Politically, this pressure will accelerate the need for supply chain traceability, with potentially elevated costs.</w:t>
      </w:r>
    </w:p>
    <w:p w14:paraId="630C970D" w14:textId="77777777" w:rsidR="000B500E" w:rsidRPr="00FC3E6C" w:rsidRDefault="00000000" w:rsidP="00FC3E6C">
      <w:pPr>
        <w:rPr>
          <w:b/>
          <w:bCs/>
        </w:rPr>
      </w:pPr>
      <w:bookmarkStart w:id="25" w:name="_Toc9"/>
      <w:r w:rsidRPr="00FC3E6C">
        <w:rPr>
          <w:b/>
          <w:bCs/>
          <w:lang w:val="it-IT"/>
        </w:rPr>
        <w:t>Economic Factors</w:t>
      </w:r>
      <w:bookmarkEnd w:id="25"/>
    </w:p>
    <w:p w14:paraId="750BB772" w14:textId="2165918F" w:rsidR="000B500E" w:rsidRDefault="00A74ED3">
      <w:pPr>
        <w:pStyle w:val="Body"/>
        <w:spacing w:before="80" w:after="160" w:line="360" w:lineRule="auto"/>
        <w:jc w:val="both"/>
      </w:pPr>
      <w:r w:rsidRPr="00A74ED3">
        <w:rPr>
          <w:lang w:val="en-US"/>
        </w:rPr>
        <w:t xml:space="preserve">The post-pandemic inflationary setting in 2022-2024 had a profound effect on H&amp;M's cost structure and consumer purchasing </w:t>
      </w:r>
      <w:proofErr w:type="spellStart"/>
      <w:r w:rsidRPr="00A74ED3">
        <w:rPr>
          <w:lang w:val="en-US"/>
        </w:rPr>
        <w:t>behaviour</w:t>
      </w:r>
      <w:proofErr w:type="spellEnd"/>
      <w:r w:rsidRPr="00A74ED3">
        <w:rPr>
          <w:lang w:val="en-US"/>
        </w:rPr>
        <w:t xml:space="preserve">. Cotton, energy and transportation costs reduced gross margins, while discretionary consumer spending in its core Western markets were affected by higher interest rates and rising cost of living (H&amp;M Group, 2023). But currency risk is also structural: H&amp;M reports in Swedish kronor while sourcing globally in USD and EUR, meaning currency fluctuations can impact margins. </w:t>
      </w:r>
      <w:r w:rsidRPr="00A74ED3">
        <w:rPr>
          <w:lang w:val="en-US"/>
        </w:rPr>
        <w:lastRenderedPageBreak/>
        <w:t xml:space="preserve">These market forces underline the need for cost-effective supply chain practices, expanding online channels, and </w:t>
      </w:r>
      <w:proofErr w:type="spellStart"/>
      <w:r w:rsidRPr="00A74ED3">
        <w:rPr>
          <w:lang w:val="en-US"/>
        </w:rPr>
        <w:t>optimising</w:t>
      </w:r>
      <w:proofErr w:type="spellEnd"/>
      <w:r w:rsidRPr="00A74ED3">
        <w:rPr>
          <w:lang w:val="en-US"/>
        </w:rPr>
        <w:t xml:space="preserve"> inventory.</w:t>
      </w:r>
    </w:p>
    <w:p w14:paraId="5D897591" w14:textId="77777777" w:rsidR="000B500E" w:rsidRPr="00FC3E6C" w:rsidRDefault="00000000" w:rsidP="00FC3E6C">
      <w:pPr>
        <w:rPr>
          <w:b/>
          <w:bCs/>
        </w:rPr>
      </w:pPr>
      <w:bookmarkStart w:id="26" w:name="_Toc10"/>
      <w:r w:rsidRPr="00FC3E6C">
        <w:rPr>
          <w:b/>
          <w:bCs/>
          <w:lang w:val="da-DK"/>
        </w:rPr>
        <w:t>Social Factors</w:t>
      </w:r>
      <w:bookmarkEnd w:id="26"/>
    </w:p>
    <w:p w14:paraId="7D701DE7" w14:textId="2BABED03" w:rsidR="000B500E" w:rsidRDefault="00A74ED3">
      <w:pPr>
        <w:pStyle w:val="Body"/>
        <w:spacing w:before="80" w:after="160" w:line="360" w:lineRule="auto"/>
        <w:jc w:val="both"/>
      </w:pPr>
      <w:r w:rsidRPr="00A74ED3">
        <w:rPr>
          <w:lang w:val="en-US"/>
        </w:rPr>
        <w:t xml:space="preserve">Demographic trends in social attitudes to fashion consumption are also changing, especially among young generations. The growth of ethically driven consumerism - a response to the environmental consequences of fast fashion, unsustainable </w:t>
      </w:r>
      <w:proofErr w:type="spellStart"/>
      <w:r w:rsidRPr="00A74ED3">
        <w:rPr>
          <w:lang w:val="en-US"/>
        </w:rPr>
        <w:t>labour</w:t>
      </w:r>
      <w:proofErr w:type="spellEnd"/>
      <w:r w:rsidRPr="00A74ED3">
        <w:rPr>
          <w:lang w:val="en-US"/>
        </w:rPr>
        <w:t xml:space="preserve"> practices in the garment industry, and social media buzz around supply chain issues - presents a major challenge for H&amp;M (Bhardwaj and Fairhurst, 2010). Meanwhile, the secondhand and resale fashion industry is expanding globally, with </w:t>
      </w:r>
      <w:proofErr w:type="spellStart"/>
      <w:r w:rsidRPr="00A74ED3">
        <w:rPr>
          <w:lang w:val="en-US"/>
        </w:rPr>
        <w:t>ThredUp</w:t>
      </w:r>
      <w:proofErr w:type="spellEnd"/>
      <w:r w:rsidRPr="00A74ED3">
        <w:rPr>
          <w:lang w:val="en-US"/>
        </w:rPr>
        <w:t xml:space="preserve"> (2023) predicting it will be worth USD 350 billion by 2027. H&amp;M has a strong presence on social media, but its target audience is increasingly interested in authenticity in sustainability communication, not corporate marketing.</w:t>
      </w:r>
    </w:p>
    <w:p w14:paraId="51382C24" w14:textId="77777777" w:rsidR="000B500E" w:rsidRPr="00FC3E6C" w:rsidRDefault="00000000" w:rsidP="00FC3E6C">
      <w:pPr>
        <w:rPr>
          <w:b/>
          <w:bCs/>
        </w:rPr>
      </w:pPr>
      <w:bookmarkStart w:id="27" w:name="_Toc11"/>
      <w:r w:rsidRPr="00FC3E6C">
        <w:rPr>
          <w:b/>
          <w:bCs/>
          <w:lang w:val="da-DK"/>
        </w:rPr>
        <w:t>Technological Factors</w:t>
      </w:r>
      <w:bookmarkEnd w:id="27"/>
    </w:p>
    <w:p w14:paraId="7302396A" w14:textId="77777777" w:rsidR="000B500E" w:rsidRDefault="00000000">
      <w:pPr>
        <w:pStyle w:val="Body"/>
        <w:spacing w:before="80" w:after="160" w:line="360" w:lineRule="auto"/>
        <w:jc w:val="both"/>
      </w:pPr>
      <w:r>
        <w:rPr>
          <w:lang w:val="en-US"/>
        </w:rPr>
        <w:t xml:space="preserve">Technological disruption is reshaping the fashion retail landscape across multiple dimensions. E-commerce accounts for a growing proportion of H&amp;M's total sales (H&amp;M Group, 2023). Artificial intelligence and data analytics offer significant opportunities for demand forecasting, </w:t>
      </w:r>
      <w:proofErr w:type="spellStart"/>
      <w:r>
        <w:rPr>
          <w:lang w:val="en-US"/>
        </w:rPr>
        <w:t>personalisation</w:t>
      </w:r>
      <w:proofErr w:type="spellEnd"/>
      <w:r>
        <w:rPr>
          <w:lang w:val="en-US"/>
        </w:rPr>
        <w:t xml:space="preserve">, and inventory management — areas where H&amp;M has historically underperformed relative to Zara's renowned feedback loop between stores, designers, and production (Ferdows, Lewis and Machuca, 2004). Supply chain </w:t>
      </w:r>
      <w:proofErr w:type="spellStart"/>
      <w:r>
        <w:rPr>
          <w:lang w:val="en-US"/>
        </w:rPr>
        <w:t>digitisation</w:t>
      </w:r>
      <w:proofErr w:type="spellEnd"/>
      <w:r>
        <w:rPr>
          <w:lang w:val="en-US"/>
        </w:rPr>
        <w:t xml:space="preserve"> technologies, including blockchain-based product traceability and RFID inventory management, offer both operational efficiency gains and sustainability credibility benefits.</w:t>
      </w:r>
    </w:p>
    <w:p w14:paraId="37619DA1" w14:textId="77777777" w:rsidR="000B500E" w:rsidRPr="00FC3E6C" w:rsidRDefault="00000000" w:rsidP="00FC3E6C">
      <w:pPr>
        <w:rPr>
          <w:b/>
          <w:bCs/>
        </w:rPr>
      </w:pPr>
      <w:bookmarkStart w:id="28" w:name="_Toc12"/>
      <w:r w:rsidRPr="00FC3E6C">
        <w:rPr>
          <w:b/>
          <w:bCs/>
          <w:lang w:val="da-DK"/>
        </w:rPr>
        <w:t>Environmental Factors</w:t>
      </w:r>
      <w:bookmarkEnd w:id="28"/>
    </w:p>
    <w:p w14:paraId="36E908B9" w14:textId="31701FA8" w:rsidR="000B500E" w:rsidRDefault="00A74ED3">
      <w:pPr>
        <w:pStyle w:val="Body"/>
        <w:spacing w:before="80" w:after="160" w:line="360" w:lineRule="auto"/>
        <w:jc w:val="both"/>
      </w:pPr>
      <w:r w:rsidRPr="00A74ED3">
        <w:rPr>
          <w:lang w:val="en-US"/>
        </w:rPr>
        <w:t xml:space="preserve">The fashion industry is responsible for about 10 per cent of global greenhouse emissions and is a significant source of water pollution and textile waste (Ellen MacArthur Foundation, 2017). H&amp;M is exposed to regulatory and reputational environmental risk. H&amp;M has been active in promoting its Conscious Collection and textile recycling program; however, in 2022, a Dutch Advertising Standards Authority ruling concluded that some of H&amp;M's sustainability claims were misleading or unsubstantiated (Reuters, 2022). The greenwash risk is strategic: if H&amp;M's reputation </w:t>
      </w:r>
      <w:r w:rsidRPr="00A74ED3">
        <w:rPr>
          <w:lang w:val="en-US"/>
        </w:rPr>
        <w:lastRenderedPageBreak/>
        <w:t>for sustainability is damaged, its environmental positioning, which sets it apart from Primark or Shein, could backfire on the company.</w:t>
      </w:r>
    </w:p>
    <w:p w14:paraId="250075E1" w14:textId="77777777" w:rsidR="000B500E" w:rsidRPr="00FC3E6C" w:rsidRDefault="00000000" w:rsidP="00FC3E6C">
      <w:pPr>
        <w:rPr>
          <w:b/>
          <w:bCs/>
        </w:rPr>
      </w:pPr>
      <w:bookmarkStart w:id="29" w:name="_Toc13"/>
      <w:r w:rsidRPr="00FC3E6C">
        <w:rPr>
          <w:b/>
          <w:bCs/>
          <w:lang w:val="da-DK"/>
        </w:rPr>
        <w:t>Legal Factors</w:t>
      </w:r>
      <w:bookmarkEnd w:id="29"/>
    </w:p>
    <w:p w14:paraId="0F067AD8" w14:textId="70A85061" w:rsidR="000B500E" w:rsidRDefault="00000000" w:rsidP="007F1B2A">
      <w:pPr>
        <w:pStyle w:val="Body"/>
        <w:spacing w:before="80" w:after="160" w:line="360" w:lineRule="auto"/>
        <w:jc w:val="both"/>
      </w:pPr>
      <w:r>
        <w:rPr>
          <w:lang w:val="en-US"/>
        </w:rPr>
        <w:t xml:space="preserve">Legal pressures on H&amp;M span consumer protection regulation, </w:t>
      </w:r>
      <w:proofErr w:type="spellStart"/>
      <w:r>
        <w:rPr>
          <w:lang w:val="en-US"/>
        </w:rPr>
        <w:t>labour</w:t>
      </w:r>
      <w:proofErr w:type="spellEnd"/>
      <w:r>
        <w:rPr>
          <w:lang w:val="en-US"/>
        </w:rPr>
        <w:t xml:space="preserve"> law in sourcing countries, environmental compliance, and emerging supply chain legislation. The EU Green Deal, the forthcoming Ecodesign for Sustainable Products Regulation, and extended producer responsibility schemes for textiles will create new compliance requirements across the European market, which remains H&amp;M's largest regional revenue base (European Commission, 2023). Greenwashing has attracted regulatory scrutiny in multiple jurisdictions, reinforcing the need for H&amp;M to substantiate sustainability claims with verifiable operational data.</w:t>
      </w:r>
    </w:p>
    <w:p w14:paraId="06A364D9" w14:textId="77777777" w:rsidR="000B500E" w:rsidRDefault="00000000">
      <w:pPr>
        <w:pStyle w:val="Heading3"/>
      </w:pPr>
      <w:bookmarkStart w:id="30" w:name="_Toc14"/>
      <w:bookmarkStart w:id="31" w:name="_Toc228518549"/>
      <w:bookmarkStart w:id="32" w:name="_Toc228520762"/>
      <w:r>
        <w:rPr>
          <w:rFonts w:eastAsia="Arial Unicode MS" w:cs="Arial Unicode MS"/>
          <w:lang w:val="en-US"/>
        </w:rPr>
        <w:t>Part B: Porter's Five Forces Analysis</w:t>
      </w:r>
      <w:bookmarkEnd w:id="30"/>
      <w:bookmarkEnd w:id="31"/>
      <w:bookmarkEnd w:id="32"/>
    </w:p>
    <w:p w14:paraId="45608B09" w14:textId="77777777" w:rsidR="000B500E" w:rsidRDefault="00000000">
      <w:pPr>
        <w:pStyle w:val="Body"/>
        <w:spacing w:before="80" w:after="160" w:line="360" w:lineRule="auto"/>
        <w:jc w:val="both"/>
      </w:pPr>
      <w:r>
        <w:rPr>
          <w:lang w:val="en-US"/>
        </w:rPr>
        <w:t>Porter's Five Forces framework (Porter, 1979) analyses competitive intensity and industry attractiveness. The table below applies the framework to H&amp;M's operating environment.</w:t>
      </w:r>
    </w:p>
    <w:p w14:paraId="23C2A692" w14:textId="77777777" w:rsidR="000B500E" w:rsidRDefault="000B500E">
      <w:pPr>
        <w:pStyle w:val="Body"/>
        <w:spacing w:before="80" w:after="80"/>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1560"/>
        <w:gridCol w:w="3680"/>
        <w:gridCol w:w="4120"/>
      </w:tblGrid>
      <w:tr w:rsidR="000B500E" w14:paraId="1CB24C9B" w14:textId="77777777">
        <w:trPr>
          <w:trHeight w:val="235"/>
        </w:trPr>
        <w:tc>
          <w:tcPr>
            <w:tcW w:w="15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7D7D01C2" w14:textId="77777777" w:rsidR="000B500E" w:rsidRDefault="00000000">
            <w:pPr>
              <w:pStyle w:val="Body"/>
              <w:spacing w:before="40" w:after="40"/>
            </w:pPr>
            <w:r>
              <w:rPr>
                <w:b/>
                <w:bCs/>
                <w:color w:val="FFFFFF"/>
                <w:sz w:val="22"/>
                <w:szCs w:val="22"/>
                <w:u w:color="FFFFFF"/>
                <w:lang w:val="en-US"/>
              </w:rPr>
              <w:t>Force</w:t>
            </w:r>
          </w:p>
        </w:tc>
        <w:tc>
          <w:tcPr>
            <w:tcW w:w="368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3FB95DB2" w14:textId="77777777" w:rsidR="000B500E" w:rsidRDefault="00000000">
            <w:pPr>
              <w:pStyle w:val="Body"/>
              <w:spacing w:before="40" w:after="40"/>
            </w:pPr>
            <w:r>
              <w:rPr>
                <w:b/>
                <w:bCs/>
                <w:color w:val="FFFFFF"/>
                <w:sz w:val="22"/>
                <w:szCs w:val="22"/>
                <w:u w:color="FFFFFF"/>
                <w:lang w:val="en-US"/>
              </w:rPr>
              <w:t>Assessment</w:t>
            </w:r>
          </w:p>
        </w:tc>
        <w:tc>
          <w:tcPr>
            <w:tcW w:w="412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454C56FF" w14:textId="77777777" w:rsidR="000B500E" w:rsidRDefault="00000000">
            <w:pPr>
              <w:pStyle w:val="Body"/>
              <w:spacing w:before="40" w:after="40"/>
            </w:pPr>
            <w:r>
              <w:rPr>
                <w:b/>
                <w:bCs/>
                <w:color w:val="FFFFFF"/>
                <w:sz w:val="22"/>
                <w:szCs w:val="22"/>
                <w:u w:color="FFFFFF"/>
                <w:lang w:val="en-US"/>
              </w:rPr>
              <w:t>Strategic Implication for H&amp;M</w:t>
            </w:r>
          </w:p>
        </w:tc>
      </w:tr>
      <w:tr w:rsidR="000B500E" w14:paraId="22046E14" w14:textId="77777777">
        <w:trPr>
          <w:trHeight w:val="715"/>
        </w:trPr>
        <w:tc>
          <w:tcPr>
            <w:tcW w:w="156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7F319339" w14:textId="77777777" w:rsidR="000B500E" w:rsidRDefault="00000000">
            <w:pPr>
              <w:pStyle w:val="Body"/>
              <w:spacing w:before="40" w:after="40"/>
            </w:pPr>
            <w:r>
              <w:rPr>
                <w:sz w:val="22"/>
                <w:szCs w:val="22"/>
                <w:lang w:val="en-US"/>
              </w:rPr>
              <w:t>Competitive Rivalry</w:t>
            </w:r>
          </w:p>
        </w:tc>
        <w:tc>
          <w:tcPr>
            <w:tcW w:w="36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2BE9E566" w14:textId="77777777" w:rsidR="000B500E" w:rsidRDefault="00000000">
            <w:pPr>
              <w:pStyle w:val="Body"/>
              <w:spacing w:before="40" w:after="40"/>
            </w:pPr>
            <w:r>
              <w:rPr>
                <w:sz w:val="22"/>
                <w:szCs w:val="22"/>
                <w:lang w:val="en-US"/>
              </w:rPr>
              <w:t>Very High — Zara, Shein, ASOS, Uniqlo, Primark compete intensely on price, speed, and brand</w:t>
            </w:r>
          </w:p>
        </w:tc>
        <w:tc>
          <w:tcPr>
            <w:tcW w:w="412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7123EEA" w14:textId="77777777" w:rsidR="000B500E" w:rsidRDefault="00000000">
            <w:pPr>
              <w:pStyle w:val="Body"/>
              <w:spacing w:before="40" w:after="40"/>
            </w:pPr>
            <w:r>
              <w:rPr>
                <w:sz w:val="22"/>
                <w:szCs w:val="22"/>
                <w:lang w:val="en-US"/>
              </w:rPr>
              <w:t>H&amp;M must differentiate beyond price; brand and sustainability credibility are critical levers</w:t>
            </w:r>
          </w:p>
        </w:tc>
      </w:tr>
      <w:tr w:rsidR="000B500E" w14:paraId="19BC9E35" w14:textId="77777777">
        <w:trPr>
          <w:trHeight w:val="715"/>
        </w:trPr>
        <w:tc>
          <w:tcPr>
            <w:tcW w:w="156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1EFFAB4B" w14:textId="77777777" w:rsidR="000B500E" w:rsidRDefault="00000000">
            <w:pPr>
              <w:pStyle w:val="Body"/>
              <w:spacing w:before="40" w:after="40"/>
            </w:pPr>
            <w:r>
              <w:rPr>
                <w:sz w:val="22"/>
                <w:szCs w:val="22"/>
                <w:lang w:val="en-US"/>
              </w:rPr>
              <w:t>Threat of New Entrants</w:t>
            </w:r>
          </w:p>
        </w:tc>
        <w:tc>
          <w:tcPr>
            <w:tcW w:w="36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15B0E4C" w14:textId="77777777" w:rsidR="000B500E" w:rsidRDefault="00000000">
            <w:pPr>
              <w:pStyle w:val="Body"/>
              <w:spacing w:before="40" w:after="40"/>
            </w:pPr>
            <w:r>
              <w:rPr>
                <w:sz w:val="22"/>
                <w:szCs w:val="22"/>
                <w:lang w:val="en-US"/>
              </w:rPr>
              <w:t>Medium — High capital required for physical retail, but low barriers for digital-first brands</w:t>
            </w:r>
          </w:p>
        </w:tc>
        <w:tc>
          <w:tcPr>
            <w:tcW w:w="412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2D406056" w14:textId="77777777" w:rsidR="000B500E" w:rsidRDefault="00000000">
            <w:pPr>
              <w:pStyle w:val="Body"/>
              <w:spacing w:before="40" w:after="40"/>
            </w:pPr>
            <w:r>
              <w:rPr>
                <w:sz w:val="22"/>
                <w:szCs w:val="22"/>
                <w:lang w:val="en-US"/>
              </w:rPr>
              <w:t>Digital natives have disrupted the market with limited physical infrastructure investment</w:t>
            </w:r>
          </w:p>
        </w:tc>
      </w:tr>
      <w:tr w:rsidR="000B500E" w14:paraId="0F109E61" w14:textId="77777777">
        <w:trPr>
          <w:trHeight w:val="715"/>
        </w:trPr>
        <w:tc>
          <w:tcPr>
            <w:tcW w:w="156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740E1E5C" w14:textId="77777777" w:rsidR="000B500E" w:rsidRDefault="00000000">
            <w:pPr>
              <w:pStyle w:val="Body"/>
              <w:spacing w:before="40" w:after="40"/>
            </w:pPr>
            <w:r>
              <w:rPr>
                <w:sz w:val="22"/>
                <w:szCs w:val="22"/>
                <w:lang w:val="en-US"/>
              </w:rPr>
              <w:t>Threat of Substitutes</w:t>
            </w:r>
          </w:p>
        </w:tc>
        <w:tc>
          <w:tcPr>
            <w:tcW w:w="36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CAF97B8" w14:textId="77777777" w:rsidR="000B500E" w:rsidRDefault="00000000">
            <w:pPr>
              <w:pStyle w:val="Body"/>
              <w:spacing w:before="40" w:after="40"/>
            </w:pPr>
            <w:r>
              <w:rPr>
                <w:sz w:val="22"/>
                <w:szCs w:val="22"/>
                <w:lang w:val="en-US"/>
              </w:rPr>
              <w:t>High — Second-hand fashion, clothing rental, and slow-fashion alternatives are growing</w:t>
            </w:r>
          </w:p>
        </w:tc>
        <w:tc>
          <w:tcPr>
            <w:tcW w:w="412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75C680D" w14:textId="77777777" w:rsidR="000B500E" w:rsidRDefault="00000000">
            <w:pPr>
              <w:pStyle w:val="Body"/>
              <w:spacing w:before="40" w:after="40"/>
            </w:pPr>
            <w:r>
              <w:rPr>
                <w:sz w:val="22"/>
                <w:szCs w:val="22"/>
                <w:lang w:val="en-US"/>
              </w:rPr>
              <w:t>Circular fashion initiatives can convert a competitive threat into a strategic opportunity</w:t>
            </w:r>
          </w:p>
        </w:tc>
      </w:tr>
      <w:tr w:rsidR="000B500E" w14:paraId="56F1BDAC" w14:textId="77777777">
        <w:trPr>
          <w:trHeight w:val="715"/>
        </w:trPr>
        <w:tc>
          <w:tcPr>
            <w:tcW w:w="156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0B98B90C" w14:textId="77777777" w:rsidR="000B500E" w:rsidRDefault="00000000">
            <w:pPr>
              <w:pStyle w:val="Body"/>
              <w:spacing w:before="40" w:after="40"/>
            </w:pPr>
            <w:r>
              <w:rPr>
                <w:sz w:val="22"/>
                <w:szCs w:val="22"/>
                <w:lang w:val="en-US"/>
              </w:rPr>
              <w:t>Buyer Power</w:t>
            </w:r>
          </w:p>
        </w:tc>
        <w:tc>
          <w:tcPr>
            <w:tcW w:w="36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CFFB19C" w14:textId="77777777" w:rsidR="000B500E" w:rsidRDefault="00000000">
            <w:pPr>
              <w:pStyle w:val="Body"/>
              <w:spacing w:before="40" w:after="40"/>
            </w:pPr>
            <w:r>
              <w:rPr>
                <w:sz w:val="22"/>
                <w:szCs w:val="22"/>
                <w:lang w:val="en-US"/>
              </w:rPr>
              <w:t>High — Low switching costs; consumers are highly price and trend-sensitive</w:t>
            </w:r>
          </w:p>
        </w:tc>
        <w:tc>
          <w:tcPr>
            <w:tcW w:w="412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84DACF9" w14:textId="77777777" w:rsidR="000B500E" w:rsidRDefault="00000000">
            <w:pPr>
              <w:pStyle w:val="Body"/>
              <w:spacing w:before="40" w:after="40"/>
            </w:pPr>
            <w:r>
              <w:rPr>
                <w:sz w:val="22"/>
                <w:szCs w:val="22"/>
                <w:lang w:val="en-US"/>
              </w:rPr>
              <w:t>Customer loyalty must be built through digital experience, sustainability, and brand resonance</w:t>
            </w:r>
          </w:p>
        </w:tc>
      </w:tr>
      <w:tr w:rsidR="000B500E" w14:paraId="7C587225" w14:textId="77777777">
        <w:trPr>
          <w:trHeight w:val="955"/>
        </w:trPr>
        <w:tc>
          <w:tcPr>
            <w:tcW w:w="156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13065B02" w14:textId="77777777" w:rsidR="000B500E" w:rsidRDefault="00000000">
            <w:pPr>
              <w:pStyle w:val="Body"/>
              <w:spacing w:before="40" w:after="40"/>
            </w:pPr>
            <w:r>
              <w:rPr>
                <w:sz w:val="22"/>
                <w:szCs w:val="22"/>
                <w:lang w:val="en-US"/>
              </w:rPr>
              <w:t>Supplier Power</w:t>
            </w:r>
          </w:p>
        </w:tc>
        <w:tc>
          <w:tcPr>
            <w:tcW w:w="36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5DE284D" w14:textId="77777777" w:rsidR="000B500E" w:rsidRDefault="00000000">
            <w:pPr>
              <w:pStyle w:val="Body"/>
              <w:spacing w:before="40" w:after="40"/>
            </w:pPr>
            <w:r>
              <w:rPr>
                <w:sz w:val="22"/>
                <w:szCs w:val="22"/>
                <w:lang w:val="en-US"/>
              </w:rPr>
              <w:t>Medium — Many suppliers in developing markets, but rising ethical standards increase dependency on certified suppliers</w:t>
            </w:r>
          </w:p>
        </w:tc>
        <w:tc>
          <w:tcPr>
            <w:tcW w:w="412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6BD043C" w14:textId="77777777" w:rsidR="000B500E" w:rsidRDefault="00000000">
            <w:pPr>
              <w:pStyle w:val="Body"/>
              <w:spacing w:before="40" w:after="40"/>
            </w:pPr>
            <w:r>
              <w:rPr>
                <w:sz w:val="22"/>
                <w:szCs w:val="22"/>
                <w:lang w:val="en-US"/>
              </w:rPr>
              <w:t>Supplier diversification and long-term ethical partnerships reduce vulnerability</w:t>
            </w:r>
          </w:p>
        </w:tc>
      </w:tr>
    </w:tbl>
    <w:p w14:paraId="681FFB69" w14:textId="77777777" w:rsidR="000B500E" w:rsidRDefault="000B500E">
      <w:pPr>
        <w:pStyle w:val="Body"/>
        <w:widowControl w:val="0"/>
        <w:spacing w:before="80" w:after="80"/>
      </w:pPr>
    </w:p>
    <w:p w14:paraId="2DFCE2A8" w14:textId="77777777" w:rsidR="000B500E" w:rsidRDefault="000B500E">
      <w:pPr>
        <w:pStyle w:val="Body"/>
        <w:spacing w:before="80" w:after="80"/>
      </w:pPr>
    </w:p>
    <w:p w14:paraId="7BC204D0" w14:textId="357B3D35" w:rsidR="000B500E" w:rsidRDefault="00000000">
      <w:pPr>
        <w:pStyle w:val="Heading3"/>
      </w:pPr>
      <w:bookmarkStart w:id="33" w:name="_Toc228520763"/>
      <w:bookmarkStart w:id="34" w:name="_Toc15"/>
      <w:bookmarkStart w:id="35" w:name="_Toc228518550"/>
      <w:r>
        <w:rPr>
          <w:rFonts w:eastAsia="Arial Unicode MS" w:cs="Arial Unicode MS"/>
          <w:lang w:val="en-US"/>
        </w:rPr>
        <w:lastRenderedPageBreak/>
        <w:t>Part C: Internal Environment</w:t>
      </w:r>
      <w:bookmarkEnd w:id="33"/>
      <w:r>
        <w:rPr>
          <w:rFonts w:eastAsia="Arial Unicode MS" w:cs="Arial Unicode MS"/>
          <w:lang w:val="en-US"/>
        </w:rPr>
        <w:t xml:space="preserve"> </w:t>
      </w:r>
      <w:bookmarkEnd w:id="34"/>
      <w:bookmarkEnd w:id="35"/>
    </w:p>
    <w:p w14:paraId="6E7EE153" w14:textId="53E7F78A" w:rsidR="000B500E" w:rsidRPr="00A74ED3" w:rsidRDefault="00000000" w:rsidP="00A74ED3">
      <w:pPr>
        <w:pStyle w:val="Body"/>
        <w:spacing w:before="80" w:after="160" w:line="360" w:lineRule="auto"/>
        <w:jc w:val="both"/>
      </w:pPr>
      <w:r>
        <w:rPr>
          <w:lang w:val="en-US"/>
        </w:rPr>
        <w:t xml:space="preserve">The resource-based view argues that sustainable competitive advantage arises from a firm's unique bundle of resources and capabilities that are valuable, rare, inimitable, and </w:t>
      </w:r>
      <w:proofErr w:type="spellStart"/>
      <w:r>
        <w:rPr>
          <w:lang w:val="en-US"/>
        </w:rPr>
        <w:t>organised</w:t>
      </w:r>
      <w:proofErr w:type="spellEnd"/>
      <w:r>
        <w:rPr>
          <w:lang w:val="en-US"/>
        </w:rPr>
        <w:t xml:space="preserve"> to create value (Barney, 1991). The table below </w:t>
      </w:r>
      <w:proofErr w:type="spellStart"/>
      <w:r>
        <w:rPr>
          <w:lang w:val="en-US"/>
        </w:rPr>
        <w:t>categorises</w:t>
      </w:r>
      <w:proofErr w:type="spellEnd"/>
      <w:r>
        <w:rPr>
          <w:lang w:val="en-US"/>
        </w:rPr>
        <w:t xml:space="preserve"> H&amp;M's key internal resources.</w:t>
      </w: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2200"/>
        <w:gridCol w:w="7160"/>
      </w:tblGrid>
      <w:tr w:rsidR="000B500E" w14:paraId="52D8CECB" w14:textId="77777777">
        <w:trPr>
          <w:trHeight w:val="235"/>
        </w:trPr>
        <w:tc>
          <w:tcPr>
            <w:tcW w:w="2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149721E5" w14:textId="77777777" w:rsidR="000B500E" w:rsidRDefault="00000000">
            <w:pPr>
              <w:pStyle w:val="Body"/>
              <w:spacing w:before="40" w:after="40"/>
            </w:pPr>
            <w:r>
              <w:rPr>
                <w:b/>
                <w:bCs/>
                <w:color w:val="FFFFFF"/>
                <w:sz w:val="22"/>
                <w:szCs w:val="22"/>
                <w:u w:color="FFFFFF"/>
                <w:lang w:val="en-US"/>
              </w:rPr>
              <w:t>Category</w:t>
            </w:r>
          </w:p>
        </w:tc>
        <w:tc>
          <w:tcPr>
            <w:tcW w:w="71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04FC01AC" w14:textId="77777777" w:rsidR="000B500E" w:rsidRDefault="00000000">
            <w:pPr>
              <w:pStyle w:val="Body"/>
              <w:spacing w:before="40" w:after="40"/>
            </w:pPr>
            <w:r>
              <w:rPr>
                <w:b/>
                <w:bCs/>
                <w:color w:val="FFFFFF"/>
                <w:sz w:val="22"/>
                <w:szCs w:val="22"/>
                <w:u w:color="FFFFFF"/>
                <w:lang w:val="en-US"/>
              </w:rPr>
              <w:t>Examples</w:t>
            </w:r>
          </w:p>
        </w:tc>
      </w:tr>
      <w:tr w:rsidR="000B500E" w14:paraId="299D784E" w14:textId="77777777">
        <w:trPr>
          <w:trHeight w:val="715"/>
        </w:trPr>
        <w:tc>
          <w:tcPr>
            <w:tcW w:w="22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62821B22" w14:textId="77777777" w:rsidR="000B500E" w:rsidRDefault="00000000">
            <w:pPr>
              <w:pStyle w:val="Body"/>
              <w:spacing w:before="40" w:after="40"/>
            </w:pPr>
            <w:r>
              <w:rPr>
                <w:sz w:val="22"/>
                <w:szCs w:val="22"/>
                <w:lang w:val="en-US"/>
              </w:rPr>
              <w:t>Tangible Resources</w:t>
            </w:r>
          </w:p>
        </w:tc>
        <w:tc>
          <w:tcPr>
            <w:tcW w:w="7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457DBF1" w14:textId="77777777" w:rsidR="000B500E" w:rsidRDefault="00000000">
            <w:pPr>
              <w:pStyle w:val="Body"/>
              <w:spacing w:before="40" w:after="40"/>
            </w:pPr>
            <w:r>
              <w:rPr>
                <w:sz w:val="22"/>
                <w:szCs w:val="22"/>
                <w:lang w:val="en-US"/>
              </w:rPr>
              <w:t>Global store network of over 4,200 outlets; logistics and distribution infrastructure; financial capital; supplier network across more than 30 countries (H&amp;M Group, 2023)</w:t>
            </w:r>
          </w:p>
        </w:tc>
      </w:tr>
      <w:tr w:rsidR="000B500E" w14:paraId="3FA0156F" w14:textId="77777777">
        <w:trPr>
          <w:trHeight w:val="715"/>
        </w:trPr>
        <w:tc>
          <w:tcPr>
            <w:tcW w:w="22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191D1451" w14:textId="77777777" w:rsidR="000B500E" w:rsidRDefault="00000000">
            <w:pPr>
              <w:pStyle w:val="Body"/>
              <w:spacing w:before="40" w:after="40"/>
            </w:pPr>
            <w:r>
              <w:rPr>
                <w:sz w:val="22"/>
                <w:szCs w:val="22"/>
                <w:lang w:val="en-US"/>
              </w:rPr>
              <w:t>Intangible Resources</w:t>
            </w:r>
          </w:p>
        </w:tc>
        <w:tc>
          <w:tcPr>
            <w:tcW w:w="7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0BA121F3" w14:textId="77777777" w:rsidR="000B500E" w:rsidRDefault="00000000">
            <w:pPr>
              <w:pStyle w:val="Body"/>
              <w:spacing w:before="40" w:after="40"/>
            </w:pPr>
            <w:r>
              <w:rPr>
                <w:sz w:val="22"/>
                <w:szCs w:val="22"/>
                <w:lang w:val="en-US"/>
              </w:rPr>
              <w:t>H&amp;M brand equity; design reputation; customer data assets; sustainability brand narrative built through the Conscious Collection and related initiatives</w:t>
            </w:r>
          </w:p>
        </w:tc>
      </w:tr>
      <w:tr w:rsidR="000B500E" w14:paraId="581D4B1F" w14:textId="77777777">
        <w:trPr>
          <w:trHeight w:val="715"/>
        </w:trPr>
        <w:tc>
          <w:tcPr>
            <w:tcW w:w="22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7B6318F7" w14:textId="77777777" w:rsidR="000B500E" w:rsidRDefault="00000000">
            <w:pPr>
              <w:pStyle w:val="Body"/>
              <w:spacing w:before="40" w:after="40"/>
            </w:pPr>
            <w:proofErr w:type="spellStart"/>
            <w:r>
              <w:rPr>
                <w:sz w:val="22"/>
                <w:szCs w:val="22"/>
                <w:lang w:val="en-US"/>
              </w:rPr>
              <w:t>Organisational</w:t>
            </w:r>
            <w:proofErr w:type="spellEnd"/>
            <w:r>
              <w:rPr>
                <w:sz w:val="22"/>
                <w:szCs w:val="22"/>
                <w:lang w:val="en-US"/>
              </w:rPr>
              <w:t xml:space="preserve"> Capabilities</w:t>
            </w:r>
          </w:p>
        </w:tc>
        <w:tc>
          <w:tcPr>
            <w:tcW w:w="7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23C1AD2D" w14:textId="77777777" w:rsidR="000B500E" w:rsidRDefault="00000000">
            <w:pPr>
              <w:pStyle w:val="Body"/>
              <w:spacing w:before="40" w:after="40"/>
            </w:pPr>
            <w:r>
              <w:rPr>
                <w:sz w:val="22"/>
                <w:szCs w:val="22"/>
                <w:lang w:val="en-US"/>
              </w:rPr>
              <w:t>Global sourcing management; trend interpretation and rapid product development; omni-channel retailing; designer collaboration marketing; scale procurement</w:t>
            </w:r>
          </w:p>
        </w:tc>
      </w:tr>
    </w:tbl>
    <w:p w14:paraId="5098BB1B" w14:textId="77777777" w:rsidR="000B500E" w:rsidRDefault="000B500E">
      <w:pPr>
        <w:pStyle w:val="Body"/>
        <w:spacing w:before="80" w:after="80"/>
      </w:pPr>
    </w:p>
    <w:p w14:paraId="0E4ECA9C" w14:textId="77777777" w:rsidR="000B500E" w:rsidRDefault="00000000">
      <w:pPr>
        <w:pStyle w:val="Heading3"/>
      </w:pPr>
      <w:bookmarkStart w:id="36" w:name="_Toc16"/>
      <w:bookmarkStart w:id="37" w:name="_Toc228518551"/>
      <w:bookmarkStart w:id="38" w:name="_Toc228520764"/>
      <w:r>
        <w:rPr>
          <w:rFonts w:eastAsia="Arial Unicode MS" w:cs="Arial Unicode MS"/>
        </w:rPr>
        <w:t>Part D: VRIO Analysis</w:t>
      </w:r>
      <w:bookmarkEnd w:id="36"/>
      <w:bookmarkEnd w:id="37"/>
      <w:bookmarkEnd w:id="38"/>
    </w:p>
    <w:p w14:paraId="7FBF874D" w14:textId="77777777" w:rsidR="000B500E" w:rsidRDefault="00000000">
      <w:pPr>
        <w:pStyle w:val="Body"/>
        <w:spacing w:before="80" w:after="160" w:line="360" w:lineRule="auto"/>
        <w:jc w:val="both"/>
        <w:rPr>
          <w:lang w:val="en-US"/>
        </w:rPr>
      </w:pPr>
      <w:r>
        <w:rPr>
          <w:lang w:val="en-US"/>
        </w:rPr>
        <w:t>The VRIO framework assesses whether specific resources or capabilities can generate sustained competitive advantage (Barney and Hesterly, 2015). The following table evaluates five of H&amp;M's key strategic capabilities.</w:t>
      </w:r>
    </w:p>
    <w:p w14:paraId="71B6A3DC" w14:textId="77777777" w:rsidR="000B500E" w:rsidRDefault="000B500E">
      <w:pPr>
        <w:pStyle w:val="Body"/>
        <w:spacing w:before="80" w:after="80"/>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1777"/>
        <w:gridCol w:w="1084"/>
        <w:gridCol w:w="1170"/>
        <w:gridCol w:w="1260"/>
        <w:gridCol w:w="1260"/>
        <w:gridCol w:w="2809"/>
      </w:tblGrid>
      <w:tr w:rsidR="000B500E" w14:paraId="0CEEB518" w14:textId="77777777" w:rsidTr="00A74ED3">
        <w:trPr>
          <w:trHeight w:val="475"/>
        </w:trPr>
        <w:tc>
          <w:tcPr>
            <w:tcW w:w="1777"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06B917C0" w14:textId="77777777" w:rsidR="000B500E" w:rsidRDefault="00000000">
            <w:pPr>
              <w:pStyle w:val="Body"/>
              <w:spacing w:before="40" w:after="40"/>
            </w:pPr>
            <w:r>
              <w:rPr>
                <w:b/>
                <w:bCs/>
                <w:color w:val="FFFFFF"/>
                <w:sz w:val="22"/>
                <w:szCs w:val="22"/>
                <w:u w:color="FFFFFF"/>
                <w:lang w:val="en-US"/>
              </w:rPr>
              <w:t>Capability</w:t>
            </w:r>
          </w:p>
        </w:tc>
        <w:tc>
          <w:tcPr>
            <w:tcW w:w="1084"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05D0D8BA" w14:textId="77777777" w:rsidR="000B500E" w:rsidRDefault="00000000">
            <w:pPr>
              <w:pStyle w:val="Body"/>
              <w:spacing w:before="40" w:after="40"/>
            </w:pPr>
            <w:r>
              <w:rPr>
                <w:b/>
                <w:bCs/>
                <w:color w:val="FFFFFF"/>
                <w:sz w:val="22"/>
                <w:szCs w:val="22"/>
                <w:u w:color="FFFFFF"/>
                <w:lang w:val="en-US"/>
              </w:rPr>
              <w:t>Valuable</w:t>
            </w:r>
          </w:p>
        </w:tc>
        <w:tc>
          <w:tcPr>
            <w:tcW w:w="117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3816FEFC" w14:textId="77777777" w:rsidR="000B500E" w:rsidRDefault="00000000">
            <w:pPr>
              <w:pStyle w:val="Body"/>
              <w:spacing w:before="40" w:after="40"/>
            </w:pPr>
            <w:r>
              <w:rPr>
                <w:b/>
                <w:bCs/>
                <w:color w:val="FFFFFF"/>
                <w:sz w:val="22"/>
                <w:szCs w:val="22"/>
                <w:u w:color="FFFFFF"/>
                <w:lang w:val="en-US"/>
              </w:rPr>
              <w:t>Rare</w:t>
            </w:r>
          </w:p>
        </w:tc>
        <w:tc>
          <w:tcPr>
            <w:tcW w:w="12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6540D1DA" w14:textId="77777777" w:rsidR="000B500E" w:rsidRDefault="00000000">
            <w:pPr>
              <w:pStyle w:val="Body"/>
              <w:spacing w:before="40" w:after="40"/>
            </w:pPr>
            <w:r>
              <w:rPr>
                <w:b/>
                <w:bCs/>
                <w:color w:val="FFFFFF"/>
                <w:sz w:val="22"/>
                <w:szCs w:val="22"/>
                <w:u w:color="FFFFFF"/>
                <w:lang w:val="en-US"/>
              </w:rPr>
              <w:t>Inimitable</w:t>
            </w:r>
          </w:p>
        </w:tc>
        <w:tc>
          <w:tcPr>
            <w:tcW w:w="12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02BF7CE7" w14:textId="77777777" w:rsidR="000B500E" w:rsidRDefault="00000000">
            <w:pPr>
              <w:pStyle w:val="Body"/>
              <w:spacing w:before="40" w:after="40"/>
            </w:pPr>
            <w:proofErr w:type="spellStart"/>
            <w:r>
              <w:rPr>
                <w:b/>
                <w:bCs/>
                <w:color w:val="FFFFFF"/>
                <w:sz w:val="22"/>
                <w:szCs w:val="22"/>
                <w:u w:color="FFFFFF"/>
                <w:lang w:val="en-US"/>
              </w:rPr>
              <w:t>Organised</w:t>
            </w:r>
            <w:proofErr w:type="spellEnd"/>
          </w:p>
        </w:tc>
        <w:tc>
          <w:tcPr>
            <w:tcW w:w="2809"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07276231" w14:textId="77777777" w:rsidR="000B500E" w:rsidRDefault="00000000">
            <w:pPr>
              <w:pStyle w:val="Body"/>
              <w:spacing w:before="40" w:after="40"/>
            </w:pPr>
            <w:r>
              <w:rPr>
                <w:b/>
                <w:bCs/>
                <w:color w:val="FFFFFF"/>
                <w:sz w:val="22"/>
                <w:szCs w:val="22"/>
                <w:u w:color="FFFFFF"/>
                <w:lang w:val="en-US"/>
              </w:rPr>
              <w:t>Competitive Implication</w:t>
            </w:r>
          </w:p>
        </w:tc>
      </w:tr>
      <w:tr w:rsidR="000B500E" w14:paraId="1A441E54" w14:textId="77777777" w:rsidTr="00A74ED3">
        <w:trPr>
          <w:trHeight w:val="1435"/>
        </w:trPr>
        <w:tc>
          <w:tcPr>
            <w:tcW w:w="1777"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3CA6022C" w14:textId="77777777" w:rsidR="000B500E" w:rsidRDefault="00000000">
            <w:pPr>
              <w:pStyle w:val="Body"/>
              <w:spacing w:before="40" w:after="40"/>
            </w:pPr>
            <w:r>
              <w:rPr>
                <w:sz w:val="22"/>
                <w:szCs w:val="22"/>
                <w:lang w:val="en-US"/>
              </w:rPr>
              <w:t>Global Brand Recognition</w:t>
            </w:r>
          </w:p>
        </w:tc>
        <w:tc>
          <w:tcPr>
            <w:tcW w:w="1084"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7AE1FDD" w14:textId="77777777" w:rsidR="000B500E" w:rsidRDefault="00000000">
            <w:pPr>
              <w:pStyle w:val="Body"/>
              <w:spacing w:before="40" w:after="40"/>
            </w:pPr>
            <w:r>
              <w:rPr>
                <w:sz w:val="22"/>
                <w:szCs w:val="22"/>
                <w:lang w:val="en-US"/>
              </w:rPr>
              <w:t>Yes</w:t>
            </w:r>
          </w:p>
        </w:tc>
        <w:tc>
          <w:tcPr>
            <w:tcW w:w="117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E0937F9" w14:textId="77777777" w:rsidR="000B500E" w:rsidRDefault="00000000">
            <w:pPr>
              <w:pStyle w:val="Body"/>
              <w:spacing w:before="40" w:after="40"/>
            </w:pPr>
            <w:r>
              <w:rPr>
                <w:sz w:val="22"/>
                <w:szCs w:val="22"/>
                <w:lang w:val="en-US"/>
              </w:rPr>
              <w:t>Partially</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2B551BB" w14:textId="77777777" w:rsidR="000B500E" w:rsidRDefault="00000000">
            <w:pPr>
              <w:pStyle w:val="Body"/>
              <w:spacing w:before="40" w:after="40"/>
            </w:pPr>
            <w:r>
              <w:rPr>
                <w:sz w:val="22"/>
                <w:szCs w:val="22"/>
                <w:lang w:val="en-US"/>
              </w:rPr>
              <w:t>Partially</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10D3997" w14:textId="77777777" w:rsidR="000B500E" w:rsidRDefault="00000000">
            <w:pPr>
              <w:pStyle w:val="Body"/>
              <w:spacing w:before="40" w:after="40"/>
            </w:pPr>
            <w:r>
              <w:rPr>
                <w:sz w:val="22"/>
                <w:szCs w:val="22"/>
                <w:lang w:val="en-US"/>
              </w:rPr>
              <w:t>Yes</w:t>
            </w:r>
          </w:p>
        </w:tc>
        <w:tc>
          <w:tcPr>
            <w:tcW w:w="2809"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3673AB6" w14:textId="77777777" w:rsidR="000B500E" w:rsidRDefault="00000000">
            <w:pPr>
              <w:pStyle w:val="Body"/>
              <w:spacing w:before="40" w:after="40"/>
            </w:pPr>
            <w:r>
              <w:rPr>
                <w:sz w:val="22"/>
                <w:szCs w:val="22"/>
                <w:lang w:val="en-US"/>
              </w:rPr>
              <w:t>Temporary competitive advantage — brand awareness is strong but not exclusive in fast fashion</w:t>
            </w:r>
          </w:p>
        </w:tc>
      </w:tr>
      <w:tr w:rsidR="000B500E" w14:paraId="5A7D30EC" w14:textId="77777777" w:rsidTr="00A74ED3">
        <w:trPr>
          <w:trHeight w:val="1195"/>
        </w:trPr>
        <w:tc>
          <w:tcPr>
            <w:tcW w:w="1777"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424C378F" w14:textId="77777777" w:rsidR="000B500E" w:rsidRDefault="00000000">
            <w:pPr>
              <w:pStyle w:val="Body"/>
              <w:spacing w:before="40" w:after="40"/>
            </w:pPr>
            <w:r>
              <w:rPr>
                <w:sz w:val="22"/>
                <w:szCs w:val="22"/>
                <w:lang w:val="en-US"/>
              </w:rPr>
              <w:t>Scale Sourcing Network</w:t>
            </w:r>
          </w:p>
        </w:tc>
        <w:tc>
          <w:tcPr>
            <w:tcW w:w="1084"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00FC47E3" w14:textId="77777777" w:rsidR="000B500E" w:rsidRDefault="00000000">
            <w:pPr>
              <w:pStyle w:val="Body"/>
              <w:spacing w:before="40" w:after="40"/>
            </w:pPr>
            <w:r>
              <w:rPr>
                <w:sz w:val="22"/>
                <w:szCs w:val="22"/>
                <w:lang w:val="en-US"/>
              </w:rPr>
              <w:t>Yes</w:t>
            </w:r>
          </w:p>
        </w:tc>
        <w:tc>
          <w:tcPr>
            <w:tcW w:w="117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95E8842" w14:textId="77777777" w:rsidR="000B500E" w:rsidRDefault="00000000">
            <w:pPr>
              <w:pStyle w:val="Body"/>
              <w:spacing w:before="40" w:after="40"/>
            </w:pPr>
            <w:r>
              <w:rPr>
                <w:sz w:val="22"/>
                <w:szCs w:val="22"/>
                <w:lang w:val="en-US"/>
              </w:rPr>
              <w:t>No</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A9E400A" w14:textId="77777777" w:rsidR="000B500E" w:rsidRDefault="00000000">
            <w:pPr>
              <w:pStyle w:val="Body"/>
              <w:spacing w:before="40" w:after="40"/>
            </w:pPr>
            <w:r>
              <w:rPr>
                <w:sz w:val="22"/>
                <w:szCs w:val="22"/>
                <w:lang w:val="en-US"/>
              </w:rPr>
              <w:t>No</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40BB2CC" w14:textId="77777777" w:rsidR="000B500E" w:rsidRDefault="00000000">
            <w:pPr>
              <w:pStyle w:val="Body"/>
              <w:spacing w:before="40" w:after="40"/>
            </w:pPr>
            <w:r>
              <w:rPr>
                <w:sz w:val="22"/>
                <w:szCs w:val="22"/>
                <w:lang w:val="en-US"/>
              </w:rPr>
              <w:t>Yes</w:t>
            </w:r>
          </w:p>
        </w:tc>
        <w:tc>
          <w:tcPr>
            <w:tcW w:w="2809"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FD71CEA" w14:textId="240A94BB" w:rsidR="000B500E" w:rsidRDefault="00000000">
            <w:pPr>
              <w:pStyle w:val="Body"/>
              <w:spacing w:before="40" w:after="40"/>
            </w:pPr>
            <w:r>
              <w:rPr>
                <w:sz w:val="22"/>
                <w:szCs w:val="22"/>
                <w:lang w:val="en-US"/>
              </w:rPr>
              <w:t xml:space="preserve">Competitive </w:t>
            </w:r>
            <w:r w:rsidR="002F7B46">
              <w:rPr>
                <w:sz w:val="22"/>
                <w:szCs w:val="22"/>
                <w:lang w:val="en-US"/>
              </w:rPr>
              <w:t>party</w:t>
            </w:r>
            <w:r>
              <w:rPr>
                <w:sz w:val="22"/>
                <w:szCs w:val="22"/>
                <w:lang w:val="en-US"/>
              </w:rPr>
              <w:t xml:space="preserve"> replicated by Primark, Zara, and Shein at comparable scale</w:t>
            </w:r>
          </w:p>
        </w:tc>
      </w:tr>
      <w:tr w:rsidR="000B500E" w14:paraId="1714D531" w14:textId="77777777" w:rsidTr="00A74ED3">
        <w:trPr>
          <w:trHeight w:val="1195"/>
        </w:trPr>
        <w:tc>
          <w:tcPr>
            <w:tcW w:w="1777"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0FCAA780" w14:textId="77777777" w:rsidR="000B500E" w:rsidRDefault="00000000">
            <w:pPr>
              <w:pStyle w:val="Body"/>
              <w:spacing w:before="40" w:after="40"/>
            </w:pPr>
            <w:r>
              <w:rPr>
                <w:sz w:val="22"/>
                <w:szCs w:val="22"/>
                <w:lang w:val="en-US"/>
              </w:rPr>
              <w:t>Omni-Channel Platform</w:t>
            </w:r>
          </w:p>
        </w:tc>
        <w:tc>
          <w:tcPr>
            <w:tcW w:w="1084"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C88A433" w14:textId="77777777" w:rsidR="000B500E" w:rsidRDefault="00000000">
            <w:pPr>
              <w:pStyle w:val="Body"/>
              <w:spacing w:before="40" w:after="40"/>
            </w:pPr>
            <w:r>
              <w:rPr>
                <w:sz w:val="22"/>
                <w:szCs w:val="22"/>
                <w:lang w:val="en-US"/>
              </w:rPr>
              <w:t>Yes</w:t>
            </w:r>
          </w:p>
        </w:tc>
        <w:tc>
          <w:tcPr>
            <w:tcW w:w="117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1103C67" w14:textId="77777777" w:rsidR="000B500E" w:rsidRDefault="00000000">
            <w:pPr>
              <w:pStyle w:val="Body"/>
              <w:spacing w:before="40" w:after="40"/>
            </w:pPr>
            <w:r>
              <w:rPr>
                <w:sz w:val="22"/>
                <w:szCs w:val="22"/>
                <w:lang w:val="en-US"/>
              </w:rPr>
              <w:t>Partially</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6EA0944" w14:textId="77777777" w:rsidR="000B500E" w:rsidRDefault="00000000">
            <w:pPr>
              <w:pStyle w:val="Body"/>
              <w:spacing w:before="40" w:after="40"/>
            </w:pPr>
            <w:r>
              <w:rPr>
                <w:sz w:val="22"/>
                <w:szCs w:val="22"/>
                <w:lang w:val="en-US"/>
              </w:rPr>
              <w:t>Partially</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0B726B58" w14:textId="77777777" w:rsidR="000B500E" w:rsidRDefault="00000000">
            <w:pPr>
              <w:pStyle w:val="Body"/>
              <w:spacing w:before="40" w:after="40"/>
            </w:pPr>
            <w:r>
              <w:rPr>
                <w:sz w:val="22"/>
                <w:szCs w:val="22"/>
                <w:lang w:val="en-US"/>
              </w:rPr>
              <w:t>Developing</w:t>
            </w:r>
          </w:p>
        </w:tc>
        <w:tc>
          <w:tcPr>
            <w:tcW w:w="2809"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F8CC957" w14:textId="2D2F4E87" w:rsidR="000B500E" w:rsidRDefault="002F7B46">
            <w:pPr>
              <w:pStyle w:val="Body"/>
              <w:spacing w:before="40" w:after="40"/>
            </w:pPr>
            <w:r w:rsidRPr="002F7B46">
              <w:rPr>
                <w:sz w:val="22"/>
                <w:szCs w:val="22"/>
                <w:lang w:val="en-US"/>
              </w:rPr>
              <w:t xml:space="preserve">Temporary advantage —digital integration still developing relative to ASOS and Zara; online sales representing approximately 30 per cent </w:t>
            </w:r>
            <w:r w:rsidRPr="002F7B46">
              <w:rPr>
                <w:sz w:val="22"/>
                <w:szCs w:val="22"/>
                <w:lang w:val="en-US"/>
              </w:rPr>
              <w:lastRenderedPageBreak/>
              <w:t>of group net sales in 2024 (H&amp;M Group, 2025a)</w:t>
            </w:r>
          </w:p>
        </w:tc>
      </w:tr>
      <w:tr w:rsidR="000B500E" w14:paraId="52A5D385" w14:textId="77777777" w:rsidTr="00A74ED3">
        <w:trPr>
          <w:trHeight w:val="1915"/>
        </w:trPr>
        <w:tc>
          <w:tcPr>
            <w:tcW w:w="1777"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15437053" w14:textId="77777777" w:rsidR="000B500E" w:rsidRDefault="00000000">
            <w:pPr>
              <w:pStyle w:val="Body"/>
              <w:spacing w:before="40" w:after="40"/>
            </w:pPr>
            <w:r>
              <w:rPr>
                <w:sz w:val="22"/>
                <w:szCs w:val="22"/>
                <w:lang w:val="en-US"/>
              </w:rPr>
              <w:lastRenderedPageBreak/>
              <w:t>Designer Collaborations</w:t>
            </w:r>
          </w:p>
        </w:tc>
        <w:tc>
          <w:tcPr>
            <w:tcW w:w="1084"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738EA7B" w14:textId="77777777" w:rsidR="000B500E" w:rsidRDefault="00000000">
            <w:pPr>
              <w:pStyle w:val="Body"/>
              <w:spacing w:before="40" w:after="40"/>
            </w:pPr>
            <w:r>
              <w:rPr>
                <w:sz w:val="22"/>
                <w:szCs w:val="22"/>
                <w:lang w:val="en-US"/>
              </w:rPr>
              <w:t>Yes</w:t>
            </w:r>
          </w:p>
        </w:tc>
        <w:tc>
          <w:tcPr>
            <w:tcW w:w="117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D8851B7" w14:textId="77777777" w:rsidR="000B500E" w:rsidRDefault="00000000">
            <w:pPr>
              <w:pStyle w:val="Body"/>
              <w:spacing w:before="40" w:after="40"/>
            </w:pPr>
            <w:r>
              <w:rPr>
                <w:sz w:val="22"/>
                <w:szCs w:val="22"/>
                <w:lang w:val="en-US"/>
              </w:rPr>
              <w:t>Yes</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1B3BBF0" w14:textId="77777777" w:rsidR="000B500E" w:rsidRDefault="00000000">
            <w:pPr>
              <w:pStyle w:val="Body"/>
              <w:spacing w:before="40" w:after="40"/>
            </w:pPr>
            <w:r>
              <w:rPr>
                <w:sz w:val="22"/>
                <w:szCs w:val="22"/>
                <w:lang w:val="en-US"/>
              </w:rPr>
              <w:t>Yes</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73DB396" w14:textId="77777777" w:rsidR="000B500E" w:rsidRDefault="00000000">
            <w:pPr>
              <w:pStyle w:val="Body"/>
              <w:spacing w:before="40" w:after="40"/>
            </w:pPr>
            <w:r>
              <w:rPr>
                <w:sz w:val="22"/>
                <w:szCs w:val="22"/>
                <w:lang w:val="en-US"/>
              </w:rPr>
              <w:t>Yes</w:t>
            </w:r>
          </w:p>
        </w:tc>
        <w:tc>
          <w:tcPr>
            <w:tcW w:w="2809"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51F73AE" w14:textId="1F6D04B8" w:rsidR="000B500E" w:rsidRDefault="002F7B46">
            <w:pPr>
              <w:pStyle w:val="Body"/>
              <w:spacing w:before="40" w:after="40"/>
            </w:pPr>
            <w:r w:rsidRPr="002F7B46">
              <w:rPr>
                <w:sz w:val="22"/>
                <w:szCs w:val="22"/>
                <w:lang w:val="en-US"/>
              </w:rPr>
              <w:t>Episodic competitive advantage — high-profile limited collaborations such as Balmain generate exceptional media visibility and consumer urgency, but this is better understood as a periodic amplifier of brand heat than a system-wide barrier to imitation (Mrad, Farah and Haddad, 2019)</w:t>
            </w:r>
          </w:p>
        </w:tc>
      </w:tr>
      <w:tr w:rsidR="000B500E" w14:paraId="00646956" w14:textId="77777777" w:rsidTr="00A74ED3">
        <w:trPr>
          <w:trHeight w:val="1675"/>
        </w:trPr>
        <w:tc>
          <w:tcPr>
            <w:tcW w:w="1777"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3EB07227" w14:textId="77777777" w:rsidR="000B500E" w:rsidRDefault="00000000">
            <w:pPr>
              <w:pStyle w:val="Body"/>
              <w:spacing w:before="40" w:after="40"/>
            </w:pPr>
            <w:r>
              <w:rPr>
                <w:sz w:val="22"/>
                <w:szCs w:val="22"/>
                <w:lang w:val="en-US"/>
              </w:rPr>
              <w:t>Sustainability Initiatives</w:t>
            </w:r>
          </w:p>
        </w:tc>
        <w:tc>
          <w:tcPr>
            <w:tcW w:w="1084"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12181E08" w14:textId="77777777" w:rsidR="000B500E" w:rsidRDefault="00000000">
            <w:pPr>
              <w:pStyle w:val="Body"/>
              <w:spacing w:before="40" w:after="40"/>
            </w:pPr>
            <w:r>
              <w:rPr>
                <w:sz w:val="22"/>
                <w:szCs w:val="22"/>
                <w:lang w:val="en-US"/>
              </w:rPr>
              <w:t>Yes</w:t>
            </w:r>
          </w:p>
        </w:tc>
        <w:tc>
          <w:tcPr>
            <w:tcW w:w="117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244E6E8" w14:textId="77777777" w:rsidR="000B500E" w:rsidRDefault="00000000">
            <w:pPr>
              <w:pStyle w:val="Body"/>
              <w:spacing w:before="40" w:after="40"/>
            </w:pPr>
            <w:r>
              <w:rPr>
                <w:sz w:val="22"/>
                <w:szCs w:val="22"/>
                <w:lang w:val="en-US"/>
              </w:rPr>
              <w:t>Partially</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85B2F7D" w14:textId="77777777" w:rsidR="000B500E" w:rsidRDefault="00000000">
            <w:pPr>
              <w:pStyle w:val="Body"/>
              <w:spacing w:before="40" w:after="40"/>
            </w:pPr>
            <w:r>
              <w:rPr>
                <w:sz w:val="22"/>
                <w:szCs w:val="22"/>
                <w:lang w:val="en-US"/>
              </w:rPr>
              <w:t>No</w:t>
            </w:r>
          </w:p>
        </w:tc>
        <w:tc>
          <w:tcPr>
            <w:tcW w:w="12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0D39CD1E" w14:textId="77777777" w:rsidR="000B500E" w:rsidRDefault="00000000">
            <w:pPr>
              <w:pStyle w:val="Body"/>
              <w:spacing w:before="40" w:after="40"/>
            </w:pPr>
            <w:r>
              <w:rPr>
                <w:sz w:val="22"/>
                <w:szCs w:val="22"/>
                <w:lang w:val="en-US"/>
              </w:rPr>
              <w:t>Partially</w:t>
            </w:r>
          </w:p>
        </w:tc>
        <w:tc>
          <w:tcPr>
            <w:tcW w:w="2809"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D7EB14A" w14:textId="36956F36" w:rsidR="000B500E" w:rsidRDefault="002F7B46">
            <w:pPr>
              <w:pStyle w:val="Body"/>
              <w:spacing w:before="40" w:after="40"/>
            </w:pPr>
            <w:r w:rsidRPr="002F7B46">
              <w:rPr>
                <w:sz w:val="22"/>
                <w:szCs w:val="22"/>
                <w:lang w:val="en-US"/>
              </w:rPr>
              <w:t>Potential advantage, currently undermined by the credibility gap between sustainability communications and auditable operational delivery (Authority for Consumers and Markets, 2022)</w:t>
            </w:r>
          </w:p>
        </w:tc>
      </w:tr>
    </w:tbl>
    <w:p w14:paraId="7B69DCF0" w14:textId="77777777" w:rsidR="007F1B2A" w:rsidRDefault="007F1B2A">
      <w:pPr>
        <w:pStyle w:val="Body"/>
        <w:rPr>
          <w:rFonts w:ascii="Arial Unicode MS" w:hAnsi="Arial Unicode MS"/>
        </w:rPr>
      </w:pPr>
    </w:p>
    <w:p w14:paraId="49BDF9DC" w14:textId="5A0BFD14" w:rsidR="000B500E" w:rsidRDefault="007F1B2A" w:rsidP="007F1B2A">
      <w:r>
        <w:t xml:space="preserve">The VRIO analysis implies that H&amp;M has several valuable and marketable resources, but not many that are concurrently rare, inimitable and fully integrated into the operating system. Brand, scale and omni-channel distribution are still important sources of competitive advantage, but increasingly they are table stakes in global fashion. Designer collaborations are a better example: H&amp;M has operated a prominent guest-designer program for 20 years, and its high demand highlights the potential power of the collaborations to create media buzz and consumer interest. </w:t>
      </w:r>
    </w:p>
    <w:p w14:paraId="1A33F91A" w14:textId="77777777" w:rsidR="00A74ED3" w:rsidRDefault="00A74ED3">
      <w:pPr>
        <w:spacing w:before="0" w:after="0" w:line="240" w:lineRule="auto"/>
        <w:jc w:val="left"/>
        <w:rPr>
          <w:b/>
          <w:bCs/>
          <w:color w:val="2E5697"/>
          <w:sz w:val="28"/>
          <w:szCs w:val="28"/>
          <w:u w:color="2E5697"/>
        </w:rPr>
      </w:pPr>
      <w:bookmarkStart w:id="39" w:name="_Toc17"/>
      <w:bookmarkStart w:id="40" w:name="_Toc228518552"/>
      <w:r>
        <w:br w:type="page"/>
      </w:r>
    </w:p>
    <w:p w14:paraId="18275334" w14:textId="31D02BFB" w:rsidR="000B500E" w:rsidRDefault="00C36384">
      <w:pPr>
        <w:pStyle w:val="Heading2"/>
      </w:pPr>
      <w:bookmarkStart w:id="41" w:name="_Toc228520765"/>
      <w:r>
        <w:rPr>
          <w:rFonts w:eastAsia="Arial Unicode MS" w:cs="Arial Unicode MS"/>
          <w:lang w:val="en-US"/>
        </w:rPr>
        <w:lastRenderedPageBreak/>
        <w:t>1.3 CSR and Sustainability Objectives</w:t>
      </w:r>
      <w:bookmarkEnd w:id="39"/>
      <w:bookmarkEnd w:id="40"/>
      <w:bookmarkEnd w:id="41"/>
    </w:p>
    <w:p w14:paraId="337BB1F6" w14:textId="77777777" w:rsidR="007F1B2A" w:rsidRDefault="007F1B2A" w:rsidP="007F1B2A">
      <w:r>
        <w:t xml:space="preserve">H&amp;M's CSR and sustainability approach is outlined in its "Let's Change Fashion" strategy, which includes targets of sourcing 100% of materials from recycled or other sustainable sources by 2030 and making its value chain climate positive by 2040 (H&amp;M Group Sustainability Report, 2025b). H&amp;M has </w:t>
      </w:r>
      <w:proofErr w:type="spellStart"/>
      <w:r>
        <w:t>focussed</w:t>
      </w:r>
      <w:proofErr w:type="spellEnd"/>
      <w:r>
        <w:t xml:space="preserve"> on developing garment recycling, sourcing more sustainable materials, expanding traceability through Textile Genesis, and supplier code of conduct initiatives.</w:t>
      </w:r>
    </w:p>
    <w:p w14:paraId="2B66F4D9" w14:textId="09F43267" w:rsidR="007F1B2A" w:rsidRDefault="007F1B2A" w:rsidP="007F1B2A">
      <w:r>
        <w:t xml:space="preserve">But critical analysis shows key tensions that extend beyond operational ineptitude. Carroll's (1991) CSR pyramid </w:t>
      </w:r>
      <w:proofErr w:type="spellStart"/>
      <w:r>
        <w:t>categorises</w:t>
      </w:r>
      <w:proofErr w:type="spellEnd"/>
      <w:r>
        <w:t xml:space="preserve"> corporate responsibility into four levels: economic, legal, ethical, and philanthropic. H&amp;M's economic responsibility, to generate returns for its shareholders through high-volume fast fashion, is at odds with its ethical and environmental obligations. The model relies on promoting consumption of low-priced products, leading to excessive textile waste not recyclable enough to compensate. As Fletcher (2014) suggests, making more "sustainable" products in an unsustainable system does not address the strategic dilemma.</w:t>
      </w:r>
    </w:p>
    <w:p w14:paraId="27CBF170" w14:textId="77777777" w:rsidR="007F1B2A" w:rsidRDefault="007F1B2A" w:rsidP="007F1B2A">
      <w:r>
        <w:t xml:space="preserve">Using Bansal and Roth's (2000) classification of ecological responsiveness, it seems that H&amp;M's sustainability strategy, while partially competitiveness-driven, still tends to be legitimation-seeking, where public claims outpace auditable practices. Bansal and Roth define firms that pursue environmental strategy for a competitive advantage, for societal expectations and to avoid negative reputation, and those that do so out of ecological concern. H&amp;M's current approach is largely in the legitimation category: sustainability is used mainly to avoid reputational risk and meet investor expectations of environmental, social and governance (ESG) performance, rather than as an integrated and </w:t>
      </w:r>
      <w:proofErr w:type="spellStart"/>
      <w:r>
        <w:t>operationalised</w:t>
      </w:r>
      <w:proofErr w:type="spellEnd"/>
      <w:r>
        <w:t xml:space="preserve"> business practice. This is significant because CSR undertaken primarily for legitimation is inherently vulnerable, as it is based on reputation rather than capability, and is therefore vulnerable to challenge.</w:t>
      </w:r>
    </w:p>
    <w:p w14:paraId="74093026" w14:textId="3546F388" w:rsidR="000B500E" w:rsidRDefault="007F1B2A" w:rsidP="007F1B2A">
      <w:r>
        <w:t>If CSR is to become more than a strategic window-dressing, H&amp;M needs to integrate sustainability metrics into commercial, supplier and product development processes. Hart's (1995) natural resource-based view suggests that proactive environmental strategy, which is integrated into operations, can yield cost and reputation benefits that are hard to emulate. Until this is true, H&amp;M's CSR strategy may remain what Bansal and Roth (2000) would describe as symbolic rather than substantive.</w:t>
      </w:r>
    </w:p>
    <w:p w14:paraId="1F890E01" w14:textId="1F3691ED" w:rsidR="000B500E" w:rsidRDefault="007F1B2A">
      <w:pPr>
        <w:pStyle w:val="Heading2"/>
      </w:pPr>
      <w:bookmarkStart w:id="42" w:name="_Toc18"/>
      <w:bookmarkStart w:id="43" w:name="_Toc228518553"/>
      <w:bookmarkStart w:id="44" w:name="_Toc228520766"/>
      <w:r>
        <w:rPr>
          <w:rFonts w:eastAsia="Arial Unicode MS" w:cs="Arial Unicode MS"/>
          <w:lang w:val="en-US"/>
        </w:rPr>
        <w:lastRenderedPageBreak/>
        <w:t>1.4 Comprehensive and Holistic View</w:t>
      </w:r>
      <w:bookmarkEnd w:id="42"/>
      <w:bookmarkEnd w:id="43"/>
      <w:bookmarkEnd w:id="44"/>
    </w:p>
    <w:p w14:paraId="67EAFAED" w14:textId="77777777" w:rsidR="000B500E" w:rsidRDefault="00000000">
      <w:pPr>
        <w:pStyle w:val="Body"/>
        <w:spacing w:before="80" w:after="160" w:line="360" w:lineRule="auto"/>
        <w:jc w:val="both"/>
      </w:pPr>
      <w:r>
        <w:rPr>
          <w:lang w:val="en-US"/>
        </w:rPr>
        <w:t>The Balanced Scorecard, developed by Kaplan and Norton (1992), provides a multi-dimensional performance management framework that moves beyond financial metrics to encompass customer, internal process, and learning and growth perspectives. Applied to H&amp;M, the Balanced Scorecard enables a holistic assessment of strategic performance and identification of gaps between stated intent and operational delivery.</w:t>
      </w:r>
    </w:p>
    <w:p w14:paraId="3CA949A3" w14:textId="77777777" w:rsidR="000B500E" w:rsidRDefault="00000000">
      <w:pPr>
        <w:pStyle w:val="Heading3"/>
      </w:pPr>
      <w:bookmarkStart w:id="45" w:name="_Toc19"/>
      <w:bookmarkStart w:id="46" w:name="_Toc228518554"/>
      <w:bookmarkStart w:id="47" w:name="_Toc228520767"/>
      <w:r>
        <w:rPr>
          <w:rFonts w:eastAsia="Arial Unicode MS" w:cs="Arial Unicode MS"/>
          <w:lang w:val="en-US"/>
        </w:rPr>
        <w:t>Financial Perspective</w:t>
      </w:r>
      <w:bookmarkEnd w:id="45"/>
      <w:bookmarkEnd w:id="46"/>
      <w:bookmarkEnd w:id="47"/>
    </w:p>
    <w:p w14:paraId="457ACF80" w14:textId="77777777" w:rsidR="000B500E" w:rsidRDefault="00000000">
      <w:pPr>
        <w:pStyle w:val="Body"/>
        <w:spacing w:before="80" w:after="160" w:line="360" w:lineRule="auto"/>
        <w:jc w:val="both"/>
      </w:pPr>
      <w:r>
        <w:rPr>
          <w:lang w:val="en-US"/>
        </w:rPr>
        <w:t xml:space="preserve">H&amp;M's financial performance has been under pressure in recent years. After excess inventory write-offs and margin compression in 2022, the company undertook a significant cost restructuring </w:t>
      </w:r>
      <w:proofErr w:type="spellStart"/>
      <w:r>
        <w:rPr>
          <w:lang w:val="en-US"/>
        </w:rPr>
        <w:t>programme</w:t>
      </w:r>
      <w:proofErr w:type="spellEnd"/>
      <w:r>
        <w:rPr>
          <w:lang w:val="en-US"/>
        </w:rPr>
        <w:t xml:space="preserve"> under its 'New Chapter' strategic plan (H&amp;M Group, 2022). Revenue recovered to SEK 236 billion in 2023, with operating margin improving, though profitability remained below the company's own medium-term targets (H&amp;M Group, 2023).</w:t>
      </w:r>
    </w:p>
    <w:p w14:paraId="137740D0" w14:textId="77777777" w:rsidR="000B500E" w:rsidRDefault="000B500E">
      <w:pPr>
        <w:pStyle w:val="Body"/>
        <w:spacing w:before="80" w:after="80"/>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2300"/>
        <w:gridCol w:w="2500"/>
        <w:gridCol w:w="2400"/>
        <w:gridCol w:w="2160"/>
      </w:tblGrid>
      <w:tr w:rsidR="000B500E" w14:paraId="039CDCB9" w14:textId="77777777">
        <w:trPr>
          <w:trHeight w:val="235"/>
        </w:trPr>
        <w:tc>
          <w:tcPr>
            <w:tcW w:w="2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60FE20D6" w14:textId="77777777" w:rsidR="000B500E" w:rsidRDefault="00000000">
            <w:pPr>
              <w:pStyle w:val="Body"/>
              <w:spacing w:before="40" w:after="40"/>
            </w:pPr>
            <w:r>
              <w:rPr>
                <w:b/>
                <w:bCs/>
                <w:color w:val="FFFFFF"/>
                <w:sz w:val="22"/>
                <w:szCs w:val="22"/>
                <w:u w:color="FFFFFF"/>
                <w:lang w:val="en-US"/>
              </w:rPr>
              <w:t>Objective</w:t>
            </w:r>
          </w:p>
        </w:tc>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103E9134" w14:textId="77777777" w:rsidR="000B500E" w:rsidRDefault="00000000">
            <w:pPr>
              <w:pStyle w:val="Body"/>
              <w:spacing w:before="40" w:after="40"/>
            </w:pPr>
            <w:r>
              <w:rPr>
                <w:b/>
                <w:bCs/>
                <w:color w:val="FFFFFF"/>
                <w:sz w:val="22"/>
                <w:szCs w:val="22"/>
                <w:u w:color="FFFFFF"/>
                <w:lang w:val="en-US"/>
              </w:rPr>
              <w:t>KPIs</w:t>
            </w:r>
          </w:p>
        </w:tc>
        <w:tc>
          <w:tcPr>
            <w:tcW w:w="2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4B553B1A" w14:textId="77777777" w:rsidR="000B500E" w:rsidRDefault="00000000">
            <w:pPr>
              <w:pStyle w:val="Body"/>
              <w:spacing w:before="40" w:after="40"/>
            </w:pPr>
            <w:r>
              <w:rPr>
                <w:b/>
                <w:bCs/>
                <w:color w:val="FFFFFF"/>
                <w:sz w:val="22"/>
                <w:szCs w:val="22"/>
                <w:u w:color="FFFFFF"/>
                <w:lang w:val="en-US"/>
              </w:rPr>
              <w:t>Target</w:t>
            </w:r>
          </w:p>
        </w:tc>
        <w:tc>
          <w:tcPr>
            <w:tcW w:w="21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1FC92BAA" w14:textId="77777777" w:rsidR="000B500E" w:rsidRDefault="00000000">
            <w:pPr>
              <w:pStyle w:val="Body"/>
              <w:spacing w:before="40" w:after="40"/>
            </w:pPr>
            <w:r>
              <w:rPr>
                <w:b/>
                <w:bCs/>
                <w:color w:val="FFFFFF"/>
                <w:sz w:val="22"/>
                <w:szCs w:val="22"/>
                <w:u w:color="FFFFFF"/>
                <w:lang w:val="en-US"/>
              </w:rPr>
              <w:t>Initiative</w:t>
            </w:r>
          </w:p>
        </w:tc>
      </w:tr>
      <w:tr w:rsidR="000B500E" w14:paraId="202A97F9" w14:textId="77777777">
        <w:trPr>
          <w:trHeight w:val="95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33CC4F05" w14:textId="77777777" w:rsidR="000B500E" w:rsidRDefault="00000000">
            <w:pPr>
              <w:pStyle w:val="Body"/>
              <w:spacing w:before="40" w:after="40"/>
            </w:pPr>
            <w:r>
              <w:rPr>
                <w:sz w:val="22"/>
                <w:szCs w:val="22"/>
                <w:lang w:val="en-US"/>
              </w:rPr>
              <w:t>Improve profitability</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00033EE" w14:textId="77777777" w:rsidR="000B500E" w:rsidRDefault="00000000">
            <w:pPr>
              <w:pStyle w:val="Body"/>
              <w:spacing w:before="40" w:after="40"/>
            </w:pPr>
            <w:r>
              <w:rPr>
                <w:sz w:val="22"/>
                <w:szCs w:val="22"/>
                <w:lang w:val="en-US"/>
              </w:rPr>
              <w:t>Operating margin; gross margin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2D50561" w14:textId="77777777" w:rsidR="000B500E" w:rsidRDefault="00000000">
            <w:pPr>
              <w:pStyle w:val="Body"/>
              <w:spacing w:before="40" w:after="40"/>
            </w:pPr>
            <w:r>
              <w:rPr>
                <w:sz w:val="22"/>
                <w:szCs w:val="22"/>
                <w:lang w:val="en-US"/>
              </w:rPr>
              <w:t>Sustained double-digit operating margin</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213C44DD" w14:textId="77777777" w:rsidR="000B500E" w:rsidRDefault="00000000">
            <w:pPr>
              <w:pStyle w:val="Body"/>
              <w:spacing w:before="40" w:after="40"/>
            </w:pPr>
            <w:r>
              <w:rPr>
                <w:sz w:val="22"/>
                <w:szCs w:val="22"/>
                <w:lang w:val="en-US"/>
              </w:rPr>
              <w:t>Supply chain efficiency; cost reduction; reduced markdown losses</w:t>
            </w:r>
          </w:p>
        </w:tc>
      </w:tr>
      <w:tr w:rsidR="000B500E" w14:paraId="059080CD" w14:textId="77777777">
        <w:trPr>
          <w:trHeight w:val="95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1D14DC17" w14:textId="77777777" w:rsidR="000B500E" w:rsidRDefault="00000000">
            <w:pPr>
              <w:pStyle w:val="Body"/>
              <w:spacing w:before="40" w:after="40"/>
            </w:pPr>
            <w:r>
              <w:rPr>
                <w:sz w:val="22"/>
                <w:szCs w:val="22"/>
                <w:lang w:val="en-US"/>
              </w:rPr>
              <w:t>Grow digital revenue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44C0D69" w14:textId="77777777" w:rsidR="000B500E" w:rsidRDefault="00000000">
            <w:pPr>
              <w:pStyle w:val="Body"/>
              <w:spacing w:before="40" w:after="40"/>
            </w:pPr>
            <w:r>
              <w:rPr>
                <w:sz w:val="22"/>
                <w:szCs w:val="22"/>
                <w:lang w:val="en-US"/>
              </w:rPr>
              <w:t>E-commerce share of total sales; digital conversion rate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4AB51AF" w14:textId="77777777" w:rsidR="000B500E" w:rsidRDefault="00000000">
            <w:pPr>
              <w:pStyle w:val="Body"/>
              <w:spacing w:before="40" w:after="40"/>
            </w:pPr>
            <w:r>
              <w:rPr>
                <w:sz w:val="22"/>
                <w:szCs w:val="22"/>
                <w:lang w:val="en-US"/>
              </w:rPr>
              <w:t>Increase digital channel contribution significantly from current levels</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2B696691" w14:textId="77777777" w:rsidR="000B500E" w:rsidRDefault="00000000">
            <w:pPr>
              <w:pStyle w:val="Body"/>
              <w:spacing w:before="40" w:after="40"/>
            </w:pPr>
            <w:r>
              <w:rPr>
                <w:sz w:val="22"/>
                <w:szCs w:val="22"/>
                <w:lang w:val="en-US"/>
              </w:rPr>
              <w:t xml:space="preserve">Digital platform investment; AI-powered </w:t>
            </w:r>
            <w:proofErr w:type="spellStart"/>
            <w:r>
              <w:rPr>
                <w:sz w:val="22"/>
                <w:szCs w:val="22"/>
                <w:lang w:val="en-US"/>
              </w:rPr>
              <w:t>personalisation</w:t>
            </w:r>
            <w:proofErr w:type="spellEnd"/>
          </w:p>
        </w:tc>
      </w:tr>
      <w:tr w:rsidR="000B500E" w14:paraId="71977D0C" w14:textId="77777777">
        <w:trPr>
          <w:trHeight w:val="95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13A9EDD3" w14:textId="77777777" w:rsidR="000B500E" w:rsidRDefault="00000000">
            <w:pPr>
              <w:pStyle w:val="Body"/>
              <w:spacing w:before="40" w:after="40"/>
            </w:pPr>
            <w:proofErr w:type="spellStart"/>
            <w:r>
              <w:rPr>
                <w:sz w:val="22"/>
                <w:szCs w:val="22"/>
                <w:lang w:val="en-US"/>
              </w:rPr>
              <w:t>Optimise</w:t>
            </w:r>
            <w:proofErr w:type="spellEnd"/>
            <w:r>
              <w:rPr>
                <w:sz w:val="22"/>
                <w:szCs w:val="22"/>
                <w:lang w:val="en-US"/>
              </w:rPr>
              <w:t xml:space="preserve"> inventory management</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91577B6" w14:textId="77777777" w:rsidR="000B500E" w:rsidRDefault="00000000">
            <w:pPr>
              <w:pStyle w:val="Body"/>
              <w:spacing w:before="40" w:after="40"/>
            </w:pPr>
            <w:r>
              <w:rPr>
                <w:sz w:val="22"/>
                <w:szCs w:val="22"/>
                <w:lang w:val="en-US"/>
              </w:rPr>
              <w:t>Inventory turnover; markdown rate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79E8CEF" w14:textId="77777777" w:rsidR="000B500E" w:rsidRDefault="00000000">
            <w:pPr>
              <w:pStyle w:val="Body"/>
              <w:spacing w:before="40" w:after="40"/>
            </w:pPr>
            <w:r>
              <w:rPr>
                <w:sz w:val="22"/>
                <w:szCs w:val="22"/>
                <w:lang w:val="en-US"/>
              </w:rPr>
              <w:t>Material reduction in unsold stock write-offs</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28918491" w14:textId="77777777" w:rsidR="000B500E" w:rsidRDefault="00000000">
            <w:pPr>
              <w:pStyle w:val="Body"/>
              <w:spacing w:before="40" w:after="40"/>
            </w:pPr>
            <w:r>
              <w:rPr>
                <w:sz w:val="22"/>
                <w:szCs w:val="22"/>
                <w:lang w:val="en-US"/>
              </w:rPr>
              <w:t>Demand forecasting technology; fewer, better-selling product lines</w:t>
            </w:r>
          </w:p>
        </w:tc>
      </w:tr>
    </w:tbl>
    <w:p w14:paraId="6BFEE751" w14:textId="77777777" w:rsidR="000B500E" w:rsidRDefault="000B500E">
      <w:pPr>
        <w:pStyle w:val="Body"/>
        <w:spacing w:before="80" w:after="80"/>
      </w:pPr>
    </w:p>
    <w:p w14:paraId="2CFCF707" w14:textId="77777777" w:rsidR="000B500E" w:rsidRDefault="00000000">
      <w:pPr>
        <w:pStyle w:val="Heading3"/>
      </w:pPr>
      <w:bookmarkStart w:id="48" w:name="_Toc20"/>
      <w:bookmarkStart w:id="49" w:name="_Toc228518555"/>
      <w:bookmarkStart w:id="50" w:name="_Toc228520768"/>
      <w:r>
        <w:rPr>
          <w:rFonts w:eastAsia="Arial Unicode MS" w:cs="Arial Unicode MS"/>
          <w:lang w:val="en-US"/>
        </w:rPr>
        <w:t>Customer Perspective</w:t>
      </w:r>
      <w:bookmarkEnd w:id="48"/>
      <w:bookmarkEnd w:id="49"/>
      <w:bookmarkEnd w:id="50"/>
    </w:p>
    <w:p w14:paraId="7F9D90E5" w14:textId="77777777" w:rsidR="000B500E" w:rsidRDefault="00000000">
      <w:pPr>
        <w:pStyle w:val="Body"/>
        <w:spacing w:before="80" w:after="160" w:line="360" w:lineRule="auto"/>
        <w:jc w:val="both"/>
      </w:pPr>
      <w:r>
        <w:rPr>
          <w:lang w:val="en-US"/>
        </w:rPr>
        <w:t xml:space="preserve">H&amp;M's customer base is broad but increasingly fragmented across demographics and channels. Customer acquisition is primarily driven by digital and social media channels, while loyalty is variable — the company's loyalty </w:t>
      </w:r>
      <w:proofErr w:type="spellStart"/>
      <w:r>
        <w:rPr>
          <w:lang w:val="en-US"/>
        </w:rPr>
        <w:t>programme</w:t>
      </w:r>
      <w:proofErr w:type="spellEnd"/>
      <w:r>
        <w:rPr>
          <w:lang w:val="en-US"/>
        </w:rPr>
        <w:t xml:space="preserve"> lags some competitors in breadth and </w:t>
      </w:r>
      <w:proofErr w:type="spellStart"/>
      <w:r>
        <w:rPr>
          <w:lang w:val="en-US"/>
        </w:rPr>
        <w:t>personalisation</w:t>
      </w:r>
      <w:proofErr w:type="spellEnd"/>
      <w:r>
        <w:rPr>
          <w:lang w:val="en-US"/>
        </w:rPr>
        <w:t xml:space="preserve"> capability. Research indicates growing </w:t>
      </w:r>
      <w:r>
        <w:rPr>
          <w:lang w:val="en-US"/>
        </w:rPr>
        <w:lastRenderedPageBreak/>
        <w:t>consumer ambivalence about H&amp;M's sustainability credibility, particularly among younger shoppers (Bhardwaj and Fairhurst, 2010).</w:t>
      </w:r>
    </w:p>
    <w:p w14:paraId="5ACC9AB9" w14:textId="77777777" w:rsidR="000B500E" w:rsidRDefault="000B500E">
      <w:pPr>
        <w:pStyle w:val="Body"/>
        <w:spacing w:before="80" w:after="80"/>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2300"/>
        <w:gridCol w:w="2500"/>
        <w:gridCol w:w="2400"/>
        <w:gridCol w:w="2160"/>
      </w:tblGrid>
      <w:tr w:rsidR="000B500E" w14:paraId="493ACB81" w14:textId="77777777">
        <w:trPr>
          <w:trHeight w:val="235"/>
        </w:trPr>
        <w:tc>
          <w:tcPr>
            <w:tcW w:w="2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76589D05" w14:textId="77777777" w:rsidR="000B500E" w:rsidRDefault="00000000">
            <w:pPr>
              <w:pStyle w:val="Body"/>
              <w:spacing w:before="40" w:after="40"/>
            </w:pPr>
            <w:r>
              <w:rPr>
                <w:b/>
                <w:bCs/>
                <w:color w:val="FFFFFF"/>
                <w:sz w:val="22"/>
                <w:szCs w:val="22"/>
                <w:u w:color="FFFFFF"/>
                <w:lang w:val="en-US"/>
              </w:rPr>
              <w:t>Objective</w:t>
            </w:r>
          </w:p>
        </w:tc>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408CC5A6" w14:textId="77777777" w:rsidR="000B500E" w:rsidRDefault="00000000">
            <w:pPr>
              <w:pStyle w:val="Body"/>
              <w:spacing w:before="40" w:after="40"/>
            </w:pPr>
            <w:r>
              <w:rPr>
                <w:b/>
                <w:bCs/>
                <w:color w:val="FFFFFF"/>
                <w:sz w:val="22"/>
                <w:szCs w:val="22"/>
                <w:u w:color="FFFFFF"/>
                <w:lang w:val="en-US"/>
              </w:rPr>
              <w:t>KPIs</w:t>
            </w:r>
          </w:p>
        </w:tc>
        <w:tc>
          <w:tcPr>
            <w:tcW w:w="2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73873C74" w14:textId="77777777" w:rsidR="000B500E" w:rsidRDefault="00000000">
            <w:pPr>
              <w:pStyle w:val="Body"/>
              <w:spacing w:before="40" w:after="40"/>
            </w:pPr>
            <w:r>
              <w:rPr>
                <w:b/>
                <w:bCs/>
                <w:color w:val="FFFFFF"/>
                <w:sz w:val="22"/>
                <w:szCs w:val="22"/>
                <w:u w:color="FFFFFF"/>
                <w:lang w:val="en-US"/>
              </w:rPr>
              <w:t>Target</w:t>
            </w:r>
          </w:p>
        </w:tc>
        <w:tc>
          <w:tcPr>
            <w:tcW w:w="21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26273577" w14:textId="77777777" w:rsidR="000B500E" w:rsidRDefault="00000000">
            <w:pPr>
              <w:pStyle w:val="Body"/>
              <w:spacing w:before="40" w:after="40"/>
            </w:pPr>
            <w:r>
              <w:rPr>
                <w:b/>
                <w:bCs/>
                <w:color w:val="FFFFFF"/>
                <w:sz w:val="22"/>
                <w:szCs w:val="22"/>
                <w:u w:color="FFFFFF"/>
                <w:lang w:val="en-US"/>
              </w:rPr>
              <w:t>Initiative</w:t>
            </w:r>
          </w:p>
        </w:tc>
      </w:tr>
      <w:tr w:rsidR="000B500E" w14:paraId="1ACC4D38" w14:textId="77777777">
        <w:trPr>
          <w:trHeight w:val="119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6F9DF352" w14:textId="4AD3D277" w:rsidR="000B500E" w:rsidRDefault="00EB0657">
            <w:pPr>
              <w:pStyle w:val="Body"/>
              <w:spacing w:before="40" w:after="40"/>
            </w:pPr>
            <w:r>
              <w:rPr>
                <w:sz w:val="22"/>
                <w:szCs w:val="22"/>
                <w:lang w:val="en-US"/>
              </w:rPr>
              <w:t>Strengthening brand relevance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198C7A5E" w14:textId="77777777" w:rsidR="000B500E" w:rsidRDefault="00000000">
            <w:pPr>
              <w:pStyle w:val="Body"/>
              <w:spacing w:before="40" w:after="40"/>
            </w:pPr>
            <w:r>
              <w:rPr>
                <w:sz w:val="22"/>
                <w:szCs w:val="22"/>
                <w:lang w:val="en-US"/>
              </w:rPr>
              <w:t>Brand perception index; customer advocacy measures</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D3F1914" w14:textId="77777777" w:rsidR="000B500E" w:rsidRDefault="00000000">
            <w:pPr>
              <w:pStyle w:val="Body"/>
              <w:spacing w:before="40" w:after="40"/>
            </w:pPr>
            <w:r>
              <w:rPr>
                <w:sz w:val="22"/>
                <w:szCs w:val="22"/>
                <w:lang w:val="en-US"/>
              </w:rPr>
              <w:t>Improve brand differentiation scores vs fast-fashion rivals</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8B1DF32" w14:textId="77777777" w:rsidR="000B500E" w:rsidRDefault="00000000">
            <w:pPr>
              <w:pStyle w:val="Body"/>
              <w:spacing w:before="40" w:after="40"/>
            </w:pPr>
            <w:r>
              <w:rPr>
                <w:sz w:val="22"/>
                <w:szCs w:val="22"/>
                <w:lang w:val="en-US"/>
              </w:rPr>
              <w:t>Designer collaborations; sustainability communication investment</w:t>
            </w:r>
          </w:p>
        </w:tc>
      </w:tr>
      <w:tr w:rsidR="000B500E" w14:paraId="518EDA25" w14:textId="77777777">
        <w:trPr>
          <w:trHeight w:val="119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2ABB1ED5" w14:textId="77777777" w:rsidR="000B500E" w:rsidRDefault="00000000">
            <w:pPr>
              <w:pStyle w:val="Body"/>
              <w:spacing w:before="40" w:after="40"/>
            </w:pPr>
            <w:r>
              <w:rPr>
                <w:sz w:val="22"/>
                <w:szCs w:val="22"/>
                <w:lang w:val="en-US"/>
              </w:rPr>
              <w:t>Improve customer loyalty</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79AA1C6" w14:textId="47F218FE" w:rsidR="000B500E" w:rsidRDefault="00000000">
            <w:pPr>
              <w:pStyle w:val="Body"/>
              <w:spacing w:before="40" w:after="40"/>
            </w:pPr>
            <w:r>
              <w:rPr>
                <w:sz w:val="22"/>
                <w:szCs w:val="22"/>
                <w:lang w:val="en-US"/>
              </w:rPr>
              <w:t xml:space="preserve">Repeat purchase rate; loyalty </w:t>
            </w:r>
            <w:r w:rsidR="00EB0657">
              <w:rPr>
                <w:sz w:val="22"/>
                <w:szCs w:val="22"/>
                <w:lang w:val="en-US"/>
              </w:rPr>
              <w:t>programmed</w:t>
            </w:r>
            <w:r>
              <w:rPr>
                <w:sz w:val="22"/>
                <w:szCs w:val="22"/>
                <w:lang w:val="en-US"/>
              </w:rPr>
              <w:t xml:space="preserve"> membership</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23D2550" w14:textId="7EC7C501" w:rsidR="000B500E" w:rsidRDefault="00EB0657">
            <w:pPr>
              <w:pStyle w:val="Body"/>
              <w:spacing w:before="40" w:after="40"/>
            </w:pPr>
            <w:r>
              <w:rPr>
                <w:sz w:val="22"/>
                <w:szCs w:val="22"/>
                <w:lang w:val="en-US"/>
              </w:rPr>
              <w:t>Growing H&amp;M Club membership and active engagement</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ECD359E" w14:textId="52E240B6" w:rsidR="000B500E" w:rsidRDefault="00000000">
            <w:pPr>
              <w:pStyle w:val="Body"/>
              <w:spacing w:before="40" w:after="40"/>
            </w:pPr>
            <w:r>
              <w:rPr>
                <w:sz w:val="22"/>
                <w:szCs w:val="22"/>
                <w:lang w:val="en-US"/>
              </w:rPr>
              <w:t xml:space="preserve">H&amp;M Club expansion; </w:t>
            </w:r>
            <w:r w:rsidR="00EB0657">
              <w:rPr>
                <w:sz w:val="22"/>
                <w:szCs w:val="22"/>
                <w:lang w:val="en-US"/>
              </w:rPr>
              <w:t>personalized</w:t>
            </w:r>
            <w:r>
              <w:rPr>
                <w:sz w:val="22"/>
                <w:szCs w:val="22"/>
                <w:lang w:val="en-US"/>
              </w:rPr>
              <w:t xml:space="preserve"> offers; improved digital experience</w:t>
            </w:r>
          </w:p>
        </w:tc>
      </w:tr>
      <w:tr w:rsidR="000B500E" w14:paraId="51551AA3" w14:textId="77777777">
        <w:trPr>
          <w:trHeight w:val="95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70539F12" w14:textId="77777777" w:rsidR="000B500E" w:rsidRDefault="00000000">
            <w:pPr>
              <w:pStyle w:val="Body"/>
              <w:spacing w:before="40" w:after="40"/>
            </w:pPr>
            <w:r>
              <w:rPr>
                <w:sz w:val="22"/>
                <w:szCs w:val="22"/>
                <w:lang w:val="en-US"/>
              </w:rPr>
              <w:t>Enhance digital experience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30A6961" w14:textId="6C1BAE8F" w:rsidR="000B500E" w:rsidRDefault="00000000">
            <w:pPr>
              <w:pStyle w:val="Body"/>
              <w:spacing w:before="40" w:after="40"/>
            </w:pPr>
            <w:r>
              <w:rPr>
                <w:sz w:val="22"/>
                <w:szCs w:val="22"/>
                <w:lang w:val="en-US"/>
              </w:rPr>
              <w:t xml:space="preserve">Online conversion rate; </w:t>
            </w:r>
            <w:r w:rsidR="00EB0657">
              <w:rPr>
                <w:sz w:val="22"/>
                <w:szCs w:val="22"/>
                <w:lang w:val="en-US"/>
              </w:rPr>
              <w:t>return</w:t>
            </w:r>
            <w:r>
              <w:rPr>
                <w:sz w:val="22"/>
                <w:szCs w:val="22"/>
                <w:lang w:val="en-US"/>
              </w:rPr>
              <w:t xml:space="preserve"> rate; app engagement</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179812F" w14:textId="28428EDF" w:rsidR="000B500E" w:rsidRDefault="00EB0657">
            <w:pPr>
              <w:pStyle w:val="Body"/>
              <w:spacing w:before="40" w:after="40"/>
            </w:pPr>
            <w:r>
              <w:rPr>
                <w:sz w:val="22"/>
                <w:szCs w:val="22"/>
                <w:lang w:val="en-US"/>
              </w:rPr>
              <w:t>Achieving top-quartile digital user experience in sector</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D5DC4D6" w14:textId="77777777" w:rsidR="000B500E" w:rsidRDefault="00000000">
            <w:pPr>
              <w:pStyle w:val="Body"/>
              <w:spacing w:before="40" w:after="40"/>
            </w:pPr>
            <w:r>
              <w:rPr>
                <w:sz w:val="22"/>
                <w:szCs w:val="22"/>
                <w:lang w:val="en-US"/>
              </w:rPr>
              <w:t>App redesign; AI-powered styling features; improved sizing tools</w:t>
            </w:r>
          </w:p>
        </w:tc>
      </w:tr>
    </w:tbl>
    <w:p w14:paraId="48EBB156" w14:textId="77777777" w:rsidR="000B500E" w:rsidRDefault="000B500E">
      <w:pPr>
        <w:pStyle w:val="Body"/>
        <w:widowControl w:val="0"/>
        <w:spacing w:before="80" w:after="80"/>
      </w:pPr>
    </w:p>
    <w:p w14:paraId="14FF0D15" w14:textId="77777777" w:rsidR="000B500E" w:rsidRDefault="000B500E">
      <w:pPr>
        <w:pStyle w:val="Body"/>
        <w:spacing w:before="80" w:after="80"/>
      </w:pPr>
    </w:p>
    <w:p w14:paraId="17A59421" w14:textId="77777777" w:rsidR="000B500E" w:rsidRDefault="00000000">
      <w:pPr>
        <w:pStyle w:val="Heading3"/>
      </w:pPr>
      <w:bookmarkStart w:id="51" w:name="_Toc21"/>
      <w:bookmarkStart w:id="52" w:name="_Toc228518556"/>
      <w:bookmarkStart w:id="53" w:name="_Toc228520769"/>
      <w:r>
        <w:rPr>
          <w:rFonts w:eastAsia="Arial Unicode MS" w:cs="Arial Unicode MS"/>
          <w:lang w:val="en-US"/>
        </w:rPr>
        <w:t>Internal Business Process Perspective</w:t>
      </w:r>
      <w:bookmarkEnd w:id="51"/>
      <w:bookmarkEnd w:id="52"/>
      <w:bookmarkEnd w:id="53"/>
    </w:p>
    <w:p w14:paraId="463083FD" w14:textId="432EB751" w:rsidR="000B500E" w:rsidRDefault="00000000">
      <w:pPr>
        <w:pStyle w:val="Body"/>
        <w:spacing w:before="80" w:after="160" w:line="360" w:lineRule="auto"/>
        <w:jc w:val="both"/>
      </w:pPr>
      <w:r>
        <w:rPr>
          <w:lang w:val="en-US"/>
        </w:rPr>
        <w:t>H&amp;M's internal processes — particularly supply chain management and product development — represent areas of strategic vulnerability. The company's design-to-shelf cycle is typically several months longer than Zara's, and inventory management has historically generated excessive markdown exposure. Ferdows, Lewis and Machuca (2004) demonstrate that supply chain agility drives significant competitive advantage in fashion retail, creating urgency for H&amp;M to accelerate its operational improvement agenda.</w:t>
      </w:r>
    </w:p>
    <w:p w14:paraId="4E445E1F" w14:textId="77777777" w:rsidR="000B500E" w:rsidRDefault="000B500E">
      <w:pPr>
        <w:pStyle w:val="Body"/>
        <w:spacing w:before="80" w:after="80"/>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2300"/>
        <w:gridCol w:w="2500"/>
        <w:gridCol w:w="2400"/>
        <w:gridCol w:w="2160"/>
      </w:tblGrid>
      <w:tr w:rsidR="000B500E" w14:paraId="2DC2BB8C" w14:textId="77777777">
        <w:trPr>
          <w:trHeight w:val="235"/>
        </w:trPr>
        <w:tc>
          <w:tcPr>
            <w:tcW w:w="2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2FDBA39A" w14:textId="77777777" w:rsidR="000B500E" w:rsidRDefault="00000000">
            <w:pPr>
              <w:pStyle w:val="Body"/>
              <w:spacing w:before="40" w:after="40"/>
            </w:pPr>
            <w:r>
              <w:rPr>
                <w:b/>
                <w:bCs/>
                <w:color w:val="FFFFFF"/>
                <w:sz w:val="22"/>
                <w:szCs w:val="22"/>
                <w:u w:color="FFFFFF"/>
                <w:lang w:val="en-US"/>
              </w:rPr>
              <w:t>Objective</w:t>
            </w:r>
          </w:p>
        </w:tc>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18202AB5" w14:textId="77777777" w:rsidR="000B500E" w:rsidRDefault="00000000">
            <w:pPr>
              <w:pStyle w:val="Body"/>
              <w:spacing w:before="40" w:after="40"/>
            </w:pPr>
            <w:r>
              <w:rPr>
                <w:b/>
                <w:bCs/>
                <w:color w:val="FFFFFF"/>
                <w:sz w:val="22"/>
                <w:szCs w:val="22"/>
                <w:u w:color="FFFFFF"/>
                <w:lang w:val="en-US"/>
              </w:rPr>
              <w:t>KPIs</w:t>
            </w:r>
          </w:p>
        </w:tc>
        <w:tc>
          <w:tcPr>
            <w:tcW w:w="2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25131A7A" w14:textId="77777777" w:rsidR="000B500E" w:rsidRDefault="00000000">
            <w:pPr>
              <w:pStyle w:val="Body"/>
              <w:spacing w:before="40" w:after="40"/>
            </w:pPr>
            <w:r>
              <w:rPr>
                <w:b/>
                <w:bCs/>
                <w:color w:val="FFFFFF"/>
                <w:sz w:val="22"/>
                <w:szCs w:val="22"/>
                <w:u w:color="FFFFFF"/>
                <w:lang w:val="en-US"/>
              </w:rPr>
              <w:t>Target</w:t>
            </w:r>
          </w:p>
        </w:tc>
        <w:tc>
          <w:tcPr>
            <w:tcW w:w="21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68EB810D" w14:textId="77777777" w:rsidR="000B500E" w:rsidRDefault="00000000">
            <w:pPr>
              <w:pStyle w:val="Body"/>
              <w:spacing w:before="40" w:after="40"/>
            </w:pPr>
            <w:r>
              <w:rPr>
                <w:b/>
                <w:bCs/>
                <w:color w:val="FFFFFF"/>
                <w:sz w:val="22"/>
                <w:szCs w:val="22"/>
                <w:u w:color="FFFFFF"/>
                <w:lang w:val="en-US"/>
              </w:rPr>
              <w:t>Initiative</w:t>
            </w:r>
          </w:p>
        </w:tc>
      </w:tr>
      <w:tr w:rsidR="000B500E" w14:paraId="5ED768DD" w14:textId="77777777">
        <w:trPr>
          <w:trHeight w:val="119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22A1ABF3" w14:textId="77777777" w:rsidR="000B500E" w:rsidRDefault="00000000">
            <w:pPr>
              <w:pStyle w:val="Body"/>
              <w:spacing w:before="40" w:after="40"/>
            </w:pPr>
            <w:r>
              <w:rPr>
                <w:sz w:val="22"/>
                <w:szCs w:val="22"/>
                <w:lang w:val="en-US"/>
              </w:rPr>
              <w:t>Improve speed to market</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2F4E44B2" w14:textId="77777777" w:rsidR="000B500E" w:rsidRDefault="00000000">
            <w:pPr>
              <w:pStyle w:val="Body"/>
              <w:spacing w:before="40" w:after="40"/>
            </w:pPr>
            <w:r>
              <w:rPr>
                <w:sz w:val="22"/>
                <w:szCs w:val="22"/>
                <w:lang w:val="en-US"/>
              </w:rPr>
              <w:t>Lead time from design to shelf; trend cycle time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8AE3C13" w14:textId="77777777" w:rsidR="000B500E" w:rsidRDefault="00000000">
            <w:pPr>
              <w:pStyle w:val="Body"/>
              <w:spacing w:before="40" w:after="40"/>
            </w:pPr>
            <w:r>
              <w:rPr>
                <w:sz w:val="22"/>
                <w:szCs w:val="22"/>
                <w:lang w:val="en-US"/>
              </w:rPr>
              <w:t>Reduce lead times in key product categories</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F4395D1" w14:textId="77777777" w:rsidR="000B500E" w:rsidRDefault="00000000">
            <w:pPr>
              <w:pStyle w:val="Body"/>
              <w:spacing w:before="40" w:after="40"/>
            </w:pPr>
            <w:r>
              <w:rPr>
                <w:sz w:val="22"/>
                <w:szCs w:val="22"/>
                <w:lang w:val="en-US"/>
              </w:rPr>
              <w:t>Supplier nearshoring; digital design tools; closer supplier collaboration</w:t>
            </w:r>
          </w:p>
        </w:tc>
      </w:tr>
      <w:tr w:rsidR="000B500E" w14:paraId="5353A71C" w14:textId="77777777">
        <w:trPr>
          <w:trHeight w:val="143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08DEBC88" w14:textId="77777777" w:rsidR="000B500E" w:rsidRDefault="00000000">
            <w:pPr>
              <w:pStyle w:val="Body"/>
              <w:spacing w:before="40" w:after="40"/>
            </w:pPr>
            <w:r>
              <w:rPr>
                <w:sz w:val="22"/>
                <w:szCs w:val="22"/>
                <w:lang w:val="en-US"/>
              </w:rPr>
              <w:lastRenderedPageBreak/>
              <w:t>Enhance sustainability compliance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3F36381" w14:textId="77777777" w:rsidR="000B500E" w:rsidRDefault="00000000">
            <w:pPr>
              <w:pStyle w:val="Body"/>
              <w:spacing w:before="40" w:after="40"/>
            </w:pPr>
            <w:r>
              <w:rPr>
                <w:sz w:val="22"/>
                <w:szCs w:val="22"/>
                <w:lang w:val="en-US"/>
              </w:rPr>
              <w:t>Percentage of sustainably sourced materials; supplier audit pass rate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0B3D2B40" w14:textId="4D403477" w:rsidR="000B500E" w:rsidRDefault="00000000">
            <w:pPr>
              <w:pStyle w:val="Body"/>
              <w:spacing w:before="40" w:after="40"/>
            </w:pPr>
            <w:r>
              <w:rPr>
                <w:sz w:val="22"/>
                <w:szCs w:val="22"/>
                <w:lang w:val="en-US"/>
              </w:rPr>
              <w:t>100 per cent sustainable materials by 2030 per company target (</w:t>
            </w:r>
            <w:r w:rsidR="00EB0657" w:rsidRPr="00EB0657">
              <w:rPr>
                <w:sz w:val="22"/>
                <w:szCs w:val="22"/>
                <w:lang w:val="en-US"/>
              </w:rPr>
              <w:t>H&amp;M Group (2025a)</w:t>
            </w:r>
            <w:r w:rsidR="00EB0657">
              <w:rPr>
                <w:sz w:val="22"/>
                <w:szCs w:val="22"/>
                <w:lang w:val="en-US"/>
              </w:rPr>
              <w:t>)</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4B0F27E" w14:textId="77777777" w:rsidR="000B500E" w:rsidRDefault="00000000">
            <w:pPr>
              <w:pStyle w:val="Body"/>
              <w:spacing w:before="40" w:after="40"/>
            </w:pPr>
            <w:r>
              <w:rPr>
                <w:sz w:val="22"/>
                <w:szCs w:val="22"/>
                <w:lang w:val="en-US"/>
              </w:rPr>
              <w:t xml:space="preserve">Supplier development </w:t>
            </w:r>
            <w:proofErr w:type="spellStart"/>
            <w:r>
              <w:rPr>
                <w:sz w:val="22"/>
                <w:szCs w:val="22"/>
                <w:lang w:val="en-US"/>
              </w:rPr>
              <w:t>programme</w:t>
            </w:r>
            <w:proofErr w:type="spellEnd"/>
            <w:r>
              <w:rPr>
                <w:sz w:val="22"/>
                <w:szCs w:val="22"/>
                <w:lang w:val="en-US"/>
              </w:rPr>
              <w:t>; material innovation investment</w:t>
            </w:r>
          </w:p>
        </w:tc>
      </w:tr>
      <w:tr w:rsidR="000B500E" w14:paraId="051ECD8F" w14:textId="77777777">
        <w:trPr>
          <w:trHeight w:val="119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4B3EC71F" w14:textId="77777777" w:rsidR="000B500E" w:rsidRDefault="00000000">
            <w:pPr>
              <w:pStyle w:val="Body"/>
              <w:spacing w:before="40" w:after="40"/>
            </w:pPr>
            <w:r>
              <w:rPr>
                <w:sz w:val="22"/>
                <w:szCs w:val="22"/>
                <w:lang w:val="en-US"/>
              </w:rPr>
              <w:t>Reduce waste and unsold inventory</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269C3F5" w14:textId="77777777" w:rsidR="000B500E" w:rsidRDefault="00000000">
            <w:pPr>
              <w:pStyle w:val="Body"/>
              <w:spacing w:before="40" w:after="40"/>
            </w:pPr>
            <w:r>
              <w:rPr>
                <w:sz w:val="22"/>
                <w:szCs w:val="22"/>
                <w:lang w:val="en-US"/>
              </w:rPr>
              <w:t>Unsold inventory rate; garment recycling volume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E8F63B8" w14:textId="77777777" w:rsidR="000B500E" w:rsidRDefault="00000000">
            <w:pPr>
              <w:pStyle w:val="Body"/>
              <w:spacing w:before="40" w:after="40"/>
            </w:pPr>
            <w:r>
              <w:rPr>
                <w:sz w:val="22"/>
                <w:szCs w:val="22"/>
                <w:lang w:val="en-US"/>
              </w:rPr>
              <w:t>Significant reduction in markdown losses and textile waste</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0DF18242" w14:textId="77777777" w:rsidR="000B500E" w:rsidRDefault="00000000">
            <w:pPr>
              <w:pStyle w:val="Body"/>
              <w:spacing w:before="40" w:after="40"/>
            </w:pPr>
            <w:r>
              <w:rPr>
                <w:sz w:val="22"/>
                <w:szCs w:val="22"/>
                <w:lang w:val="en-US"/>
              </w:rPr>
              <w:t>Demand sensing AI; circular product take-back schemes; recycling partnerships</w:t>
            </w:r>
          </w:p>
        </w:tc>
      </w:tr>
    </w:tbl>
    <w:p w14:paraId="09C0A78B" w14:textId="77777777" w:rsidR="000B500E" w:rsidRDefault="000B500E">
      <w:pPr>
        <w:pStyle w:val="Body"/>
        <w:widowControl w:val="0"/>
        <w:spacing w:before="80" w:after="80"/>
      </w:pPr>
    </w:p>
    <w:p w14:paraId="3EE822A3" w14:textId="77777777" w:rsidR="000B500E" w:rsidRDefault="000B500E">
      <w:pPr>
        <w:pStyle w:val="Body"/>
        <w:spacing w:before="80" w:after="80"/>
      </w:pPr>
    </w:p>
    <w:p w14:paraId="6A85A852" w14:textId="77777777" w:rsidR="000B500E" w:rsidRDefault="00000000">
      <w:pPr>
        <w:pStyle w:val="Heading3"/>
      </w:pPr>
      <w:bookmarkStart w:id="54" w:name="_Toc22"/>
      <w:bookmarkStart w:id="55" w:name="_Toc228518557"/>
      <w:bookmarkStart w:id="56" w:name="_Toc228520770"/>
      <w:r>
        <w:rPr>
          <w:rFonts w:eastAsia="Arial Unicode MS" w:cs="Arial Unicode MS"/>
          <w:lang w:val="en-US"/>
        </w:rPr>
        <w:t>Learning and Growth Perspective</w:t>
      </w:r>
      <w:bookmarkEnd w:id="54"/>
      <w:bookmarkEnd w:id="55"/>
      <w:bookmarkEnd w:id="56"/>
    </w:p>
    <w:p w14:paraId="24973B37" w14:textId="77777777" w:rsidR="000B500E" w:rsidRDefault="00000000">
      <w:pPr>
        <w:pStyle w:val="Body"/>
        <w:spacing w:before="80" w:after="160" w:line="360" w:lineRule="auto"/>
        <w:jc w:val="both"/>
      </w:pPr>
      <w:r>
        <w:rPr>
          <w:lang w:val="en-US"/>
        </w:rPr>
        <w:t xml:space="preserve">Long-term competitive advantage requires sustained investment in human capital, technology, and </w:t>
      </w:r>
      <w:proofErr w:type="spellStart"/>
      <w:r>
        <w:rPr>
          <w:lang w:val="en-US"/>
        </w:rPr>
        <w:t>organisational</w:t>
      </w:r>
      <w:proofErr w:type="spellEnd"/>
      <w:r>
        <w:rPr>
          <w:lang w:val="en-US"/>
        </w:rPr>
        <w:t xml:space="preserve"> culture. H&amp;M's transformation agenda — including digital upskilling, sustainability culture embedding, and </w:t>
      </w:r>
      <w:proofErr w:type="spellStart"/>
      <w:r>
        <w:rPr>
          <w:lang w:val="en-US"/>
        </w:rPr>
        <w:t>organisational</w:t>
      </w:r>
      <w:proofErr w:type="spellEnd"/>
      <w:r>
        <w:rPr>
          <w:lang w:val="en-US"/>
        </w:rPr>
        <w:t xml:space="preserve"> agility — is central to the ability to execute strategy effectively (Kaplan and Norton, 1992).</w:t>
      </w:r>
    </w:p>
    <w:p w14:paraId="58C77642" w14:textId="77777777" w:rsidR="000B500E" w:rsidRDefault="000B500E">
      <w:pPr>
        <w:pStyle w:val="Body"/>
        <w:spacing w:before="80" w:after="80"/>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2300"/>
        <w:gridCol w:w="2500"/>
        <w:gridCol w:w="2400"/>
        <w:gridCol w:w="2160"/>
      </w:tblGrid>
      <w:tr w:rsidR="000B500E" w14:paraId="098A3B19" w14:textId="77777777">
        <w:trPr>
          <w:trHeight w:val="235"/>
        </w:trPr>
        <w:tc>
          <w:tcPr>
            <w:tcW w:w="23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7710B48A" w14:textId="77777777" w:rsidR="000B500E" w:rsidRDefault="00000000">
            <w:pPr>
              <w:pStyle w:val="Body"/>
              <w:spacing w:before="40" w:after="40"/>
            </w:pPr>
            <w:r>
              <w:rPr>
                <w:b/>
                <w:bCs/>
                <w:color w:val="FFFFFF"/>
                <w:sz w:val="22"/>
                <w:szCs w:val="22"/>
                <w:u w:color="FFFFFF"/>
                <w:lang w:val="en-US"/>
              </w:rPr>
              <w:t>Objective</w:t>
            </w:r>
          </w:p>
        </w:tc>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56EB07EB" w14:textId="77777777" w:rsidR="000B500E" w:rsidRDefault="00000000">
            <w:pPr>
              <w:pStyle w:val="Body"/>
              <w:spacing w:before="40" w:after="40"/>
            </w:pPr>
            <w:r>
              <w:rPr>
                <w:b/>
                <w:bCs/>
                <w:color w:val="FFFFFF"/>
                <w:sz w:val="22"/>
                <w:szCs w:val="22"/>
                <w:u w:color="FFFFFF"/>
                <w:lang w:val="en-US"/>
              </w:rPr>
              <w:t>KPIs</w:t>
            </w:r>
          </w:p>
        </w:tc>
        <w:tc>
          <w:tcPr>
            <w:tcW w:w="2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119BB0E5" w14:textId="77777777" w:rsidR="000B500E" w:rsidRDefault="00000000">
            <w:pPr>
              <w:pStyle w:val="Body"/>
              <w:spacing w:before="40" w:after="40"/>
            </w:pPr>
            <w:r>
              <w:rPr>
                <w:b/>
                <w:bCs/>
                <w:color w:val="FFFFFF"/>
                <w:sz w:val="22"/>
                <w:szCs w:val="22"/>
                <w:u w:color="FFFFFF"/>
                <w:lang w:val="en-US"/>
              </w:rPr>
              <w:t>Target</w:t>
            </w:r>
          </w:p>
        </w:tc>
        <w:tc>
          <w:tcPr>
            <w:tcW w:w="216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1CDDF199" w14:textId="77777777" w:rsidR="000B500E" w:rsidRDefault="00000000">
            <w:pPr>
              <w:pStyle w:val="Body"/>
              <w:spacing w:before="40" w:after="40"/>
            </w:pPr>
            <w:r>
              <w:rPr>
                <w:b/>
                <w:bCs/>
                <w:color w:val="FFFFFF"/>
                <w:sz w:val="22"/>
                <w:szCs w:val="22"/>
                <w:u w:color="FFFFFF"/>
                <w:lang w:val="en-US"/>
              </w:rPr>
              <w:t>Initiative</w:t>
            </w:r>
          </w:p>
        </w:tc>
      </w:tr>
      <w:tr w:rsidR="000B500E" w14:paraId="7ED4D65A" w14:textId="77777777">
        <w:trPr>
          <w:trHeight w:val="119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1709F09F" w14:textId="77777777" w:rsidR="000B500E" w:rsidRDefault="00000000">
            <w:pPr>
              <w:pStyle w:val="Body"/>
              <w:spacing w:before="40" w:after="40"/>
            </w:pPr>
            <w:r>
              <w:rPr>
                <w:sz w:val="22"/>
                <w:szCs w:val="22"/>
                <w:lang w:val="en-US"/>
              </w:rPr>
              <w:t>Build digital capabilities</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360C2A0" w14:textId="77777777" w:rsidR="000B500E" w:rsidRDefault="00000000">
            <w:pPr>
              <w:pStyle w:val="Body"/>
              <w:spacing w:before="40" w:after="40"/>
            </w:pPr>
            <w:r>
              <w:rPr>
                <w:sz w:val="22"/>
                <w:szCs w:val="22"/>
                <w:lang w:val="en-US"/>
              </w:rPr>
              <w:t>Digital skills training investment; technology spending as percentage of revenue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2175D2C" w14:textId="77777777" w:rsidR="000B500E" w:rsidRDefault="00000000">
            <w:pPr>
              <w:pStyle w:val="Body"/>
              <w:spacing w:before="40" w:after="40"/>
            </w:pPr>
            <w:r>
              <w:rPr>
                <w:sz w:val="22"/>
                <w:szCs w:val="22"/>
                <w:lang w:val="en-US"/>
              </w:rPr>
              <w:t>Materially increase technology investment to support digital transformation</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55E544D" w14:textId="77777777" w:rsidR="000B500E" w:rsidRDefault="00000000">
            <w:pPr>
              <w:pStyle w:val="Body"/>
              <w:spacing w:before="40" w:after="40"/>
            </w:pPr>
            <w:r>
              <w:rPr>
                <w:sz w:val="22"/>
                <w:szCs w:val="22"/>
                <w:lang w:val="en-US"/>
              </w:rPr>
              <w:t xml:space="preserve">Digital talent acquisition; reskilling </w:t>
            </w:r>
            <w:proofErr w:type="spellStart"/>
            <w:r>
              <w:rPr>
                <w:sz w:val="22"/>
                <w:szCs w:val="22"/>
                <w:lang w:val="en-US"/>
              </w:rPr>
              <w:t>programmes</w:t>
            </w:r>
            <w:proofErr w:type="spellEnd"/>
            <w:r>
              <w:rPr>
                <w:sz w:val="22"/>
                <w:szCs w:val="22"/>
                <w:lang w:val="en-US"/>
              </w:rPr>
              <w:t>; tech partnership strategy</w:t>
            </w:r>
          </w:p>
        </w:tc>
      </w:tr>
      <w:tr w:rsidR="000B500E" w14:paraId="204CBBA5" w14:textId="77777777">
        <w:trPr>
          <w:trHeight w:val="143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4630265E" w14:textId="77777777" w:rsidR="000B500E" w:rsidRDefault="00000000">
            <w:pPr>
              <w:pStyle w:val="Body"/>
              <w:spacing w:before="40" w:after="40"/>
            </w:pPr>
            <w:r>
              <w:rPr>
                <w:sz w:val="22"/>
                <w:szCs w:val="22"/>
                <w:lang w:val="en-US"/>
              </w:rPr>
              <w:t>Embed sustainability culture</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403CBEBD" w14:textId="77777777" w:rsidR="000B500E" w:rsidRDefault="00000000">
            <w:pPr>
              <w:pStyle w:val="Body"/>
              <w:spacing w:before="40" w:after="40"/>
            </w:pPr>
            <w:r>
              <w:rPr>
                <w:sz w:val="22"/>
                <w:szCs w:val="22"/>
                <w:lang w:val="en-US"/>
              </w:rPr>
              <w:t>Internal ESG training completion rate; sustainability KPIs in management accountability</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756E2349" w14:textId="77777777" w:rsidR="000B500E" w:rsidRDefault="00000000">
            <w:pPr>
              <w:pStyle w:val="Body"/>
              <w:spacing w:before="40" w:after="40"/>
            </w:pPr>
            <w:r>
              <w:rPr>
                <w:sz w:val="22"/>
                <w:szCs w:val="22"/>
                <w:lang w:val="en-US"/>
              </w:rPr>
              <w:t>Sustainability metrics embedded in commercial decision-making</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1D4CA46D" w14:textId="77777777" w:rsidR="000B500E" w:rsidRDefault="00000000">
            <w:pPr>
              <w:pStyle w:val="Body"/>
              <w:spacing w:before="40" w:after="40"/>
            </w:pPr>
            <w:r>
              <w:rPr>
                <w:sz w:val="22"/>
                <w:szCs w:val="22"/>
                <w:lang w:val="en-US"/>
              </w:rPr>
              <w:t xml:space="preserve">Sustainability Champions </w:t>
            </w:r>
            <w:proofErr w:type="spellStart"/>
            <w:r>
              <w:rPr>
                <w:sz w:val="22"/>
                <w:szCs w:val="22"/>
                <w:lang w:val="en-US"/>
              </w:rPr>
              <w:t>programme</w:t>
            </w:r>
            <w:proofErr w:type="spellEnd"/>
            <w:r>
              <w:rPr>
                <w:sz w:val="22"/>
                <w:szCs w:val="22"/>
                <w:lang w:val="en-US"/>
              </w:rPr>
              <w:t>; leadership incentives linked to ESG delivery</w:t>
            </w:r>
          </w:p>
        </w:tc>
      </w:tr>
      <w:tr w:rsidR="000B500E" w14:paraId="0087F580" w14:textId="77777777">
        <w:trPr>
          <w:trHeight w:val="1195"/>
        </w:trPr>
        <w:tc>
          <w:tcPr>
            <w:tcW w:w="23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3AC77ECF" w14:textId="77777777" w:rsidR="000B500E" w:rsidRDefault="00000000">
            <w:pPr>
              <w:pStyle w:val="Body"/>
              <w:spacing w:before="40" w:after="40"/>
            </w:pPr>
            <w:r>
              <w:rPr>
                <w:sz w:val="22"/>
                <w:szCs w:val="22"/>
                <w:lang w:val="en-US"/>
              </w:rPr>
              <w:t>Foster product innovation</w:t>
            </w:r>
          </w:p>
        </w:tc>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1258AB2F" w14:textId="77777777" w:rsidR="000B500E" w:rsidRDefault="00000000">
            <w:pPr>
              <w:pStyle w:val="Body"/>
              <w:spacing w:before="40" w:after="40"/>
            </w:pPr>
            <w:r>
              <w:rPr>
                <w:sz w:val="22"/>
                <w:szCs w:val="22"/>
                <w:lang w:val="en-US"/>
              </w:rPr>
              <w:t>Circular product concepts developed; sustainable material adoption rate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6EABF7B3" w14:textId="77777777" w:rsidR="000B500E" w:rsidRDefault="00000000">
            <w:pPr>
              <w:pStyle w:val="Body"/>
              <w:spacing w:before="40" w:after="40"/>
            </w:pPr>
            <w:r>
              <w:rPr>
                <w:sz w:val="22"/>
                <w:szCs w:val="22"/>
                <w:lang w:val="en-US"/>
              </w:rPr>
              <w:t>Accelerate circular and sustainable product innovation pipeline</w:t>
            </w:r>
          </w:p>
        </w:tc>
        <w:tc>
          <w:tcPr>
            <w:tcW w:w="21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564A6EC2" w14:textId="77777777" w:rsidR="000B500E" w:rsidRDefault="00000000">
            <w:pPr>
              <w:pStyle w:val="Body"/>
              <w:spacing w:before="40" w:after="40"/>
            </w:pPr>
            <w:r>
              <w:rPr>
                <w:sz w:val="22"/>
                <w:szCs w:val="22"/>
                <w:lang w:val="en-US"/>
              </w:rPr>
              <w:t>Innovation labs; university partnerships; material science R&amp;D</w:t>
            </w:r>
          </w:p>
        </w:tc>
      </w:tr>
    </w:tbl>
    <w:p w14:paraId="7AE1EDFD" w14:textId="77777777" w:rsidR="000B500E" w:rsidRDefault="000B500E">
      <w:pPr>
        <w:pStyle w:val="Body"/>
        <w:widowControl w:val="0"/>
        <w:spacing w:before="80" w:after="80"/>
      </w:pPr>
    </w:p>
    <w:p w14:paraId="4873EF7B" w14:textId="77777777" w:rsidR="000B500E" w:rsidRDefault="000B500E">
      <w:pPr>
        <w:pStyle w:val="Body"/>
        <w:spacing w:before="80" w:after="80"/>
      </w:pPr>
    </w:p>
    <w:p w14:paraId="22B72EB5" w14:textId="77777777" w:rsidR="000B500E" w:rsidRDefault="00000000">
      <w:pPr>
        <w:pStyle w:val="Body"/>
        <w:spacing w:before="80" w:after="160" w:line="360" w:lineRule="auto"/>
        <w:jc w:val="both"/>
      </w:pPr>
      <w:r>
        <w:rPr>
          <w:lang w:val="en-US"/>
        </w:rPr>
        <w:t xml:space="preserve">The Balanced Scorecard analysis reveals that while H&amp;M's financial recovery is underway, the customer and internal process perspectives expose significant gaps — particularly in digital experience, supply chain speed, and sustainability credibility — </w:t>
      </w:r>
      <w:r>
        <w:rPr>
          <w:lang w:val="en-US"/>
        </w:rPr>
        <w:lastRenderedPageBreak/>
        <w:t xml:space="preserve">that must be resolved to achieve sustainable competitive advantage. The learning and growth perspective identifies </w:t>
      </w:r>
      <w:proofErr w:type="spellStart"/>
      <w:r>
        <w:rPr>
          <w:lang w:val="en-US"/>
        </w:rPr>
        <w:t>organisational</w:t>
      </w:r>
      <w:proofErr w:type="spellEnd"/>
      <w:r>
        <w:rPr>
          <w:lang w:val="en-US"/>
        </w:rPr>
        <w:t xml:space="preserve"> capability investment as the critical enabler for the other three dimensions (Kaplan and Norton, 1992).</w:t>
      </w:r>
    </w:p>
    <w:p w14:paraId="344EFB18" w14:textId="401082A5" w:rsidR="000B500E" w:rsidRDefault="00C36384">
      <w:pPr>
        <w:pStyle w:val="Heading2"/>
      </w:pPr>
      <w:bookmarkStart w:id="57" w:name="_Toc23"/>
      <w:bookmarkStart w:id="58" w:name="_Toc228518558"/>
      <w:bookmarkStart w:id="59" w:name="_Toc228520771"/>
      <w:r>
        <w:rPr>
          <w:rFonts w:eastAsia="Arial Unicode MS" w:cs="Arial Unicode MS"/>
          <w:lang w:val="en-US"/>
        </w:rPr>
        <w:t>1.5 Strategic Choices and Implementation</w:t>
      </w:r>
      <w:bookmarkEnd w:id="57"/>
      <w:bookmarkEnd w:id="58"/>
      <w:bookmarkEnd w:id="59"/>
    </w:p>
    <w:p w14:paraId="5503A920" w14:textId="77777777" w:rsidR="000B500E" w:rsidRDefault="00000000">
      <w:pPr>
        <w:pStyle w:val="Heading3"/>
      </w:pPr>
      <w:bookmarkStart w:id="60" w:name="_Toc24"/>
      <w:bookmarkStart w:id="61" w:name="_Toc228518559"/>
      <w:bookmarkStart w:id="62" w:name="_Toc228520772"/>
      <w:r>
        <w:rPr>
          <w:rFonts w:eastAsia="Arial Unicode MS" w:cs="Arial Unicode MS"/>
          <w:lang w:val="en-US"/>
        </w:rPr>
        <w:t>Business-Level Strategy</w:t>
      </w:r>
      <w:bookmarkEnd w:id="60"/>
      <w:bookmarkEnd w:id="61"/>
      <w:bookmarkEnd w:id="62"/>
    </w:p>
    <w:p w14:paraId="3AF228D3" w14:textId="77777777" w:rsidR="00776977" w:rsidRDefault="00776977" w:rsidP="00776977">
      <w:r>
        <w:t>H&amp;M has historically followed a hybrid business strategy, where cost leadership and differentiation co-exist to target the mass market with fashionable and affordable products. Porter (1985) argues that hybrid strategies can lead companies to be "stuck in the middle", unable to compete on cost with cost leaders like Primark or Shein, or differentiation with design leaders like Zara. This appears to be increasingly true for H&amp;M, as the cost of apparel decreases with the rise of low-cost online retailers and the differentiation value of apparel increases with the rise of design-oriented retailers.</w:t>
      </w:r>
    </w:p>
    <w:p w14:paraId="1A6DC01C" w14:textId="771501C3" w:rsidR="000B500E" w:rsidRDefault="00776977" w:rsidP="00776977">
      <w:r>
        <w:t xml:space="preserve">However, recent research in strategic management contradicts Porter's view. Acquaah &amp; </w:t>
      </w:r>
      <w:proofErr w:type="spellStart"/>
      <w:r>
        <w:t>Ardekani</w:t>
      </w:r>
      <w:proofErr w:type="spellEnd"/>
      <w:r>
        <w:t xml:space="preserve"> (2008) and Kim &amp; Mauborgne's (2005) Blue Ocean Strategy argue that a cost-differentiation strategy might be possible if it is backed by operational innovation. The challenge for H&amp;M is to reframe its business model: instead of competing on price (like Shein) or design (like Zara), H&amp;M can position itself as a sustainable fashion leader - low price and sustainability. This is in line with H&amp;M's brand mission but requires transformation to implement sustainability as a differentiator. </w:t>
      </w:r>
    </w:p>
    <w:p w14:paraId="7F6FBFDE" w14:textId="77777777" w:rsidR="000B500E" w:rsidRDefault="00000000">
      <w:pPr>
        <w:pStyle w:val="Heading3"/>
      </w:pPr>
      <w:bookmarkStart w:id="63" w:name="_Toc25"/>
      <w:bookmarkStart w:id="64" w:name="_Toc228518560"/>
      <w:bookmarkStart w:id="65" w:name="_Toc228520773"/>
      <w:r>
        <w:rPr>
          <w:rFonts w:eastAsia="Arial Unicode MS" w:cs="Arial Unicode MS"/>
        </w:rPr>
        <w:t>Corporate-Level Strategy</w:t>
      </w:r>
      <w:bookmarkEnd w:id="63"/>
      <w:bookmarkEnd w:id="64"/>
      <w:bookmarkEnd w:id="65"/>
    </w:p>
    <w:p w14:paraId="7D20B5B6" w14:textId="7EEDCA9A" w:rsidR="00A74ED3" w:rsidRDefault="00000000">
      <w:pPr>
        <w:pStyle w:val="Body"/>
        <w:spacing w:before="80" w:after="160" w:line="360" w:lineRule="auto"/>
        <w:jc w:val="both"/>
        <w:rPr>
          <w:lang w:val="en-US"/>
        </w:rPr>
      </w:pPr>
      <w:r>
        <w:rPr>
          <w:lang w:val="en-US"/>
        </w:rPr>
        <w:t xml:space="preserve">At the corporate level H&amp;M's brand portfolio strategy — encompassing H&amp;M, COS, Weekday, Monki, ARKET, and </w:t>
      </w:r>
      <w:proofErr w:type="spellStart"/>
      <w:r>
        <w:rPr>
          <w:lang w:val="en-US"/>
        </w:rPr>
        <w:t>Afound</w:t>
      </w:r>
      <w:proofErr w:type="spellEnd"/>
      <w:r>
        <w:rPr>
          <w:lang w:val="en-US"/>
        </w:rPr>
        <w:t xml:space="preserve"> — represents a form of related diversification, allowing the group to address different consumer segments and price tiers. This reduces dependency on the core H&amp;M brand while leveraging shared group capabilities in sourcing, logistics, and digital infrastructure. Using Ansoff's (1957) Growth Matrix to evaluate strategic options:</w:t>
      </w:r>
    </w:p>
    <w:p w14:paraId="03827BB2" w14:textId="77777777" w:rsidR="00A74ED3" w:rsidRDefault="00A74ED3">
      <w:pPr>
        <w:spacing w:before="0" w:after="0" w:line="240" w:lineRule="auto"/>
        <w:jc w:val="left"/>
      </w:pPr>
      <w:r>
        <w:br w:type="page"/>
      </w:r>
    </w:p>
    <w:p w14:paraId="115EDA6A" w14:textId="77777777" w:rsidR="000B500E" w:rsidRDefault="000B500E">
      <w:pPr>
        <w:pStyle w:val="Body"/>
        <w:spacing w:before="80" w:after="160" w:line="360" w:lineRule="auto"/>
        <w:jc w:val="both"/>
        <w:rPr>
          <w:lang w:val="en-US"/>
        </w:rPr>
      </w:pPr>
    </w:p>
    <w:p w14:paraId="6AE7EFF1" w14:textId="77777777" w:rsidR="000B500E" w:rsidRDefault="000B500E">
      <w:pPr>
        <w:pStyle w:val="Body"/>
        <w:spacing w:before="80" w:after="80"/>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1800"/>
        <w:gridCol w:w="3780"/>
        <w:gridCol w:w="3780"/>
      </w:tblGrid>
      <w:tr w:rsidR="000B500E" w14:paraId="6380859C" w14:textId="77777777">
        <w:trPr>
          <w:trHeight w:val="275"/>
        </w:trPr>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5EECCEE2" w14:textId="77777777" w:rsidR="000B500E" w:rsidRDefault="000B500E" w:rsidP="00483087"/>
        </w:tc>
        <w:tc>
          <w:tcPr>
            <w:tcW w:w="378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3DC9A851" w14:textId="77777777" w:rsidR="000B500E" w:rsidRDefault="00000000">
            <w:pPr>
              <w:pStyle w:val="Body"/>
              <w:spacing w:before="40" w:after="40"/>
            </w:pPr>
            <w:r>
              <w:rPr>
                <w:b/>
                <w:bCs/>
                <w:color w:val="FFFFFF"/>
                <w:sz w:val="22"/>
                <w:szCs w:val="22"/>
                <w:u w:color="FFFFFF"/>
                <w:lang w:val="en-US"/>
              </w:rPr>
              <w:t>Existing Products</w:t>
            </w:r>
          </w:p>
        </w:tc>
        <w:tc>
          <w:tcPr>
            <w:tcW w:w="3780" w:type="dxa"/>
            <w:tcBorders>
              <w:top w:val="single" w:sz="1" w:space="0" w:color="AAAAAA"/>
              <w:left w:val="single" w:sz="1" w:space="0" w:color="AAAAAA"/>
              <w:bottom w:val="single" w:sz="1" w:space="0" w:color="AAAAAA"/>
              <w:right w:val="single" w:sz="1" w:space="0" w:color="AAAAAA"/>
            </w:tcBorders>
            <w:shd w:val="clear" w:color="auto" w:fill="1F3864"/>
            <w:tcMar>
              <w:top w:w="80" w:type="dxa"/>
              <w:left w:w="80" w:type="dxa"/>
              <w:bottom w:w="80" w:type="dxa"/>
              <w:right w:w="80" w:type="dxa"/>
            </w:tcMar>
            <w:vAlign w:val="center"/>
          </w:tcPr>
          <w:p w14:paraId="7C4AFAB2" w14:textId="77777777" w:rsidR="000B500E" w:rsidRDefault="00000000">
            <w:pPr>
              <w:pStyle w:val="Body"/>
              <w:spacing w:before="40" w:after="40"/>
            </w:pPr>
            <w:r>
              <w:rPr>
                <w:b/>
                <w:bCs/>
                <w:color w:val="FFFFFF"/>
                <w:sz w:val="22"/>
                <w:szCs w:val="22"/>
                <w:u w:color="FFFFFF"/>
                <w:lang w:val="en-US"/>
              </w:rPr>
              <w:t>New Products</w:t>
            </w:r>
          </w:p>
        </w:tc>
      </w:tr>
      <w:tr w:rsidR="000B500E" w14:paraId="01DF3B5B" w14:textId="77777777">
        <w:trPr>
          <w:trHeight w:val="1195"/>
        </w:trPr>
        <w:tc>
          <w:tcPr>
            <w:tcW w:w="18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549290C1" w14:textId="77777777" w:rsidR="000B500E" w:rsidRDefault="00000000">
            <w:pPr>
              <w:pStyle w:val="Body"/>
              <w:spacing w:before="40" w:after="40"/>
            </w:pPr>
            <w:r>
              <w:rPr>
                <w:sz w:val="22"/>
                <w:szCs w:val="22"/>
                <w:lang w:val="en-US"/>
              </w:rPr>
              <w:t>Existing Markets</w:t>
            </w:r>
          </w:p>
        </w:tc>
        <w:tc>
          <w:tcPr>
            <w:tcW w:w="37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15C82936" w14:textId="77777777" w:rsidR="000B500E" w:rsidRDefault="00000000">
            <w:pPr>
              <w:pStyle w:val="Body"/>
              <w:spacing w:before="40" w:after="40"/>
            </w:pPr>
            <w:r>
              <w:rPr>
                <w:sz w:val="22"/>
                <w:szCs w:val="22"/>
                <w:lang w:val="en-US"/>
              </w:rPr>
              <w:t xml:space="preserve">Market Penetration: Digital deepening and loyalty </w:t>
            </w:r>
            <w:proofErr w:type="spellStart"/>
            <w:r>
              <w:rPr>
                <w:sz w:val="22"/>
                <w:szCs w:val="22"/>
                <w:lang w:val="en-US"/>
              </w:rPr>
              <w:t>programme</w:t>
            </w:r>
            <w:proofErr w:type="spellEnd"/>
            <w:r>
              <w:rPr>
                <w:sz w:val="22"/>
                <w:szCs w:val="22"/>
                <w:lang w:val="en-US"/>
              </w:rPr>
              <w:t xml:space="preserve"> investment to strengthen share in current markets — the primary near-term strategic priority (Ansoff, 1957)</w:t>
            </w:r>
          </w:p>
        </w:tc>
        <w:tc>
          <w:tcPr>
            <w:tcW w:w="37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3AE1C214" w14:textId="77777777" w:rsidR="000B500E" w:rsidRDefault="00000000">
            <w:pPr>
              <w:pStyle w:val="Body"/>
              <w:spacing w:before="40" w:after="40"/>
            </w:pPr>
            <w:r>
              <w:rPr>
                <w:sz w:val="22"/>
                <w:szCs w:val="22"/>
                <w:lang w:val="en-US"/>
              </w:rPr>
              <w:t>Product Development: Circular and rental fashion collections; sustainable material innovation — aligned with regulatory trends and consumer values</w:t>
            </w:r>
          </w:p>
        </w:tc>
      </w:tr>
      <w:tr w:rsidR="000B500E" w14:paraId="4941ACF0" w14:textId="77777777">
        <w:trPr>
          <w:trHeight w:val="1195"/>
        </w:trPr>
        <w:tc>
          <w:tcPr>
            <w:tcW w:w="1800" w:type="dxa"/>
            <w:tcBorders>
              <w:top w:val="single" w:sz="1" w:space="0" w:color="AAAAAA"/>
              <w:left w:val="single" w:sz="1" w:space="0" w:color="AAAAAA"/>
              <w:bottom w:val="single" w:sz="1" w:space="0" w:color="AAAAAA"/>
              <w:right w:val="single" w:sz="1" w:space="0" w:color="AAAAAA"/>
            </w:tcBorders>
            <w:shd w:val="clear" w:color="auto" w:fill="D9E2F3"/>
            <w:tcMar>
              <w:top w:w="80" w:type="dxa"/>
              <w:left w:w="80" w:type="dxa"/>
              <w:bottom w:w="80" w:type="dxa"/>
              <w:right w:w="80" w:type="dxa"/>
            </w:tcMar>
            <w:vAlign w:val="center"/>
          </w:tcPr>
          <w:p w14:paraId="6BF4CD79" w14:textId="77777777" w:rsidR="000B500E" w:rsidRDefault="00000000">
            <w:pPr>
              <w:pStyle w:val="Body"/>
              <w:spacing w:before="40" w:after="40"/>
            </w:pPr>
            <w:r>
              <w:rPr>
                <w:sz w:val="22"/>
                <w:szCs w:val="22"/>
                <w:lang w:val="en-US"/>
              </w:rPr>
              <w:t>New Markets</w:t>
            </w:r>
          </w:p>
        </w:tc>
        <w:tc>
          <w:tcPr>
            <w:tcW w:w="37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297B9CBD" w14:textId="77777777" w:rsidR="000B500E" w:rsidRDefault="00000000">
            <w:pPr>
              <w:pStyle w:val="Body"/>
              <w:spacing w:before="40" w:after="40"/>
            </w:pPr>
            <w:r>
              <w:rPr>
                <w:sz w:val="22"/>
                <w:szCs w:val="22"/>
                <w:lang w:val="en-US"/>
              </w:rPr>
              <w:t>Market Development: Selective geographic expansion in Southeast Asia and India, where aspirational fashion demand is growing (moderate priority)</w:t>
            </w:r>
          </w:p>
        </w:tc>
        <w:tc>
          <w:tcPr>
            <w:tcW w:w="37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80" w:type="dxa"/>
              <w:bottom w:w="80" w:type="dxa"/>
              <w:right w:w="80" w:type="dxa"/>
            </w:tcMar>
            <w:vAlign w:val="center"/>
          </w:tcPr>
          <w:p w14:paraId="0638B9EF" w14:textId="77777777" w:rsidR="000B500E" w:rsidRDefault="00000000">
            <w:pPr>
              <w:pStyle w:val="Body"/>
              <w:spacing w:before="40" w:after="40"/>
            </w:pPr>
            <w:r>
              <w:rPr>
                <w:sz w:val="22"/>
                <w:szCs w:val="22"/>
                <w:lang w:val="en-US"/>
              </w:rPr>
              <w:t>Diversification: Technology-led fashion services such as styling subscriptions — a longer-term option requiring significant capability development</w:t>
            </w:r>
          </w:p>
        </w:tc>
      </w:tr>
    </w:tbl>
    <w:p w14:paraId="779445FB" w14:textId="77777777" w:rsidR="000B500E" w:rsidRDefault="000B500E">
      <w:pPr>
        <w:pStyle w:val="Body"/>
        <w:widowControl w:val="0"/>
        <w:spacing w:before="80" w:after="80"/>
      </w:pPr>
    </w:p>
    <w:p w14:paraId="22FFC1AE" w14:textId="77777777" w:rsidR="000B500E" w:rsidRDefault="00000000">
      <w:pPr>
        <w:pStyle w:val="Heading3"/>
      </w:pPr>
      <w:bookmarkStart w:id="66" w:name="_Toc26"/>
      <w:bookmarkStart w:id="67" w:name="_Toc228518561"/>
      <w:bookmarkStart w:id="68" w:name="_Toc228520774"/>
      <w:r>
        <w:rPr>
          <w:rFonts w:eastAsia="Arial Unicode MS" w:cs="Arial Unicode MS"/>
          <w:lang w:val="en-US"/>
        </w:rPr>
        <w:t>Change Management and Implementation</w:t>
      </w:r>
      <w:bookmarkEnd w:id="66"/>
      <w:bookmarkEnd w:id="67"/>
      <w:bookmarkEnd w:id="68"/>
    </w:p>
    <w:p w14:paraId="6E8E28B8" w14:textId="48DF36CA" w:rsidR="00015D63" w:rsidRDefault="00015D63" w:rsidP="00015D63">
      <w:r>
        <w:t xml:space="preserve">H&amp;M has recently embarked on a transformative journey of store network </w:t>
      </w:r>
      <w:proofErr w:type="spellStart"/>
      <w:r>
        <w:t>optimisation</w:t>
      </w:r>
      <w:proofErr w:type="spellEnd"/>
      <w:r>
        <w:t xml:space="preserve">, digital investment, and its "New Chapter" strategy in 2022 which </w:t>
      </w:r>
      <w:proofErr w:type="spellStart"/>
      <w:r>
        <w:t>emphasises</w:t>
      </w:r>
      <w:proofErr w:type="spellEnd"/>
      <w:r>
        <w:t xml:space="preserve"> offering fewer but better products, improved digital proficiency, and a renewed cost structure (H&amp;M Group, 2022). These initiatives reflect a strategic effort, but results have been mixed. Restocking improvements have lagged the plan, while digital conversion rates lag industry leaders.</w:t>
      </w:r>
    </w:p>
    <w:p w14:paraId="066DD749" w14:textId="2CD2215F" w:rsidR="000B500E" w:rsidRDefault="00015D63" w:rsidP="00015D63">
      <w:r>
        <w:t xml:space="preserve">Kotter's (1996) eight-stage model offers a framework for understanding: H&amp;M seems to have achieved a sense of urgency and coalition-building for change but has not yet created enough short-term victories and embedded changes in corporate culture, especially around sustainability. Lacking internal conviction and </w:t>
      </w:r>
      <w:proofErr w:type="spellStart"/>
      <w:r>
        <w:t>behavioural</w:t>
      </w:r>
      <w:proofErr w:type="spellEnd"/>
      <w:r>
        <w:t xml:space="preserve"> shifts, sustainability initiatives could be superficial.</w:t>
      </w:r>
    </w:p>
    <w:p w14:paraId="3EE8AF69" w14:textId="77777777" w:rsidR="000B500E" w:rsidRDefault="00000000">
      <w:pPr>
        <w:pStyle w:val="Body"/>
      </w:pPr>
      <w:r>
        <w:rPr>
          <w:rFonts w:ascii="Arial Unicode MS" w:hAnsi="Arial Unicode MS"/>
        </w:rPr>
        <w:br w:type="page"/>
      </w:r>
    </w:p>
    <w:p w14:paraId="7F9E2934" w14:textId="612F10A1" w:rsidR="000B500E" w:rsidRDefault="002F7B46">
      <w:pPr>
        <w:pStyle w:val="Heading2"/>
      </w:pPr>
      <w:bookmarkStart w:id="69" w:name="_Toc27"/>
      <w:bookmarkStart w:id="70" w:name="_Toc228518562"/>
      <w:bookmarkStart w:id="71" w:name="_Toc228520775"/>
      <w:r>
        <w:rPr>
          <w:rFonts w:eastAsia="Arial Unicode MS" w:cs="Arial Unicode MS"/>
          <w:lang w:val="en-US"/>
        </w:rPr>
        <w:lastRenderedPageBreak/>
        <w:t>1.6 Strategic Evaluation and Recommendations</w:t>
      </w:r>
      <w:bookmarkEnd w:id="69"/>
      <w:bookmarkEnd w:id="70"/>
      <w:bookmarkEnd w:id="71"/>
    </w:p>
    <w:p w14:paraId="719FBCD4" w14:textId="77777777" w:rsidR="000B500E" w:rsidRDefault="00000000">
      <w:pPr>
        <w:pStyle w:val="Heading3"/>
      </w:pPr>
      <w:bookmarkStart w:id="72" w:name="_Toc28"/>
      <w:bookmarkStart w:id="73" w:name="_Toc228518563"/>
      <w:bookmarkStart w:id="74" w:name="_Toc228520776"/>
      <w:r>
        <w:rPr>
          <w:rFonts w:eastAsia="Arial Unicode MS" w:cs="Arial Unicode MS"/>
          <w:lang w:val="en-US"/>
        </w:rPr>
        <w:t>SWOT Analysis</w:t>
      </w:r>
      <w:bookmarkEnd w:id="72"/>
      <w:bookmarkEnd w:id="73"/>
      <w:bookmarkEnd w:id="74"/>
    </w:p>
    <w:p w14:paraId="181C047C" w14:textId="77777777" w:rsidR="000B500E" w:rsidRDefault="00000000">
      <w:pPr>
        <w:pStyle w:val="Body"/>
        <w:spacing w:before="80" w:after="160" w:line="360" w:lineRule="auto"/>
        <w:jc w:val="both"/>
      </w:pPr>
      <w:r>
        <w:rPr>
          <w:lang w:val="en-US"/>
        </w:rPr>
        <w:t>The following SWOT synthesis draws together the key findings from the preceding analysis to provide an integrated assessment of H&amp;M's strategic position.</w:t>
      </w:r>
    </w:p>
    <w:p w14:paraId="05E4B914" w14:textId="77777777" w:rsidR="000B500E" w:rsidRPr="000D044B" w:rsidRDefault="000B500E">
      <w:pPr>
        <w:pStyle w:val="Body"/>
        <w:spacing w:before="80" w:after="80"/>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4680"/>
        <w:gridCol w:w="4680"/>
      </w:tblGrid>
      <w:tr w:rsidR="000B500E" w:rsidRPr="000D044B" w14:paraId="39A930E4" w14:textId="77777777">
        <w:trPr>
          <w:trHeight w:val="275"/>
        </w:trPr>
        <w:tc>
          <w:tcPr>
            <w:tcW w:w="4680" w:type="dxa"/>
            <w:tcBorders>
              <w:top w:val="single" w:sz="1" w:space="0" w:color="AAAAAA"/>
              <w:left w:val="single" w:sz="1" w:space="0" w:color="AAAAAA"/>
              <w:bottom w:val="single" w:sz="1" w:space="0" w:color="AAAAAA"/>
              <w:right w:val="single" w:sz="1" w:space="0" w:color="AAAAAA"/>
            </w:tcBorders>
            <w:shd w:val="clear" w:color="auto" w:fill="2E5697"/>
            <w:tcMar>
              <w:top w:w="80" w:type="dxa"/>
              <w:left w:w="80" w:type="dxa"/>
              <w:bottom w:w="80" w:type="dxa"/>
              <w:right w:w="80" w:type="dxa"/>
            </w:tcMar>
          </w:tcPr>
          <w:p w14:paraId="329CF84D" w14:textId="77777777" w:rsidR="000B500E" w:rsidRPr="000D044B" w:rsidRDefault="00000000">
            <w:pPr>
              <w:pStyle w:val="Body"/>
              <w:jc w:val="center"/>
            </w:pPr>
            <w:r w:rsidRPr="000D044B">
              <w:rPr>
                <w:lang w:val="en-US"/>
              </w:rPr>
              <w:t>STRENGTHS</w:t>
            </w:r>
          </w:p>
        </w:tc>
        <w:tc>
          <w:tcPr>
            <w:tcW w:w="4680" w:type="dxa"/>
            <w:tcBorders>
              <w:top w:val="single" w:sz="1" w:space="0" w:color="AAAAAA"/>
              <w:left w:val="single" w:sz="1" w:space="0" w:color="AAAAAA"/>
              <w:bottom w:val="single" w:sz="1" w:space="0" w:color="AAAAAA"/>
              <w:right w:val="single" w:sz="1" w:space="0" w:color="AAAAAA"/>
            </w:tcBorders>
            <w:shd w:val="clear" w:color="auto" w:fill="C0392B"/>
            <w:tcMar>
              <w:top w:w="80" w:type="dxa"/>
              <w:left w:w="80" w:type="dxa"/>
              <w:bottom w:w="80" w:type="dxa"/>
              <w:right w:w="80" w:type="dxa"/>
            </w:tcMar>
          </w:tcPr>
          <w:p w14:paraId="4AEE791D" w14:textId="77777777" w:rsidR="000B500E" w:rsidRPr="000D044B" w:rsidRDefault="00000000">
            <w:pPr>
              <w:pStyle w:val="Body"/>
              <w:jc w:val="center"/>
            </w:pPr>
            <w:r w:rsidRPr="000D044B">
              <w:rPr>
                <w:lang w:val="en-US"/>
              </w:rPr>
              <w:t>WEAKNESSES</w:t>
            </w:r>
          </w:p>
        </w:tc>
      </w:tr>
      <w:tr w:rsidR="000B500E" w:rsidRPr="000D044B" w14:paraId="4E1E6884" w14:textId="77777777">
        <w:trPr>
          <w:trHeight w:val="2315"/>
        </w:trPr>
        <w:tc>
          <w:tcPr>
            <w:tcW w:w="4680" w:type="dxa"/>
            <w:tcBorders>
              <w:top w:val="single" w:sz="1" w:space="0" w:color="AAAAAA"/>
              <w:left w:val="single" w:sz="1" w:space="0" w:color="AAAAAA"/>
              <w:bottom w:val="single" w:sz="1" w:space="0" w:color="AAAAAA"/>
              <w:right w:val="single" w:sz="1" w:space="0" w:color="AAAAAA"/>
            </w:tcBorders>
            <w:shd w:val="clear" w:color="auto" w:fill="EBF0FA"/>
            <w:tcMar>
              <w:top w:w="80" w:type="dxa"/>
              <w:left w:w="80" w:type="dxa"/>
              <w:bottom w:w="80" w:type="dxa"/>
              <w:right w:w="80" w:type="dxa"/>
            </w:tcMar>
          </w:tcPr>
          <w:p w14:paraId="2AC56F20" w14:textId="77777777" w:rsidR="000B500E" w:rsidRPr="000D044B" w:rsidRDefault="00000000">
            <w:pPr>
              <w:pStyle w:val="Body"/>
              <w:spacing w:before="40" w:after="40"/>
            </w:pPr>
            <w:r w:rsidRPr="000D044B">
              <w:rPr>
                <w:lang w:val="en-US"/>
              </w:rPr>
              <w:t>• Global brand recognition across 70+ countries</w:t>
            </w:r>
          </w:p>
          <w:p w14:paraId="7344DF5C" w14:textId="77777777" w:rsidR="000B500E" w:rsidRPr="000D044B" w:rsidRDefault="00000000">
            <w:pPr>
              <w:pStyle w:val="Body"/>
              <w:spacing w:before="40" w:after="40"/>
            </w:pPr>
            <w:r w:rsidRPr="000D044B">
              <w:rPr>
                <w:lang w:val="en-US"/>
              </w:rPr>
              <w:t>• Diversified brand portfolio addressing multiple segments</w:t>
            </w:r>
          </w:p>
          <w:p w14:paraId="3439CA3A" w14:textId="77777777" w:rsidR="000B500E" w:rsidRPr="000D044B" w:rsidRDefault="00000000">
            <w:pPr>
              <w:pStyle w:val="Body"/>
              <w:spacing w:before="40" w:after="40"/>
            </w:pPr>
            <w:r w:rsidRPr="000D044B">
              <w:rPr>
                <w:lang w:val="en-US"/>
              </w:rPr>
              <w:t>• Established designer collaboration capability</w:t>
            </w:r>
          </w:p>
          <w:p w14:paraId="280FEC03" w14:textId="77777777" w:rsidR="000B500E" w:rsidRPr="000D044B" w:rsidRDefault="00000000">
            <w:pPr>
              <w:pStyle w:val="Body"/>
              <w:spacing w:before="40" w:after="40"/>
            </w:pPr>
            <w:r w:rsidRPr="000D044B">
              <w:rPr>
                <w:lang w:val="en-US"/>
              </w:rPr>
              <w:t>• Omni-channel presence with growing digital sales</w:t>
            </w:r>
          </w:p>
          <w:p w14:paraId="05DDF9DF" w14:textId="77777777" w:rsidR="000B500E" w:rsidRPr="000D044B" w:rsidRDefault="00000000">
            <w:pPr>
              <w:pStyle w:val="Body"/>
              <w:spacing w:before="40" w:after="40"/>
            </w:pPr>
            <w:r w:rsidRPr="000D044B">
              <w:rPr>
                <w:lang w:val="en-US"/>
              </w:rPr>
              <w:t>• Financial scale enabling transformation investment</w:t>
            </w:r>
          </w:p>
        </w:tc>
        <w:tc>
          <w:tcPr>
            <w:tcW w:w="4680" w:type="dxa"/>
            <w:tcBorders>
              <w:top w:val="single" w:sz="1" w:space="0" w:color="AAAAAA"/>
              <w:left w:val="single" w:sz="1" w:space="0" w:color="AAAAAA"/>
              <w:bottom w:val="single" w:sz="1" w:space="0" w:color="AAAAAA"/>
              <w:right w:val="single" w:sz="1" w:space="0" w:color="AAAAAA"/>
            </w:tcBorders>
            <w:shd w:val="clear" w:color="auto" w:fill="FDEDEC"/>
            <w:tcMar>
              <w:top w:w="80" w:type="dxa"/>
              <w:left w:w="80" w:type="dxa"/>
              <w:bottom w:w="80" w:type="dxa"/>
              <w:right w:w="80" w:type="dxa"/>
            </w:tcMar>
          </w:tcPr>
          <w:p w14:paraId="2FC79E21" w14:textId="77777777" w:rsidR="000B500E" w:rsidRPr="000D044B" w:rsidRDefault="00000000">
            <w:pPr>
              <w:pStyle w:val="Body"/>
              <w:spacing w:before="40" w:after="40"/>
            </w:pPr>
            <w:r w:rsidRPr="000D044B">
              <w:rPr>
                <w:lang w:val="en-US"/>
              </w:rPr>
              <w:t>• Slower speed-to-market relative to Zara</w:t>
            </w:r>
          </w:p>
          <w:p w14:paraId="180A21B8" w14:textId="77777777" w:rsidR="000B500E" w:rsidRPr="000D044B" w:rsidRDefault="00000000">
            <w:pPr>
              <w:pStyle w:val="Body"/>
              <w:spacing w:before="40" w:after="40"/>
            </w:pPr>
            <w:r w:rsidRPr="000D044B">
              <w:rPr>
                <w:lang w:val="en-US"/>
              </w:rPr>
              <w:t>• Greenwashing controversies undermining CSR credibility</w:t>
            </w:r>
          </w:p>
          <w:p w14:paraId="57BC5F7E" w14:textId="77777777" w:rsidR="000B500E" w:rsidRPr="000D044B" w:rsidRDefault="00000000">
            <w:pPr>
              <w:pStyle w:val="Body"/>
              <w:spacing w:before="40" w:after="40"/>
            </w:pPr>
            <w:r w:rsidRPr="000D044B">
              <w:rPr>
                <w:lang w:val="en-US"/>
              </w:rPr>
              <w:t>• Margin vulnerability to input cost inflation</w:t>
            </w:r>
          </w:p>
          <w:p w14:paraId="70A841D5" w14:textId="77777777" w:rsidR="000B500E" w:rsidRPr="000D044B" w:rsidRDefault="00000000">
            <w:pPr>
              <w:pStyle w:val="Body"/>
              <w:spacing w:before="40" w:after="40"/>
            </w:pPr>
            <w:r w:rsidRPr="000D044B">
              <w:rPr>
                <w:lang w:val="en-US"/>
              </w:rPr>
              <w:t xml:space="preserve">• Loyalty </w:t>
            </w:r>
            <w:proofErr w:type="spellStart"/>
            <w:r w:rsidRPr="000D044B">
              <w:rPr>
                <w:lang w:val="en-US"/>
              </w:rPr>
              <w:t>programme</w:t>
            </w:r>
            <w:proofErr w:type="spellEnd"/>
            <w:r w:rsidRPr="000D044B">
              <w:rPr>
                <w:lang w:val="en-US"/>
              </w:rPr>
              <w:t xml:space="preserve"> underdeveloped versus key competitors</w:t>
            </w:r>
          </w:p>
          <w:p w14:paraId="01F27926" w14:textId="77777777" w:rsidR="000B500E" w:rsidRPr="000D044B" w:rsidRDefault="00000000">
            <w:pPr>
              <w:pStyle w:val="Body"/>
              <w:spacing w:before="40" w:after="40"/>
            </w:pPr>
            <w:r w:rsidRPr="000D044B">
              <w:rPr>
                <w:lang w:val="en-US"/>
              </w:rPr>
              <w:t>• Historical inventory management underperformance</w:t>
            </w:r>
          </w:p>
        </w:tc>
      </w:tr>
      <w:tr w:rsidR="000B500E" w:rsidRPr="000D044B" w14:paraId="52BB3DFA" w14:textId="77777777">
        <w:trPr>
          <w:trHeight w:val="275"/>
        </w:trPr>
        <w:tc>
          <w:tcPr>
            <w:tcW w:w="4680" w:type="dxa"/>
            <w:tcBorders>
              <w:top w:val="single" w:sz="1" w:space="0" w:color="AAAAAA"/>
              <w:left w:val="single" w:sz="1" w:space="0" w:color="AAAAAA"/>
              <w:bottom w:val="single" w:sz="1" w:space="0" w:color="AAAAAA"/>
              <w:right w:val="single" w:sz="1" w:space="0" w:color="AAAAAA"/>
            </w:tcBorders>
            <w:shd w:val="clear" w:color="auto" w:fill="27AE60"/>
            <w:tcMar>
              <w:top w:w="80" w:type="dxa"/>
              <w:left w:w="80" w:type="dxa"/>
              <w:bottom w:w="80" w:type="dxa"/>
              <w:right w:w="80" w:type="dxa"/>
            </w:tcMar>
          </w:tcPr>
          <w:p w14:paraId="7F9C7541" w14:textId="77777777" w:rsidR="000B500E" w:rsidRPr="000D044B" w:rsidRDefault="00000000">
            <w:pPr>
              <w:pStyle w:val="Body"/>
              <w:jc w:val="center"/>
            </w:pPr>
            <w:r w:rsidRPr="000D044B">
              <w:rPr>
                <w:lang w:val="en-US"/>
              </w:rPr>
              <w:t>OPPORTUNITIES</w:t>
            </w:r>
          </w:p>
        </w:tc>
        <w:tc>
          <w:tcPr>
            <w:tcW w:w="4680" w:type="dxa"/>
            <w:tcBorders>
              <w:top w:val="single" w:sz="1" w:space="0" w:color="AAAAAA"/>
              <w:left w:val="single" w:sz="1" w:space="0" w:color="AAAAAA"/>
              <w:bottom w:val="single" w:sz="1" w:space="0" w:color="AAAAAA"/>
              <w:right w:val="single" w:sz="1" w:space="0" w:color="AAAAAA"/>
            </w:tcBorders>
            <w:shd w:val="clear" w:color="auto" w:fill="E67E22"/>
            <w:tcMar>
              <w:top w:w="80" w:type="dxa"/>
              <w:left w:w="80" w:type="dxa"/>
              <w:bottom w:w="80" w:type="dxa"/>
              <w:right w:w="80" w:type="dxa"/>
            </w:tcMar>
          </w:tcPr>
          <w:p w14:paraId="304B45A3" w14:textId="77777777" w:rsidR="000B500E" w:rsidRPr="000D044B" w:rsidRDefault="00000000">
            <w:pPr>
              <w:pStyle w:val="Body"/>
              <w:jc w:val="center"/>
            </w:pPr>
            <w:r w:rsidRPr="000D044B">
              <w:rPr>
                <w:lang w:val="en-US"/>
              </w:rPr>
              <w:t>THREATS</w:t>
            </w:r>
          </w:p>
        </w:tc>
      </w:tr>
      <w:tr w:rsidR="000B500E" w:rsidRPr="000D044B" w14:paraId="5CBFCCF7" w14:textId="77777777">
        <w:trPr>
          <w:trHeight w:val="2315"/>
        </w:trPr>
        <w:tc>
          <w:tcPr>
            <w:tcW w:w="4680" w:type="dxa"/>
            <w:tcBorders>
              <w:top w:val="single" w:sz="1" w:space="0" w:color="AAAAAA"/>
              <w:left w:val="single" w:sz="1" w:space="0" w:color="AAAAAA"/>
              <w:bottom w:val="single" w:sz="1" w:space="0" w:color="AAAAAA"/>
              <w:right w:val="single" w:sz="1" w:space="0" w:color="AAAAAA"/>
            </w:tcBorders>
            <w:shd w:val="clear" w:color="auto" w:fill="EAFAF1"/>
            <w:tcMar>
              <w:top w:w="80" w:type="dxa"/>
              <w:left w:w="80" w:type="dxa"/>
              <w:bottom w:w="80" w:type="dxa"/>
              <w:right w:w="80" w:type="dxa"/>
            </w:tcMar>
          </w:tcPr>
          <w:p w14:paraId="74458FC3" w14:textId="77777777" w:rsidR="000B500E" w:rsidRPr="000D044B" w:rsidRDefault="00000000">
            <w:pPr>
              <w:pStyle w:val="Body"/>
              <w:spacing w:before="40" w:after="40"/>
            </w:pPr>
            <w:r w:rsidRPr="000D044B">
              <w:rPr>
                <w:lang w:val="en-US"/>
              </w:rPr>
              <w:t>• Circular and sustainable fashion leadership positioning</w:t>
            </w:r>
          </w:p>
          <w:p w14:paraId="2BA913EB" w14:textId="77777777" w:rsidR="000B500E" w:rsidRPr="000D044B" w:rsidRDefault="00000000">
            <w:pPr>
              <w:pStyle w:val="Body"/>
              <w:spacing w:before="40" w:after="40"/>
            </w:pPr>
            <w:r w:rsidRPr="000D044B">
              <w:rPr>
                <w:lang w:val="en-US"/>
              </w:rPr>
              <w:t>• AI-driven demand forecasting to reduce waste and markdown</w:t>
            </w:r>
          </w:p>
          <w:p w14:paraId="106DDD64" w14:textId="77777777" w:rsidR="000B500E" w:rsidRPr="000D044B" w:rsidRDefault="00000000">
            <w:pPr>
              <w:pStyle w:val="Body"/>
              <w:spacing w:before="40" w:after="40"/>
            </w:pPr>
            <w:r w:rsidRPr="000D044B">
              <w:rPr>
                <w:lang w:val="en-US"/>
              </w:rPr>
              <w:t>• Growth in Southeast Asian and Indian fashion markets</w:t>
            </w:r>
          </w:p>
          <w:p w14:paraId="61D2EF96" w14:textId="77777777" w:rsidR="000B500E" w:rsidRPr="000D044B" w:rsidRDefault="00000000">
            <w:pPr>
              <w:pStyle w:val="Body"/>
              <w:spacing w:before="40" w:after="40"/>
            </w:pPr>
            <w:r w:rsidRPr="000D044B">
              <w:rPr>
                <w:lang w:val="en-US"/>
              </w:rPr>
              <w:t>• Second-hand and resale market integration</w:t>
            </w:r>
          </w:p>
          <w:p w14:paraId="743E3869" w14:textId="77777777" w:rsidR="000B500E" w:rsidRPr="000D044B" w:rsidRDefault="00000000">
            <w:pPr>
              <w:pStyle w:val="Body"/>
              <w:spacing w:before="40" w:after="40"/>
            </w:pPr>
            <w:r w:rsidRPr="000D044B">
              <w:rPr>
                <w:lang w:val="en-US"/>
              </w:rPr>
              <w:t>• EU sustainability regulation creating higher barriers for non-compliant rivals</w:t>
            </w:r>
          </w:p>
        </w:tc>
        <w:tc>
          <w:tcPr>
            <w:tcW w:w="4680" w:type="dxa"/>
            <w:tcBorders>
              <w:top w:val="single" w:sz="1" w:space="0" w:color="AAAAAA"/>
              <w:left w:val="single" w:sz="1" w:space="0" w:color="AAAAAA"/>
              <w:bottom w:val="single" w:sz="1" w:space="0" w:color="AAAAAA"/>
              <w:right w:val="single" w:sz="1" w:space="0" w:color="AAAAAA"/>
            </w:tcBorders>
            <w:shd w:val="clear" w:color="auto" w:fill="FEF9E7"/>
            <w:tcMar>
              <w:top w:w="80" w:type="dxa"/>
              <w:left w:w="80" w:type="dxa"/>
              <w:bottom w:w="80" w:type="dxa"/>
              <w:right w:w="80" w:type="dxa"/>
            </w:tcMar>
          </w:tcPr>
          <w:p w14:paraId="12071C11" w14:textId="77777777" w:rsidR="000B500E" w:rsidRPr="000D044B" w:rsidRDefault="00000000">
            <w:pPr>
              <w:pStyle w:val="Body"/>
              <w:spacing w:before="40" w:after="40"/>
            </w:pPr>
            <w:r w:rsidRPr="000D044B">
              <w:rPr>
                <w:lang w:val="en-US"/>
              </w:rPr>
              <w:t>• Ultra-fast fashion platforms (Shein) disrupting the price floor</w:t>
            </w:r>
          </w:p>
          <w:p w14:paraId="35CC7ED6" w14:textId="77777777" w:rsidR="000B500E" w:rsidRPr="000D044B" w:rsidRDefault="00000000">
            <w:pPr>
              <w:pStyle w:val="Body"/>
              <w:spacing w:before="40" w:after="40"/>
            </w:pPr>
            <w:r w:rsidRPr="000D044B">
              <w:rPr>
                <w:lang w:val="en-US"/>
              </w:rPr>
              <w:t>• Increasing ESG regulatory compliance costs</w:t>
            </w:r>
          </w:p>
          <w:p w14:paraId="012A963D" w14:textId="77777777" w:rsidR="000B500E" w:rsidRPr="000D044B" w:rsidRDefault="00000000">
            <w:pPr>
              <w:pStyle w:val="Body"/>
              <w:spacing w:before="40" w:after="40"/>
            </w:pPr>
            <w:r w:rsidRPr="000D044B">
              <w:rPr>
                <w:lang w:val="en-US"/>
              </w:rPr>
              <w:t>• Consumer trust erosion from greenwashing exposure</w:t>
            </w:r>
          </w:p>
          <w:p w14:paraId="59D24201" w14:textId="77777777" w:rsidR="000B500E" w:rsidRPr="000D044B" w:rsidRDefault="00000000">
            <w:pPr>
              <w:pStyle w:val="Body"/>
              <w:spacing w:before="40" w:after="40"/>
            </w:pPr>
            <w:r w:rsidRPr="000D044B">
              <w:rPr>
                <w:lang w:val="en-US"/>
              </w:rPr>
              <w:t>• Supply chain disruption from geopolitical instability</w:t>
            </w:r>
          </w:p>
          <w:p w14:paraId="723B01C5" w14:textId="77777777" w:rsidR="000B500E" w:rsidRPr="000D044B" w:rsidRDefault="00000000">
            <w:pPr>
              <w:pStyle w:val="Body"/>
              <w:spacing w:before="40" w:after="40"/>
            </w:pPr>
            <w:r w:rsidRPr="000D044B">
              <w:rPr>
                <w:lang w:val="en-US"/>
              </w:rPr>
              <w:t>• Currency and input cost volatility</w:t>
            </w:r>
          </w:p>
        </w:tc>
      </w:tr>
    </w:tbl>
    <w:p w14:paraId="4526F6DF" w14:textId="77777777" w:rsidR="000B500E" w:rsidRPr="000D044B" w:rsidRDefault="000B500E">
      <w:pPr>
        <w:pStyle w:val="Body"/>
        <w:widowControl w:val="0"/>
        <w:spacing w:before="80" w:after="80"/>
      </w:pPr>
    </w:p>
    <w:p w14:paraId="02D9AC5F" w14:textId="77777777" w:rsidR="000B500E" w:rsidRPr="000D044B" w:rsidRDefault="000B500E">
      <w:pPr>
        <w:pStyle w:val="Body"/>
        <w:spacing w:before="80" w:after="80"/>
      </w:pPr>
    </w:p>
    <w:p w14:paraId="0377E5AD" w14:textId="77777777" w:rsidR="00F679C8" w:rsidRPr="000D044B" w:rsidRDefault="00F679C8">
      <w:pPr>
        <w:spacing w:before="0" w:after="0" w:line="240" w:lineRule="auto"/>
        <w:jc w:val="left"/>
      </w:pPr>
      <w:bookmarkStart w:id="75" w:name="_Toc29"/>
      <w:r w:rsidRPr="000D044B">
        <w:br w:type="page"/>
      </w:r>
    </w:p>
    <w:p w14:paraId="73B66671" w14:textId="75A2D951" w:rsidR="000B500E" w:rsidRPr="000D044B" w:rsidRDefault="00000000">
      <w:pPr>
        <w:pStyle w:val="Heading3"/>
      </w:pPr>
      <w:bookmarkStart w:id="76" w:name="_Toc228518564"/>
      <w:bookmarkStart w:id="77" w:name="_Toc228520777"/>
      <w:r w:rsidRPr="000D044B">
        <w:rPr>
          <w:lang w:val="en-US"/>
        </w:rPr>
        <w:lastRenderedPageBreak/>
        <w:t>Strategic Recommendations</w:t>
      </w:r>
      <w:bookmarkEnd w:id="75"/>
      <w:bookmarkEnd w:id="76"/>
      <w:bookmarkEnd w:id="77"/>
    </w:p>
    <w:p w14:paraId="4D6F2C9F" w14:textId="610F31B2" w:rsidR="00F679C8" w:rsidRPr="000D044B" w:rsidRDefault="00F679C8" w:rsidP="00F679C8">
      <w:pPr>
        <w:pStyle w:val="Body"/>
        <w:spacing w:before="80" w:after="160" w:line="360" w:lineRule="auto"/>
        <w:jc w:val="both"/>
      </w:pPr>
      <w:r w:rsidRPr="000D044B">
        <w:t>Three primary strategic recommendations are proposed, each grounded in the evidence and theory developed throughout this report. Unlike strategic aspirations, each recommendation below is accompanied by an implementation structure specifying ownership, phasing, resource implications, success metrics, and principal risks.</w:t>
      </w:r>
    </w:p>
    <w:p w14:paraId="3D0FA302" w14:textId="77777777" w:rsidR="00F679C8" w:rsidRPr="000D044B" w:rsidRDefault="00F679C8" w:rsidP="00F679C8">
      <w:r w:rsidRPr="000D044B">
        <w:t>Recommendation 1: Convert Sustainability from a Communications Asset into an Operational Capability</w:t>
      </w:r>
    </w:p>
    <w:p w14:paraId="1BED5600" w14:textId="77777777" w:rsidR="00F679C8" w:rsidRPr="000D044B" w:rsidRDefault="00F679C8" w:rsidP="00F679C8">
      <w:pPr>
        <w:pStyle w:val="Body"/>
        <w:spacing w:before="80" w:after="160" w:line="360" w:lineRule="auto"/>
        <w:jc w:val="both"/>
      </w:pPr>
      <w:r w:rsidRPr="000D044B">
        <w:t>H&amp;M's most urgent strategic priority is to transform its sustainability narrative into a verifiable operational advantage. The Dutch Authority for Consumers and Markets (2022) intervention demonstrated that reputational advantage now depends on auditable capability rather than persuasive messaging alone. This requires embedding measurable sustainability KPIs within supplier contracts, product design briefs, and commercial profit and loss accountability — not merely within a separate CSR reporting function. H&amp;M should accelerate investment in material traceability technology, building on existing work through Textile Genesis, reduce reliance on virgin synthetic fibres, and establish independently audited circular take-back volumes with transparent public reporting.</w:t>
      </w:r>
    </w:p>
    <w:p w14:paraId="7B090268" w14:textId="77777777" w:rsidR="00F679C8" w:rsidRPr="000D044B" w:rsidRDefault="00F679C8" w:rsidP="00F679C8">
      <w:pPr>
        <w:pStyle w:val="Body"/>
        <w:spacing w:before="80" w:after="160" w:line="360" w:lineRule="auto"/>
        <w:jc w:val="both"/>
      </w:pPr>
      <w:r w:rsidRPr="000D044B">
        <w:t>This recommendation is supported directly by the VRIO analysis, which identifies sustainability as a potentially inimitable resource currently undermined by inconsistent implementation, and by the legal analysis, which indicates that greenwashing regulation will increasingly penalise unsubstantiated claims (European Commission, 2023). Academically, Hart's (1995) natural resource-based view argues that proactive environmental strategy, when genuinely embedded in operations, generates cost advantages, reputation advantages, and first-mover benefits that are extremely difficult for competitors to replicate. Applying Bansal and Roth's (2000) typology, this recommendation aims to shift H&amp;M's sustainability positioning from legitimation-driven to competitiveness-driven — a transition that requires operational transformation rather than communications investment.</w:t>
      </w:r>
    </w:p>
    <w:p w14:paraId="23AE49C4" w14:textId="77777777" w:rsidR="00F679C8" w:rsidRPr="000D044B" w:rsidRDefault="00F679C8" w:rsidP="00F679C8">
      <w:pPr>
        <w:pStyle w:val="Body"/>
        <w:spacing w:before="80" w:after="160" w:line="360" w:lineRule="auto"/>
        <w:jc w:val="both"/>
      </w:pPr>
      <w:r w:rsidRPr="000D044B">
        <w:t xml:space="preserve">Because credibility now depends on data as much as policy, traceability infrastructure, AI-enabled supply chain monitoring, and product-level environmental evidence should </w:t>
      </w:r>
      <w:r w:rsidRPr="000D044B">
        <w:lastRenderedPageBreak/>
        <w:t>be treated as core components of this recommendation rather than as separate technical initiatives (</w:t>
      </w:r>
      <w:proofErr w:type="spellStart"/>
      <w:r w:rsidRPr="000D044B">
        <w:t>Karadayi</w:t>
      </w:r>
      <w:proofErr w:type="spellEnd"/>
      <w:r w:rsidRPr="000D044B">
        <w:t>-Usta, 2024; H&amp;M Group, 2025b).</w:t>
      </w:r>
    </w:p>
    <w:p w14:paraId="6A516A7C" w14:textId="77777777" w:rsidR="00F679C8" w:rsidRPr="000D044B" w:rsidRDefault="00F679C8" w:rsidP="00F679C8">
      <w:pPr>
        <w:pStyle w:val="Body"/>
        <w:spacing w:before="80" w:after="160" w:line="360" w:lineRule="auto"/>
        <w:jc w:val="both"/>
      </w:pPr>
      <w:r w:rsidRPr="000D044B">
        <w:t>Recommendation 2: Accelerate Demand Intelligence and Inventory Agility</w:t>
      </w:r>
    </w:p>
    <w:p w14:paraId="506F0CFC" w14:textId="77777777" w:rsidR="00F679C8" w:rsidRPr="000D044B" w:rsidRDefault="00F679C8" w:rsidP="00F679C8">
      <w:pPr>
        <w:pStyle w:val="Body"/>
        <w:spacing w:before="80" w:after="160" w:line="360" w:lineRule="auto"/>
        <w:jc w:val="both"/>
      </w:pPr>
      <w:r w:rsidRPr="000D044B">
        <w:t>H&amp;M's inventory management weakness — which contributed to excess stock write-offs and margin damage in 2022 — must be addressed through sustained investment in AI-powered demand sensing and forecasting capability. The application of machine learning to purchasing data, social trend signals, and seasonal patterns offers the potential to reduce markdown rates, improve full-price sell-through, and enable production of fewer but better-selling items, consistent with the 'New Chapter' strategic direction (H&amp;M Group, 2022).</w:t>
      </w:r>
    </w:p>
    <w:p w14:paraId="4F51F5A4" w14:textId="77777777" w:rsidR="00F679C8" w:rsidRPr="000D044B" w:rsidRDefault="00F679C8" w:rsidP="00F679C8">
      <w:pPr>
        <w:pStyle w:val="Body"/>
        <w:spacing w:before="80" w:after="160" w:line="360" w:lineRule="auto"/>
        <w:jc w:val="both"/>
      </w:pPr>
      <w:r w:rsidRPr="000D044B">
        <w:t xml:space="preserve">Ferdows, Lewis and Machuca's (2004) analysis of Zara's supply chain agility demonstrates the competitive dividends of rapid feedback loops between consumer behaviour and product supply decisions. H&amp;M should invest in equivalent capabilities adapted to its longer supply chain, including closer supplier relationships and faster replenishment mechanisms for proven best-sellers. Cai, </w:t>
      </w:r>
      <w:proofErr w:type="spellStart"/>
      <w:r w:rsidRPr="000D044B">
        <w:t>Sharkawi</w:t>
      </w:r>
      <w:proofErr w:type="spellEnd"/>
      <w:r w:rsidRPr="000D044B">
        <w:t xml:space="preserve"> and </w:t>
      </w:r>
      <w:proofErr w:type="spellStart"/>
      <w:r w:rsidRPr="000D044B">
        <w:t>Taasim</w:t>
      </w:r>
      <w:proofErr w:type="spellEnd"/>
      <w:r w:rsidRPr="000D044B">
        <w:t xml:space="preserve"> (2024) demonstrate that intelligent logistics systems — combining real-time demand data, predictive restocking, and dynamic routing — materially improve supply chain resilience in fashion apparel, reducing both overstock exposure and stockout frequency. </w:t>
      </w:r>
      <w:proofErr w:type="spellStart"/>
      <w:r w:rsidRPr="000D044B">
        <w:t>Karadayi</w:t>
      </w:r>
      <w:proofErr w:type="spellEnd"/>
      <w:r w:rsidRPr="000D044B">
        <w:t>-Usta (2024) further identifies AI-driven returns prediction as a significant lever for both margin protection and waste reduction, directly connecting digital capability to H&amp;M's sustainability agenda and reinforcing the integration between Recommendations 1 and 2.</w:t>
      </w:r>
    </w:p>
    <w:p w14:paraId="0C59D1DF" w14:textId="77777777" w:rsidR="00F679C8" w:rsidRPr="000D044B" w:rsidRDefault="00F679C8" w:rsidP="00F679C8">
      <w:pPr>
        <w:pStyle w:val="Body"/>
        <w:spacing w:before="80" w:after="160" w:line="360" w:lineRule="auto"/>
        <w:jc w:val="both"/>
      </w:pPr>
      <w:r w:rsidRPr="000D044B">
        <w:t>Recommendation 3: Reposition the H&amp;M Brand around Sustainable Accessibility</w:t>
      </w:r>
    </w:p>
    <w:p w14:paraId="79953975" w14:textId="1AA18F05" w:rsidR="002F7B46" w:rsidRPr="000D044B" w:rsidRDefault="002F7B46" w:rsidP="002F7B46">
      <w:r w:rsidRPr="000D044B">
        <w:t xml:space="preserve">As an alternative to competing with Shein on price or Zara on speed-to-market, H&amp;M should strengthen its unique positioning as the accessible sustainable fashion brand - a brand that is more ethical and environmental than ultra-fast fashion, but more affordable than luxury sustainable fashion brands like Patagonia and Stella McCartney. This reposition will demand brand investment, verified sustainable credentials as per Recommendation 1, and stock management that </w:t>
      </w:r>
      <w:proofErr w:type="spellStart"/>
      <w:r w:rsidRPr="000D044B">
        <w:t>prioritises</w:t>
      </w:r>
      <w:proofErr w:type="spellEnd"/>
      <w:r w:rsidRPr="000D044B">
        <w:t xml:space="preserve"> quality and endurance over quantity of products.</w:t>
      </w:r>
    </w:p>
    <w:p w14:paraId="78B8B385" w14:textId="4E569E78" w:rsidR="00F679C8" w:rsidRPr="000D044B" w:rsidRDefault="002F7B46" w:rsidP="002F7B46">
      <w:r w:rsidRPr="000D044B">
        <w:lastRenderedPageBreak/>
        <w:t xml:space="preserve">Kim and Mauborgne's (2005) Blue Ocean theory backs this argument: by turning the ability to deliver a credible sustainability proposition into a verifiable competitive dimension rather than a mere marketing impression, H&amp;M could make price comparisons with Shein less important for competitive advantage, and appeal to value for money consumers who are also committed to ethical practice, for whom neither extreme is currently offering an attractive proposition. As </w:t>
      </w:r>
      <w:proofErr w:type="spellStart"/>
      <w:r w:rsidRPr="000D044B">
        <w:t>Schiaroli</w:t>
      </w:r>
      <w:proofErr w:type="spellEnd"/>
      <w:r w:rsidRPr="000D044B">
        <w:t xml:space="preserve">, </w:t>
      </w:r>
      <w:proofErr w:type="spellStart"/>
      <w:r w:rsidRPr="000D044B">
        <w:t>Fraccascia</w:t>
      </w:r>
      <w:proofErr w:type="spellEnd"/>
      <w:r w:rsidRPr="000D044B">
        <w:t xml:space="preserve"> and Dangelico (2024) show, the persistent gap between intent and action in sustainable fashion consumption means a repositioning based on sustainability credentials alone will not be sufficient to translate ethical intent into consumer action; it must also be convenient, affordable and visually appealing. Sustainable accessibility, therefore, must be delivered as much as advertised.</w:t>
      </w:r>
      <w:r w:rsidR="00F679C8" w:rsidRPr="000D044B">
        <w:br w:type="page"/>
      </w:r>
    </w:p>
    <w:p w14:paraId="7790B8DE" w14:textId="608F68EA" w:rsidR="00F679C8" w:rsidRPr="000D044B" w:rsidRDefault="00F679C8" w:rsidP="00FC3E6C">
      <w:pPr>
        <w:pStyle w:val="Heading2"/>
      </w:pPr>
      <w:bookmarkStart w:id="78" w:name="_Toc228518565"/>
      <w:bookmarkStart w:id="79" w:name="_Toc228520778"/>
      <w:r w:rsidRPr="000D044B">
        <w:lastRenderedPageBreak/>
        <w:t>Conclusion</w:t>
      </w:r>
      <w:bookmarkEnd w:id="78"/>
      <w:bookmarkEnd w:id="79"/>
    </w:p>
    <w:p w14:paraId="3A7C8FA8" w14:textId="77777777" w:rsidR="00EB0657" w:rsidRDefault="00EB0657" w:rsidP="00EB0657">
      <w:r>
        <w:t>H&amp;M is in a difficult strategic position in a highly dynamic industry. It has the scale, brand and omnichannel presence to provide a platform for competitive advantage, but its business model is under pressure from low-cost digital natives and increasing regulatory and reputational demands for sustainability. The VRIO and Balanced Scorecard analyses show that H&amp;M can create inimitable competitive advantages through integrated sustainability, digital intelligence, and brand positioning - but they need to be built through operational and cultural investment, not just marketing communications.</w:t>
      </w:r>
    </w:p>
    <w:p w14:paraId="5AE2B9A0" w14:textId="57DA5B71" w:rsidR="00F679C8" w:rsidRPr="000D044B" w:rsidRDefault="00EB0657" w:rsidP="00EB0657">
      <w:r>
        <w:t xml:space="preserve">Importantly, Recommendations 1-3 above are interconnected. Recommendation 1 is the foundation: without verified sustainability credentials, Recommendation 3's brand repositioning lacks legitimacy, and Recommendation 2's inventory efficiency transformations cannot be linked with a sustainability story. They reflect a holistic strategic logic - translating H&amp;M's scale, data and sustainability ambition from </w:t>
      </w:r>
      <w:proofErr w:type="spellStart"/>
      <w:r>
        <w:t>organisational</w:t>
      </w:r>
      <w:proofErr w:type="spellEnd"/>
      <w:r>
        <w:t xml:space="preserve"> resources to specific, auditable and inimitable competitive advantages.</w:t>
      </w:r>
    </w:p>
    <w:p w14:paraId="7D863F87" w14:textId="77777777" w:rsidR="000B500E" w:rsidRPr="000D044B" w:rsidRDefault="00000000">
      <w:pPr>
        <w:pStyle w:val="Body"/>
      </w:pPr>
      <w:r w:rsidRPr="000D044B">
        <w:br w:type="page"/>
      </w:r>
    </w:p>
    <w:p w14:paraId="2240193A" w14:textId="77777777" w:rsidR="000B500E" w:rsidRPr="000D044B" w:rsidRDefault="00000000">
      <w:pPr>
        <w:pStyle w:val="Heading"/>
      </w:pPr>
      <w:bookmarkStart w:id="80" w:name="_Toc33"/>
      <w:bookmarkStart w:id="81" w:name="_Toc228518566"/>
      <w:bookmarkStart w:id="82" w:name="_Toc228520779"/>
      <w:r w:rsidRPr="000D044B">
        <w:rPr>
          <w:lang w:val="de-DE"/>
        </w:rPr>
        <w:lastRenderedPageBreak/>
        <w:t>SECTION 2: REFLECTIVE ACCOUNT</w:t>
      </w:r>
      <w:bookmarkEnd w:id="80"/>
      <w:bookmarkEnd w:id="81"/>
      <w:bookmarkEnd w:id="82"/>
    </w:p>
    <w:p w14:paraId="1014913A" w14:textId="521EB3EA" w:rsidR="000B500E" w:rsidRPr="000D044B" w:rsidRDefault="003F2139">
      <w:pPr>
        <w:pStyle w:val="Body"/>
        <w:spacing w:before="80" w:after="160" w:line="360" w:lineRule="auto"/>
        <w:jc w:val="both"/>
      </w:pPr>
      <w:r w:rsidRPr="000D044B">
        <w:rPr>
          <w:lang w:val="en-US"/>
        </w:rPr>
        <w:t>The following reflection draws upon Gibbs' (1988) Reflective Cycle, a structured six-stage model used in academic reflection to move from descriptive account towards critical insight and future learning. As Moon (2004) notes, genuinely developmental reflection requires more than sequential stage completion — it demands honest engagement with moments of uncertainty and a willingness to revise prior assumptions considering new evidence.</w:t>
      </w:r>
    </w:p>
    <w:p w14:paraId="001418AB" w14:textId="77777777" w:rsidR="000B500E" w:rsidRPr="000D044B" w:rsidRDefault="00000000">
      <w:pPr>
        <w:pStyle w:val="Heading3"/>
      </w:pPr>
      <w:bookmarkStart w:id="83" w:name="_Toc34"/>
      <w:bookmarkStart w:id="84" w:name="_Toc228518567"/>
      <w:bookmarkStart w:id="85" w:name="_Toc228520780"/>
      <w:r w:rsidRPr="000D044B">
        <w:rPr>
          <w:lang w:val="en-US"/>
        </w:rPr>
        <w:t>Description</w:t>
      </w:r>
      <w:bookmarkEnd w:id="83"/>
      <w:bookmarkEnd w:id="84"/>
      <w:bookmarkEnd w:id="85"/>
    </w:p>
    <w:p w14:paraId="1E030D3F" w14:textId="0445FA41" w:rsidR="000B500E" w:rsidRPr="000D044B" w:rsidRDefault="003F2139">
      <w:pPr>
        <w:pStyle w:val="Body"/>
        <w:spacing w:before="80" w:after="160" w:line="360" w:lineRule="auto"/>
        <w:jc w:val="both"/>
      </w:pPr>
      <w:r w:rsidRPr="000D044B">
        <w:rPr>
          <w:lang w:val="en-US"/>
        </w:rPr>
        <w:t xml:space="preserve">The brief for this assignment was to critically </w:t>
      </w:r>
      <w:proofErr w:type="spellStart"/>
      <w:r w:rsidRPr="000D044B">
        <w:rPr>
          <w:lang w:val="en-US"/>
        </w:rPr>
        <w:t>analyse</w:t>
      </w:r>
      <w:proofErr w:type="spellEnd"/>
      <w:r w:rsidRPr="000D044B">
        <w:rPr>
          <w:lang w:val="en-US"/>
        </w:rPr>
        <w:t xml:space="preserve"> the strategic management approaches of a selected </w:t>
      </w:r>
      <w:proofErr w:type="spellStart"/>
      <w:r w:rsidRPr="000D044B">
        <w:rPr>
          <w:lang w:val="en-US"/>
        </w:rPr>
        <w:t>organisation</w:t>
      </w:r>
      <w:proofErr w:type="spellEnd"/>
      <w:r w:rsidRPr="000D044B">
        <w:rPr>
          <w:lang w:val="en-US"/>
        </w:rPr>
        <w:t xml:space="preserve"> through various theoretical lenses, as covered in the module. H&amp;M was chosen as the subject of the report due to its global recognition and the vast amount of publicly available information about it, operating at the confluence of several strategic dilemmas - cost versus sustainability, offline versus online, brand versus value - and because it presents a complex strategic management case, rather than a straightforward success story. Sources for the research were H&amp;M's annual reports, sustainability reports, industry reports from McKinsey and Company and Business of Fashion (2023), among other sources, academic journal articles and strategic management textbooks such as Johnson, Whittington and Scholes (2017) and Porter (1985). The analysis involved assessing contradictions between H&amp;M's self-reported sustainability figures and regulatory data, which formed the foundation of the report's argument.</w:t>
      </w:r>
    </w:p>
    <w:p w14:paraId="761FFB68" w14:textId="77777777" w:rsidR="000B500E" w:rsidRPr="000D044B" w:rsidRDefault="00000000">
      <w:pPr>
        <w:pStyle w:val="Heading3"/>
      </w:pPr>
      <w:bookmarkStart w:id="86" w:name="_Toc35"/>
      <w:bookmarkStart w:id="87" w:name="_Toc228518568"/>
      <w:bookmarkStart w:id="88" w:name="_Toc228520781"/>
      <w:r w:rsidRPr="000D044B">
        <w:rPr>
          <w:lang w:val="nl-NL"/>
        </w:rPr>
        <w:t>Feelings</w:t>
      </w:r>
      <w:bookmarkEnd w:id="86"/>
      <w:bookmarkEnd w:id="87"/>
      <w:bookmarkEnd w:id="88"/>
    </w:p>
    <w:p w14:paraId="725A6383" w14:textId="408A7DD3" w:rsidR="003F2139" w:rsidRPr="000D044B" w:rsidRDefault="003F2139" w:rsidP="003F2139">
      <w:r w:rsidRPr="000D044B">
        <w:t>I started with a level of confidence about the module's strategic frameworks, having studied Porter's Five Forces and SWOT previously. This confidence was somewhat misleading. The real challenge was not so much the use of frameworks, but the process of research: in the early stages of the research process, I located much information about H&amp;M but struggled to separate H&amp;M's claims from independently verifiable evidence.</w:t>
      </w:r>
    </w:p>
    <w:p w14:paraId="43FCC43C" w14:textId="4092A22A" w:rsidR="000B500E" w:rsidRPr="000D044B" w:rsidRDefault="003F2139" w:rsidP="003F2139">
      <w:r w:rsidRPr="000D044B">
        <w:t xml:space="preserve">The pivotal moment was when I found the Dutch Authority for Consumers and Markets (2022) ruling that H&amp;M needed to correct its sustainability communications. Up to that point I had been taking H&amp;M's sustainability statements at face value, since most easily accessible sources - from business journalism to H&amp;M reports - were </w:t>
      </w:r>
      <w:proofErr w:type="spellStart"/>
      <w:r w:rsidRPr="000D044B">
        <w:lastRenderedPageBreak/>
        <w:t>favourable</w:t>
      </w:r>
      <w:proofErr w:type="spellEnd"/>
      <w:r w:rsidRPr="000D044B">
        <w:t>. The ruling prompted a more uncomfortable question: if H&amp;M's sustainability communications were found by a regulator to be potentially misleading, then what about the weight of the analysis I had given to them in the PESTEL, VRIO and CSR sections of my report? That more skeptical re-evaluation of those sections was initially uncomfortable but ultimately led to the report's most compelling analytical point - the disconnect between sustainability narrative and reality that became the report's main argument. Such cognitive discomfort is what Moon (2004) calls the state in which learning, rather than reflection, occurs.</w:t>
      </w:r>
    </w:p>
    <w:p w14:paraId="53010A96" w14:textId="77777777" w:rsidR="000B500E" w:rsidRPr="000D044B" w:rsidRDefault="00000000">
      <w:pPr>
        <w:pStyle w:val="Heading3"/>
      </w:pPr>
      <w:bookmarkStart w:id="89" w:name="_Toc36"/>
      <w:bookmarkStart w:id="90" w:name="_Toc228518569"/>
      <w:bookmarkStart w:id="91" w:name="_Toc228520782"/>
      <w:r w:rsidRPr="000D044B">
        <w:rPr>
          <w:lang w:val="en-US"/>
        </w:rPr>
        <w:t>Evaluation</w:t>
      </w:r>
      <w:bookmarkEnd w:id="89"/>
      <w:bookmarkEnd w:id="90"/>
      <w:bookmarkEnd w:id="91"/>
    </w:p>
    <w:p w14:paraId="21F2C792" w14:textId="63037293" w:rsidR="003F2139" w:rsidRPr="000D044B" w:rsidRDefault="003F2139" w:rsidP="003F2139">
      <w:r w:rsidRPr="000D044B">
        <w:t xml:space="preserve">The strongest elements of the analysis process were the connection of VRIO with the CSR analysis, to produce a grounded argument about the distinction between sustainability as a marketing claim and sustainability as a strategic capability, and the use of the Balanced Scorecard, which highlighted performance gaps that PESTEL analysis would not have identified. The Five Forces analysis was also successful in being </w:t>
      </w:r>
      <w:proofErr w:type="spellStart"/>
      <w:r w:rsidRPr="000D044B">
        <w:t>centred</w:t>
      </w:r>
      <w:proofErr w:type="spellEnd"/>
      <w:r w:rsidRPr="000D044B">
        <w:t xml:space="preserve"> on H&amp;M and its strategic implications.</w:t>
      </w:r>
    </w:p>
    <w:p w14:paraId="69FFFFB2" w14:textId="12DF15F0" w:rsidR="000B500E" w:rsidRPr="000D044B" w:rsidRDefault="003F2139" w:rsidP="003F2139">
      <w:r w:rsidRPr="000D044B">
        <w:t>Less effective initially was the PESTEL analysis, in which macro-environmental factors were identified without linking to the strategic implications. Much reworking was required to ensure each factor ended in a strategic judgement rather than a descriptive statement.</w:t>
      </w:r>
    </w:p>
    <w:p w14:paraId="1D013C63" w14:textId="77777777" w:rsidR="000B500E" w:rsidRPr="000D044B" w:rsidRDefault="00000000">
      <w:pPr>
        <w:pStyle w:val="Heading3"/>
      </w:pPr>
      <w:bookmarkStart w:id="92" w:name="_Toc37"/>
      <w:bookmarkStart w:id="93" w:name="_Toc228518570"/>
      <w:bookmarkStart w:id="94" w:name="_Toc228520783"/>
      <w:r w:rsidRPr="000D044B">
        <w:t>Analysis</w:t>
      </w:r>
      <w:bookmarkEnd w:id="92"/>
      <w:bookmarkEnd w:id="93"/>
      <w:bookmarkEnd w:id="94"/>
    </w:p>
    <w:p w14:paraId="093401A4" w14:textId="77777777" w:rsidR="003F2139" w:rsidRPr="000D044B" w:rsidRDefault="003F2139" w:rsidP="003F2139">
      <w:r w:rsidRPr="000D044B">
        <w:t xml:space="preserve">In terms of why some sections fared better than others, the improvement is linked more to the quality of sources, rather than the frameworks being familiar. The VRIO and CSR sections improved most dramatically when primary regulatory sources were introduced in place of secondary news sources, and when academic sources that directly contradicted H&amp;M's own narrative, particularly Bansal and Roth (2000) on legitimation versus competitiveness CSR, and </w:t>
      </w:r>
      <w:proofErr w:type="spellStart"/>
      <w:r w:rsidRPr="000D044B">
        <w:t>Schiaroli</w:t>
      </w:r>
      <w:proofErr w:type="spellEnd"/>
      <w:r w:rsidRPr="000D044B">
        <w:t xml:space="preserve">, </w:t>
      </w:r>
      <w:proofErr w:type="spellStart"/>
      <w:r w:rsidRPr="000D044B">
        <w:t>Fraccascia</w:t>
      </w:r>
      <w:proofErr w:type="spellEnd"/>
      <w:r w:rsidRPr="000D044B">
        <w:t xml:space="preserve"> and Dangelico (2024) on the intention-</w:t>
      </w:r>
      <w:proofErr w:type="spellStart"/>
      <w:r w:rsidRPr="000D044B">
        <w:t>behaviour</w:t>
      </w:r>
      <w:proofErr w:type="spellEnd"/>
      <w:r w:rsidRPr="000D044B">
        <w:t xml:space="preserve"> gap, were brought in. This points to a key learning regarding methodology: the quality of the strategy report's analysis is largely decided at the time sources are being selected, long before the analysis itself is written. The selection of sources that challenge the </w:t>
      </w:r>
      <w:proofErr w:type="spellStart"/>
      <w:r w:rsidRPr="000D044B">
        <w:t>organisation's</w:t>
      </w:r>
      <w:proofErr w:type="spellEnd"/>
      <w:r w:rsidRPr="000D044B">
        <w:t xml:space="preserve"> view of itself, rather than sources that come close to repeating it, is what enables critical rather than descriptive analysis.</w:t>
      </w:r>
    </w:p>
    <w:p w14:paraId="53766AF2" w14:textId="2B2F9465" w:rsidR="000B500E" w:rsidRPr="000D044B" w:rsidRDefault="003F2139" w:rsidP="003F2139">
      <w:r w:rsidRPr="000D044B">
        <w:lastRenderedPageBreak/>
        <w:t xml:space="preserve">A second learning is about the relationships between frameworks. The first drafts of the report considered the PESTEL, Five Forces, VRIO, and Balanced Scorecard sections as discrete chunks to be written in order. The improved version of the report views them as lenses that should complement one another - the regulatory pressure identified in PESTEL is also a driver of Supplier Power in Five Forces, feeds the sustainability capability assessment in VRIO, and reappears as a governance risk in the CSR section. This meant going back to earlier sections after writing later ones - a less straightforward process than the assignment suggests. </w:t>
      </w:r>
    </w:p>
    <w:p w14:paraId="54EE1900" w14:textId="77777777" w:rsidR="000B500E" w:rsidRPr="000D044B" w:rsidRDefault="00000000">
      <w:pPr>
        <w:pStyle w:val="Heading3"/>
      </w:pPr>
      <w:bookmarkStart w:id="95" w:name="_Toc39"/>
      <w:bookmarkStart w:id="96" w:name="_Toc228518571"/>
      <w:bookmarkStart w:id="97" w:name="_Toc228520784"/>
      <w:r w:rsidRPr="000D044B">
        <w:rPr>
          <w:lang w:val="fr-FR"/>
        </w:rPr>
        <w:t>Action Plan</w:t>
      </w:r>
      <w:bookmarkEnd w:id="95"/>
      <w:bookmarkEnd w:id="96"/>
      <w:bookmarkEnd w:id="97"/>
    </w:p>
    <w:p w14:paraId="4D420551" w14:textId="05362E7A" w:rsidR="000B500E" w:rsidRDefault="00000000">
      <w:pPr>
        <w:pStyle w:val="Body"/>
        <w:spacing w:before="80" w:after="160" w:line="360" w:lineRule="auto"/>
        <w:jc w:val="both"/>
      </w:pPr>
      <w:r w:rsidRPr="000D044B">
        <w:rPr>
          <w:lang w:val="en-US"/>
        </w:rPr>
        <w:t xml:space="preserve">In future strategic analysis </w:t>
      </w:r>
      <w:r w:rsidR="003F2139" w:rsidRPr="000D044B">
        <w:rPr>
          <w:lang w:val="en-US"/>
        </w:rPr>
        <w:t>tasks,</w:t>
      </w:r>
      <w:r w:rsidRPr="000D044B">
        <w:rPr>
          <w:lang w:val="en-US"/>
        </w:rPr>
        <w:t xml:space="preserve"> the following improvements will be applied. First, internal analysis (VRIO and capabilities) and external analysis (PESTEL and Five Forces) will be conducted simultaneously from the earliest research phase, rather than treated as sequential sections — this would enable earlier identification of the tensions between internal weaknesses and external threats that drive the most analytically interesting insights. Second, a clearer initial analytical hypothesis about the </w:t>
      </w:r>
      <w:proofErr w:type="spellStart"/>
      <w:r w:rsidRPr="000D044B">
        <w:rPr>
          <w:lang w:val="en-US"/>
        </w:rPr>
        <w:t>organisation's</w:t>
      </w:r>
      <w:proofErr w:type="spellEnd"/>
      <w:r w:rsidRPr="000D044B">
        <w:rPr>
          <w:lang w:val="en-US"/>
        </w:rPr>
        <w:t xml:space="preserve"> strategic position will be developed before beginning the literature review, making source selection more focused and the argument more coherent from the outset. Third, primary academic sources underpinning frameworks new to the module will be studied at the start of the assignment lifecycle rather than reactively when difficulties arise in application</w:t>
      </w:r>
      <w:r>
        <w:rPr>
          <w:lang w:val="en-US"/>
        </w:rPr>
        <w:t>.</w:t>
      </w:r>
    </w:p>
    <w:p w14:paraId="78D2D8FA" w14:textId="77777777" w:rsidR="000B500E" w:rsidRDefault="00000000">
      <w:pPr>
        <w:pStyle w:val="Body"/>
      </w:pPr>
      <w:r>
        <w:rPr>
          <w:rFonts w:ascii="Arial Unicode MS" w:hAnsi="Arial Unicode MS"/>
        </w:rPr>
        <w:br w:type="page"/>
      </w:r>
    </w:p>
    <w:p w14:paraId="6A0E136C" w14:textId="3AB8837C" w:rsidR="00015D63" w:rsidRPr="00015D63" w:rsidRDefault="00000000" w:rsidP="00015D63">
      <w:pPr>
        <w:pStyle w:val="Heading"/>
      </w:pPr>
      <w:bookmarkStart w:id="98" w:name="_Toc40"/>
      <w:bookmarkStart w:id="99" w:name="_Toc228518572"/>
      <w:bookmarkStart w:id="100" w:name="_Toc228520785"/>
      <w:r>
        <w:rPr>
          <w:rFonts w:eastAsia="Arial Unicode MS" w:cs="Arial Unicode MS"/>
          <w:lang w:val="fr-FR"/>
        </w:rPr>
        <w:lastRenderedPageBreak/>
        <w:t>Reference List</w:t>
      </w:r>
      <w:bookmarkEnd w:id="98"/>
      <w:bookmarkEnd w:id="99"/>
      <w:bookmarkEnd w:id="100"/>
    </w:p>
    <w:p w14:paraId="390BFE16"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Authority for Consumers and Markets (2022) </w:t>
      </w:r>
      <w:r w:rsidRPr="00015D63">
        <w:rPr>
          <w:i/>
          <w:iCs/>
          <w:sz w:val="22"/>
          <w:szCs w:val="22"/>
        </w:rPr>
        <w:t>Commitment decision for H&amp;M regarding sustainability claims.</w:t>
      </w:r>
      <w:r w:rsidRPr="00015D63">
        <w:rPr>
          <w:sz w:val="22"/>
          <w:szCs w:val="22"/>
        </w:rPr>
        <w:t xml:space="preserve"> The Hague: Authority for Consumers and Markets.</w:t>
      </w:r>
    </w:p>
    <w:p w14:paraId="1C1F6265"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Acquaah, M. and </w:t>
      </w:r>
      <w:proofErr w:type="spellStart"/>
      <w:r w:rsidRPr="00015D63">
        <w:rPr>
          <w:sz w:val="22"/>
          <w:szCs w:val="22"/>
        </w:rPr>
        <w:t>Ardekani</w:t>
      </w:r>
      <w:proofErr w:type="spellEnd"/>
      <w:r w:rsidRPr="00015D63">
        <w:rPr>
          <w:sz w:val="22"/>
          <w:szCs w:val="22"/>
        </w:rPr>
        <w:t xml:space="preserve">, M.Y. (2008) 'Does the application of competitive strategies differentiate firms by levels of past financial performance?', </w:t>
      </w:r>
      <w:r w:rsidRPr="00015D63">
        <w:rPr>
          <w:i/>
          <w:iCs/>
          <w:sz w:val="22"/>
          <w:szCs w:val="22"/>
        </w:rPr>
        <w:t>Journal of Management Studies,</w:t>
      </w:r>
      <w:r w:rsidRPr="00015D63">
        <w:rPr>
          <w:sz w:val="22"/>
          <w:szCs w:val="22"/>
        </w:rPr>
        <w:t xml:space="preserve"> 45(6), pp. 1099–1127.</w:t>
      </w:r>
    </w:p>
    <w:p w14:paraId="7B0E6C58"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Ansoff, H.I. (1957) 'Strategies for diversification', </w:t>
      </w:r>
      <w:r w:rsidRPr="00015D63">
        <w:rPr>
          <w:i/>
          <w:iCs/>
          <w:sz w:val="22"/>
          <w:szCs w:val="22"/>
        </w:rPr>
        <w:t>Harvard Business Review,</w:t>
      </w:r>
      <w:r w:rsidRPr="00015D63">
        <w:rPr>
          <w:sz w:val="22"/>
          <w:szCs w:val="22"/>
        </w:rPr>
        <w:t xml:space="preserve"> 35(5), pp. 113–124.</w:t>
      </w:r>
    </w:p>
    <w:p w14:paraId="735F59E3"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Bansal, P. and Roth, K. (2000) 'Why companies go green: a model of ecological responsiveness', </w:t>
      </w:r>
      <w:r w:rsidRPr="00015D63">
        <w:rPr>
          <w:i/>
          <w:iCs/>
          <w:sz w:val="22"/>
          <w:szCs w:val="22"/>
        </w:rPr>
        <w:t>Academy of Management Journal,</w:t>
      </w:r>
      <w:r w:rsidRPr="00015D63">
        <w:rPr>
          <w:sz w:val="22"/>
          <w:szCs w:val="22"/>
        </w:rPr>
        <w:t xml:space="preserve"> 43(4), pp. 717–736.</w:t>
      </w:r>
    </w:p>
    <w:p w14:paraId="2C08454A"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Barney, J. (1991) 'Firm resources and sustained competitive advantage', </w:t>
      </w:r>
      <w:r w:rsidRPr="00015D63">
        <w:rPr>
          <w:i/>
          <w:iCs/>
          <w:sz w:val="22"/>
          <w:szCs w:val="22"/>
        </w:rPr>
        <w:t>Journal of Management,</w:t>
      </w:r>
      <w:r w:rsidRPr="00015D63">
        <w:rPr>
          <w:sz w:val="22"/>
          <w:szCs w:val="22"/>
        </w:rPr>
        <w:t xml:space="preserve"> 17(1), pp. 99–120.</w:t>
      </w:r>
    </w:p>
    <w:p w14:paraId="5456EA0B"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Barney, J.B. and Hesterly, W.S. (2015) </w:t>
      </w:r>
      <w:r w:rsidRPr="00015D63">
        <w:rPr>
          <w:i/>
          <w:iCs/>
          <w:sz w:val="22"/>
          <w:szCs w:val="22"/>
        </w:rPr>
        <w:t>Strategic management and competitive advantage: concepts and cases.</w:t>
      </w:r>
      <w:r w:rsidRPr="00015D63">
        <w:rPr>
          <w:sz w:val="22"/>
          <w:szCs w:val="22"/>
        </w:rPr>
        <w:t xml:space="preserve"> 5th </w:t>
      </w:r>
      <w:proofErr w:type="spellStart"/>
      <w:r w:rsidRPr="00015D63">
        <w:rPr>
          <w:sz w:val="22"/>
          <w:szCs w:val="22"/>
        </w:rPr>
        <w:t>edn</w:t>
      </w:r>
      <w:proofErr w:type="spellEnd"/>
      <w:r w:rsidRPr="00015D63">
        <w:rPr>
          <w:sz w:val="22"/>
          <w:szCs w:val="22"/>
        </w:rPr>
        <w:t>. Harlow: Pearson.</w:t>
      </w:r>
    </w:p>
    <w:p w14:paraId="255D90BF"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Bhardwaj, V. and Fairhurst, A. (2010) 'Fast fashion: response to changes in the fashion industry', </w:t>
      </w:r>
      <w:r w:rsidRPr="00015D63">
        <w:rPr>
          <w:i/>
          <w:iCs/>
          <w:sz w:val="22"/>
          <w:szCs w:val="22"/>
        </w:rPr>
        <w:t>The International Review of Retail, Distribution and Consumer Research,</w:t>
      </w:r>
      <w:r w:rsidRPr="00015D63">
        <w:rPr>
          <w:sz w:val="22"/>
          <w:szCs w:val="22"/>
        </w:rPr>
        <w:t xml:space="preserve"> 20(1), pp. 165–173.</w:t>
      </w:r>
    </w:p>
    <w:p w14:paraId="1186C6AE" w14:textId="77777777" w:rsidR="00015D63" w:rsidRPr="00015D63" w:rsidRDefault="00015D63" w:rsidP="00015D63">
      <w:pPr>
        <w:pStyle w:val="Body"/>
        <w:spacing w:before="80" w:line="300" w:lineRule="auto"/>
        <w:ind w:left="720" w:hanging="720"/>
        <w:rPr>
          <w:sz w:val="22"/>
          <w:szCs w:val="22"/>
        </w:rPr>
      </w:pPr>
      <w:proofErr w:type="spellStart"/>
      <w:r w:rsidRPr="00015D63">
        <w:rPr>
          <w:sz w:val="22"/>
          <w:szCs w:val="22"/>
        </w:rPr>
        <w:t>Cachon</w:t>
      </w:r>
      <w:proofErr w:type="spellEnd"/>
      <w:r w:rsidRPr="00015D63">
        <w:rPr>
          <w:sz w:val="22"/>
          <w:szCs w:val="22"/>
        </w:rPr>
        <w:t xml:space="preserve">, G.P. and Swinney, R. (2011) 'The value of fast fashion: quick response, enhanced design, and strategic consumer </w:t>
      </w:r>
      <w:proofErr w:type="spellStart"/>
      <w:r w:rsidRPr="00015D63">
        <w:rPr>
          <w:sz w:val="22"/>
          <w:szCs w:val="22"/>
        </w:rPr>
        <w:t>behavior</w:t>
      </w:r>
      <w:proofErr w:type="spellEnd"/>
      <w:r w:rsidRPr="00015D63">
        <w:rPr>
          <w:sz w:val="22"/>
          <w:szCs w:val="22"/>
        </w:rPr>
        <w:t xml:space="preserve">', </w:t>
      </w:r>
      <w:r w:rsidRPr="00015D63">
        <w:rPr>
          <w:i/>
          <w:iCs/>
          <w:sz w:val="22"/>
          <w:szCs w:val="22"/>
        </w:rPr>
        <w:t>Management Science,</w:t>
      </w:r>
      <w:r w:rsidRPr="00015D63">
        <w:rPr>
          <w:sz w:val="22"/>
          <w:szCs w:val="22"/>
        </w:rPr>
        <w:t xml:space="preserve"> 57(4), pp. 778–795.</w:t>
      </w:r>
    </w:p>
    <w:p w14:paraId="7A80CC23"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Cai, J., </w:t>
      </w:r>
      <w:proofErr w:type="spellStart"/>
      <w:r w:rsidRPr="00015D63">
        <w:rPr>
          <w:sz w:val="22"/>
          <w:szCs w:val="22"/>
        </w:rPr>
        <w:t>Sharkawi</w:t>
      </w:r>
      <w:proofErr w:type="spellEnd"/>
      <w:r w:rsidRPr="00015D63">
        <w:rPr>
          <w:sz w:val="22"/>
          <w:szCs w:val="22"/>
        </w:rPr>
        <w:t xml:space="preserve">, I. and Taasim, S.I. (2024) 'Enhancing the resilience of supply chains in the fashion apparel industry through intelligent logistics — evidence from China', </w:t>
      </w:r>
      <w:r w:rsidRPr="00015D63">
        <w:rPr>
          <w:i/>
          <w:iCs/>
          <w:sz w:val="22"/>
          <w:szCs w:val="22"/>
        </w:rPr>
        <w:t>Cogent Business and Management,</w:t>
      </w:r>
      <w:r w:rsidRPr="00015D63">
        <w:rPr>
          <w:sz w:val="22"/>
          <w:szCs w:val="22"/>
        </w:rPr>
        <w:t xml:space="preserve"> 11(1), 2437248. </w:t>
      </w:r>
      <w:proofErr w:type="spellStart"/>
      <w:r w:rsidRPr="00015D63">
        <w:rPr>
          <w:sz w:val="22"/>
          <w:szCs w:val="22"/>
        </w:rPr>
        <w:t>doi</w:t>
      </w:r>
      <w:proofErr w:type="spellEnd"/>
      <w:r w:rsidRPr="00015D63">
        <w:rPr>
          <w:sz w:val="22"/>
          <w:szCs w:val="22"/>
        </w:rPr>
        <w:t>: 10.1080/23311975.2024.2437248.</w:t>
      </w:r>
    </w:p>
    <w:p w14:paraId="3A244D22"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Caro, F. and Martinez-de-Albeniz, V. (2015) 'Fast fashion: business model overview and research opportunities', in Agrawal, N. and Smith, S.A. (eds.) </w:t>
      </w:r>
      <w:r w:rsidRPr="00015D63">
        <w:rPr>
          <w:i/>
          <w:iCs/>
          <w:sz w:val="22"/>
          <w:szCs w:val="22"/>
        </w:rPr>
        <w:t>Retail supply chain management.</w:t>
      </w:r>
      <w:r w:rsidRPr="00015D63">
        <w:rPr>
          <w:sz w:val="22"/>
          <w:szCs w:val="22"/>
        </w:rPr>
        <w:t xml:space="preserve"> New York: Springer, pp. 237–264.</w:t>
      </w:r>
    </w:p>
    <w:p w14:paraId="1DAFD2EB"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Carroll, A.B. (1991) 'The pyramid of corporate social responsibility: toward the moral management of organizational stakeholders', </w:t>
      </w:r>
      <w:r w:rsidRPr="00015D63">
        <w:rPr>
          <w:i/>
          <w:iCs/>
          <w:sz w:val="22"/>
          <w:szCs w:val="22"/>
        </w:rPr>
        <w:t>Business Horizons,</w:t>
      </w:r>
      <w:r w:rsidRPr="00015D63">
        <w:rPr>
          <w:sz w:val="22"/>
          <w:szCs w:val="22"/>
        </w:rPr>
        <w:t xml:space="preserve"> 34(4), pp. 39–48.</w:t>
      </w:r>
    </w:p>
    <w:p w14:paraId="7D3B325F"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Ellen MacArthur Foundation (2017) </w:t>
      </w:r>
      <w:r w:rsidRPr="00015D63">
        <w:rPr>
          <w:i/>
          <w:iCs/>
          <w:sz w:val="22"/>
          <w:szCs w:val="22"/>
        </w:rPr>
        <w:t>A new textiles economy: redesigning fashion's future.</w:t>
      </w:r>
      <w:r w:rsidRPr="00015D63">
        <w:rPr>
          <w:sz w:val="22"/>
          <w:szCs w:val="22"/>
        </w:rPr>
        <w:t xml:space="preserve"> Cowes: Ellen MacArthur Foundation.</w:t>
      </w:r>
    </w:p>
    <w:p w14:paraId="63085EC5"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European Commission (2023) </w:t>
      </w:r>
      <w:r w:rsidRPr="00015D63">
        <w:rPr>
          <w:i/>
          <w:iCs/>
          <w:sz w:val="22"/>
          <w:szCs w:val="22"/>
        </w:rPr>
        <w:t>Proposal for a directive on green claims.</w:t>
      </w:r>
      <w:r w:rsidRPr="00015D63">
        <w:rPr>
          <w:sz w:val="22"/>
          <w:szCs w:val="22"/>
        </w:rPr>
        <w:t xml:space="preserve"> Brussels: European Commission.</w:t>
      </w:r>
    </w:p>
    <w:p w14:paraId="532899EF"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Ferdows, K., Lewis, M.A. and Machuca, J.A.D. (2004) 'Rapid-fire </w:t>
      </w:r>
      <w:proofErr w:type="spellStart"/>
      <w:r w:rsidRPr="00015D63">
        <w:rPr>
          <w:sz w:val="22"/>
          <w:szCs w:val="22"/>
        </w:rPr>
        <w:t>fulfillment</w:t>
      </w:r>
      <w:proofErr w:type="spellEnd"/>
      <w:r w:rsidRPr="00015D63">
        <w:rPr>
          <w:sz w:val="22"/>
          <w:szCs w:val="22"/>
        </w:rPr>
        <w:t xml:space="preserve">', </w:t>
      </w:r>
      <w:r w:rsidRPr="00015D63">
        <w:rPr>
          <w:i/>
          <w:iCs/>
          <w:sz w:val="22"/>
          <w:szCs w:val="22"/>
        </w:rPr>
        <w:t>Harvard Business Review,</w:t>
      </w:r>
      <w:r w:rsidRPr="00015D63">
        <w:rPr>
          <w:sz w:val="22"/>
          <w:szCs w:val="22"/>
        </w:rPr>
        <w:t xml:space="preserve"> 82(11), pp. 104–110.</w:t>
      </w:r>
    </w:p>
    <w:p w14:paraId="57A65504"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Fletcher, K. (2014) </w:t>
      </w:r>
      <w:r w:rsidRPr="00015D63">
        <w:rPr>
          <w:i/>
          <w:iCs/>
          <w:sz w:val="22"/>
          <w:szCs w:val="22"/>
        </w:rPr>
        <w:t>Sustainable fashion and textiles: design journeys.</w:t>
      </w:r>
      <w:r w:rsidRPr="00015D63">
        <w:rPr>
          <w:sz w:val="22"/>
          <w:szCs w:val="22"/>
        </w:rPr>
        <w:t xml:space="preserve"> 2nd </w:t>
      </w:r>
      <w:proofErr w:type="spellStart"/>
      <w:r w:rsidRPr="00015D63">
        <w:rPr>
          <w:sz w:val="22"/>
          <w:szCs w:val="22"/>
        </w:rPr>
        <w:t>edn</w:t>
      </w:r>
      <w:proofErr w:type="spellEnd"/>
      <w:r w:rsidRPr="00015D63">
        <w:rPr>
          <w:sz w:val="22"/>
          <w:szCs w:val="22"/>
        </w:rPr>
        <w:t>. London: Routledge.</w:t>
      </w:r>
    </w:p>
    <w:p w14:paraId="23186993"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Gibbs, G. (1988) </w:t>
      </w:r>
      <w:r w:rsidRPr="00015D63">
        <w:rPr>
          <w:i/>
          <w:iCs/>
          <w:sz w:val="22"/>
          <w:szCs w:val="22"/>
        </w:rPr>
        <w:t>Learning by doing: a guide to teaching and learning methods.</w:t>
      </w:r>
      <w:r w:rsidRPr="00015D63">
        <w:rPr>
          <w:sz w:val="22"/>
          <w:szCs w:val="22"/>
        </w:rPr>
        <w:t xml:space="preserve"> Oxford: Further Education Unit, Oxford Polytechnic.</w:t>
      </w:r>
    </w:p>
    <w:p w14:paraId="7A96EE30"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H&amp;M Group (2022) </w:t>
      </w:r>
      <w:r w:rsidRPr="00015D63">
        <w:rPr>
          <w:i/>
          <w:iCs/>
          <w:sz w:val="22"/>
          <w:szCs w:val="22"/>
        </w:rPr>
        <w:t>H&amp;M Group annual report 2022.</w:t>
      </w:r>
      <w:r w:rsidRPr="00015D63">
        <w:rPr>
          <w:sz w:val="22"/>
          <w:szCs w:val="22"/>
        </w:rPr>
        <w:t xml:space="preserve"> Stockholm: H&amp;M Group.</w:t>
      </w:r>
    </w:p>
    <w:p w14:paraId="0B3C93B6"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H&amp;M Group (2025a) </w:t>
      </w:r>
      <w:r w:rsidRPr="00015D63">
        <w:rPr>
          <w:i/>
          <w:iCs/>
          <w:sz w:val="22"/>
          <w:szCs w:val="22"/>
        </w:rPr>
        <w:t>Annual and sustainability report 2024.</w:t>
      </w:r>
      <w:r w:rsidRPr="00015D63">
        <w:rPr>
          <w:sz w:val="22"/>
          <w:szCs w:val="22"/>
        </w:rPr>
        <w:t xml:space="preserve"> Stockholm: H&amp;M Group.</w:t>
      </w:r>
    </w:p>
    <w:p w14:paraId="2DFB72BA" w14:textId="77777777" w:rsidR="00015D63" w:rsidRPr="00015D63" w:rsidRDefault="00015D63" w:rsidP="00015D63">
      <w:pPr>
        <w:pStyle w:val="Body"/>
        <w:spacing w:before="80" w:line="300" w:lineRule="auto"/>
        <w:ind w:left="720" w:hanging="720"/>
        <w:rPr>
          <w:sz w:val="22"/>
          <w:szCs w:val="22"/>
        </w:rPr>
      </w:pPr>
      <w:r w:rsidRPr="00015D63">
        <w:rPr>
          <w:sz w:val="22"/>
          <w:szCs w:val="22"/>
        </w:rPr>
        <w:lastRenderedPageBreak/>
        <w:t xml:space="preserve">H&amp;M Group (2025b) </w:t>
      </w:r>
      <w:r w:rsidRPr="00015D63">
        <w:rPr>
          <w:i/>
          <w:iCs/>
          <w:sz w:val="22"/>
          <w:szCs w:val="22"/>
        </w:rPr>
        <w:t>Sustainability progress report 2024.</w:t>
      </w:r>
      <w:r w:rsidRPr="00015D63">
        <w:rPr>
          <w:sz w:val="22"/>
          <w:szCs w:val="22"/>
        </w:rPr>
        <w:t xml:space="preserve"> Stockholm: H&amp;M Group.</w:t>
      </w:r>
    </w:p>
    <w:p w14:paraId="226D1999"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Hart, S.L. (1995) 'A natural-resource-based view of the firm', </w:t>
      </w:r>
      <w:r w:rsidRPr="00015D63">
        <w:rPr>
          <w:i/>
          <w:iCs/>
          <w:sz w:val="22"/>
          <w:szCs w:val="22"/>
        </w:rPr>
        <w:t>Academy of Management Review,</w:t>
      </w:r>
      <w:r w:rsidRPr="00015D63">
        <w:rPr>
          <w:sz w:val="22"/>
          <w:szCs w:val="22"/>
        </w:rPr>
        <w:t xml:space="preserve"> 20(4), pp. 986–1014.</w:t>
      </w:r>
    </w:p>
    <w:p w14:paraId="4E7BB5C2"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Johnson, G., Whittington, R. and Scholes, K. (2017) </w:t>
      </w:r>
      <w:r w:rsidRPr="00015D63">
        <w:rPr>
          <w:i/>
          <w:iCs/>
          <w:sz w:val="22"/>
          <w:szCs w:val="22"/>
        </w:rPr>
        <w:t>Exploring strategy: text and cases.</w:t>
      </w:r>
      <w:r w:rsidRPr="00015D63">
        <w:rPr>
          <w:sz w:val="22"/>
          <w:szCs w:val="22"/>
        </w:rPr>
        <w:t xml:space="preserve"> 11th </w:t>
      </w:r>
      <w:proofErr w:type="spellStart"/>
      <w:r w:rsidRPr="00015D63">
        <w:rPr>
          <w:sz w:val="22"/>
          <w:szCs w:val="22"/>
        </w:rPr>
        <w:t>edn</w:t>
      </w:r>
      <w:proofErr w:type="spellEnd"/>
      <w:r w:rsidRPr="00015D63">
        <w:rPr>
          <w:sz w:val="22"/>
          <w:szCs w:val="22"/>
        </w:rPr>
        <w:t>. Harlow: Pearson Education.</w:t>
      </w:r>
    </w:p>
    <w:p w14:paraId="7AF8AFA3"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Kaplan, R.S. and Norton, D.P. (1992) 'The balanced scorecard: measures that drive performance', </w:t>
      </w:r>
      <w:r w:rsidRPr="00015D63">
        <w:rPr>
          <w:i/>
          <w:iCs/>
          <w:sz w:val="22"/>
          <w:szCs w:val="22"/>
        </w:rPr>
        <w:t>Harvard Business Review,</w:t>
      </w:r>
      <w:r w:rsidRPr="00015D63">
        <w:rPr>
          <w:sz w:val="22"/>
          <w:szCs w:val="22"/>
        </w:rPr>
        <w:t xml:space="preserve"> 70(1), pp. 71–79.</w:t>
      </w:r>
    </w:p>
    <w:p w14:paraId="3176EA17" w14:textId="77777777" w:rsidR="00015D63" w:rsidRPr="00015D63" w:rsidRDefault="00015D63" w:rsidP="00015D63">
      <w:pPr>
        <w:pStyle w:val="Body"/>
        <w:spacing w:before="80" w:line="300" w:lineRule="auto"/>
        <w:ind w:left="720" w:hanging="720"/>
        <w:rPr>
          <w:sz w:val="22"/>
          <w:szCs w:val="22"/>
        </w:rPr>
      </w:pPr>
      <w:proofErr w:type="spellStart"/>
      <w:r w:rsidRPr="00015D63">
        <w:rPr>
          <w:sz w:val="22"/>
          <w:szCs w:val="22"/>
        </w:rPr>
        <w:t>Karadayi</w:t>
      </w:r>
      <w:proofErr w:type="spellEnd"/>
      <w:r w:rsidRPr="00015D63">
        <w:rPr>
          <w:sz w:val="22"/>
          <w:szCs w:val="22"/>
        </w:rPr>
        <w:t xml:space="preserve">-Usta, S. (2024) 'Role of artificial intelligence and augmented reality in fashion industry from consumer perspective: sustainability through waste and return mitigation', </w:t>
      </w:r>
      <w:r w:rsidRPr="00015D63">
        <w:rPr>
          <w:i/>
          <w:iCs/>
          <w:sz w:val="22"/>
          <w:szCs w:val="22"/>
        </w:rPr>
        <w:t>Engineering Applications of Artificial Intelligence,</w:t>
      </w:r>
      <w:r w:rsidRPr="00015D63">
        <w:rPr>
          <w:sz w:val="22"/>
          <w:szCs w:val="22"/>
        </w:rPr>
        <w:t xml:space="preserve"> 133, 108114. </w:t>
      </w:r>
      <w:proofErr w:type="spellStart"/>
      <w:r w:rsidRPr="00015D63">
        <w:rPr>
          <w:sz w:val="22"/>
          <w:szCs w:val="22"/>
        </w:rPr>
        <w:t>doi</w:t>
      </w:r>
      <w:proofErr w:type="spellEnd"/>
      <w:r w:rsidRPr="00015D63">
        <w:rPr>
          <w:sz w:val="22"/>
          <w:szCs w:val="22"/>
        </w:rPr>
        <w:t>: 10.1016/j.engappai.2024.108114.</w:t>
      </w:r>
    </w:p>
    <w:p w14:paraId="39FF4128"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Kim, W.C. and Mauborgne, R. (2005) </w:t>
      </w:r>
      <w:proofErr w:type="gramStart"/>
      <w:r w:rsidRPr="00015D63">
        <w:rPr>
          <w:i/>
          <w:iCs/>
          <w:sz w:val="22"/>
          <w:szCs w:val="22"/>
        </w:rPr>
        <w:t>Blue ocean</w:t>
      </w:r>
      <w:proofErr w:type="gramEnd"/>
      <w:r w:rsidRPr="00015D63">
        <w:rPr>
          <w:i/>
          <w:iCs/>
          <w:sz w:val="22"/>
          <w:szCs w:val="22"/>
        </w:rPr>
        <w:t xml:space="preserve"> strategy: how to create uncontested market space and make competition irrelevant.</w:t>
      </w:r>
      <w:r w:rsidRPr="00015D63">
        <w:rPr>
          <w:sz w:val="22"/>
          <w:szCs w:val="22"/>
        </w:rPr>
        <w:t xml:space="preserve"> Boston: Harvard Business School Press.</w:t>
      </w:r>
    </w:p>
    <w:p w14:paraId="10737C58"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Kotter, J.P. (1996) </w:t>
      </w:r>
      <w:r w:rsidRPr="00015D63">
        <w:rPr>
          <w:i/>
          <w:iCs/>
          <w:sz w:val="22"/>
          <w:szCs w:val="22"/>
        </w:rPr>
        <w:t>Leading change.</w:t>
      </w:r>
      <w:r w:rsidRPr="00015D63">
        <w:rPr>
          <w:sz w:val="22"/>
          <w:szCs w:val="22"/>
        </w:rPr>
        <w:t xml:space="preserve"> Boston: Harvard Business School Press.</w:t>
      </w:r>
    </w:p>
    <w:p w14:paraId="3975E328"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McKinsey and Company and Business of Fashion (2023) </w:t>
      </w:r>
      <w:r w:rsidRPr="00015D63">
        <w:rPr>
          <w:i/>
          <w:iCs/>
          <w:sz w:val="22"/>
          <w:szCs w:val="22"/>
        </w:rPr>
        <w:t>The state of fashion 2024.</w:t>
      </w:r>
      <w:r w:rsidRPr="00015D63">
        <w:rPr>
          <w:sz w:val="22"/>
          <w:szCs w:val="22"/>
        </w:rPr>
        <w:t xml:space="preserve"> London and New York: McKinsey and Company and The Business of Fashion.</w:t>
      </w:r>
    </w:p>
    <w:p w14:paraId="7A984F4B"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Moon, J.A. (2004) </w:t>
      </w:r>
      <w:r w:rsidRPr="00015D63">
        <w:rPr>
          <w:i/>
          <w:iCs/>
          <w:sz w:val="22"/>
          <w:szCs w:val="22"/>
        </w:rPr>
        <w:t>A handbook of reflective and experiential learning: theory and practice.</w:t>
      </w:r>
      <w:r w:rsidRPr="00015D63">
        <w:rPr>
          <w:sz w:val="22"/>
          <w:szCs w:val="22"/>
        </w:rPr>
        <w:t xml:space="preserve"> London: Routledge.</w:t>
      </w:r>
    </w:p>
    <w:p w14:paraId="4026E150"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Mrad, M., Farah, M.F. and Haddad, S. (2019) 'From Karl Lagerfeld to Erdem: a series of collaborations between luxury and fast-fashion brands', </w:t>
      </w:r>
      <w:r w:rsidRPr="00015D63">
        <w:rPr>
          <w:i/>
          <w:iCs/>
          <w:sz w:val="22"/>
          <w:szCs w:val="22"/>
        </w:rPr>
        <w:t>Journal of Brand Management,</w:t>
      </w:r>
      <w:r w:rsidRPr="00015D63">
        <w:rPr>
          <w:sz w:val="22"/>
          <w:szCs w:val="22"/>
        </w:rPr>
        <w:t xml:space="preserve"> 26(5), pp. 567–582.</w:t>
      </w:r>
    </w:p>
    <w:p w14:paraId="2E9E97A6"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Porter, M.E. (1979) 'How competitive forces shape strategy', </w:t>
      </w:r>
      <w:r w:rsidRPr="00015D63">
        <w:rPr>
          <w:i/>
          <w:iCs/>
          <w:sz w:val="22"/>
          <w:szCs w:val="22"/>
        </w:rPr>
        <w:t>Harvard Business Review,</w:t>
      </w:r>
      <w:r w:rsidRPr="00015D63">
        <w:rPr>
          <w:sz w:val="22"/>
          <w:szCs w:val="22"/>
        </w:rPr>
        <w:t xml:space="preserve"> 57(2), pp. 137–145.</w:t>
      </w:r>
    </w:p>
    <w:p w14:paraId="152C9020"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Porter, M.E. (1985) </w:t>
      </w:r>
      <w:r w:rsidRPr="00015D63">
        <w:rPr>
          <w:i/>
          <w:iCs/>
          <w:sz w:val="22"/>
          <w:szCs w:val="22"/>
        </w:rPr>
        <w:t>Competitive advantage: creating and sustaining superior performance.</w:t>
      </w:r>
      <w:r w:rsidRPr="00015D63">
        <w:rPr>
          <w:sz w:val="22"/>
          <w:szCs w:val="22"/>
        </w:rPr>
        <w:t xml:space="preserve"> New York: Free Press.</w:t>
      </w:r>
    </w:p>
    <w:p w14:paraId="69A1E6C7" w14:textId="77777777" w:rsidR="00015D63" w:rsidRPr="00015D63" w:rsidRDefault="00015D63" w:rsidP="00015D63">
      <w:pPr>
        <w:pStyle w:val="Body"/>
        <w:spacing w:before="80" w:line="300" w:lineRule="auto"/>
        <w:ind w:left="720" w:hanging="720"/>
        <w:rPr>
          <w:sz w:val="22"/>
          <w:szCs w:val="22"/>
        </w:rPr>
      </w:pPr>
      <w:proofErr w:type="spellStart"/>
      <w:r w:rsidRPr="00015D63">
        <w:rPr>
          <w:sz w:val="22"/>
          <w:szCs w:val="22"/>
        </w:rPr>
        <w:t>Schiaroli</w:t>
      </w:r>
      <w:proofErr w:type="spellEnd"/>
      <w:r w:rsidRPr="00015D63">
        <w:rPr>
          <w:sz w:val="22"/>
          <w:szCs w:val="22"/>
        </w:rPr>
        <w:t xml:space="preserve">, V., Fraccascia, L. and Dangelico, R.M. (2024) 'How can consumers behave sustainably in the fashion industry? A systematic literature review of determinants, drivers, and barriers across the consumption phases', </w:t>
      </w:r>
      <w:r w:rsidRPr="00015D63">
        <w:rPr>
          <w:i/>
          <w:iCs/>
          <w:sz w:val="22"/>
          <w:szCs w:val="22"/>
        </w:rPr>
        <w:t>Journal of Cleaner Production,</w:t>
      </w:r>
      <w:r w:rsidRPr="00015D63">
        <w:rPr>
          <w:sz w:val="22"/>
          <w:szCs w:val="22"/>
        </w:rPr>
        <w:t xml:space="preserve"> 483, 144232. </w:t>
      </w:r>
      <w:proofErr w:type="spellStart"/>
      <w:r w:rsidRPr="00015D63">
        <w:rPr>
          <w:sz w:val="22"/>
          <w:szCs w:val="22"/>
        </w:rPr>
        <w:t>doi</w:t>
      </w:r>
      <w:proofErr w:type="spellEnd"/>
      <w:r w:rsidRPr="00015D63">
        <w:rPr>
          <w:sz w:val="22"/>
          <w:szCs w:val="22"/>
        </w:rPr>
        <w:t>: 10.1016/j.jclepro.2024.144232.</w:t>
      </w:r>
    </w:p>
    <w:p w14:paraId="031F4141" w14:textId="77777777" w:rsidR="00015D63" w:rsidRPr="00015D63" w:rsidRDefault="00015D63" w:rsidP="00015D63">
      <w:pPr>
        <w:pStyle w:val="Body"/>
        <w:spacing w:before="80" w:line="300" w:lineRule="auto"/>
        <w:ind w:left="720" w:hanging="720"/>
        <w:rPr>
          <w:sz w:val="22"/>
          <w:szCs w:val="22"/>
        </w:rPr>
      </w:pPr>
      <w:r w:rsidRPr="00015D63">
        <w:rPr>
          <w:sz w:val="22"/>
          <w:szCs w:val="22"/>
        </w:rPr>
        <w:t xml:space="preserve">Statista (2024) </w:t>
      </w:r>
      <w:r w:rsidRPr="00015D63">
        <w:rPr>
          <w:i/>
          <w:iCs/>
          <w:sz w:val="22"/>
          <w:szCs w:val="22"/>
        </w:rPr>
        <w:t>Fast fashion market worldwide — statistics and facts.</w:t>
      </w:r>
      <w:r w:rsidRPr="00015D63">
        <w:rPr>
          <w:sz w:val="22"/>
          <w:szCs w:val="22"/>
        </w:rPr>
        <w:t xml:space="preserve"> Hamburg: Statista Research Department.</w:t>
      </w:r>
    </w:p>
    <w:p w14:paraId="61170FBC" w14:textId="77777777" w:rsidR="00015D63" w:rsidRPr="00015D63" w:rsidRDefault="00015D63" w:rsidP="00015D63">
      <w:pPr>
        <w:pStyle w:val="Body"/>
        <w:spacing w:before="80" w:line="300" w:lineRule="auto"/>
        <w:ind w:left="720" w:hanging="720"/>
        <w:rPr>
          <w:sz w:val="22"/>
          <w:szCs w:val="22"/>
        </w:rPr>
      </w:pPr>
      <w:proofErr w:type="spellStart"/>
      <w:r w:rsidRPr="00015D63">
        <w:rPr>
          <w:sz w:val="22"/>
          <w:szCs w:val="22"/>
        </w:rPr>
        <w:t>ThredUp</w:t>
      </w:r>
      <w:proofErr w:type="spellEnd"/>
      <w:r w:rsidRPr="00015D63">
        <w:rPr>
          <w:sz w:val="22"/>
          <w:szCs w:val="22"/>
        </w:rPr>
        <w:t xml:space="preserve"> (2023) </w:t>
      </w:r>
      <w:r w:rsidRPr="00015D63">
        <w:rPr>
          <w:i/>
          <w:iCs/>
          <w:sz w:val="22"/>
          <w:szCs w:val="22"/>
        </w:rPr>
        <w:t>2023 resale report.</w:t>
      </w:r>
      <w:r w:rsidRPr="00015D63">
        <w:rPr>
          <w:sz w:val="22"/>
          <w:szCs w:val="22"/>
        </w:rPr>
        <w:t xml:space="preserve"> Oakland: </w:t>
      </w:r>
      <w:proofErr w:type="spellStart"/>
      <w:r w:rsidRPr="00015D63">
        <w:rPr>
          <w:sz w:val="22"/>
          <w:szCs w:val="22"/>
        </w:rPr>
        <w:t>ThredUp</w:t>
      </w:r>
      <w:proofErr w:type="spellEnd"/>
      <w:r w:rsidRPr="00015D63">
        <w:rPr>
          <w:sz w:val="22"/>
          <w:szCs w:val="22"/>
        </w:rPr>
        <w:t xml:space="preserve"> Inc.</w:t>
      </w:r>
    </w:p>
    <w:p w14:paraId="030E1555" w14:textId="48DB7506" w:rsidR="00015D63" w:rsidRDefault="00015D63" w:rsidP="00015D63">
      <w:pPr>
        <w:pStyle w:val="Body"/>
        <w:spacing w:before="80" w:line="300" w:lineRule="auto"/>
        <w:ind w:left="720" w:hanging="720"/>
        <w:rPr>
          <w:sz w:val="22"/>
          <w:szCs w:val="22"/>
        </w:rPr>
      </w:pPr>
      <w:proofErr w:type="spellStart"/>
      <w:r w:rsidRPr="00015D63">
        <w:rPr>
          <w:sz w:val="22"/>
          <w:szCs w:val="22"/>
        </w:rPr>
        <w:t>Tokatli</w:t>
      </w:r>
      <w:proofErr w:type="spellEnd"/>
      <w:r w:rsidRPr="00015D63">
        <w:rPr>
          <w:sz w:val="22"/>
          <w:szCs w:val="22"/>
        </w:rPr>
        <w:t xml:space="preserve">, N. (2008) 'Global sourcing: insights from the global clothing industry — the case of Zara, a fast fashion retailer', </w:t>
      </w:r>
      <w:r w:rsidRPr="00015D63">
        <w:rPr>
          <w:i/>
          <w:iCs/>
          <w:sz w:val="22"/>
          <w:szCs w:val="22"/>
        </w:rPr>
        <w:t>Journal of Economic Geography,</w:t>
      </w:r>
      <w:r w:rsidRPr="00015D63">
        <w:rPr>
          <w:sz w:val="22"/>
          <w:szCs w:val="22"/>
        </w:rPr>
        <w:t xml:space="preserve"> 8(1), pp. 21–38.</w:t>
      </w:r>
    </w:p>
    <w:p w14:paraId="5BB55727" w14:textId="77777777" w:rsidR="00015D63" w:rsidRDefault="00015D63">
      <w:pPr>
        <w:pStyle w:val="Body"/>
        <w:spacing w:before="80" w:after="100" w:line="300" w:lineRule="auto"/>
        <w:ind w:left="720" w:hanging="720"/>
      </w:pPr>
    </w:p>
    <w:sectPr w:rsidR="00015D63" w:rsidSect="00FC3E6C">
      <w:footerReference w:type="default" r:id="rId11"/>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9A21F" w14:textId="77777777" w:rsidR="00F56FBC" w:rsidRDefault="00F56FBC" w:rsidP="00483087">
      <w:r>
        <w:separator/>
      </w:r>
    </w:p>
  </w:endnote>
  <w:endnote w:type="continuationSeparator" w:id="0">
    <w:p w14:paraId="7C24E3A7" w14:textId="77777777" w:rsidR="00F56FBC" w:rsidRDefault="00F56FBC" w:rsidP="00483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Mangal">
    <w:panose1 w:val="00000400000000000000"/>
    <w:charset w:val="00"/>
    <w:family w:val="roman"/>
    <w:pitch w:val="variable"/>
    <w:sig w:usb0="00008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6710371"/>
      <w:docPartObj>
        <w:docPartGallery w:val="Page Numbers (Bottom of Page)"/>
        <w:docPartUnique/>
      </w:docPartObj>
    </w:sdtPr>
    <w:sdtContent>
      <w:p w14:paraId="68D1BFA4" w14:textId="3097C7E3" w:rsidR="00FC3E6C" w:rsidRDefault="00FC3E6C">
        <w:pPr>
          <w:pStyle w:val="Footer"/>
          <w:jc w:val="center"/>
        </w:pPr>
        <w:r>
          <w:fldChar w:fldCharType="begin"/>
        </w:r>
        <w:r>
          <w:instrText>PAGE   \* MERGEFORMAT</w:instrText>
        </w:r>
        <w:r>
          <w:fldChar w:fldCharType="separate"/>
        </w:r>
        <w:r>
          <w:rPr>
            <w:lang w:val="en-GB"/>
          </w:rPr>
          <w:t>2</w:t>
        </w:r>
        <w:r>
          <w:fldChar w:fldCharType="end"/>
        </w:r>
      </w:p>
    </w:sdtContent>
  </w:sdt>
  <w:p w14:paraId="335FCD2C" w14:textId="77777777" w:rsidR="000B500E" w:rsidRDefault="000B500E">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840351"/>
      <w:docPartObj>
        <w:docPartGallery w:val="Page Numbers (Bottom of Page)"/>
        <w:docPartUnique/>
      </w:docPartObj>
    </w:sdtPr>
    <w:sdtContent>
      <w:p w14:paraId="0468C267" w14:textId="77777777" w:rsidR="00FC3E6C" w:rsidRDefault="00FC3E6C">
        <w:pPr>
          <w:pStyle w:val="Footer"/>
          <w:jc w:val="center"/>
        </w:pPr>
        <w:r>
          <w:fldChar w:fldCharType="begin"/>
        </w:r>
        <w:r>
          <w:instrText>PAGE   \* MERGEFORMAT</w:instrText>
        </w:r>
        <w:r>
          <w:fldChar w:fldCharType="separate"/>
        </w:r>
        <w:r>
          <w:rPr>
            <w:lang w:val="en-GB"/>
          </w:rPr>
          <w:t>2</w:t>
        </w:r>
        <w:r>
          <w:fldChar w:fldCharType="end"/>
        </w:r>
      </w:p>
    </w:sdtContent>
  </w:sdt>
  <w:p w14:paraId="41F6A570" w14:textId="77777777" w:rsidR="00FC3E6C" w:rsidRDefault="00FC3E6C">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3933350"/>
      <w:docPartObj>
        <w:docPartGallery w:val="Page Numbers (Bottom of Page)"/>
        <w:docPartUnique/>
      </w:docPartObj>
    </w:sdtPr>
    <w:sdtContent>
      <w:p w14:paraId="30FF7E74" w14:textId="77777777" w:rsidR="00FC3E6C" w:rsidRDefault="00FC3E6C">
        <w:pPr>
          <w:pStyle w:val="Footer"/>
          <w:jc w:val="center"/>
        </w:pPr>
        <w:r>
          <w:fldChar w:fldCharType="begin"/>
        </w:r>
        <w:r>
          <w:instrText>PAGE   \* MERGEFORMAT</w:instrText>
        </w:r>
        <w:r>
          <w:fldChar w:fldCharType="separate"/>
        </w:r>
        <w:r>
          <w:rPr>
            <w:lang w:val="en-GB"/>
          </w:rPr>
          <w:t>2</w:t>
        </w:r>
        <w:r>
          <w:fldChar w:fldCharType="end"/>
        </w:r>
      </w:p>
    </w:sdtContent>
  </w:sdt>
  <w:p w14:paraId="54A2E368" w14:textId="77777777" w:rsidR="00FC3E6C" w:rsidRDefault="00FC3E6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1061A" w14:textId="77777777" w:rsidR="00F56FBC" w:rsidRDefault="00F56FBC" w:rsidP="00483087">
      <w:r>
        <w:separator/>
      </w:r>
    </w:p>
  </w:footnote>
  <w:footnote w:type="continuationSeparator" w:id="0">
    <w:p w14:paraId="6CC5B4E9" w14:textId="77777777" w:rsidR="00F56FBC" w:rsidRDefault="00F56FBC" w:rsidP="00483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92DC8"/>
    <w:multiLevelType w:val="multilevel"/>
    <w:tmpl w:val="39444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2344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00E"/>
    <w:rsid w:val="00015D63"/>
    <w:rsid w:val="000B500E"/>
    <w:rsid w:val="000D044B"/>
    <w:rsid w:val="0025074A"/>
    <w:rsid w:val="002A0137"/>
    <w:rsid w:val="002F7B46"/>
    <w:rsid w:val="003F2139"/>
    <w:rsid w:val="00483087"/>
    <w:rsid w:val="00486893"/>
    <w:rsid w:val="00776977"/>
    <w:rsid w:val="007F1B2A"/>
    <w:rsid w:val="008D632E"/>
    <w:rsid w:val="009E3984"/>
    <w:rsid w:val="00A74ED3"/>
    <w:rsid w:val="00BE1B51"/>
    <w:rsid w:val="00C36384"/>
    <w:rsid w:val="00C725EE"/>
    <w:rsid w:val="00CB3B41"/>
    <w:rsid w:val="00E27034"/>
    <w:rsid w:val="00E31F4C"/>
    <w:rsid w:val="00EB0657"/>
    <w:rsid w:val="00EF2856"/>
    <w:rsid w:val="00F56FBC"/>
    <w:rsid w:val="00F679C8"/>
    <w:rsid w:val="00FC3E6C"/>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E4A20"/>
  <w15:docId w15:val="{6628641C-3235-46AC-AF37-067370F81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hi-IN"/>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087"/>
    <w:pPr>
      <w:spacing w:before="80" w:after="160" w:line="360" w:lineRule="auto"/>
      <w:jc w:val="both"/>
    </w:pPr>
    <w:rPr>
      <w:rFonts w:ascii="Arial" w:hAnsi="Arial" w:cs="Arial Unicode MS"/>
      <w:color w:val="000000"/>
      <w:sz w:val="24"/>
      <w:szCs w:val="24"/>
      <w:u w:color="000000"/>
      <w:lang w:val="en-US"/>
      <w14:textOutline w14:w="0" w14:cap="flat" w14:cmpd="sng" w14:algn="ctr">
        <w14:noFill/>
        <w14:prstDash w14:val="solid"/>
        <w14:bevel/>
      </w14:textOutline>
    </w:rPr>
  </w:style>
  <w:style w:type="paragraph" w:styleId="Heading1">
    <w:name w:val="heading 1"/>
    <w:basedOn w:val="Normal"/>
    <w:next w:val="Normal"/>
    <w:link w:val="Heading1Char"/>
    <w:uiPriority w:val="9"/>
    <w:qFormat/>
    <w:rsid w:val="00F679C8"/>
    <w:pPr>
      <w:keepNext/>
      <w:keepLines/>
      <w:spacing w:before="240" w:after="0"/>
      <w:outlineLvl w:val="0"/>
    </w:pPr>
    <w:rPr>
      <w:rFonts w:asciiTheme="majorHAnsi" w:eastAsiaTheme="majorEastAsia" w:hAnsiTheme="majorHAnsi" w:cs="Mangal"/>
      <w:color w:val="0F4761" w:themeColor="accent1" w:themeShade="BF"/>
      <w:sz w:val="32"/>
      <w:szCs w:val="29"/>
    </w:rPr>
  </w:style>
  <w:style w:type="paragraph" w:styleId="Heading2">
    <w:name w:val="heading 2"/>
    <w:uiPriority w:val="9"/>
    <w:unhideWhenUsed/>
    <w:qFormat/>
    <w:pPr>
      <w:spacing w:before="320" w:after="160"/>
      <w:outlineLvl w:val="1"/>
    </w:pPr>
    <w:rPr>
      <w:rFonts w:ascii="Arial" w:eastAsia="Arial" w:hAnsi="Arial" w:cs="Arial"/>
      <w:b/>
      <w:bCs/>
      <w:color w:val="2E5697"/>
      <w:sz w:val="28"/>
      <w:szCs w:val="28"/>
      <w:u w:color="2E5697"/>
      <w14:textOutline w14:w="0" w14:cap="flat" w14:cmpd="sng" w14:algn="ctr">
        <w14:noFill/>
        <w14:prstDash w14:val="solid"/>
        <w14:bevel/>
      </w14:textOutline>
    </w:rPr>
  </w:style>
  <w:style w:type="paragraph" w:styleId="Heading3">
    <w:name w:val="heading 3"/>
    <w:uiPriority w:val="9"/>
    <w:unhideWhenUsed/>
    <w:qFormat/>
    <w:pPr>
      <w:spacing w:before="240" w:after="120"/>
      <w:outlineLvl w:val="2"/>
    </w:pPr>
    <w:rPr>
      <w:rFonts w:ascii="Arial" w:eastAsia="Arial" w:hAnsi="Arial" w:cs="Arial"/>
      <w:b/>
      <w:bCs/>
      <w:color w:val="333333"/>
      <w:sz w:val="24"/>
      <w:szCs w:val="24"/>
      <w:u w:color="333333"/>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Arial" w:hAnsi="Arial" w:cs="Arial Unicode MS"/>
      <w:color w:val="000000"/>
      <w:sz w:val="24"/>
      <w:szCs w:val="24"/>
      <w:u w:color="000000"/>
      <w14:textOutline w14:w="0" w14:cap="flat" w14:cmpd="sng" w14:algn="ctr">
        <w14:noFill/>
        <w14:prstDash w14:val="solid"/>
        <w14:bevel/>
      </w14:textOutline>
    </w:rPr>
  </w:style>
  <w:style w:type="paragraph" w:styleId="TOC1">
    <w:name w:val="toc 1"/>
    <w:uiPriority w:val="39"/>
    <w:pPr>
      <w:tabs>
        <w:tab w:val="right" w:leader="dot" w:pos="9000"/>
      </w:tabs>
      <w:spacing w:after="100"/>
    </w:pPr>
    <w:rPr>
      <w:rFonts w:ascii="Arial" w:eastAsia="Arial" w:hAnsi="Arial" w:cs="Arial"/>
      <w:color w:val="000000"/>
      <w:sz w:val="24"/>
      <w:szCs w:val="24"/>
      <w:u w:color="000000"/>
      <w:lang w:val="en-US"/>
    </w:rPr>
  </w:style>
  <w:style w:type="paragraph" w:customStyle="1" w:styleId="Heading">
    <w:name w:val="Heading"/>
    <w:pPr>
      <w:spacing w:before="440" w:after="220"/>
      <w:outlineLvl w:val="0"/>
    </w:pPr>
    <w:rPr>
      <w:rFonts w:ascii="Arial" w:eastAsia="Arial" w:hAnsi="Arial" w:cs="Arial"/>
      <w:b/>
      <w:bCs/>
      <w:color w:val="1F3864"/>
      <w:sz w:val="32"/>
      <w:szCs w:val="32"/>
      <w:u w:color="1F3864"/>
      <w14:textOutline w14:w="0" w14:cap="flat" w14:cmpd="sng" w14:algn="ctr">
        <w14:noFill/>
        <w14:prstDash w14:val="solid"/>
        <w14:bevel/>
      </w14:textOutline>
    </w:rPr>
  </w:style>
  <w:style w:type="paragraph" w:styleId="TOC2">
    <w:name w:val="toc 2"/>
    <w:uiPriority w:val="39"/>
    <w:pPr>
      <w:tabs>
        <w:tab w:val="right" w:leader="dot" w:pos="9000"/>
      </w:tabs>
      <w:spacing w:after="100"/>
      <w:ind w:left="240"/>
    </w:pPr>
    <w:rPr>
      <w:rFonts w:ascii="Arial" w:eastAsia="Arial" w:hAnsi="Arial" w:cs="Arial"/>
      <w:color w:val="000000"/>
      <w:sz w:val="24"/>
      <w:szCs w:val="24"/>
      <w:u w:color="000000"/>
      <w:lang w:val="en-US"/>
    </w:rPr>
  </w:style>
  <w:style w:type="paragraph" w:styleId="TOC3">
    <w:name w:val="toc 3"/>
    <w:uiPriority w:val="39"/>
    <w:pPr>
      <w:tabs>
        <w:tab w:val="right" w:leader="dot" w:pos="9000"/>
      </w:tabs>
      <w:spacing w:after="100"/>
      <w:ind w:left="480"/>
    </w:pPr>
    <w:rPr>
      <w:rFonts w:ascii="Arial" w:eastAsia="Arial" w:hAnsi="Arial" w:cs="Arial"/>
      <w:color w:val="000000"/>
      <w:sz w:val="24"/>
      <w:szCs w:val="24"/>
      <w:u w:color="000000"/>
      <w:lang w:val="en-US"/>
    </w:rPr>
  </w:style>
  <w:style w:type="character" w:customStyle="1" w:styleId="Heading1Char">
    <w:name w:val="Heading 1 Char"/>
    <w:basedOn w:val="DefaultParagraphFont"/>
    <w:link w:val="Heading1"/>
    <w:uiPriority w:val="9"/>
    <w:rsid w:val="00F679C8"/>
    <w:rPr>
      <w:rFonts w:asciiTheme="majorHAnsi" w:eastAsiaTheme="majorEastAsia" w:hAnsiTheme="majorHAnsi" w:cs="Mangal"/>
      <w:color w:val="0F4761" w:themeColor="accent1" w:themeShade="BF"/>
      <w:sz w:val="32"/>
      <w:szCs w:val="29"/>
      <w:u w:color="000000"/>
      <w:lang w:val="en-US"/>
      <w14:textOutline w14:w="0" w14:cap="flat" w14:cmpd="sng" w14:algn="ctr">
        <w14:noFill/>
        <w14:prstDash w14:val="solid"/>
        <w14:bevel/>
      </w14:textOutline>
    </w:rPr>
  </w:style>
  <w:style w:type="paragraph" w:styleId="TOCHeading">
    <w:name w:val="TOC Heading"/>
    <w:basedOn w:val="Heading1"/>
    <w:next w:val="Normal"/>
    <w:uiPriority w:val="39"/>
    <w:unhideWhenUsed/>
    <w:qFormat/>
    <w:rsid w:val="00FC3E6C"/>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jc w:val="left"/>
      <w:outlineLvl w:val="9"/>
    </w:pPr>
    <w:rPr>
      <w:rFonts w:cstheme="majorBidi"/>
      <w:szCs w:val="32"/>
      <w:bdr w:val="none" w:sz="0" w:space="0" w:color="auto"/>
      <w:lang w:val="en-GB"/>
      <w14:textOutline w14:w="0" w14:cap="rnd" w14:cmpd="sng" w14:algn="ctr">
        <w14:noFill/>
        <w14:prstDash w14:val="solid"/>
        <w14:bevel/>
      </w14:textOutline>
    </w:rPr>
  </w:style>
  <w:style w:type="paragraph" w:styleId="Header">
    <w:name w:val="header"/>
    <w:basedOn w:val="Normal"/>
    <w:link w:val="HeaderChar"/>
    <w:uiPriority w:val="99"/>
    <w:unhideWhenUsed/>
    <w:rsid w:val="00FC3E6C"/>
    <w:pPr>
      <w:tabs>
        <w:tab w:val="center" w:pos="4513"/>
        <w:tab w:val="right" w:pos="9026"/>
      </w:tabs>
      <w:spacing w:before="0" w:after="0" w:line="240" w:lineRule="auto"/>
    </w:pPr>
    <w:rPr>
      <w:rFonts w:cs="Mangal"/>
      <w:szCs w:val="21"/>
    </w:rPr>
  </w:style>
  <w:style w:type="character" w:customStyle="1" w:styleId="HeaderChar">
    <w:name w:val="Header Char"/>
    <w:basedOn w:val="DefaultParagraphFont"/>
    <w:link w:val="Header"/>
    <w:uiPriority w:val="99"/>
    <w:rsid w:val="00FC3E6C"/>
    <w:rPr>
      <w:rFonts w:ascii="Arial" w:hAnsi="Arial" w:cs="Mangal"/>
      <w:color w:val="000000"/>
      <w:sz w:val="24"/>
      <w:szCs w:val="21"/>
      <w:u w:color="000000"/>
      <w:lang w:val="en-US"/>
      <w14:textOutline w14:w="0" w14:cap="flat" w14:cmpd="sng" w14:algn="ctr">
        <w14:noFill/>
        <w14:prstDash w14:val="solid"/>
        <w14:bevel/>
      </w14:textOutline>
    </w:rPr>
  </w:style>
  <w:style w:type="paragraph" w:styleId="Footer">
    <w:name w:val="footer"/>
    <w:basedOn w:val="Normal"/>
    <w:link w:val="FooterChar"/>
    <w:uiPriority w:val="99"/>
    <w:unhideWhenUsed/>
    <w:rsid w:val="00FC3E6C"/>
    <w:pPr>
      <w:tabs>
        <w:tab w:val="center" w:pos="4513"/>
        <w:tab w:val="right" w:pos="9026"/>
      </w:tabs>
      <w:spacing w:before="0" w:after="0" w:line="240" w:lineRule="auto"/>
    </w:pPr>
    <w:rPr>
      <w:rFonts w:cs="Mangal"/>
      <w:szCs w:val="21"/>
    </w:rPr>
  </w:style>
  <w:style w:type="character" w:customStyle="1" w:styleId="FooterChar">
    <w:name w:val="Footer Char"/>
    <w:basedOn w:val="DefaultParagraphFont"/>
    <w:link w:val="Footer"/>
    <w:uiPriority w:val="99"/>
    <w:rsid w:val="00FC3E6C"/>
    <w:rPr>
      <w:rFonts w:ascii="Arial" w:hAnsi="Arial" w:cs="Mangal"/>
      <w:color w:val="000000"/>
      <w:sz w:val="24"/>
      <w:szCs w:val="21"/>
      <w:u w:color="000000"/>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905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905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06C9D-B64B-42CD-92D0-C9C768419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25</Pages>
  <Words>7035</Words>
  <Characters>40102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Asaduzzaman Tutul</dc:creator>
  <cp:lastModifiedBy>Techidea</cp:lastModifiedBy>
  <cp:revision>2</cp:revision>
  <dcterms:created xsi:type="dcterms:W3CDTF">2026-05-01T08:26:00Z</dcterms:created>
  <dcterms:modified xsi:type="dcterms:W3CDTF">2026-05-01T08:26:00Z</dcterms:modified>
</cp:coreProperties>
</file>