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5A5B09E">
      <w:pPr>
        <w:spacing w:line="480" w:lineRule="auto"/>
        <w:jc w:val="right"/>
        <w:rPr>
          <w:rFonts w:ascii="Arial" w:hAnsi="Arial" w:cs="Arial"/>
          <w:b/>
          <w:sz w:val="44"/>
          <w:szCs w:val="44"/>
        </w:rPr>
      </w:pPr>
    </w:p>
    <w:p w14:paraId="40756089">
      <w:pPr>
        <w:jc w:val="right"/>
        <w:rPr>
          <w:rFonts w:ascii="Arial" w:hAnsi="Arial" w:cs="Arial"/>
          <w:b/>
          <w:sz w:val="52"/>
          <w:szCs w:val="48"/>
        </w:rPr>
      </w:pPr>
      <w:r>
        <w:rPr>
          <w:rFonts w:ascii="Arial" w:hAnsi="Arial" w:cs="Arial"/>
          <w:b/>
          <w:sz w:val="52"/>
          <w:szCs w:val="48"/>
        </w:rPr>
        <w:t>A Literature Based Study of Modern Sishu Education in China</w:t>
      </w:r>
    </w:p>
    <w:p w14:paraId="72053804">
      <w:pPr>
        <w:spacing w:line="480" w:lineRule="auto"/>
        <w:jc w:val="right"/>
        <w:rPr>
          <w:rFonts w:ascii="Arial" w:hAnsi="Arial" w:cs="Arial"/>
          <w:i/>
        </w:rPr>
      </w:pPr>
    </w:p>
    <w:p w14:paraId="4D42DFE6">
      <w:pPr>
        <w:spacing w:line="480" w:lineRule="auto"/>
        <w:jc w:val="right"/>
        <w:rPr>
          <w:rFonts w:ascii="Arial" w:hAnsi="Arial" w:cs="Arial"/>
          <w:i/>
        </w:rPr>
      </w:pPr>
    </w:p>
    <w:p w14:paraId="19944A81">
      <w:pPr>
        <w:spacing w:line="480" w:lineRule="auto"/>
        <w:jc w:val="right"/>
        <w:rPr>
          <w:rFonts w:ascii="Arial" w:hAnsi="Arial" w:cs="Arial"/>
          <w:i/>
        </w:rPr>
      </w:pPr>
    </w:p>
    <w:p w14:paraId="68FB096F">
      <w:pPr>
        <w:spacing w:line="480" w:lineRule="auto"/>
        <w:jc w:val="right"/>
        <w:rPr>
          <w:rFonts w:ascii="Arial" w:hAnsi="Arial" w:cs="Arial"/>
          <w:i/>
        </w:rPr>
      </w:pPr>
    </w:p>
    <w:p w14:paraId="0AA5AD1C">
      <w:pPr>
        <w:spacing w:line="480" w:lineRule="auto"/>
        <w:jc w:val="right"/>
        <w:rPr>
          <w:rFonts w:ascii="Arial" w:hAnsi="Arial" w:cs="Arial"/>
          <w:i/>
        </w:rPr>
      </w:pPr>
    </w:p>
    <w:p w14:paraId="1FB71C14">
      <w:pPr>
        <w:spacing w:line="480" w:lineRule="auto"/>
        <w:jc w:val="right"/>
        <w:rPr>
          <w:rFonts w:ascii="Arial" w:hAnsi="Arial" w:cs="Arial"/>
          <w:i/>
        </w:rPr>
      </w:pPr>
    </w:p>
    <w:p w14:paraId="00F1CF40">
      <w:pPr>
        <w:spacing w:line="480" w:lineRule="auto"/>
        <w:jc w:val="right"/>
        <w:rPr>
          <w:rFonts w:ascii="Arial" w:hAnsi="Arial" w:cs="Arial"/>
          <w:i/>
        </w:rPr>
      </w:pPr>
    </w:p>
    <w:p w14:paraId="01A5C79C">
      <w:pPr>
        <w:spacing w:line="480" w:lineRule="auto"/>
        <w:jc w:val="right"/>
        <w:rPr>
          <w:rFonts w:ascii="Arial" w:hAnsi="Arial" w:cs="Arial"/>
          <w:i/>
        </w:rPr>
      </w:pPr>
    </w:p>
    <w:p w14:paraId="4FE76ECF">
      <w:pPr>
        <w:jc w:val="right"/>
        <w:rPr>
          <w:rFonts w:ascii="Arial" w:hAnsi="Arial" w:cs="Arial"/>
          <w:b/>
          <w:i/>
          <w:sz w:val="48"/>
          <w:szCs w:val="48"/>
        </w:rPr>
      </w:pPr>
    </w:p>
    <w:p w14:paraId="7C92CB72">
      <w:pPr>
        <w:wordWrap w:val="0"/>
        <w:jc w:val="right"/>
        <w:rPr>
          <w:rFonts w:ascii="Arial" w:hAnsi="Arial" w:cs="Arial"/>
          <w:i/>
          <w:sz w:val="48"/>
          <w:szCs w:val="48"/>
        </w:rPr>
      </w:pPr>
      <w:r>
        <w:rPr>
          <w:rFonts w:hint="eastAsia" w:ascii="Arial" w:hAnsi="Arial" w:cs="Arial"/>
          <w:i/>
          <w:sz w:val="48"/>
          <w:szCs w:val="48"/>
        </w:rPr>
        <w:t>Xinyu Wang</w:t>
      </w:r>
    </w:p>
    <w:p w14:paraId="2693CE53">
      <w:pPr>
        <w:spacing w:line="480" w:lineRule="auto"/>
        <w:jc w:val="right"/>
        <w:rPr>
          <w:rFonts w:ascii="Arial" w:hAnsi="Arial" w:cs="Arial"/>
          <w:i/>
        </w:rPr>
      </w:pPr>
    </w:p>
    <w:p w14:paraId="0F5F0E03">
      <w:pPr>
        <w:spacing w:line="480" w:lineRule="auto"/>
        <w:jc w:val="right"/>
        <w:rPr>
          <w:rFonts w:ascii="Arial" w:hAnsi="Arial" w:cs="Arial"/>
          <w:b/>
          <w:i/>
          <w:sz w:val="48"/>
          <w:szCs w:val="48"/>
        </w:rPr>
      </w:pPr>
      <w:r>
        <w:rPr>
          <w:rFonts w:ascii="Arial" w:hAnsi="Arial" w:cs="Arial"/>
          <w:b/>
          <w:i/>
          <w:sz w:val="48"/>
          <w:szCs w:val="48"/>
        </w:rPr>
        <w:t>ECGE7006P</w:t>
      </w:r>
    </w:p>
    <w:p w14:paraId="4CA943FC">
      <w:pPr>
        <w:spacing w:line="360" w:lineRule="auto"/>
        <w:jc w:val="right"/>
        <w:rPr>
          <w:rFonts w:ascii="Arial" w:hAnsi="Arial" w:cs="Arial"/>
          <w:i/>
        </w:rPr>
      </w:pPr>
    </w:p>
    <w:p w14:paraId="14A1EB8C">
      <w:pPr>
        <w:spacing w:line="360" w:lineRule="auto"/>
        <w:jc w:val="right"/>
        <w:rPr>
          <w:rFonts w:ascii="Arial" w:hAnsi="Arial" w:cs="Arial"/>
          <w:i/>
          <w:sz w:val="40"/>
          <w:szCs w:val="40"/>
        </w:rPr>
      </w:pPr>
      <w:r>
        <w:rPr>
          <w:rFonts w:ascii="Arial" w:hAnsi="Arial" w:cs="Arial"/>
          <w:i/>
          <w:sz w:val="40"/>
          <w:szCs w:val="40"/>
        </w:rPr>
        <w:t>Yr Athrofa: Education and Humanities</w:t>
      </w:r>
    </w:p>
    <w:p w14:paraId="22D61AE6">
      <w:pPr>
        <w:spacing w:line="360" w:lineRule="auto"/>
        <w:jc w:val="right"/>
        <w:rPr>
          <w:rFonts w:ascii="Arial" w:hAnsi="Arial" w:cs="Arial"/>
          <w:i/>
          <w:sz w:val="40"/>
          <w:szCs w:val="40"/>
        </w:rPr>
      </w:pPr>
      <w:r>
        <w:rPr>
          <w:rFonts w:ascii="Arial" w:hAnsi="Arial" w:cs="Arial"/>
          <w:i/>
          <w:sz w:val="40"/>
          <w:szCs w:val="40"/>
        </w:rPr>
        <w:t xml:space="preserve"> </w:t>
      </w:r>
    </w:p>
    <w:p w14:paraId="558A93D8">
      <w:pPr>
        <w:spacing w:line="360" w:lineRule="auto"/>
        <w:outlineLvl w:val="0"/>
        <w:rPr>
          <w:rFonts w:ascii="Arial" w:hAnsi="Arial" w:cs="Arial"/>
          <w:sz w:val="40"/>
          <w:szCs w:val="40"/>
        </w:rPr>
        <w:sectPr>
          <w:footerReference r:id="rId3" w:type="default"/>
          <w:footerReference r:id="rId4" w:type="even"/>
          <w:pgSz w:w="11906" w:h="16838"/>
          <w:pgMar w:top="1440" w:right="1134" w:bottom="1440" w:left="1701" w:header="709" w:footer="709" w:gutter="0"/>
          <w:cols w:space="720" w:num="1"/>
          <w:docGrid w:linePitch="360" w:charSpace="0"/>
        </w:sectPr>
      </w:pPr>
    </w:p>
    <w:p w14:paraId="50B0619B">
      <w:pPr>
        <w:pStyle w:val="2"/>
      </w:pPr>
      <w:bookmarkStart w:id="0" w:name="_Toc115759254"/>
      <w:bookmarkStart w:id="1" w:name="_Toc25655"/>
      <w:r>
        <w:t>DECLARATION FORM</w:t>
      </w:r>
      <w:bookmarkEnd w:id="0"/>
      <w:bookmarkEnd w:id="1"/>
    </w:p>
    <w:p w14:paraId="199D62FC">
      <w:pPr>
        <w:ind w:left="3600" w:firstLine="720"/>
        <w:rPr>
          <w:rFonts w:ascii="Arial" w:hAnsi="Arial" w:cs="Arial"/>
          <w:b/>
          <w:bCs/>
          <w:sz w:val="28"/>
          <w:szCs w:val="28"/>
          <w:u w:val="single"/>
        </w:rPr>
      </w:pPr>
    </w:p>
    <w:p w14:paraId="45EB11B2">
      <w:pPr>
        <w:rPr>
          <w:rFonts w:ascii="Arial" w:hAnsi="Arial" w:cs="Arial"/>
        </w:rPr>
      </w:pPr>
      <w:r>
        <w:rPr>
          <w:rFonts w:ascii="Arial" w:hAnsi="Arial" w:cs="Arial"/>
        </w:rPr>
        <w:drawing>
          <wp:inline distT="0" distB="0" distL="0" distR="0">
            <wp:extent cx="2857500" cy="1181100"/>
            <wp:effectExtent l="0" t="0" r="0" b="0"/>
            <wp:docPr id="14283107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10742" name="图片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857500" cy="1181100"/>
                    </a:xfrm>
                    <a:prstGeom prst="rect">
                      <a:avLst/>
                    </a:prstGeom>
                    <a:noFill/>
                    <a:ln>
                      <a:noFill/>
                    </a:ln>
                  </pic:spPr>
                </pic:pic>
              </a:graphicData>
            </a:graphic>
          </wp:inline>
        </w:drawing>
      </w:r>
    </w:p>
    <w:p w14:paraId="6612C3B0">
      <w:pPr>
        <w:rPr>
          <w:rFonts w:ascii="Arial" w:hAnsi="Arial" w:cs="Arial"/>
          <w:b/>
          <w:bCs/>
        </w:rPr>
      </w:pPr>
    </w:p>
    <w:p w14:paraId="78EA1199">
      <w:pPr>
        <w:rPr>
          <w:rFonts w:ascii="Arial" w:hAnsi="Arial" w:cs="Arial"/>
          <w:b/>
          <w:bCs/>
        </w:rPr>
      </w:pPr>
      <w:r>
        <w:rPr>
          <w:rFonts w:ascii="Arial" w:hAnsi="Arial" w:cs="Arial"/>
          <w:b/>
          <w:bCs/>
        </w:rPr>
        <w:t>Name of the Programme of Study:</w:t>
      </w:r>
      <w:r>
        <w:rPr>
          <w:rFonts w:hint="eastAsia" w:ascii="Arial" w:hAnsi="Arial" w:cs="Arial"/>
          <w:b/>
          <w:bCs/>
        </w:rPr>
        <w:t xml:space="preserve"> </w:t>
      </w:r>
      <w:r>
        <w:rPr>
          <w:rFonts w:ascii="Arial" w:hAnsi="Arial" w:cs="Arial"/>
          <w:b/>
          <w:bCs/>
        </w:rPr>
        <w:t>Master of Arts: Education Studies</w:t>
      </w:r>
    </w:p>
    <w:p w14:paraId="46B2128B">
      <w:pPr>
        <w:rPr>
          <w:rFonts w:ascii="Arial" w:hAnsi="Arial" w:cs="Arial"/>
          <w:b/>
          <w:bCs/>
        </w:rPr>
      </w:pPr>
    </w:p>
    <w:p w14:paraId="387E30FE">
      <w:pPr>
        <w:rPr>
          <w:rFonts w:ascii="Arial" w:hAnsi="Arial" w:cs="Arial"/>
          <w:b/>
          <w:bCs/>
        </w:rPr>
      </w:pPr>
      <w:r>
        <w:rPr>
          <w:rFonts w:ascii="Arial" w:hAnsi="Arial" w:cs="Arial"/>
          <w:b/>
          <w:bCs/>
        </w:rPr>
        <w:t xml:space="preserve">Name of Student (Capital Letters): </w:t>
      </w:r>
      <w:r>
        <w:rPr>
          <w:rFonts w:hint="eastAsia" w:ascii="Arial" w:hAnsi="Arial" w:cs="Arial"/>
          <w:b/>
          <w:bCs/>
        </w:rPr>
        <w:t>XINYU WANG</w:t>
      </w:r>
    </w:p>
    <w:p w14:paraId="5C2A5996">
      <w:pPr>
        <w:rPr>
          <w:rFonts w:ascii="Arial" w:hAnsi="Arial" w:cs="Arial"/>
        </w:rPr>
      </w:pPr>
      <w:r>
        <w:rPr>
          <w:rFonts w:ascii="Arial" w:hAnsi="Arial" w:cs="Arial"/>
        </w:rPr>
        <w:t>Master’s Degrees by Examination and Dissertation</w:t>
      </w:r>
    </w:p>
    <w:p w14:paraId="5FBBBD1C">
      <w:pPr>
        <w:rPr>
          <w:rFonts w:ascii="Arial" w:hAnsi="Arial" w:cs="Arial"/>
        </w:rPr>
      </w:pPr>
      <w:r>
        <w:rPr>
          <w:rFonts w:ascii="Arial" w:hAnsi="Arial" w:cs="Arial"/>
        </w:rPr>
        <w:t>Declaration Form.</w:t>
      </w:r>
    </w:p>
    <w:p w14:paraId="4052D169">
      <w:pPr>
        <w:rPr>
          <w:rFonts w:ascii="Arial" w:hAnsi="Arial" w:cs="Arial"/>
        </w:rPr>
      </w:pPr>
    </w:p>
    <w:p w14:paraId="443874BF">
      <w:pPr>
        <w:widowControl/>
        <w:numPr>
          <w:ilvl w:val="0"/>
          <w:numId w:val="1"/>
        </w:numPr>
        <w:jc w:val="left"/>
        <w:rPr>
          <w:rFonts w:ascii="Arial" w:hAnsi="Arial" w:cs="Arial"/>
        </w:rPr>
      </w:pPr>
      <w:r>
        <w:rPr>
          <w:rFonts w:ascii="Arial" w:hAnsi="Arial" w:cs="Arial"/>
        </w:rPr>
        <w:t>This work has not previously been accepted in substance for any degree and is not being concurrently submitted in candidature for any degree.</w:t>
      </w:r>
    </w:p>
    <w:p w14:paraId="44E3A7CA">
      <w:pPr>
        <w:widowControl/>
        <w:numPr>
          <w:ilvl w:val="1"/>
          <w:numId w:val="1"/>
        </w:numPr>
        <w:jc w:val="left"/>
        <w:rPr>
          <w:rFonts w:ascii="Arial" w:hAnsi="Arial" w:cs="Arial"/>
          <w:lang w:eastAsia="en-GB"/>
        </w:rPr>
      </w:pPr>
      <w:r>
        <w:rPr>
          <w:rFonts w:ascii="Arial" w:hAnsi="Arial" w:cs="Arial"/>
        </w:rPr>
        <w:t>Signed…….…………</w:t>
      </w:r>
      <w:bookmarkStart w:id="2" w:name="_Hlk191954201"/>
      <w:r>
        <w:rPr>
          <w:rFonts w:hint="eastAsia" w:ascii="Arial" w:hAnsi="Arial" w:cs="Arial"/>
        </w:rPr>
        <w:t>Xinyu Wang</w:t>
      </w:r>
      <w:bookmarkEnd w:id="2"/>
      <w:r>
        <w:rPr>
          <w:rFonts w:ascii="Arial" w:hAnsi="Arial" w:cs="Arial"/>
        </w:rPr>
        <w:t>……………………</w:t>
      </w:r>
    </w:p>
    <w:p w14:paraId="6CA8D981">
      <w:pPr>
        <w:widowControl/>
        <w:numPr>
          <w:ilvl w:val="1"/>
          <w:numId w:val="1"/>
        </w:numPr>
        <w:jc w:val="left"/>
        <w:rPr>
          <w:rFonts w:ascii="Arial" w:hAnsi="Arial" w:cs="Arial"/>
        </w:rPr>
      </w:pPr>
      <w:r>
        <w:rPr>
          <w:rFonts w:ascii="Arial" w:hAnsi="Arial" w:cs="Arial"/>
        </w:rPr>
        <w:t>Date……………………03/03/2025………………………………</w:t>
      </w:r>
    </w:p>
    <w:p w14:paraId="24AD2400">
      <w:pPr>
        <w:widowControl/>
        <w:numPr>
          <w:ilvl w:val="0"/>
          <w:numId w:val="1"/>
        </w:numPr>
        <w:jc w:val="left"/>
        <w:rPr>
          <w:rFonts w:ascii="Arial" w:hAnsi="Arial" w:cs="Arial"/>
        </w:rPr>
      </w:pPr>
      <w:r>
        <w:rPr>
          <w:rFonts w:ascii="Arial" w:hAnsi="Arial" w:cs="Arial"/>
        </w:rPr>
        <w:t>This dissertation is being submitted in partial fulfilment of the requirements for the degree of …………Master of Arts……….................</w:t>
      </w:r>
    </w:p>
    <w:p w14:paraId="214ACA7A">
      <w:pPr>
        <w:widowControl/>
        <w:numPr>
          <w:ilvl w:val="1"/>
          <w:numId w:val="1"/>
        </w:numPr>
        <w:jc w:val="left"/>
        <w:rPr>
          <w:rFonts w:ascii="Arial" w:hAnsi="Arial" w:cs="Arial"/>
        </w:rPr>
      </w:pPr>
      <w:r>
        <w:rPr>
          <w:rFonts w:ascii="Arial" w:hAnsi="Arial" w:cs="Arial"/>
        </w:rPr>
        <w:t>Signed ……………</w:t>
      </w:r>
      <w:bookmarkStart w:id="3" w:name="_Hlk191954288"/>
      <w:r>
        <w:rPr>
          <w:rFonts w:ascii="Arial" w:hAnsi="Arial" w:cs="Arial"/>
        </w:rPr>
        <w:t>Xinyu Wang</w:t>
      </w:r>
      <w:bookmarkEnd w:id="3"/>
      <w:r>
        <w:rPr>
          <w:rFonts w:ascii="Arial" w:hAnsi="Arial" w:cs="Arial"/>
        </w:rPr>
        <w:t>…………………………………</w:t>
      </w:r>
    </w:p>
    <w:p w14:paraId="4D465FD2">
      <w:pPr>
        <w:widowControl/>
        <w:numPr>
          <w:ilvl w:val="1"/>
          <w:numId w:val="1"/>
        </w:numPr>
        <w:jc w:val="left"/>
        <w:rPr>
          <w:rFonts w:ascii="Arial" w:hAnsi="Arial" w:cs="Arial"/>
        </w:rPr>
      </w:pPr>
      <w:r>
        <w:rPr>
          <w:rFonts w:ascii="Arial" w:hAnsi="Arial" w:cs="Arial"/>
        </w:rPr>
        <w:t>Date …………………03/03/2025…………………………………...………</w:t>
      </w:r>
    </w:p>
    <w:p w14:paraId="1FD6C94B">
      <w:pPr>
        <w:widowControl/>
        <w:numPr>
          <w:ilvl w:val="0"/>
          <w:numId w:val="1"/>
        </w:numPr>
        <w:jc w:val="left"/>
        <w:rPr>
          <w:rFonts w:ascii="Arial" w:hAnsi="Arial" w:cs="Arial"/>
        </w:rPr>
      </w:pPr>
      <w:r>
        <w:rPr>
          <w:rFonts w:ascii="Arial" w:hAnsi="Arial" w:cs="Arial"/>
        </w:rPr>
        <w:t>This dissertation is the result of my own independent work/investigation, except where otherwise stated. Other sources are acknowledged by footnotes giving explicit references. A reference list is appended.</w:t>
      </w:r>
    </w:p>
    <w:p w14:paraId="0DF4F919">
      <w:pPr>
        <w:widowControl/>
        <w:numPr>
          <w:ilvl w:val="1"/>
          <w:numId w:val="1"/>
        </w:numPr>
        <w:jc w:val="left"/>
        <w:rPr>
          <w:rFonts w:ascii="Arial" w:hAnsi="Arial" w:cs="Arial"/>
        </w:rPr>
      </w:pPr>
      <w:r>
        <w:rPr>
          <w:rFonts w:ascii="Arial" w:hAnsi="Arial" w:cs="Arial"/>
        </w:rPr>
        <w:t>Signed candidate: …………Xinyu Wang…………………………</w:t>
      </w:r>
    </w:p>
    <w:p w14:paraId="0A04E610">
      <w:pPr>
        <w:widowControl/>
        <w:numPr>
          <w:ilvl w:val="1"/>
          <w:numId w:val="1"/>
        </w:numPr>
        <w:jc w:val="left"/>
        <w:rPr>
          <w:rFonts w:ascii="Arial" w:hAnsi="Arial" w:cs="Arial"/>
        </w:rPr>
      </w:pPr>
      <w:r>
        <w:rPr>
          <w:rFonts w:ascii="Arial" w:hAnsi="Arial" w:cs="Arial"/>
        </w:rPr>
        <w:t>Date: ……………………03/03/2025……………………………………</w:t>
      </w:r>
    </w:p>
    <w:p w14:paraId="78FAAD34">
      <w:pPr>
        <w:widowControl/>
        <w:numPr>
          <w:ilvl w:val="0"/>
          <w:numId w:val="1"/>
        </w:numPr>
        <w:jc w:val="left"/>
        <w:rPr>
          <w:rFonts w:ascii="Arial" w:hAnsi="Arial" w:cs="Arial"/>
        </w:rPr>
      </w:pPr>
      <w:r>
        <w:rPr>
          <w:rFonts w:ascii="Arial" w:hAnsi="Arial" w:cs="Arial"/>
        </w:rPr>
        <w:t xml:space="preserve">I hereby give consent for my dissertation, if accepted, to be available for photocopying, inter- library loan, and for deposit in the University’s digital repository </w:t>
      </w:r>
    </w:p>
    <w:p w14:paraId="43D3A957">
      <w:pPr>
        <w:widowControl/>
        <w:numPr>
          <w:ilvl w:val="1"/>
          <w:numId w:val="1"/>
        </w:numPr>
        <w:jc w:val="left"/>
        <w:rPr>
          <w:rFonts w:ascii="Arial" w:hAnsi="Arial" w:cs="Arial"/>
        </w:rPr>
      </w:pPr>
      <w:r>
        <w:rPr>
          <w:rFonts w:ascii="Arial" w:hAnsi="Arial" w:cs="Arial"/>
        </w:rPr>
        <w:t>Signed (candidate)…………Xinyu Wang……….………….………</w:t>
      </w:r>
    </w:p>
    <w:p w14:paraId="2A14356A">
      <w:pPr>
        <w:widowControl/>
        <w:numPr>
          <w:ilvl w:val="1"/>
          <w:numId w:val="1"/>
        </w:numPr>
        <w:jc w:val="left"/>
        <w:rPr>
          <w:rFonts w:ascii="Arial" w:hAnsi="Arial" w:cs="Arial"/>
        </w:rPr>
      </w:pPr>
      <w:r>
        <w:rPr>
          <w:rFonts w:ascii="Arial" w:hAnsi="Arial" w:cs="Arial"/>
        </w:rPr>
        <w:t>Date……………03/03/2025……………………….…………….</w:t>
      </w:r>
    </w:p>
    <w:p w14:paraId="6451EFEF">
      <w:pPr>
        <w:ind w:left="426"/>
        <w:rPr>
          <w:rFonts w:ascii="Arial" w:hAnsi="Arial" w:cs="Arial"/>
        </w:rPr>
      </w:pPr>
      <w:r>
        <w:rPr>
          <w:rFonts w:ascii="Arial" w:hAnsi="Arial" w:cs="Arial"/>
        </w:rPr>
        <w:t>5. Supervisor’s Declaration.</w:t>
      </w:r>
    </w:p>
    <w:p w14:paraId="366E8827">
      <w:pPr>
        <w:ind w:left="1080"/>
        <w:rPr>
          <w:rFonts w:ascii="Arial" w:hAnsi="Arial" w:cs="Arial"/>
        </w:rPr>
      </w:pPr>
      <w:r>
        <w:rPr>
          <w:rFonts w:ascii="Arial" w:hAnsi="Arial" w:cs="Arial"/>
        </w:rPr>
        <w:t>I am satisfied that this work is the result of the student’s own efforts.</w:t>
      </w:r>
    </w:p>
    <w:p w14:paraId="496A2253">
      <w:pPr>
        <w:widowControl/>
        <w:numPr>
          <w:ilvl w:val="1"/>
          <w:numId w:val="2"/>
        </w:numPr>
        <w:jc w:val="left"/>
        <w:rPr>
          <w:rFonts w:ascii="Arial" w:hAnsi="Arial" w:cs="Arial"/>
        </w:rPr>
      </w:pPr>
      <w:r>
        <w:rPr>
          <w:rFonts w:ascii="Arial" w:hAnsi="Arial" w:cs="Arial"/>
        </w:rPr>
        <w:t>Signed:</w:t>
      </w:r>
      <w:r>
        <w:rPr>
          <w:rFonts w:hint="eastAsia" w:ascii="Arial" w:hAnsi="Arial" w:cs="Arial"/>
        </w:rPr>
        <w:t xml:space="preserve"> Yiying Jiao</w:t>
      </w:r>
    </w:p>
    <w:p w14:paraId="07B3A20C">
      <w:pPr>
        <w:widowControl/>
        <w:numPr>
          <w:ilvl w:val="1"/>
          <w:numId w:val="2"/>
        </w:numPr>
        <w:jc w:val="left"/>
        <w:rPr>
          <w:rFonts w:ascii="Arial" w:hAnsi="Arial" w:cs="Arial"/>
        </w:rPr>
      </w:pPr>
      <w:r>
        <w:rPr>
          <w:rFonts w:ascii="Arial" w:hAnsi="Arial" w:cs="Arial"/>
        </w:rPr>
        <w:t>Date:</w:t>
      </w:r>
      <w:r>
        <w:rPr>
          <w:rFonts w:hint="eastAsia" w:ascii="Arial" w:hAnsi="Arial" w:cs="Arial"/>
        </w:rPr>
        <w:t xml:space="preserve"> </w:t>
      </w:r>
      <w:bookmarkStart w:id="4" w:name="_Hlk191954364"/>
      <w:r>
        <w:rPr>
          <w:rFonts w:hint="eastAsia" w:ascii="Arial" w:hAnsi="Arial" w:cs="Arial"/>
        </w:rPr>
        <w:t>03/03/2025</w:t>
      </w:r>
      <w:bookmarkEnd w:id="4"/>
    </w:p>
    <w:p w14:paraId="115C5C50">
      <w:pPr>
        <w:rPr>
          <w:rFonts w:ascii="Arial" w:hAnsi="Arial" w:cs="Arial"/>
        </w:rPr>
      </w:pPr>
    </w:p>
    <w:p w14:paraId="1F4E1426">
      <w:pPr>
        <w:spacing w:line="360" w:lineRule="auto"/>
        <w:rPr>
          <w:rFonts w:ascii="Times New Roman" w:hAnsi="Times New Roman"/>
          <w:b/>
          <w:bCs/>
          <w:color w:val="000000" w:themeColor="text1"/>
          <w:sz w:val="32"/>
          <w:szCs w:val="32"/>
          <w14:textFill>
            <w14:solidFill>
              <w14:schemeClr w14:val="tx1"/>
            </w14:solidFill>
          </w14:textFill>
        </w:rPr>
      </w:pPr>
    </w:p>
    <w:p w14:paraId="1167BA4B">
      <w:pPr>
        <w:spacing w:line="360" w:lineRule="auto"/>
        <w:rPr>
          <w:rFonts w:ascii="Times New Roman" w:hAnsi="Times New Roman"/>
          <w:b/>
          <w:bCs/>
          <w:color w:val="000000" w:themeColor="text1"/>
          <w:sz w:val="32"/>
          <w:szCs w:val="32"/>
          <w14:textFill>
            <w14:solidFill>
              <w14:schemeClr w14:val="tx1"/>
            </w14:solidFill>
          </w14:textFill>
        </w:rPr>
      </w:pPr>
    </w:p>
    <w:sdt>
      <w:sdtPr>
        <w:rPr>
          <w:rFonts w:ascii="Calibri" w:hAnsi="Calibri"/>
          <w:b w:val="0"/>
          <w:kern w:val="2"/>
          <w:sz w:val="21"/>
        </w:rPr>
        <w:id w:val="147474091"/>
        <w15:color w:val="DBDBDB"/>
        <w:docPartObj>
          <w:docPartGallery w:val="Table of Contents"/>
          <w:docPartUnique/>
        </w:docPartObj>
      </w:sdtPr>
      <w:sdtEndPr>
        <w:rPr>
          <w:rFonts w:ascii="Times New Roman" w:hAnsi="Times New Roman"/>
          <w:b w:val="0"/>
          <w:kern w:val="2"/>
          <w:sz w:val="32"/>
          <w:szCs w:val="32"/>
        </w:rPr>
      </w:sdtEndPr>
      <w:sdtContent>
        <w:p w14:paraId="53628378">
          <w:pPr>
            <w:pStyle w:val="2"/>
          </w:pPr>
          <w:bookmarkStart w:id="5" w:name="_Toc11067"/>
          <w:r>
            <w:t>CONTENTS</w:t>
          </w:r>
          <w:bookmarkEnd w:id="5"/>
        </w:p>
        <w:p w14:paraId="055A8397">
          <w:pPr>
            <w:jc w:val="left"/>
            <w:rPr>
              <w:rFonts w:hint="default" w:ascii="Times New Roman" w:hAnsi="Times New Roman" w:cs="Times New Roman"/>
              <w:sz w:val="24"/>
              <w:szCs w:val="24"/>
            </w:rPr>
          </w:pPr>
        </w:p>
        <w:p w14:paraId="6008D52F">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_Toc25655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DECLARATION FORM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_Toc25655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1FD4B43">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_Toc11067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CONTENTS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_Toc11067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3FB3D0C">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_Toc24157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ACKNOWLEDGEMENTS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_Toc24157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53239A9">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_Toc29724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_Toc29724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0AEEC99">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_Toc3679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_Toc3679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892D57E">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_Toc12871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_Toc12871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7F4C8C4">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_Toc7913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_Toc7913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C090A61">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_Toc32416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 Inclusion and Exclusion Criteria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_Toc32416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31B19239">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_Toc8855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 Inclusion Criteria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_Toc8855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C003464">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_Toc4495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 Exclusion Criteria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_Toc4495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19C01DB0">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_Toc1918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 Procedures to Analyse Sources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_Toc1918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928C9CE">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_Toc8927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 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_Toc8927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1C58340C">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_Toc18462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3.1 </w:t>
          </w:r>
          <w:r>
            <w:rPr>
              <w:rFonts w:hint="default" w:ascii="Times New Roman" w:hAnsi="Times New Roman" w:cs="Times New Roman"/>
              <w:sz w:val="24"/>
              <w:szCs w:val="24"/>
            </w:rPr>
            <w:t xml:space="preserve">Theme </w:t>
          </w:r>
          <w:r>
            <w:rPr>
              <w:rFonts w:hint="default" w:ascii="Times New Roman" w:hAnsi="Times New Roman" w:cs="Times New Roman"/>
              <w:sz w:val="24"/>
              <w:szCs w:val="24"/>
              <w:lang w:val="en-US" w:eastAsia="zh-CN"/>
            </w:rPr>
            <w:t>one</w:t>
          </w:r>
          <w:r>
            <w:rPr>
              <w:rFonts w:hint="default" w:ascii="Times New Roman" w:hAnsi="Times New Roman" w:cs="Times New Roman"/>
              <w:sz w:val="24"/>
              <w:szCs w:val="24"/>
            </w:rPr>
            <w:t>: Introduction to Sishu Education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_Toc18462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F2338B1">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_Toc25961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3.1.1. Background of Traditional Sishu</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_Toc25961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FA04E3E">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_Toc19682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3.1.2. Modern Sishu in China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_Toc19682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AF74344">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_Toc25877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3.1.3. Research status of modern Sishu education in China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_Toc25877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639DB82">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_Toc19093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 Theme two: Educational Aims and Curriculum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_Toc19093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B7582B6">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_Toc511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 xml:space="preserve">3.2.1. </w:t>
          </w:r>
          <w:r>
            <w:rPr>
              <w:rFonts w:hint="default" w:ascii="Times New Roman" w:hAnsi="Times New Roman" w:cs="Times New Roman"/>
              <w:sz w:val="24"/>
              <w:szCs w:val="24"/>
              <w:lang w:val="en-US" w:eastAsia="zh-CN"/>
            </w:rPr>
            <w:t>Different Types of Sishu</w:t>
          </w:r>
          <w:r>
            <w:rPr>
              <w:rFonts w:hint="default" w:ascii="Times New Roman" w:hAnsi="Times New Roman" w:cs="Times New Roman"/>
              <w:sz w:val="24"/>
              <w:szCs w:val="24"/>
            </w:rPr>
            <w:t xml:space="preserve"> Practice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3EC585A">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_Toc3438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 xml:space="preserve">3.2.2. </w:t>
          </w:r>
          <w:r>
            <w:rPr>
              <w:rFonts w:hint="default" w:ascii="Times New Roman" w:hAnsi="Times New Roman" w:cs="Times New Roman"/>
              <w:sz w:val="24"/>
              <w:szCs w:val="24"/>
              <w:lang w:val="en-US" w:eastAsia="zh-CN"/>
            </w:rPr>
            <w:t xml:space="preserve">Sishu </w:t>
          </w:r>
          <w:r>
            <w:rPr>
              <w:rFonts w:hint="default" w:ascii="Times New Roman" w:hAnsi="Times New Roman" w:cs="Times New Roman"/>
              <w:sz w:val="24"/>
              <w:szCs w:val="24"/>
            </w:rPr>
            <w:t>Teaching Content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_Toc3438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158B0C1">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_Toc22987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3.3. Theme three: Challenges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_Toc22987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C42C901">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3.3.1. Challenges for Sishu from the perspective of existing education policy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_Toc23976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9E167E8">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_Toc14430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3.3.2. </w:t>
          </w:r>
          <w:r>
            <w:rPr>
              <w:rFonts w:hint="default" w:ascii="Times New Roman" w:hAnsi="Times New Roman" w:cs="Times New Roman"/>
              <w:sz w:val="24"/>
              <w:szCs w:val="24"/>
              <w:lang w:val="en-US"/>
            </w:rPr>
            <w:t>Integration</w:t>
          </w:r>
          <w:r>
            <w:rPr>
              <w:rFonts w:hint="default" w:ascii="Times New Roman" w:hAnsi="Times New Roman" w:cs="Times New Roman"/>
              <w:sz w:val="24"/>
              <w:szCs w:val="24"/>
              <w:lang w:val="en-US" w:eastAsia="zh-CN"/>
            </w:rPr>
            <w:t xml:space="preserve"> of Sishu students into mainstream education and society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_Toc14430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F67E248">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_Toc20937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 DISCUSSION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_Toc20937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005EA07">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_Toc13206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4.1. Possible reasons why the Chinese government does not support Sishu education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_Toc13206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3C0E4708">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_Toc17393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4.2. The current state of Sishu as an industry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_Toc17393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BDDC67B">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_Toc29129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 CONCLUSION AND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_Toc29129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170B58D4">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 xml:space="preserve">6. </w:t>
          </w:r>
          <w:r>
            <w:rPr>
              <w:rFonts w:hint="default" w:ascii="Times New Roman" w:hAnsi="Times New Roman" w:cs="Times New Roman"/>
              <w:sz w:val="24"/>
              <w:szCs w:val="24"/>
              <w:lang w:val="en-US" w:eastAsia="en-US"/>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0EB8C6A">
          <w:pPr>
            <w:rPr>
              <w:rFonts w:ascii="Times New Roman" w:hAnsi="Times New Roman"/>
              <w:szCs w:val="24"/>
            </w:rPr>
          </w:pPr>
          <w:r>
            <w:rPr>
              <w:rFonts w:hint="default" w:ascii="Times New Roman" w:hAnsi="Times New Roman" w:cs="Times New Roman"/>
              <w:sz w:val="24"/>
              <w:szCs w:val="24"/>
            </w:rPr>
            <w:fldChar w:fldCharType="end"/>
          </w:r>
        </w:p>
        <w:p w14:paraId="7BB004B4">
          <w:pPr>
            <w:rPr>
              <w:rFonts w:ascii="Times New Roman" w:hAnsi="Times New Roman"/>
              <w:szCs w:val="24"/>
            </w:rPr>
          </w:pPr>
        </w:p>
        <w:p w14:paraId="36F89F09">
          <w:pPr>
            <w:rPr>
              <w:rFonts w:ascii="Times New Roman" w:hAnsi="Times New Roman"/>
              <w:szCs w:val="24"/>
            </w:rPr>
          </w:pPr>
        </w:p>
        <w:p w14:paraId="15DACF31">
          <w:pPr>
            <w:rPr>
              <w:rFonts w:ascii="Times New Roman" w:hAnsi="Times New Roman"/>
              <w:szCs w:val="24"/>
            </w:rPr>
          </w:pPr>
        </w:p>
        <w:p w14:paraId="41E59F3A">
          <w:pPr>
            <w:rPr>
              <w:rFonts w:ascii="Times New Roman" w:hAnsi="Times New Roman"/>
              <w:szCs w:val="24"/>
            </w:rPr>
          </w:pPr>
        </w:p>
        <w:p w14:paraId="404E3A7D">
          <w:pPr>
            <w:rPr>
              <w:rFonts w:ascii="Times New Roman" w:hAnsi="Times New Roman"/>
              <w:szCs w:val="24"/>
            </w:rPr>
          </w:pPr>
        </w:p>
        <w:p w14:paraId="4E3D2C29">
          <w:pPr>
            <w:rPr>
              <w:rFonts w:ascii="Times New Roman" w:hAnsi="Times New Roman"/>
              <w:szCs w:val="24"/>
            </w:rPr>
          </w:pPr>
        </w:p>
        <w:p w14:paraId="2ABA664D">
          <w:pPr>
            <w:rPr>
              <w:rFonts w:ascii="Times New Roman" w:hAnsi="Times New Roman"/>
              <w:szCs w:val="24"/>
            </w:rPr>
          </w:pPr>
        </w:p>
        <w:p w14:paraId="111B1D84">
          <w:pPr>
            <w:rPr>
              <w:rFonts w:ascii="Times New Roman" w:hAnsi="Times New Roman"/>
              <w:szCs w:val="24"/>
            </w:rPr>
          </w:pPr>
        </w:p>
        <w:p w14:paraId="043453EB">
          <w:pPr>
            <w:rPr>
              <w:rFonts w:ascii="Times New Roman" w:hAnsi="Times New Roman"/>
              <w:szCs w:val="24"/>
            </w:rPr>
          </w:pPr>
        </w:p>
        <w:p w14:paraId="486A1ACA"/>
      </w:sdtContent>
    </w:sdt>
    <w:p w14:paraId="299298F1">
      <w:pPr>
        <w:pStyle w:val="2"/>
      </w:pPr>
      <w:bookmarkStart w:id="6" w:name="_Toc24157"/>
      <w:r>
        <w:t>ACKNOWLEDGEMENTS</w:t>
      </w:r>
      <w:bookmarkEnd w:id="6"/>
    </w:p>
    <w:p w14:paraId="78021C0E">
      <w:pPr>
        <w:spacing w:line="360" w:lineRule="auto"/>
        <w:rPr>
          <w:rFonts w:ascii="Times New Roman" w:hAnsi="Times New Roman"/>
          <w:color w:val="000000" w:themeColor="text1"/>
          <w:sz w:val="24"/>
          <w14:textFill>
            <w14:solidFill>
              <w14:schemeClr w14:val="tx1"/>
            </w14:solidFill>
          </w14:textFill>
        </w:rPr>
      </w:pPr>
    </w:p>
    <w:p w14:paraId="03FB425F">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I want to express my sincere gratitude to all those who have supported me during my MA studies. First and foremost, I would like to thank my esteemed supervisor, Ms Yiying Jiao, for her patient guidance, valuable feedback and constant encouragement. Her rigorous academic attitude and excellent professional knowledge have been a great source of inspiration for me. She was meticulous in every discussion, patiently answered my questions, and constantly encouraged me to refine my research ideas. I would like to express my sincere gratitude once again for her responsible and genuine guidance.</w:t>
      </w:r>
    </w:p>
    <w:p w14:paraId="592DDE99">
      <w:pPr>
        <w:spacing w:line="360" w:lineRule="auto"/>
        <w:rPr>
          <w:rFonts w:ascii="Times New Roman" w:hAnsi="Times New Roman"/>
          <w:color w:val="000000" w:themeColor="text1"/>
          <w:sz w:val="24"/>
          <w:szCs w:val="24"/>
          <w14:textFill>
            <w14:solidFill>
              <w14:schemeClr w14:val="tx1"/>
            </w14:solidFill>
          </w14:textFill>
        </w:rPr>
      </w:pPr>
    </w:p>
    <w:p w14:paraId="4FC1743D">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I would also like to express my sincere appreciation to my dear teachers during my MA journey: Mrs Sue James, Dr Huw Griffiths and Dr Carolyne Obonyo. Their enthusiasm and dedication in the classroom provided me with a solid foundation of knowledge and critical thinking skills. They have unreservedly imparted their profound academic accumulation, from professional theoretical knowledge to research methodology, which has given me great inspiration and help.</w:t>
      </w:r>
    </w:p>
    <w:p w14:paraId="4B952E23">
      <w:pPr>
        <w:spacing w:line="360" w:lineRule="auto"/>
        <w:rPr>
          <w:rFonts w:ascii="Times New Roman" w:hAnsi="Times New Roman"/>
          <w:color w:val="000000" w:themeColor="text1"/>
          <w:sz w:val="24"/>
          <w:szCs w:val="24"/>
          <w14:textFill>
            <w14:solidFill>
              <w14:schemeClr w14:val="tx1"/>
            </w14:solidFill>
          </w14:textFill>
        </w:rPr>
      </w:pPr>
    </w:p>
    <w:p w14:paraId="3517D6B9">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I would also like to sincerely thank my parents, whose unwavering emotional and practical support has enabled me to embark on this journey. Their belief in my aspirations has been a determining factor in my ability to persevere through the challenges of postgraduate study. Finally, I would like to thank my fiancée, whose constant encouragement and mental support provided the emotional balance I needed to complete this dissertation.</w:t>
      </w:r>
    </w:p>
    <w:p w14:paraId="6E954129">
      <w:pPr>
        <w:spacing w:line="360" w:lineRule="auto"/>
        <w:rPr>
          <w:rFonts w:ascii="Times New Roman" w:hAnsi="Times New Roman"/>
          <w:color w:val="000000" w:themeColor="text1"/>
          <w:sz w:val="24"/>
          <w:szCs w:val="24"/>
          <w14:textFill>
            <w14:solidFill>
              <w14:schemeClr w14:val="tx1"/>
            </w14:solidFill>
          </w14:textFill>
        </w:rPr>
      </w:pPr>
    </w:p>
    <w:p w14:paraId="6EF1A672">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I am deeply grateful to each of you</w:t>
      </w:r>
      <w:r>
        <w:rPr>
          <w:rFonts w:hint="eastAsia" w:ascii="Times New Roman" w:hAnsi="Times New Roman"/>
          <w:color w:val="000000" w:themeColor="text1"/>
          <w:sz w:val="24"/>
          <w14:textFill>
            <w14:solidFill>
              <w14:schemeClr w14:val="tx1"/>
            </w14:solidFill>
          </w14:textFill>
        </w:rPr>
        <w:t>!</w:t>
      </w:r>
    </w:p>
    <w:p w14:paraId="478B5AA0">
      <w:pPr>
        <w:spacing w:line="360" w:lineRule="auto"/>
        <w:rPr>
          <w:rFonts w:ascii="Times New Roman" w:hAnsi="Times New Roman"/>
          <w:b/>
          <w:bCs/>
          <w:color w:val="000000" w:themeColor="text1"/>
          <w:sz w:val="32"/>
          <w:szCs w:val="32"/>
          <w14:textFill>
            <w14:solidFill>
              <w14:schemeClr w14:val="tx1"/>
            </w14:solidFill>
          </w14:textFill>
        </w:rPr>
      </w:pPr>
    </w:p>
    <w:p w14:paraId="482085AA">
      <w:pPr>
        <w:pStyle w:val="2"/>
      </w:pPr>
      <w:bookmarkStart w:id="7" w:name="_Toc29724"/>
      <w:r>
        <w:rPr>
          <w:rFonts w:hint="eastAsia"/>
        </w:rPr>
        <w:t>ABSTRACT</w:t>
      </w:r>
      <w:bookmarkEnd w:id="7"/>
    </w:p>
    <w:p w14:paraId="3CC60110">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By a</w:t>
      </w:r>
      <w:r>
        <w:rPr>
          <w:rFonts w:hint="default" w:ascii="Times New Roman" w:hAnsi="Times New Roman" w:cs="Times New Roman"/>
          <w:sz w:val="24"/>
          <w:szCs w:val="24"/>
          <w:lang w:val="en-US" w:eastAsia="zh-CN"/>
        </w:rPr>
        <w:t>dopting the method of topical literature review and interpretation, this study systematically comprehends and explores the development history, practice patterns, and related policy environments of modern Sishu in contemporary China from a</w:t>
      </w:r>
      <w:r>
        <w:rPr>
          <w:rFonts w:hint="eastAsia" w:ascii="Times New Roman" w:hAnsi="Times New Roman" w:cs="Times New Roman"/>
          <w:sz w:val="24"/>
          <w:szCs w:val="24"/>
          <w:lang w:val="en-US" w:eastAsia="zh-CN"/>
        </w:rPr>
        <w:t xml:space="preserve"> interpretive</w:t>
      </w:r>
      <w:r>
        <w:rPr>
          <w:rFonts w:hint="default" w:ascii="Times New Roman" w:hAnsi="Times New Roman" w:cs="Times New Roman"/>
          <w:sz w:val="24"/>
          <w:szCs w:val="24"/>
          <w:lang w:val="en-US" w:eastAsia="zh-CN"/>
        </w:rPr>
        <w:t xml:space="preserve"> perspective. Through searching and analysing academic journals, policy documents, and Chinese and English database literature, the study revolves around the following two major issues: first, the current situation of modern Sishu and their inheritance and innovation of traditional Confucian education concepts; and second, the attitudes and coping strategies of the state and local governments towards </w:t>
      </w:r>
      <w:r>
        <w:rPr>
          <w:rFonts w:hint="eastAsia" w:ascii="Times New Roman" w:hAnsi="Times New Roman" w:cs="Times New Roman"/>
          <w:sz w:val="24"/>
          <w:szCs w:val="24"/>
          <w:lang w:val="en-US" w:eastAsia="zh-CN"/>
        </w:rPr>
        <w:t>Sishu</w:t>
      </w:r>
      <w:r>
        <w:rPr>
          <w:rFonts w:hint="default" w:ascii="Times New Roman" w:hAnsi="Times New Roman" w:cs="Times New Roman"/>
          <w:sz w:val="24"/>
          <w:szCs w:val="24"/>
          <w:lang w:val="en-US" w:eastAsia="zh-CN"/>
        </w:rPr>
        <w:t xml:space="preserve"> education. Overall, modern Sishu are of some significance in passing on excellent traditional Chinese culture and providing diversified educational choices, but their legitimacy, teaching quality and social acceptance are still controversial.</w:t>
      </w:r>
    </w:p>
    <w:p w14:paraId="067F6A81">
      <w:pPr>
        <w:spacing w:line="360" w:lineRule="auto"/>
        <w:rPr>
          <w:rFonts w:ascii="Times New Roman" w:hAnsi="Times New Roman"/>
          <w:b/>
          <w:bCs/>
          <w:color w:val="000000" w:themeColor="text1"/>
          <w:sz w:val="32"/>
          <w:szCs w:val="32"/>
          <w14:textFill>
            <w14:solidFill>
              <w14:schemeClr w14:val="tx1"/>
            </w14:solidFill>
          </w14:textFill>
        </w:rPr>
      </w:pPr>
    </w:p>
    <w:p w14:paraId="07746F40">
      <w:pPr>
        <w:spacing w:line="360" w:lineRule="auto"/>
        <w:rPr>
          <w:rFonts w:ascii="Times New Roman" w:hAnsi="Times New Roman"/>
          <w:b/>
          <w:bCs/>
          <w:color w:val="000000" w:themeColor="text1"/>
          <w:sz w:val="32"/>
          <w:szCs w:val="32"/>
          <w14:textFill>
            <w14:solidFill>
              <w14:schemeClr w14:val="tx1"/>
            </w14:solidFill>
          </w14:textFill>
        </w:rPr>
      </w:pPr>
    </w:p>
    <w:p w14:paraId="18DC909E">
      <w:pPr>
        <w:spacing w:line="360" w:lineRule="auto"/>
        <w:rPr>
          <w:rFonts w:ascii="Times New Roman" w:hAnsi="Times New Roman"/>
          <w:b/>
          <w:bCs/>
          <w:color w:val="000000" w:themeColor="text1"/>
          <w:sz w:val="32"/>
          <w:szCs w:val="32"/>
          <w14:textFill>
            <w14:solidFill>
              <w14:schemeClr w14:val="tx1"/>
            </w14:solidFill>
          </w14:textFill>
        </w:rPr>
      </w:pPr>
    </w:p>
    <w:p w14:paraId="60A4B0DF">
      <w:pPr>
        <w:spacing w:line="360" w:lineRule="auto"/>
        <w:rPr>
          <w:rFonts w:ascii="Times New Roman" w:hAnsi="Times New Roman"/>
          <w:b/>
          <w:bCs/>
          <w:color w:val="000000" w:themeColor="text1"/>
          <w:sz w:val="32"/>
          <w:szCs w:val="32"/>
          <w14:textFill>
            <w14:solidFill>
              <w14:schemeClr w14:val="tx1"/>
            </w14:solidFill>
          </w14:textFill>
        </w:rPr>
      </w:pPr>
    </w:p>
    <w:p w14:paraId="2922530C">
      <w:pPr>
        <w:spacing w:line="360" w:lineRule="auto"/>
        <w:rPr>
          <w:rFonts w:ascii="Times New Roman" w:hAnsi="Times New Roman"/>
          <w:b/>
          <w:bCs/>
          <w:color w:val="000000" w:themeColor="text1"/>
          <w:sz w:val="32"/>
          <w:szCs w:val="32"/>
          <w14:textFill>
            <w14:solidFill>
              <w14:schemeClr w14:val="tx1"/>
            </w14:solidFill>
          </w14:textFill>
        </w:rPr>
      </w:pPr>
    </w:p>
    <w:p w14:paraId="24D8CCC0">
      <w:pPr>
        <w:spacing w:line="360" w:lineRule="auto"/>
        <w:rPr>
          <w:rFonts w:ascii="Times New Roman" w:hAnsi="Times New Roman"/>
          <w:b/>
          <w:bCs/>
          <w:color w:val="000000" w:themeColor="text1"/>
          <w:sz w:val="32"/>
          <w:szCs w:val="32"/>
          <w14:textFill>
            <w14:solidFill>
              <w14:schemeClr w14:val="tx1"/>
            </w14:solidFill>
          </w14:textFill>
        </w:rPr>
      </w:pPr>
    </w:p>
    <w:p w14:paraId="2C33AFFA">
      <w:pPr>
        <w:spacing w:line="360" w:lineRule="auto"/>
        <w:rPr>
          <w:rFonts w:ascii="Times New Roman" w:hAnsi="Times New Roman"/>
          <w:b/>
          <w:bCs/>
          <w:color w:val="000000" w:themeColor="text1"/>
          <w:sz w:val="32"/>
          <w:szCs w:val="32"/>
          <w14:textFill>
            <w14:solidFill>
              <w14:schemeClr w14:val="tx1"/>
            </w14:solidFill>
          </w14:textFill>
        </w:rPr>
      </w:pPr>
    </w:p>
    <w:p w14:paraId="55F2D592">
      <w:pPr>
        <w:spacing w:line="360" w:lineRule="auto"/>
        <w:rPr>
          <w:rFonts w:ascii="Times New Roman" w:hAnsi="Times New Roman"/>
          <w:b/>
          <w:bCs/>
          <w:color w:val="000000" w:themeColor="text1"/>
          <w:sz w:val="32"/>
          <w:szCs w:val="32"/>
          <w14:textFill>
            <w14:solidFill>
              <w14:schemeClr w14:val="tx1"/>
            </w14:solidFill>
          </w14:textFill>
        </w:rPr>
      </w:pPr>
    </w:p>
    <w:p w14:paraId="5FF83461">
      <w:pPr>
        <w:spacing w:line="360" w:lineRule="auto"/>
        <w:rPr>
          <w:rFonts w:ascii="Times New Roman" w:hAnsi="Times New Roman"/>
          <w:b/>
          <w:bCs/>
          <w:color w:val="000000" w:themeColor="text1"/>
          <w:sz w:val="32"/>
          <w:szCs w:val="32"/>
          <w14:textFill>
            <w14:solidFill>
              <w14:schemeClr w14:val="tx1"/>
            </w14:solidFill>
          </w14:textFill>
        </w:rPr>
      </w:pPr>
    </w:p>
    <w:p w14:paraId="4FFE4E1F">
      <w:pPr>
        <w:spacing w:line="360" w:lineRule="auto"/>
        <w:rPr>
          <w:rFonts w:ascii="Times New Roman" w:hAnsi="Times New Roman"/>
          <w:b/>
          <w:bCs/>
          <w:color w:val="000000" w:themeColor="text1"/>
          <w:sz w:val="32"/>
          <w:szCs w:val="32"/>
          <w14:textFill>
            <w14:solidFill>
              <w14:schemeClr w14:val="tx1"/>
            </w14:solidFill>
          </w14:textFill>
        </w:rPr>
      </w:pPr>
    </w:p>
    <w:p w14:paraId="0753B111">
      <w:pPr>
        <w:spacing w:line="360" w:lineRule="auto"/>
        <w:rPr>
          <w:rFonts w:ascii="Times New Roman" w:hAnsi="Times New Roman"/>
          <w:b/>
          <w:bCs/>
          <w:color w:val="000000" w:themeColor="text1"/>
          <w:sz w:val="32"/>
          <w:szCs w:val="32"/>
          <w14:textFill>
            <w14:solidFill>
              <w14:schemeClr w14:val="tx1"/>
            </w14:solidFill>
          </w14:textFill>
        </w:rPr>
      </w:pPr>
    </w:p>
    <w:p w14:paraId="30BCA0BC">
      <w:pPr>
        <w:pStyle w:val="2"/>
        <w:numPr>
          <w:ilvl w:val="0"/>
          <w:numId w:val="3"/>
        </w:numPr>
      </w:pPr>
      <w:bookmarkStart w:id="8" w:name="_Toc3679"/>
      <w:r>
        <w:t>INTRODUCTION</w:t>
      </w:r>
      <w:bookmarkEnd w:id="8"/>
    </w:p>
    <w:p w14:paraId="4F6F11AE">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‘Sishu</w:t>
      </w:r>
      <w:r>
        <w:rPr>
          <w:rFonts w:hint="eastAsia" w:ascii="Times New Roman" w:hAnsi="Times New Roman"/>
          <w:color w:val="000000" w:themeColor="text1"/>
          <w:sz w:val="24"/>
          <w14:textFill>
            <w14:solidFill>
              <w14:schemeClr w14:val="tx1"/>
            </w14:solidFill>
          </w14:textFill>
        </w:rPr>
        <w:t>(私塾)</w:t>
      </w:r>
      <w:r>
        <w:rPr>
          <w:rFonts w:ascii="Times New Roman" w:hAnsi="Times New Roman"/>
          <w:color w:val="000000" w:themeColor="text1"/>
          <w:sz w:val="24"/>
          <w14:textFill>
            <w14:solidFill>
              <w14:schemeClr w14:val="tx1"/>
            </w14:solidFill>
          </w14:textFill>
        </w:rPr>
        <w:t>’ was a form of community education in ancient Chinese society, established within families, clans or villages</w:t>
      </w:r>
      <w:r>
        <w:rPr>
          <w:rFonts w:ascii="Times New Roman" w:hAnsi="Times New Roman"/>
          <w:color w:val="000000" w:themeColor="text1"/>
          <w:sz w:val="24"/>
          <w:szCs w:val="24"/>
          <w14:textFill>
            <w14:solidFill>
              <w14:schemeClr w14:val="tx1"/>
            </w14:solidFill>
          </w14:textFill>
        </w:rPr>
        <w:t xml:space="preserve">. Deeply rooted in the Confucian cultural tradition, </w:t>
      </w:r>
      <w:r>
        <w:rPr>
          <w:rFonts w:hint="eastAsia" w:ascii="Times New Roman" w:hAnsi="Times New Roman"/>
          <w:color w:val="000000" w:themeColor="text1"/>
          <w:sz w:val="24"/>
          <w14:textFill>
            <w14:solidFill>
              <w14:schemeClr w14:val="tx1"/>
            </w14:solidFill>
          </w14:textFill>
        </w:rPr>
        <w:t>S</w:t>
      </w:r>
      <w:r>
        <w:rPr>
          <w:rFonts w:ascii="Times New Roman" w:hAnsi="Times New Roman"/>
          <w:color w:val="000000" w:themeColor="text1"/>
          <w:sz w:val="24"/>
          <w:szCs w:val="24"/>
          <w14:textFill>
            <w14:solidFill>
              <w14:schemeClr w14:val="tx1"/>
            </w14:solidFill>
          </w14:textFill>
        </w:rPr>
        <w:t xml:space="preserve">ishu have played a central role in shaping Chinese education for centuries. Historically, </w:t>
      </w:r>
      <w:r>
        <w:rPr>
          <w:rFonts w:hint="eastAsia" w:ascii="Times New Roman" w:hAnsi="Times New Roman"/>
          <w:color w:val="000000" w:themeColor="text1"/>
          <w:sz w:val="24"/>
          <w14:textFill>
            <w14:solidFill>
              <w14:schemeClr w14:val="tx1"/>
            </w14:solidFill>
          </w14:textFill>
        </w:rPr>
        <w:t>S</w:t>
      </w:r>
      <w:r>
        <w:rPr>
          <w:rFonts w:ascii="Times New Roman" w:hAnsi="Times New Roman"/>
          <w:color w:val="000000" w:themeColor="text1"/>
          <w:sz w:val="24"/>
          <w:szCs w:val="24"/>
          <w14:textFill>
            <w14:solidFill>
              <w14:schemeClr w14:val="tx1"/>
            </w14:solidFill>
          </w14:textFill>
        </w:rPr>
        <w:t>ishu were informal educational institutions that provided moral and intellectual education based on Confucian classics such as the Four Books and the Five Classics</w:t>
      </w:r>
      <w:r>
        <w:rPr>
          <w:rFonts w:hint="eastAsia" w:ascii="Times New Roman" w:hAnsi="Times New Roman"/>
          <w:color w:val="000000" w:themeColor="text1"/>
          <w:sz w:val="24"/>
          <w14:textFill>
            <w14:solidFill>
              <w14:schemeClr w14:val="tx1"/>
            </w14:solidFill>
          </w14:textFill>
        </w:rPr>
        <w:t>(四书五经)</w:t>
      </w:r>
      <w:r>
        <w:rPr>
          <w:rFonts w:ascii="Times New Roman" w:hAnsi="Times New Roman"/>
          <w:color w:val="000000" w:themeColor="text1"/>
          <w:sz w:val="24"/>
          <w:szCs w:val="24"/>
          <w14:textFill>
            <w14:solidFill>
              <w14:schemeClr w14:val="tx1"/>
            </w14:solidFill>
          </w14:textFill>
        </w:rPr>
        <w:t>. These institutions played an important role in preparing students for the imperial civil service examinations (Jiang, 2017, p. 1). However, as China moderni</w:t>
      </w:r>
      <w:r>
        <w:rPr>
          <w:rFonts w:hint="eastAsia" w:ascii="Times New Roman" w:hAnsi="Times New Roman"/>
          <w:color w:val="000000" w:themeColor="text1"/>
          <w:sz w:val="24"/>
          <w14:textFill>
            <w14:solidFill>
              <w14:schemeClr w14:val="tx1"/>
            </w14:solidFill>
          </w14:textFill>
        </w:rPr>
        <w:t>s</w:t>
      </w:r>
      <w:r>
        <w:rPr>
          <w:rFonts w:ascii="Times New Roman" w:hAnsi="Times New Roman"/>
          <w:color w:val="000000" w:themeColor="text1"/>
          <w:sz w:val="24"/>
          <w:szCs w:val="24"/>
          <w14:textFill>
            <w14:solidFill>
              <w14:schemeClr w14:val="tx1"/>
            </w14:solidFill>
          </w14:textFill>
        </w:rPr>
        <w:t xml:space="preserve">ed in the early 20th century, the introduction of Western-style education and the collapse of the imperial examination system led to a decline in the role of the Sishu. Nonetheless, </w:t>
      </w:r>
      <w:r>
        <w:rPr>
          <w:rFonts w:hint="eastAsia" w:ascii="Times New Roman" w:hAnsi="Times New Roman"/>
          <w:color w:val="000000" w:themeColor="text1"/>
          <w:sz w:val="24"/>
          <w14:textFill>
            <w14:solidFill>
              <w14:schemeClr w14:val="tx1"/>
            </w14:solidFill>
          </w14:textFill>
        </w:rPr>
        <w:t>i</w:t>
      </w:r>
      <w:r>
        <w:rPr>
          <w:rFonts w:ascii="Times New Roman" w:hAnsi="Times New Roman"/>
          <w:color w:val="000000" w:themeColor="text1"/>
          <w:sz w:val="24"/>
          <w14:textFill>
            <w14:solidFill>
              <w14:schemeClr w14:val="tx1"/>
            </w14:solidFill>
          </w14:textFill>
        </w:rPr>
        <w:t xml:space="preserve">n the 21st century, there has been a revival of Sishu as a viable educational alternative to address the challenges and limitations of the </w:t>
      </w:r>
      <w:r>
        <w:rPr>
          <w:rFonts w:hint="eastAsia" w:ascii="Times New Roman" w:hAnsi="Times New Roman"/>
          <w:color w:val="000000" w:themeColor="text1"/>
          <w:sz w:val="24"/>
          <w14:textFill>
            <w14:solidFill>
              <w14:schemeClr w14:val="tx1"/>
            </w14:solidFill>
          </w14:textFill>
        </w:rPr>
        <w:t>mainstream</w:t>
      </w:r>
      <w:r>
        <w:rPr>
          <w:rFonts w:ascii="Times New Roman" w:hAnsi="Times New Roman"/>
          <w:color w:val="000000" w:themeColor="text1"/>
          <w:sz w:val="24"/>
          <w14:textFill>
            <w14:solidFill>
              <w14:schemeClr w14:val="tx1"/>
            </w14:solidFill>
          </w14:textFill>
        </w:rPr>
        <w:t xml:space="preserve"> education system</w:t>
      </w:r>
      <w:r>
        <w:rPr>
          <w:rFonts w:ascii="Times New Roman" w:hAnsi="Times New Roman"/>
          <w:color w:val="000000" w:themeColor="text1"/>
          <w:sz w:val="24"/>
          <w:szCs w:val="24"/>
          <w14:textFill>
            <w14:solidFill>
              <w14:schemeClr w14:val="tx1"/>
            </w14:solidFill>
          </w14:textFill>
        </w:rPr>
        <w:t xml:space="preserve">. This study examines the historical </w:t>
      </w:r>
      <w:r>
        <w:rPr>
          <w:rFonts w:ascii="Times New Roman" w:hAnsi="Times New Roman"/>
          <w:color w:val="000000" w:themeColor="text1"/>
          <w:sz w:val="24"/>
          <w14:textFill>
            <w14:solidFill>
              <w14:schemeClr w14:val="tx1"/>
            </w14:solidFill>
          </w14:textFill>
        </w:rPr>
        <w:t>development</w:t>
      </w:r>
      <w:r>
        <w:rPr>
          <w:rFonts w:ascii="Times New Roman" w:hAnsi="Times New Roman"/>
          <w:color w:val="000000" w:themeColor="text1"/>
          <w:sz w:val="24"/>
          <w:szCs w:val="24"/>
          <w14:textFill>
            <w14:solidFill>
              <w14:schemeClr w14:val="tx1"/>
            </w14:solidFill>
          </w14:textFill>
        </w:rPr>
        <w:t xml:space="preserve">, contemporary significance and challenges of modern Sishu, </w:t>
      </w:r>
      <w:r>
        <w:rPr>
          <w:rFonts w:ascii="Times New Roman" w:hAnsi="Times New Roman"/>
          <w:color w:val="000000" w:themeColor="text1"/>
          <w:sz w:val="24"/>
          <w14:textFill>
            <w14:solidFill>
              <w14:schemeClr w14:val="tx1"/>
            </w14:solidFill>
          </w14:textFill>
        </w:rPr>
        <w:t>and critically assesses its</w:t>
      </w:r>
      <w:r>
        <w:rPr>
          <w:rFonts w:ascii="Times New Roman" w:hAnsi="Times New Roman"/>
          <w:color w:val="000000" w:themeColor="text1"/>
          <w:sz w:val="24"/>
          <w:szCs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role</w:t>
      </w:r>
      <w:r>
        <w:rPr>
          <w:rFonts w:ascii="Times New Roman" w:hAnsi="Times New Roman"/>
          <w:color w:val="000000" w:themeColor="text1"/>
          <w:sz w:val="24"/>
          <w:szCs w:val="24"/>
          <w14:textFill>
            <w14:solidFill>
              <w14:schemeClr w14:val="tx1"/>
            </w14:solidFill>
          </w14:textFill>
        </w:rPr>
        <w:t xml:space="preserve"> and impact in modern Chinese education.</w:t>
      </w:r>
    </w:p>
    <w:p w14:paraId="730621B1">
      <w:pPr>
        <w:spacing w:line="360" w:lineRule="auto"/>
        <w:rPr>
          <w:rFonts w:ascii="Times New Roman" w:hAnsi="Times New Roman"/>
          <w:color w:val="000000" w:themeColor="text1"/>
          <w:sz w:val="24"/>
          <w14:textFill>
            <w14:solidFill>
              <w14:schemeClr w14:val="tx1"/>
            </w14:solidFill>
          </w14:textFill>
        </w:rPr>
      </w:pPr>
    </w:p>
    <w:p w14:paraId="4D476934">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The background of this study is based on a growing dissatisfaction with the current mainstream education system in China, which places an emphasis on test scores rather than on the holistic development and formation of moral character. As Wu (2019) notes, the highly competitive nature of the Chinese education system, along with an excessive focus on standardised examinations, has led to a search for alternative forms of education that prioritise personalised learning and the cultivation of moral character. In this context, modern Sishu, with its emphasis on character development and moral education, has been popular among parents and educators in search of alternatives to the mainstream school system (Billioud and Thoraval, 2015). However, another context that should not be overlooked is that China has not yet established any laws related to modern Sishu and homeschooling. This has resulted in most Sishu institutions being in a grey area or having an illegal status. As pointed out in the study on the phenomenon of modern Ssihu education (Li, 2020), Sishu education faces policy uncertainty. However, in this complex situation, many families still choose to send their children to Sishu schools.</w:t>
      </w:r>
    </w:p>
    <w:p w14:paraId="479BCAEE">
      <w:pPr>
        <w:spacing w:line="360" w:lineRule="auto"/>
        <w:rPr>
          <w:rFonts w:ascii="Times New Roman" w:hAnsi="Times New Roman"/>
          <w:color w:val="000000" w:themeColor="text1"/>
          <w:sz w:val="24"/>
          <w14:textFill>
            <w14:solidFill>
              <w14:schemeClr w14:val="tx1"/>
            </w14:solidFill>
          </w14:textFill>
        </w:rPr>
      </w:pPr>
    </w:p>
    <w:p w14:paraId="3EC4DA89">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Although there is tension between the modern education system and tradition, alternative educational models such as modern Sishu are becoming increasingly popular in China. As a researcher interested in Chinese education and modern Sishu education in particular, the growing popularity of this non-mainstream educational model among Chinese parents has sparked the researcher's interest in studying its teaching models, development and impact. The significance of this research lies in its potential to contribute to the ongoing debate about the future of education in China by offering insights into how traditional educational values can be adapted to meet the needs of modern students. Furthermore, the contribution of this research also comes from its critical examination of modern Sishu as an alternative educational practice in China. By critically summarising the current state of modern Sishu education and exploring why the Chinese government has not legalised modern Sishu, this research will fill a gap in the literature on modern Sishu education in China.</w:t>
      </w:r>
    </w:p>
    <w:p w14:paraId="21009DF3">
      <w:pPr>
        <w:spacing w:line="360" w:lineRule="auto"/>
        <w:rPr>
          <w:rFonts w:ascii="Times New Roman" w:hAnsi="Times New Roman"/>
          <w:color w:val="000000" w:themeColor="text1"/>
          <w:sz w:val="24"/>
          <w14:textFill>
            <w14:solidFill>
              <w14:schemeClr w14:val="tx1"/>
            </w14:solidFill>
          </w14:textFill>
        </w:rPr>
      </w:pPr>
    </w:p>
    <w:p w14:paraId="2FB84780">
      <w:p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14:textFill>
            <w14:solidFill>
              <w14:schemeClr w14:val="tx1"/>
            </w14:solidFill>
          </w14:textFill>
        </w:rPr>
        <w:t>In this conflicting narrative environment, this study proposes two research questions: 1) How is the current state of Sishu education in China? 2) What is the Chinese government's attitude towards Sishu education and why? These two questions are crucial not only for understanding the revival of traditional educational practices but also for understanding their role and significance in the contemporary Chinese educational context. Question 1 aims to assess the effectiveness of modern Sishu in meeting the needs of today's students, particularly in terms of moral education, creativity development and socialisation. Question 2 aims to investigate the Chinese government's attitude towards modern Sishu education and why they hold this position. In China, modern Sishu's legal status remains ambiguous, and their lack of official recognition has led to complex relationships between mainstream education and Sishu education. As Billioud and Thoraval (2015) highlight, governments often hold ambivalent attitudes towards non-state education models such as modern Sishu, seeing them as a potential complement to the mainstream system but also as a challenge to state control. Understanding the government's attitude towards Sishu is crucial to assessing the long-term viability of Sishu institutions and their potential to fit into China's broader educational reform agenda.</w:t>
      </w:r>
    </w:p>
    <w:p w14:paraId="4B9BB345">
      <w:pPr>
        <w:spacing w:line="360" w:lineRule="auto"/>
        <w:rPr>
          <w:rFonts w:ascii="Times New Roman" w:hAnsi="Times New Roman"/>
          <w:color w:val="000000" w:themeColor="text1"/>
          <w:sz w:val="24"/>
          <w14:textFill>
            <w14:solidFill>
              <w14:schemeClr w14:val="tx1"/>
            </w14:solidFill>
          </w14:textFill>
        </w:rPr>
      </w:pPr>
    </w:p>
    <w:p w14:paraId="2F3939A1">
      <w:pPr>
        <w:spacing w:line="360" w:lineRule="auto"/>
      </w:pPr>
      <w:r>
        <w:rPr>
          <w:rFonts w:ascii="Times New Roman" w:hAnsi="Times New Roman"/>
          <w:color w:val="000000" w:themeColor="text1"/>
          <w:sz w:val="24"/>
          <w14:textFill>
            <w14:solidFill>
              <w14:schemeClr w14:val="tx1"/>
            </w14:solidFill>
          </w14:textFill>
        </w:rPr>
        <w:t>This study will adopt an interpretive paradigm and draw on topical literature reviews to examine the historical development and contemporary practice of Sishu education. By critically reading and examining published academic works, such as academic journal articles, monographs and relevant secondary literature such as government or organisational reports, this study aims to synthesise existing research findings, highlight areas of academic convergence and divergence, and develop a detailed understanding of how Sishu operates in contemporary China. At the same time, the researcher is also aware of some limitations of this research. As this research relies entirely on secondary sources and lacks primary, original data (e.g., interviews with Sishu educators or students), it may not capture the most up-to-date models and data on the operation of modern Sishu. This may limit the study's real-time accuracy. Moreover, secondary data might exhibit the biases of its original creators, such as an emphasis on successful Sishu case studies or certain geographical regions. This one-sided perspective may make studying the practical experiences of modern Sishu across China more challenging. To address this limitation, the researcher will critically review the opinions in all references and objectively analyse all relevant data and arguments. Despite these limitations, a topical literature review remains a valuable and insightful method for understanding the historical and current situation of Sishu education in China. This study hopes to provide a foundation for policymakers and educators seeking potential innovations within the Chinese education sector by providing a comprehensive and critical perspective on the themes and debates within the existing secondary literature.</w:t>
      </w:r>
    </w:p>
    <w:p w14:paraId="4E733D84"/>
    <w:p w14:paraId="54317557"/>
    <w:p w14:paraId="343F3D28"/>
    <w:p w14:paraId="235E33E1"/>
    <w:p w14:paraId="4E253391"/>
    <w:p w14:paraId="562D74E5">
      <w:pPr>
        <w:rPr>
          <w:rFonts w:hint="eastAsia"/>
        </w:rPr>
      </w:pPr>
    </w:p>
    <w:p w14:paraId="360BC7CC">
      <w:pPr>
        <w:pStyle w:val="2"/>
        <w:numPr>
          <w:ilvl w:val="0"/>
          <w:numId w:val="3"/>
        </w:numPr>
        <w:ind w:left="0" w:leftChars="0" w:firstLine="0" w:firstLineChars="0"/>
      </w:pPr>
      <w:bookmarkStart w:id="9" w:name="_Toc12871"/>
      <w:r>
        <w:t>METHODOLOGY</w:t>
      </w:r>
      <w:bookmarkEnd w:id="9"/>
    </w:p>
    <w:p w14:paraId="7CFCA496">
      <w:pPr>
        <w:pStyle w:val="11"/>
        <w:widowControl/>
        <w:spacing w:beforeAutospacing="0" w:afterAutospacing="0" w:line="360" w:lineRule="auto"/>
        <w:jc w:val="both"/>
        <w:rPr>
          <w:rFonts w:ascii="Times New Roman" w:hAnsi="Times New Roman"/>
          <w:color w:val="000000" w:themeColor="text1"/>
          <w:lang w:val="en-GB"/>
          <w14:textFill>
            <w14:solidFill>
              <w14:schemeClr w14:val="tx1"/>
            </w14:solidFill>
          </w14:textFill>
        </w:rPr>
      </w:pPr>
      <w:r>
        <w:rPr>
          <w:rFonts w:ascii="Times New Roman" w:hAnsi="Times New Roman" w:eastAsiaTheme="minorEastAsia"/>
          <w:color w:val="000000" w:themeColor="text1"/>
          <w:kern w:val="2"/>
          <w:szCs w:val="24"/>
          <w:lang w:val="en-GB"/>
          <w14:textFill>
            <w14:solidFill>
              <w14:schemeClr w14:val="tx1"/>
            </w14:solidFill>
          </w14:textFill>
        </w:rPr>
        <w:t>Since the choice of paradigm determines the intention, motivation and expectations of the research, it is necessary to first clarify the paradigm of this research, which will serve as a basis for the subsequent choice of methodology, methods and literature (Mackenzie and Knipe, 2006). This study adopts an interpretive paradigm, recognizing that social and educational phenomena, such as modern Sishu, are influenced by cultural, historical, and contextual factors (Merriam &amp; Tisdell, 2016). The defining characteristic of interpretive paradigms is their focus on the individual and their aim to understand 'the subjective world of human experience’ (Cohen, Manion and Morrison, 20</w:t>
      </w:r>
      <w:r>
        <w:rPr>
          <w:rFonts w:hint="eastAsia" w:ascii="Times New Roman" w:hAnsi="Times New Roman" w:eastAsiaTheme="minorEastAsia"/>
          <w:color w:val="000000" w:themeColor="text1"/>
          <w:kern w:val="2"/>
          <w:szCs w:val="24"/>
          <w:lang w:val="en-US" w:eastAsia="zh-CN"/>
          <w14:textFill>
            <w14:solidFill>
              <w14:schemeClr w14:val="tx1"/>
            </w14:solidFill>
          </w14:textFill>
        </w:rPr>
        <w:t>11</w:t>
      </w:r>
      <w:bookmarkStart w:id="32" w:name="_GoBack"/>
      <w:bookmarkEnd w:id="32"/>
      <w:r>
        <w:rPr>
          <w:rFonts w:ascii="Times New Roman" w:hAnsi="Times New Roman" w:eastAsiaTheme="minorEastAsia"/>
          <w:color w:val="000000" w:themeColor="text1"/>
          <w:kern w:val="2"/>
          <w:szCs w:val="24"/>
          <w:lang w:val="en-GB"/>
          <w14:textFill>
            <w14:solidFill>
              <w14:schemeClr w14:val="tx1"/>
            </w14:solidFill>
          </w14:textFill>
        </w:rPr>
        <w:t>, p. 22), intended to show that ‘reality is socially constructed’ (Mertens, 2024, p. 11). Interpretivist researchers tend to use subjective evidence consisting of personal views, i.e. the participants' perceptions of the situation being studied, and are aware of the influence of their own backgrounds and experiences on the research</w:t>
      </w:r>
      <w:r>
        <w:rPr>
          <w:rFonts w:hint="eastAsia" w:ascii="Times New Roman" w:hAnsi="Times New Roman" w:eastAsiaTheme="minorEastAsia"/>
          <w:color w:val="000000" w:themeColor="text1"/>
          <w:kern w:val="2"/>
          <w:szCs w:val="24"/>
          <w:lang w:val="en-GB"/>
          <w14:textFill>
            <w14:solidFill>
              <w14:schemeClr w14:val="tx1"/>
            </w14:solidFill>
          </w14:textFill>
        </w:rPr>
        <w:t xml:space="preserve"> (</w:t>
      </w:r>
      <w:r>
        <w:rPr>
          <w:rFonts w:ascii="Times New Roman" w:hAnsi="Times New Roman" w:eastAsiaTheme="minorEastAsia"/>
          <w:color w:val="000000" w:themeColor="text1"/>
          <w:kern w:val="2"/>
          <w:szCs w:val="24"/>
          <w:lang w:val="en-GB"/>
          <w14:textFill>
            <w14:solidFill>
              <w14:schemeClr w14:val="tx1"/>
            </w14:solidFill>
          </w14:textFill>
        </w:rPr>
        <w:t>Creswell, 2013, p.20</w:t>
      </w:r>
      <w:r>
        <w:rPr>
          <w:rFonts w:hint="eastAsia" w:ascii="Times New Roman" w:hAnsi="Times New Roman" w:eastAsiaTheme="minorEastAsia"/>
          <w:color w:val="000000" w:themeColor="text1"/>
          <w:kern w:val="2"/>
          <w:szCs w:val="24"/>
          <w:lang w:val="en-GB"/>
          <w14:textFill>
            <w14:solidFill>
              <w14:schemeClr w14:val="tx1"/>
            </w14:solidFill>
          </w14:textFill>
        </w:rPr>
        <w:t>). Since t</w:t>
      </w:r>
      <w:r>
        <w:rPr>
          <w:rFonts w:ascii="Times New Roman" w:hAnsi="Times New Roman" w:eastAsiaTheme="minorEastAsia"/>
          <w:color w:val="000000" w:themeColor="text1"/>
          <w:kern w:val="2"/>
          <w:szCs w:val="24"/>
          <w:lang w:val="en-GB"/>
          <w14:textFill>
            <w14:solidFill>
              <w14:schemeClr w14:val="tx1"/>
            </w14:solidFill>
          </w14:textFill>
        </w:rPr>
        <w:t>he aim of this study is to understand an educational phenomenon that is socially constructed in a particular context</w:t>
      </w:r>
      <w:r>
        <w:rPr>
          <w:rFonts w:hint="eastAsia" w:ascii="Times New Roman" w:hAnsi="Times New Roman"/>
          <w:color w:val="000000" w:themeColor="text1"/>
          <w:kern w:val="2"/>
          <w:lang w:val="en-GB"/>
          <w14:textFill>
            <w14:solidFill>
              <w14:schemeClr w14:val="tx1"/>
            </w14:solidFill>
          </w14:textFill>
        </w:rPr>
        <w:t xml:space="preserve">, </w:t>
      </w:r>
      <w:r>
        <w:rPr>
          <w:rFonts w:hint="eastAsia" w:ascii="Times New Roman" w:hAnsi="Times New Roman" w:eastAsiaTheme="minorEastAsia"/>
          <w:color w:val="000000" w:themeColor="text1"/>
          <w:kern w:val="2"/>
          <w:szCs w:val="24"/>
          <w:lang w:val="en-GB"/>
          <w14:textFill>
            <w14:solidFill>
              <w14:schemeClr w14:val="tx1"/>
            </w14:solidFill>
          </w14:textFill>
        </w:rPr>
        <w:t>therefore,</w:t>
      </w:r>
      <w:r>
        <w:rPr>
          <w:rFonts w:ascii="Times New Roman" w:hAnsi="Times New Roman" w:eastAsiaTheme="minorEastAsia"/>
          <w:color w:val="000000" w:themeColor="text1"/>
          <w:kern w:val="2"/>
          <w:szCs w:val="24"/>
          <w:lang w:val="en-GB"/>
          <w14:textFill>
            <w14:solidFill>
              <w14:schemeClr w14:val="tx1"/>
            </w14:solidFill>
          </w14:textFill>
        </w:rPr>
        <w:t xml:space="preserve"> the interpretivist research </w:t>
      </w:r>
      <w:r>
        <w:rPr>
          <w:rFonts w:ascii="Times New Roman" w:hAnsi="Times New Roman"/>
          <w:color w:val="000000" w:themeColor="text1"/>
          <w:lang w:val="en-GB"/>
          <w14:textFill>
            <w14:solidFill>
              <w14:schemeClr w14:val="tx1"/>
            </w14:solidFill>
          </w14:textFill>
        </w:rPr>
        <w:t>paradigm was chosen as the guiding principle of this study.</w:t>
      </w:r>
      <w:r>
        <w:rPr>
          <w:rFonts w:hint="eastAsia" w:ascii="Times New Roman" w:hAnsi="Times New Roman"/>
          <w:color w:val="000000" w:themeColor="text1"/>
          <w:lang w:val="en-GB"/>
          <w14:textFill>
            <w14:solidFill>
              <w14:schemeClr w14:val="tx1"/>
            </w14:solidFill>
          </w14:textFill>
        </w:rPr>
        <w:t xml:space="preserve"> </w:t>
      </w:r>
      <w:r>
        <w:rPr>
          <w:rFonts w:ascii="Times New Roman" w:hAnsi="Times New Roman"/>
          <w:color w:val="000000" w:themeColor="text1"/>
          <w:lang w:val="en-GB"/>
          <w14:textFill>
            <w14:solidFill>
              <w14:schemeClr w14:val="tx1"/>
            </w14:solidFill>
          </w14:textFill>
        </w:rPr>
        <w:t>Under this paradigm, knowledge is constructed through understanding multiple perspectives and interpreting various sociocultural dynamics, making secondary sources crucial for capturing the diversity of viewpoints around modern Sishu education.</w:t>
      </w:r>
    </w:p>
    <w:p w14:paraId="034319A3">
      <w:pPr>
        <w:pStyle w:val="11"/>
        <w:widowControl/>
        <w:spacing w:beforeAutospacing="0" w:afterAutospacing="0" w:line="360" w:lineRule="auto"/>
        <w:jc w:val="both"/>
        <w:rPr>
          <w:rFonts w:ascii="Times New Roman" w:hAnsi="Times New Roman"/>
          <w:color w:val="000000" w:themeColor="text1"/>
          <w:lang w:val="en-GB"/>
          <w14:textFill>
            <w14:solidFill>
              <w14:schemeClr w14:val="tx1"/>
            </w14:solidFill>
          </w14:textFill>
        </w:rPr>
      </w:pPr>
    </w:p>
    <w:p w14:paraId="403B4188">
      <w:pPr>
        <w:pStyle w:val="11"/>
        <w:widowControl/>
        <w:spacing w:beforeAutospacing="0" w:afterAutospacing="0" w:line="360" w:lineRule="auto"/>
        <w:jc w:val="both"/>
        <w:rPr>
          <w:rFonts w:ascii="Times New Roman" w:hAnsi="Times New Roman"/>
          <w:color w:val="000000" w:themeColor="text1"/>
          <w:lang w:val="en-GB"/>
          <w14:textFill>
            <w14:solidFill>
              <w14:schemeClr w14:val="tx1"/>
            </w14:solidFill>
          </w14:textFill>
        </w:rPr>
      </w:pPr>
      <w:r>
        <w:rPr>
          <w:rFonts w:ascii="Times New Roman" w:hAnsi="Times New Roman"/>
          <w:color w:val="000000" w:themeColor="text1"/>
          <w:lang w:val="en-GB"/>
          <w14:textFill>
            <w14:solidFill>
              <w14:schemeClr w14:val="tx1"/>
            </w14:solidFill>
          </w14:textFill>
        </w:rPr>
        <w:t xml:space="preserve">Methodologically, a topical literature review offers a focused yet comprehensive approach to examining specific themes and questions within a designated subject area. Unlike a traditional narrative review or systematic review, which can be broad and sometimes superficial, a topical literature review delves deeply into a set of clearly defined research questions or themes (Randolph, 2009). This method has particular advantages in the context of modern Sishu education in China. By synthesizing scholarship that specifically addresses modern Sishu education, it becomes possible to illuminate critical facets such as curriculum design, pedagogical methods, community perceptions, regulatory frameworks, and government attitudes. In addition, the topical literature review was conducted in a manner consistent with the interpretive paradigm. Modern Sishu education is intricately connected to cultural, historical, and ideological contexts, making an interpretive paradigm suitable for this research (Creswell, 2013, p.24-25). The interpretive paradigm values the analysis of social constructs and meanings, and a topical literature review is well positioned to capture how scholars across disciplines conceptualize and study Sishu. By focusing on key themes—such </w:t>
      </w:r>
      <w:r>
        <w:rPr>
          <w:rFonts w:ascii="Times New Roman" w:hAnsi="Times New Roman" w:eastAsiaTheme="minorEastAsia"/>
          <w:color w:val="000000" w:themeColor="text1"/>
          <w:kern w:val="2"/>
          <w:szCs w:val="24"/>
          <w:lang w:val="en-GB"/>
          <w14:textFill>
            <w14:solidFill>
              <w14:schemeClr w14:val="tx1"/>
            </w14:solidFill>
          </w14:textFill>
        </w:rPr>
        <w:t xml:space="preserve">as revitalized Confucian pedagogy, the interplay between private and state education, and governmental policies—a topical review could provide a nuanced understanding of the phenomenon from multiple angles. More </w:t>
      </w:r>
      <w:r>
        <w:rPr>
          <w:rFonts w:ascii="Times New Roman" w:hAnsi="Times New Roman"/>
          <w:color w:val="000000" w:themeColor="text1"/>
          <w:kern w:val="2"/>
          <w:lang w:val="en-GB"/>
          <w14:textFill>
            <w14:solidFill>
              <w14:schemeClr w14:val="tx1"/>
            </w14:solidFill>
          </w14:textFill>
        </w:rPr>
        <w:t>important</w:t>
      </w:r>
      <w:r>
        <w:rPr>
          <w:rFonts w:ascii="Times New Roman" w:hAnsi="Times New Roman" w:eastAsiaTheme="minorEastAsia"/>
          <w:color w:val="000000" w:themeColor="text1"/>
          <w:kern w:val="2"/>
          <w:szCs w:val="24"/>
          <w:lang w:val="en-GB"/>
          <w14:textFill>
            <w14:solidFill>
              <w14:schemeClr w14:val="tx1"/>
            </w14:solidFill>
          </w14:textFill>
        </w:rPr>
        <w:t xml:space="preserve">, modern Sishu cannot be fully understood without acknowledging its historical roots in Confucian academies and the contemporary socio-political climate that shapes its revival (Gilgan, 2023). A topical review allows for a diachronic exploration of how Sishu has transitioned from past to present, integrating classical and modern scholarship to show the evolution of both public discourse and state policy regarding Sishu education. The consolidation of thematically related studies aids in translating academic insights into actionable knowledge for </w:t>
      </w:r>
      <w:r>
        <w:rPr>
          <w:rFonts w:ascii="Times New Roman" w:hAnsi="Times New Roman"/>
          <w:color w:val="000000" w:themeColor="text1"/>
          <w:kern w:val="2"/>
          <w:lang w:val="en-GB"/>
          <w14:textFill>
            <w14:solidFill>
              <w14:schemeClr w14:val="tx1"/>
            </w14:solidFill>
          </w14:textFill>
        </w:rPr>
        <w:t>policymakers</w:t>
      </w:r>
      <w:r>
        <w:rPr>
          <w:rFonts w:ascii="Times New Roman" w:hAnsi="Times New Roman" w:eastAsiaTheme="minorEastAsia"/>
          <w:color w:val="000000" w:themeColor="text1"/>
          <w:kern w:val="2"/>
          <w:szCs w:val="24"/>
          <w:lang w:val="en-GB"/>
          <w14:textFill>
            <w14:solidFill>
              <w14:schemeClr w14:val="tx1"/>
            </w14:solidFill>
          </w14:textFill>
        </w:rPr>
        <w:t>, educators, and stakeholders. When the literature is organi</w:t>
      </w:r>
      <w:r>
        <w:rPr>
          <w:rFonts w:hint="eastAsia" w:ascii="Times New Roman" w:hAnsi="Times New Roman"/>
          <w:color w:val="000000" w:themeColor="text1"/>
          <w:kern w:val="2"/>
          <w:lang w:val="en-GB"/>
          <w14:textFill>
            <w14:solidFill>
              <w14:schemeClr w14:val="tx1"/>
            </w14:solidFill>
          </w14:textFill>
        </w:rPr>
        <w:t>s</w:t>
      </w:r>
      <w:r>
        <w:rPr>
          <w:rFonts w:ascii="Times New Roman" w:hAnsi="Times New Roman" w:eastAsiaTheme="minorEastAsia"/>
          <w:color w:val="000000" w:themeColor="text1"/>
          <w:kern w:val="2"/>
          <w:szCs w:val="24"/>
          <w:lang w:val="en-GB"/>
          <w14:textFill>
            <w14:solidFill>
              <w14:schemeClr w14:val="tx1"/>
            </w14:solidFill>
          </w14:textFill>
        </w:rPr>
        <w:t xml:space="preserve">ed around pressing themes—such as regulation, teaching quality, and cultural </w:t>
      </w:r>
      <w:r>
        <w:rPr>
          <w:rFonts w:ascii="Times New Roman" w:hAnsi="Times New Roman"/>
          <w:color w:val="000000" w:themeColor="text1"/>
          <w:kern w:val="2"/>
          <w:lang w:val="en-GB"/>
          <w14:textFill>
            <w14:solidFill>
              <w14:schemeClr w14:val="tx1"/>
            </w14:solidFill>
          </w14:textFill>
        </w:rPr>
        <w:t xml:space="preserve">transmission, </w:t>
      </w:r>
      <w:r>
        <w:rPr>
          <w:rFonts w:ascii="Times New Roman" w:hAnsi="Times New Roman" w:eastAsiaTheme="minorEastAsia"/>
          <w:color w:val="000000" w:themeColor="text1"/>
          <w:kern w:val="2"/>
          <w:szCs w:val="24"/>
          <w:lang w:val="en-GB"/>
          <w14:textFill>
            <w14:solidFill>
              <w14:schemeClr w14:val="tx1"/>
            </w14:solidFill>
          </w14:textFill>
        </w:rPr>
        <w:t>recommendations and implications become more accessible and directly tied to practical concerns.</w:t>
      </w:r>
    </w:p>
    <w:p w14:paraId="3C4DC48B">
      <w:pPr>
        <w:spacing w:line="360" w:lineRule="auto"/>
        <w:rPr>
          <w:rFonts w:ascii="Times New Roman" w:hAnsi="Times New Roman"/>
          <w:color w:val="000000" w:themeColor="text1"/>
          <w:sz w:val="24"/>
          <w14:textFill>
            <w14:solidFill>
              <w14:schemeClr w14:val="tx1"/>
            </w14:solidFill>
          </w14:textFill>
        </w:rPr>
      </w:pPr>
    </w:p>
    <w:p w14:paraId="0E79D394">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Although this study is based on secondary data and does not involve direct interaction with human participants, ethical considerations still play a central role. The primary ethical concern in this research is ensuring academic integrity through proper citation of all sources. As a literature-based study, it is imperative to give credit to the original authors whose work has contributed to the development of the research field. This includes citing all journal articles, books, policy documents, and other scholarly works used in the review, thus upholding the principles of intellectual honesty and avoiding plagiarism (BERA, 2018).</w:t>
      </w:r>
    </w:p>
    <w:p w14:paraId="72B68863">
      <w:pPr>
        <w:spacing w:line="360" w:lineRule="auto"/>
        <w:rPr>
          <w:rFonts w:ascii="Times New Roman" w:hAnsi="Times New Roman"/>
          <w:color w:val="000000" w:themeColor="text1"/>
          <w:sz w:val="24"/>
          <w14:textFill>
            <w14:solidFill>
              <w14:schemeClr w14:val="tx1"/>
            </w14:solidFill>
          </w14:textFill>
        </w:rPr>
      </w:pPr>
    </w:p>
    <w:p w14:paraId="5F9B43EF">
      <w:pPr>
        <w:pStyle w:val="3"/>
        <w:numPr>
          <w:ilvl w:val="1"/>
          <w:numId w:val="3"/>
        </w:numPr>
      </w:pPr>
      <w:bookmarkStart w:id="10" w:name="_Toc7913"/>
      <w:r>
        <w:t>Database</w:t>
      </w:r>
      <w:bookmarkEnd w:id="10"/>
    </w:p>
    <w:p w14:paraId="628A1F55">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Since this study is a review of educational research, I first chose the ERIC (Education Resources Information Centre) database as the search engine. Sponsored by the U.S. Department of Education's Institute of Educational Sciences. Given that the focus of this study is to discover and clarify the phenomenon of modern Sishu education in China, which involves the reference to many current literatures in the field of education in the East and the West, the ERIC database can provide the necessary reference materials for this study and help researchers achieve the research objectives. Scopus was chosen as a search database for this research due to its comprehensive coverage, multidisciplinary scope, and robust citation tools. Scopus indexes thousands of peer-reviewed journals, conference proceedings, and books across a wide range of academic fields, ensuring that relevant literature from education, social sciences, and related disciplines can be systematically identified (Mongeon &amp; Paul-Hus, 2016). This breadth of coverage is particularly valuable when exploring complex, interdisciplinary topics such as modern Sishu education in China, which may appear in journals spanning educational policy, cultural studies and more. </w:t>
      </w:r>
    </w:p>
    <w:p w14:paraId="67E0F537">
      <w:pPr>
        <w:spacing w:line="360" w:lineRule="auto"/>
        <w:rPr>
          <w:rFonts w:ascii="Times New Roman" w:hAnsi="Times New Roman"/>
          <w:color w:val="000000" w:themeColor="text1"/>
          <w:sz w:val="24"/>
          <w14:textFill>
            <w14:solidFill>
              <w14:schemeClr w14:val="tx1"/>
            </w14:solidFill>
          </w14:textFill>
        </w:rPr>
      </w:pPr>
    </w:p>
    <w:p w14:paraId="3C2C2A0E">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Google Scholar is a widely used academic search engine that aggregates scholarly articles, theses, books, conference papers, and reports from numerous disciplines. It was chosen for this study because of its comprehensive coverage of both Western and Chinese academic outputs on Sishu education, as well as educational research in general. Research evidence shows that almost all citations found by Web of Science and Scopus can be identified by Google Schoolar. Not only that, but Google Schoolar found many unique citations not indexed in other databases, more than 50% of all citations in the field ((Martín-Martín, Orduna-Malea and Delgado López-Cózar, 2018)). CNKI (China National Knowledge Infrastructure) is one of the largest and most authoritative academic databases in China. It offers full-text access to journal articles, dissertations, conference papers, and statistical data published in Chinese (Liu, 2024). Since Sishu education is a China-specific phenomenon, using CNKI ensures coverage of local research, policy documents, and historical records that may not be readily available in English-language databases.</w:t>
      </w:r>
    </w:p>
    <w:p w14:paraId="05562438">
      <w:pPr>
        <w:spacing w:line="360" w:lineRule="auto"/>
        <w:rPr>
          <w:rFonts w:ascii="Times New Roman" w:hAnsi="Times New Roman"/>
          <w:color w:val="000000" w:themeColor="text1"/>
          <w:sz w:val="24"/>
          <w14:textFill>
            <w14:solidFill>
              <w14:schemeClr w14:val="tx1"/>
            </w14:solidFill>
          </w14:textFill>
        </w:rPr>
      </w:pPr>
    </w:p>
    <w:p w14:paraId="54B8369C">
      <w:pPr>
        <w:pStyle w:val="3"/>
        <w:numPr>
          <w:ilvl w:val="1"/>
          <w:numId w:val="3"/>
        </w:numPr>
        <w:ind w:left="0" w:leftChars="0" w:firstLine="0" w:firstLineChars="0"/>
      </w:pPr>
      <w:bookmarkStart w:id="11" w:name="_Toc32416"/>
      <w:r>
        <w:t>Inclusion and Exclusion Criteria</w:t>
      </w:r>
      <w:bookmarkEnd w:id="11"/>
    </w:p>
    <w:p w14:paraId="3A13D657">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Before introducing the inclusion and exclusion criteria to select sources, an issue of the term Sishu should be brought up. One of the aims of this study is to clarify the term ‘modern Sishu education’. However, modern Sishu education is very similar to Western homeschooling in terms of concept. They have many things in common in terms of philosophy, practice, and causes. Nevertheless, modern Sishu education in China should not simply be incorporated into the Western framework of homeschooling, but rather must be interpreted in the context of Chinese history and culture. Currently, most of the English literature refers to modern Sishu education as a form of homeschooling; Many Chinese literature and Chinese scholars also refer to it as a simple form of homeschooling. This results in a limited number of publications in English literature using the term ‘Sishu’ in their titles or keywords. Especially in Scopus, the concept of Sishu education almost appears under the title ‘homeschooling’, even sometimes confused with ‘home education’. Nevertheless, there are some empirical studies that can be used as a reference for the definition of Sishu education in this study. These studies can help readers understand Sishu education, and support the development of this study. Since there are many conceptual similarities between modern Chinese Sishu education and Western ‘homeschooling’, this study will use the research literature on ‘homeschooling’ in China as one of the references for modern Sishu education. In other words, this study will use both Chinese and English literature with ‘home schooling’ as the keyword or related concepts as an interpretation and comparative reference for Sishu education in China.</w:t>
      </w:r>
    </w:p>
    <w:p w14:paraId="26128F04">
      <w:pPr>
        <w:spacing w:line="360" w:lineRule="auto"/>
        <w:rPr>
          <w:rFonts w:ascii="Times New Roman" w:hAnsi="Times New Roman"/>
          <w:color w:val="000000" w:themeColor="text1"/>
          <w:sz w:val="24"/>
          <w14:textFill>
            <w14:solidFill>
              <w14:schemeClr w14:val="tx1"/>
            </w14:solidFill>
          </w14:textFill>
        </w:rPr>
      </w:pPr>
    </w:p>
    <w:p w14:paraId="310543E7">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According to the basic principles of literature review (Randolph, 2009), this study needs to comprehensively cover secondary data that are highly relevant to the research question. The research question focuses on the current development status of Sishu education, the difference from national education, and the government’s attitude and causes. Therefore, the selected literature should be closely cantered on:</w:t>
      </w:r>
    </w:p>
    <w:p w14:paraId="320AB848">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(1) Modern Sishu education: scholars’ definition of Sishu education, their forms of operation, curriculum structure, teaching methods, and their relationship with the Confucian tradition .</w:t>
      </w:r>
    </w:p>
    <w:p w14:paraId="604C60F2">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w:t>
      </w:r>
      <w:r>
        <w:rPr>
          <w:rFonts w:hint="eastAsia" w:ascii="Times New Roman" w:hAnsi="Times New Roman"/>
          <w:color w:val="000000" w:themeColor="text1"/>
          <w:sz w:val="24"/>
          <w14:textFill>
            <w14:solidFill>
              <w14:schemeClr w14:val="tx1"/>
            </w14:solidFill>
          </w14:textFill>
        </w:rPr>
        <w:t>2</w:t>
      </w:r>
      <w:r>
        <w:rPr>
          <w:rFonts w:ascii="Times New Roman" w:hAnsi="Times New Roman"/>
          <w:color w:val="000000" w:themeColor="text1"/>
          <w:sz w:val="24"/>
          <w14:textFill>
            <w14:solidFill>
              <w14:schemeClr w14:val="tx1"/>
            </w14:solidFill>
          </w14:textFill>
        </w:rPr>
        <w:t>) Government policies and social and cultural environment: local and central government supervision and support measures for Sishu, support or doubt from public opinion, and the historical and cultural logic behind them.</w:t>
      </w:r>
    </w:p>
    <w:p w14:paraId="6D3005FE">
      <w:pPr>
        <w:spacing w:line="360" w:lineRule="auto"/>
        <w:rPr>
          <w:rFonts w:ascii="Times New Roman" w:hAnsi="Times New Roman"/>
          <w:color w:val="000000" w:themeColor="text1"/>
          <w:sz w:val="24"/>
          <w14:textFill>
            <w14:solidFill>
              <w14:schemeClr w14:val="tx1"/>
            </w14:solidFill>
          </w14:textFill>
        </w:rPr>
      </w:pPr>
    </w:p>
    <w:p w14:paraId="6662D88F">
      <w:pPr>
        <w:pStyle w:val="3"/>
        <w:numPr>
          <w:ilvl w:val="1"/>
          <w:numId w:val="3"/>
        </w:numPr>
        <w:ind w:left="0" w:leftChars="0" w:firstLine="0" w:firstLineChars="0"/>
      </w:pPr>
      <w:bookmarkStart w:id="12" w:name="_Toc8855"/>
      <w:r>
        <w:t>Inclusion Criteria</w:t>
      </w:r>
      <w:bookmarkEnd w:id="12"/>
    </w:p>
    <w:p w14:paraId="791AC661">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By searching the academic works, peer-reviewed journal articles, and policy documents in the above dimensions, the researcher could ensure a more systematic and three-dimensional understanding of the topic of Sishu education, and provide sufficient theoretical and factual evidence for the research questions (Booth, Sutton, </w:t>
      </w:r>
      <w:r>
        <w:rPr>
          <w:rFonts w:hint="eastAsia" w:ascii="Times New Roman" w:hAnsi="Times New Roman"/>
          <w:color w:val="000000" w:themeColor="text1"/>
          <w:sz w:val="24"/>
          <w14:textFill>
            <w14:solidFill>
              <w14:schemeClr w14:val="tx1"/>
            </w14:solidFill>
          </w14:textFill>
        </w:rPr>
        <w:t>and</w:t>
      </w:r>
      <w:r>
        <w:rPr>
          <w:rFonts w:ascii="Times New Roman" w:hAnsi="Times New Roman"/>
          <w:color w:val="000000" w:themeColor="text1"/>
          <w:sz w:val="24"/>
          <w14:textFill>
            <w14:solidFill>
              <w14:schemeClr w14:val="tx1"/>
            </w14:solidFill>
          </w14:textFill>
        </w:rPr>
        <w:t xml:space="preserve"> Papaioannou, 2016). In theory, Sishu education is closely related to the influence of Confucianism on educational concepts and curriculum settings, and also involves classic sociological frameworks such as cultural capital and social reproduction theory (Bourdieu, 1977; Chen </w:t>
      </w:r>
      <w:r>
        <w:rPr>
          <w:rFonts w:hint="eastAsia" w:ascii="Times New Roman" w:hAnsi="Times New Roman"/>
          <w:color w:val="000000" w:themeColor="text1"/>
          <w:sz w:val="24"/>
          <w14:textFill>
            <w14:solidFill>
              <w14:schemeClr w14:val="tx1"/>
            </w14:solidFill>
          </w14:textFill>
        </w:rPr>
        <w:t>and</w:t>
      </w:r>
      <w:r>
        <w:rPr>
          <w:rFonts w:ascii="Times New Roman" w:hAnsi="Times New Roman"/>
          <w:color w:val="000000" w:themeColor="text1"/>
          <w:sz w:val="24"/>
          <w14:textFill>
            <w14:solidFill>
              <w14:schemeClr w14:val="tx1"/>
            </w14:solidFill>
          </w14:textFill>
        </w:rPr>
        <w:t xml:space="preserve"> Li, 2019; Sheng, 2020). In practice, Sishu education is often affected by local policies, social opinions and economic market demand, its rise and fall is closely related to macro factors such as government regulation, market-oriented reforms, and changes in educational demand (Yu, 2013; Qin, 2021). Therefore, when selecting literature, I will also take into account both theoretical rigor and empirical support.</w:t>
      </w:r>
    </w:p>
    <w:p w14:paraId="13396EAD">
      <w:pPr>
        <w:spacing w:line="360" w:lineRule="auto"/>
        <w:rPr>
          <w:rFonts w:ascii="Times New Roman" w:hAnsi="Times New Roman"/>
          <w:color w:val="000000" w:themeColor="text1"/>
          <w:sz w:val="24"/>
          <w14:textFill>
            <w14:solidFill>
              <w14:schemeClr w14:val="tx1"/>
            </w14:solidFill>
          </w14:textFill>
        </w:rPr>
      </w:pPr>
    </w:p>
    <w:p w14:paraId="1D57AB02">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Only sources directly relating to Sishu education, homeschooling in China, or the Chinese government’s educational policy were included. Priority was given to works published in reputable, peer-reviewed academic journals, as well as authoritative bodies (e.g., the Ministry of Education, UNESCO). This ensures the reliability and scholarly rigor of the data and interpretations (Booth et al., 2016). Due to the fact that ‘home schooling’ is a new concept that emerged in China in the 2000s, the main corpus concentrated on publications post-2000 to capture the contemporary revival and reforms of Sishu education. Earlier works were included only if they significantly illuminated the historical evolution of Sishu education, relevant to the current context. Since this research aims to present an accurate portrayal of the modern Sishu education, it was crucial to incorporate both Chinese-language sources (via CNKI) and English-language scholarship, ensuring a more comprehensive perspective. Studies that demonstrated clear methodologies, robust data collection, and coherent theoretical grounding were given priority. Media reports were included only when from reputable outlets such as Xinhua or China Daily, especially if they corroborated policy changes or official statements. Qualitative, quantitative, and mixed-methods research were all considered, provided they directly addressed aspects of Sishu education or private education policy.</w:t>
      </w:r>
    </w:p>
    <w:p w14:paraId="47481C21">
      <w:pPr>
        <w:spacing w:line="360" w:lineRule="auto"/>
        <w:rPr>
          <w:rFonts w:ascii="Times New Roman" w:hAnsi="Times New Roman"/>
          <w:color w:val="000000" w:themeColor="text1"/>
          <w:sz w:val="24"/>
          <w14:textFill>
            <w14:solidFill>
              <w14:schemeClr w14:val="tx1"/>
            </w14:solidFill>
          </w14:textFill>
        </w:rPr>
      </w:pPr>
    </w:p>
    <w:p w14:paraId="346C04DE">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Use ‘homeschooling’ as the search keyword on Google Schoolar. Select Advanced Search and set the keyword search scope to ‘anywhere in the article’. Enter ‘homeschooling’ as the keyword in the ‘contains all words’ column and ‘China’ as the keyword in the ‘contains at least one word’ column. Search these two keywords at the same time and you will get 16,000 relevant results. Without changing the keywords, select the ‘all in title’ option. The result will be 10 articles whose titles contain both keywords. The titles of these 10 articles all contain homeschooling and China, which are highly relevant to the topic of this study. A search for the keyword ‘homeschooling’ on Scopus yielded 66 results. I excluded 12 articles on forced homeschooling in the context of the pandemic, as this situation is not the same as homeschooling that has voluntarily opted out of the national compulsory education system and is not subject to review in this study. 3 studies on homeschooling children with autism and children with learning disabilities will be used to illustrate one of the possible reasons for choosing homeschooling. However, they cannot be used as a typical reason for choosing homeschooling, especially in the trend of homeschooling in China. Among them, there are also 2 cases of homeschooling of gifted children or children with some kind of talent, which do not account for the majority of the entire modern homeschooling trend, so it cannot explain most parents' motivation to choose homeschooling. However, as an objective phenomenon, they are worthy of being known to the reader. 20 articles on the topics of substance abuse, educational dialectics, and topics that have little to do with the concept and empirical research of homeschooling are also excluded. In the end, 28 results were obtained that were most relevant to the research theme. There were only 4 studies on homeschooling in China. Searching for Chinese literature with the keyword ‘Modern Sishu’ on CNKI, the total result is 100 pieces of literature, but not all of them are related to the topic of this study, for example, some are related to folk traditions, traditional classics and other topics. Therefore, I used CNKI's exclusion tool to only select ‘Modern Sishu’ and ‘Sishu education’ as the main topics to narrow the scope of literature, and limit the year of the paper to the period from 2000 to 2024. With this operation, the number of Chinese literatures was reduced to a total of 60 articles. These included 21 academic journals, 2 degree theories, 2 conferences, 13 newspapers, and 22 special journals. By reading the abstracts and keywords of these literatures, and excluding the literature that is not related to the research topic, such as ‘children's art education’ and other topics, 12 academic journals, 1 academic paper, and 11 featured journals related to this research topic were finally filtered out. Searching for literature with the keyword ‘Modern Sishu’ in Eric showed no results. The search for ‘Sishu’ also returned no results. When changing the keyword to ‘Study at home and in China’, 276,050 relevant literatures appeared, and 156,510 articles were peer reviewed. However, based on a rough review of the titles of these articles, it was found that there were few articles related to the research topic. </w:t>
      </w:r>
      <w:r>
        <w:rPr>
          <w:rFonts w:hint="eastAsia" w:ascii="Times New Roman" w:hAnsi="Times New Roman"/>
          <w:color w:val="000000" w:themeColor="text1"/>
          <w:sz w:val="24"/>
          <w14:textFill>
            <w14:solidFill>
              <w14:schemeClr w14:val="tx1"/>
            </w14:solidFill>
          </w14:textFill>
        </w:rPr>
        <w:t>Therefore,</w:t>
      </w:r>
      <w:r>
        <w:rPr>
          <w:rFonts w:ascii="Times New Roman" w:hAnsi="Times New Roman"/>
          <w:color w:val="000000" w:themeColor="text1"/>
          <w:sz w:val="24"/>
          <w14:textFill>
            <w14:solidFill>
              <w14:schemeClr w14:val="tx1"/>
            </w14:solidFill>
          </w14:textFill>
        </w:rPr>
        <w:t xml:space="preserve"> I decided to change the keyword to ‘homeschooling and China’, and the search results only had 6 relevant articles, and after reading the abstracts of 6 articles, I finally identified that only 1 article was related to modern Sishu in China.</w:t>
      </w:r>
    </w:p>
    <w:p w14:paraId="2F037B30">
      <w:pPr>
        <w:spacing w:line="360" w:lineRule="auto"/>
        <w:rPr>
          <w:rFonts w:ascii="Times New Roman" w:hAnsi="Times New Roman"/>
          <w:color w:val="000000" w:themeColor="text1"/>
          <w:sz w:val="24"/>
          <w14:textFill>
            <w14:solidFill>
              <w14:schemeClr w14:val="tx1"/>
            </w14:solidFill>
          </w14:textFill>
        </w:rPr>
      </w:pPr>
    </w:p>
    <w:p w14:paraId="33999F4E">
      <w:pPr>
        <w:pStyle w:val="3"/>
        <w:numPr>
          <w:ilvl w:val="1"/>
          <w:numId w:val="3"/>
        </w:numPr>
        <w:spacing w:line="360" w:lineRule="auto"/>
        <w:ind w:left="0" w:leftChars="0" w:firstLine="0" w:firstLineChars="0"/>
      </w:pPr>
      <w:bookmarkStart w:id="13" w:name="_Toc4495"/>
      <w:r>
        <w:t>Exclusion Criteria</w:t>
      </w:r>
      <w:bookmarkEnd w:id="13"/>
    </w:p>
    <w:p w14:paraId="27813606">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Materials focusing on broader homeschooling education or Confucian philosophy without mention or clear relevance to Sishu education were excluded. Articles that merely mentioned Sishu in passing without in-depth exploration were excluded to maintain focus. Opinion editorials or unverified news items lacking supporting data or formal interviews were excluded to maintain academic integrity (Brunton, 2020). Duplicate studies encountered across databases, or repeated findings from the same authors in multiple articles, were consolidated to avoid redundancy (Booth et al., 2016). Works failing to provide methodological clarity (e.g., unsubstantiated claims, anecdotal evidence without data) were excluded to ensure the quality of this review (Qin, 2021).</w:t>
      </w:r>
    </w:p>
    <w:p w14:paraId="230250FC">
      <w:pPr>
        <w:spacing w:line="360" w:lineRule="auto"/>
        <w:rPr>
          <w:rFonts w:ascii="Times New Roman" w:hAnsi="Times New Roman"/>
          <w:color w:val="000000" w:themeColor="text1"/>
          <w:sz w:val="24"/>
          <w14:textFill>
            <w14:solidFill>
              <w14:schemeClr w14:val="tx1"/>
            </w14:solidFill>
          </w14:textFill>
        </w:rPr>
      </w:pPr>
    </w:p>
    <w:p w14:paraId="2AE98DFE">
      <w:pPr>
        <w:pStyle w:val="3"/>
        <w:numPr>
          <w:ilvl w:val="1"/>
          <w:numId w:val="3"/>
        </w:numPr>
        <w:spacing w:line="360" w:lineRule="auto"/>
        <w:ind w:left="0" w:leftChars="0" w:firstLine="0" w:firstLineChars="0"/>
      </w:pPr>
      <w:bookmarkStart w:id="14" w:name="_Toc1918"/>
      <w:r>
        <w:t>Procedures to Analyse Sources</w:t>
      </w:r>
      <w:bookmarkEnd w:id="14"/>
    </w:p>
    <w:p w14:paraId="5CF916D3">
      <w:p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After the searches in Google Scholar, Scoups, CNKI, and Eric, an initial set of around 63 items was compiled. Each item’s title, abstract or summary, and keywords were reviewed to ascertain its direct relevance to the two research questions. For the state of Sishu education, consider whether the source provides empirical data, historical context, or descriptive accounts of Sishu education operations in China. As for government’s attitude, consider whether the source details, official policies, legal frameworks, or rhetorical stances taken by government authorities are toward Sishu education. Articles that clearly engaged with at least one of the questions were placed in a ‘potentially relevant’ folder. Those not meeting any of the consideration were moved to an ‘excluded’ folder. </w:t>
      </w:r>
    </w:p>
    <w:p w14:paraId="5AED766A">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62E4B193">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This stage is the mapping of key information from the studies selected for review.</w:t>
      </w:r>
      <w:r>
        <w:rPr>
          <w:rFonts w:hint="eastAsia" w:ascii="Times New Roman" w:hAnsi="Times New Roman"/>
          <w:color w:val="000000" w:themeColor="text1"/>
          <w:sz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(Arksey and O’Malley, 2005)</w:t>
      </w:r>
      <w:r>
        <w:rPr>
          <w:rFonts w:hint="eastAsia" w:ascii="Times New Roman" w:hAnsi="Times New Roman"/>
          <w:color w:val="000000" w:themeColor="text1"/>
          <w:sz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It is used as a common analytical framework to collect standardised information for all major studies reviewed (p. 26). The data chart for collecting information is iterative in nature, and the table may be modified multiple times throughout the process (Arksey and O’Malley，2005; Levac et al., 2010). However, it is up to the researcher to decide which categories to map. (Daudt et al., 2013)</w:t>
      </w:r>
      <w:r>
        <w:rPr>
          <w:rFonts w:hint="eastAsia" w:ascii="Times New Roman" w:hAnsi="Times New Roman"/>
          <w:color w:val="000000" w:themeColor="text1"/>
          <w:sz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For this study, I used the following categories: author, year, title, type of reference, keywords, methods and findings. During the full-text screening process, I classified the literature according to the extent to which the content of the literature might answer the research questions, and placed each study in the appropriate folder named after the research question.</w:t>
      </w:r>
    </w:p>
    <w:p w14:paraId="7A7D31E9">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2FF0ABDC">
      <w:pPr>
        <w:pStyle w:val="2"/>
        <w:numPr>
          <w:ilvl w:val="0"/>
          <w:numId w:val="3"/>
        </w:numPr>
        <w:ind w:left="0" w:leftChars="0" w:firstLine="0" w:firstLineChars="0"/>
      </w:pPr>
      <w:bookmarkStart w:id="15" w:name="_Toc8927"/>
      <w:r>
        <w:rPr>
          <w:rFonts w:hint="eastAsia"/>
        </w:rPr>
        <w:t>LITERATURE REVIEW</w:t>
      </w:r>
      <w:bookmarkEnd w:id="15"/>
    </w:p>
    <w:p w14:paraId="67F1A449">
      <w:pPr>
        <w:pStyle w:val="3"/>
        <w:rPr>
          <w:rFonts w:ascii="Times New Roman" w:hAnsi="Times New Roman"/>
          <w:color w:val="000000" w:themeColor="text1"/>
          <w:sz w:val="24"/>
          <w14:textFill>
            <w14:solidFill>
              <w14:schemeClr w14:val="tx1"/>
            </w14:solidFill>
          </w14:textFill>
        </w:rPr>
      </w:pPr>
      <w:bookmarkStart w:id="16" w:name="_Toc18462"/>
      <w:r>
        <w:rPr>
          <w:rFonts w:hint="eastAsia"/>
          <w:lang w:val="en-US" w:eastAsia="zh-CN"/>
        </w:rPr>
        <w:t xml:space="preserve">3.1 </w:t>
      </w:r>
      <w:r>
        <w:t xml:space="preserve">Theme </w:t>
      </w:r>
      <w:r>
        <w:rPr>
          <w:rFonts w:hint="eastAsia"/>
          <w:lang w:val="en-US" w:eastAsia="zh-CN"/>
        </w:rPr>
        <w:t>one</w:t>
      </w:r>
      <w:r>
        <w:t>: Introduction to Sishu Education</w:t>
      </w:r>
      <w:bookmarkEnd w:id="16"/>
    </w:p>
    <w:p w14:paraId="3C386B06">
      <w:pPr>
        <w:pStyle w:val="4"/>
        <w:numPr>
          <w:ilvl w:val="2"/>
          <w:numId w:val="3"/>
        </w:numPr>
        <w:ind w:left="0" w:leftChars="0" w:firstLine="0" w:firstLineChars="0"/>
      </w:pPr>
      <w:bookmarkStart w:id="17" w:name="_Toc25961"/>
      <w:r>
        <w:t>Background of Traditional Sishu</w:t>
      </w:r>
      <w:bookmarkEnd w:id="17"/>
    </w:p>
    <w:p w14:paraId="5B6E8B3C">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This section on traditional Sishu is mostly based on Jiang (2017). Jiang is a professor in the School of Education at East China Normal University. He has made significant contributions to the study of the history of Sishu in China and is an authority on the understanding and interpretation of ancient Chinese Sishu (East China Normal University, Department of Education, 2016). According to Jiang (2017), Sishu can be considered as the educational institution with the longest duration and the largest number i</w:t>
      </w:r>
      <w:r>
        <w:rPr>
          <w:rFonts w:hint="eastAsia" w:ascii="Times New Roman" w:hAnsi="Times New Roman"/>
          <w:color w:val="000000" w:themeColor="text1"/>
          <w:sz w:val="24"/>
          <w14:textFill>
            <w14:solidFill>
              <w14:schemeClr w14:val="tx1"/>
            </w14:solidFill>
          </w14:textFill>
        </w:rPr>
        <w:t>n Chinese history (Jiang, 2017, p. 295). The name ‘Shu [塾]’ for educational institutions originated in the Western Zhou Dynasty in China. As China</w:t>
      </w:r>
      <w:r>
        <w:rPr>
          <w:rFonts w:ascii="Times New Roman" w:hAnsi="Times New Roman"/>
          <w:color w:val="000000" w:themeColor="text1"/>
          <w:sz w:val="24"/>
          <w14:textFill>
            <w14:solidFill>
              <w14:schemeClr w14:val="tx1"/>
            </w14:solidFill>
          </w14:textFill>
        </w:rPr>
        <w:t>’</w:t>
      </w:r>
      <w:r>
        <w:rPr>
          <w:rFonts w:hint="eastAsia" w:ascii="Times New Roman" w:hAnsi="Times New Roman"/>
          <w:color w:val="000000" w:themeColor="text1"/>
          <w:sz w:val="24"/>
          <w14:textFill>
            <w14:solidFill>
              <w14:schemeClr w14:val="tx1"/>
            </w14:solidFill>
          </w14:textFill>
        </w:rPr>
        <w:t>s feudal society evolved, particularly during the Sui and Tang dynasties, when the ‘Keju [科举]’ system (the ancient Chinese system of selecting officials through examinations) was established, private educational institutions named ‘Shu [塾]’ became increasingly prevalent (Jiang, 2017, p. 1). During this period, the gradual increase in Sishu can be attributed to th</w:t>
      </w:r>
      <w:r>
        <w:rPr>
          <w:rFonts w:ascii="Times New Roman" w:hAnsi="Times New Roman"/>
          <w:color w:val="000000" w:themeColor="text1"/>
          <w:sz w:val="24"/>
          <w14:textFill>
            <w14:solidFill>
              <w14:schemeClr w14:val="tx1"/>
            </w14:solidFill>
          </w14:textFill>
        </w:rPr>
        <w:t>e fact that local official schools were unable to assume responsibility for basic education, thus leaving the lower classes without adequate educational provision. In this particular instance, the cultural education of candidates undertaking the ‘Keju’ exa</w:t>
      </w:r>
      <w:r>
        <w:rPr>
          <w:rFonts w:hint="eastAsia" w:ascii="Times New Roman" w:hAnsi="Times New Roman"/>
          <w:color w:val="000000" w:themeColor="text1"/>
          <w:sz w:val="24"/>
          <w14:textFill>
            <w14:solidFill>
              <w14:schemeClr w14:val="tx1"/>
            </w14:solidFill>
          </w14:textFill>
        </w:rPr>
        <w:t>mination, as well as that of the general populace, is contingent upon private instruction provided by private teachings. Since this kind of teaching institution is often named ‘Shu [塾]’, ‘Si’ means ‘private’ in Chinese, therefore, it is called ‘Sishu’ (Jia</w:t>
      </w:r>
      <w:r>
        <w:rPr>
          <w:rFonts w:ascii="Times New Roman" w:hAnsi="Times New Roman"/>
          <w:color w:val="000000" w:themeColor="text1"/>
          <w:sz w:val="24"/>
          <w14:textFill>
            <w14:solidFill>
              <w14:schemeClr w14:val="tx1"/>
            </w14:solidFill>
          </w14:textFill>
        </w:rPr>
        <w:t xml:space="preserve">ng, 2017, p. 18). Following the prosperous development of the Song Dynasty, Sishu had become the primary driving force in the field of education in China. By the time of the Ming and Qing Dynasties, Sishu had reached its zenith, spreading across urban and </w:t>
      </w:r>
      <w:r>
        <w:rPr>
          <w:rFonts w:hint="eastAsia" w:ascii="Times New Roman" w:hAnsi="Times New Roman"/>
          <w:color w:val="000000" w:themeColor="text1"/>
          <w:sz w:val="24"/>
          <w14:textFill>
            <w14:solidFill>
              <w14:schemeClr w14:val="tx1"/>
            </w14:solidFill>
          </w14:textFill>
        </w:rPr>
        <w:t>rural areas (Jiang, 2017, p. 1).</w:t>
      </w:r>
    </w:p>
    <w:p w14:paraId="3AE076A2">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5033E5AA">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Jiang (2017) provides a concise and fascinating account of the role of Sishu in the context of the ancient Chinese feudal system. Jiang's position on </w:t>
      </w:r>
      <w:r>
        <w:rPr>
          <w:rFonts w:hint="eastAsia" w:ascii="Times New Roman" w:hAnsi="Times New Roman"/>
          <w:color w:val="000000" w:themeColor="text1"/>
          <w:sz w:val="24"/>
          <w:lang w:val="en-US" w:eastAsia="zh-CN"/>
          <w14:textFill>
            <w14:solidFill>
              <w14:schemeClr w14:val="tx1"/>
            </w14:solidFill>
          </w14:textFill>
        </w:rPr>
        <w:t>Sishu</w:t>
      </w:r>
      <w:r>
        <w:rPr>
          <w:rFonts w:ascii="Times New Roman" w:hAnsi="Times New Roman"/>
          <w:color w:val="000000" w:themeColor="text1"/>
          <w:sz w:val="24"/>
          <w14:textFill>
            <w14:solidFill>
              <w14:schemeClr w14:val="tx1"/>
            </w14:solidFill>
          </w14:textFill>
        </w:rPr>
        <w:t xml:space="preserve"> in ancient China is that they were diverse in type, widely distributed, and numerous. He further asserts that there were neither corresponding thresholds for running a Sishu nor standard teaching norms. The quality of Sishu teachers was found to vary, and the quality of education was found to be uneven. Nevertheless, it is undeniable that it possesses its own rationality and important historical significance. Jiang claimed that, due to the absence of government involvement in basic education in ancient society, it was closely linked to the examination system called Keju implemented by the government. In the context of the prevailing socio-economic landscape, it was common for parents to enrol their children in Sishu institutions. If the children get commendable academic results, they might succeed in becoming an official in a state institution. If things go badly and they fail the Keju exam, at least their children will be able to read and write and master basic literacy and numeracy skills, which will better equip them to establish a solid foundation within society than if they are illiterate. Consequently, from the general populace to high-ranking officials, there was a prevalent practice of enrolling children in Sishu or engaging Sishu tutors for home-based teaching. Sishu institutions supplied a considerable number of candidates for the Keju examination, thereby meeting the government’s demand for talent. Furthermore, people who had failed the Keju examinations were likely to result in an increase in the number of Sishu teachers, as these individuals would often become teachers at Sishu. In this way, without the direct involvement and management of the government, Sishu established their own distinctive educational ecology in ancient Chinese civil society (Jiang, 2017, p. 271).</w:t>
      </w:r>
    </w:p>
    <w:p w14:paraId="71FE892A">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069993B1">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 xml:space="preserve">Jiang pointed out that since the Han Dynasty, the content of </w:t>
      </w:r>
      <w:r>
        <w:rPr>
          <w:rFonts w:hint="eastAsia" w:ascii="Times New Roman" w:hAnsi="Times New Roman"/>
          <w:color w:val="000000" w:themeColor="text1"/>
          <w:sz w:val="24"/>
          <w:lang w:val="en-US" w:eastAsia="zh-CN"/>
          <w14:textFill>
            <w14:solidFill>
              <w14:schemeClr w14:val="tx1"/>
            </w14:solidFill>
          </w14:textFill>
        </w:rPr>
        <w:t>Sishu</w:t>
      </w:r>
      <w:r>
        <w:rPr>
          <w:rFonts w:ascii="Times New Roman" w:hAnsi="Times New Roman"/>
          <w:color w:val="000000" w:themeColor="text1"/>
          <w:sz w:val="24"/>
          <w14:textFill>
            <w14:solidFill>
              <w14:schemeClr w14:val="tx1"/>
            </w14:solidFill>
          </w14:textFill>
        </w:rPr>
        <w:t xml:space="preserve"> teaching has included basic knowledge of literature, history and calligraphy. This is followed by arithmetic, the calendar and geography. A daily routine was reading the classics, </w:t>
      </w:r>
      <w:r>
        <w:rPr>
          <w:rFonts w:hint="eastAsia" w:ascii="Times New Roman" w:hAnsi="Times New Roman"/>
          <w:color w:val="000000" w:themeColor="text1"/>
          <w:sz w:val="24"/>
          <w14:textFill>
            <w14:solidFill>
              <w14:schemeClr w14:val="tx1"/>
            </w14:solidFill>
          </w14:textFill>
        </w:rPr>
        <w:t xml:space="preserve">such as </w:t>
      </w:r>
      <w:r>
        <w:rPr>
          <w:rFonts w:hint="eastAsia" w:ascii="Times New Roman" w:hAnsi="Times New Roman"/>
          <w:i/>
          <w:iCs/>
          <w:color w:val="000000" w:themeColor="text1"/>
          <w:sz w:val="24"/>
          <w14:textFill>
            <w14:solidFill>
              <w14:schemeClr w14:val="tx1"/>
            </w14:solidFill>
          </w14:textFill>
        </w:rPr>
        <w:t>the Filial Piety</w:t>
      </w:r>
      <w:r>
        <w:rPr>
          <w:rFonts w:hint="eastAsia" w:ascii="Times New Roman" w:hAnsi="Times New Roman"/>
          <w:color w:val="000000" w:themeColor="text1"/>
          <w:sz w:val="24"/>
          <w14:textFill>
            <w14:solidFill>
              <w14:schemeClr w14:val="tx1"/>
            </w14:solidFill>
          </w14:textFill>
        </w:rPr>
        <w:t xml:space="preserve"> (Xiaojing 孝经) and the Analects. The aim was to pass the Keju exam. Since most of the exam questions were based on Confucian classics, requiring students to write or discuss them, the content of Sishu learning was almost based on Co</w:t>
      </w:r>
      <w:r>
        <w:rPr>
          <w:rFonts w:ascii="Times New Roman" w:hAnsi="Times New Roman"/>
          <w:color w:val="000000" w:themeColor="text1"/>
          <w:sz w:val="24"/>
          <w14:textFill>
            <w14:solidFill>
              <w14:schemeClr w14:val="tx1"/>
            </w14:solidFill>
          </w14:textFill>
        </w:rPr>
        <w:t>nfucian classics. Children learned these from an early age in order to prepare for further study of the Confucian classics and passing the Keju examinations (Jiang, 2017, p. 10). In addition, the children will be instructed in personal cultivation methods,</w:t>
      </w:r>
      <w:r>
        <w:rPr>
          <w:rFonts w:hint="eastAsia" w:ascii="Times New Roman" w:hAnsi="Times New Roman"/>
          <w:color w:val="000000" w:themeColor="text1"/>
          <w:sz w:val="24"/>
          <w14:textFill>
            <w14:solidFill>
              <w14:schemeClr w14:val="tx1"/>
            </w14:solidFill>
          </w14:textFill>
        </w:rPr>
        <w:t xml:space="preserve"> etiquette, morality, and social obligations as they relate to Confucian teachings. For more detailed teaching content and methods, please refer to </w:t>
      </w:r>
      <w:r>
        <w:rPr>
          <w:rFonts w:hint="eastAsia" w:ascii="Times New Roman" w:hAnsi="Times New Roman"/>
          <w:i/>
          <w:iCs/>
          <w:color w:val="000000" w:themeColor="text1"/>
          <w:sz w:val="24"/>
          <w14:textFill>
            <w14:solidFill>
              <w14:schemeClr w14:val="tx1"/>
            </w14:solidFill>
          </w14:textFill>
        </w:rPr>
        <w:t>the  Annual Study Schedule for the Cheng's Family</w:t>
      </w:r>
      <w:r>
        <w:rPr>
          <w:rFonts w:hint="eastAsia" w:ascii="Times New Roman" w:hAnsi="Times New Roman"/>
          <w:color w:val="000000" w:themeColor="text1"/>
          <w:sz w:val="24"/>
          <w14:textFill>
            <w14:solidFill>
              <w14:schemeClr w14:val="tx1"/>
            </w14:solidFill>
          </w14:textFill>
        </w:rPr>
        <w:t xml:space="preserve"> (程氏家塾读书分年日程) by Cheng Duanli (程端礼1271-1345) of the Yuan Dy</w:t>
      </w:r>
      <w:r>
        <w:rPr>
          <w:rFonts w:ascii="Times New Roman" w:hAnsi="Times New Roman"/>
          <w:color w:val="000000" w:themeColor="text1"/>
          <w:sz w:val="24"/>
          <w14:textFill>
            <w14:solidFill>
              <w14:schemeClr w14:val="tx1"/>
            </w14:solidFill>
          </w14:textFill>
        </w:rPr>
        <w:t xml:space="preserve">nasty. This book provides a comprehensive overview of the specific methodologies and norms that were employed in the process of learning Confucian classics in traditional Sishu (National Central Library, 2016). In terms of student recruitment, before the Qing Dynasty, almost all Sishu were for boys. Girls were usually not allowed to enter Sishu to study with boys, but some wealthy families might hire teachers to teach their daughters at home. The curriculum typically encompassed a range of subjects, including Confucian classics, poetry, painting, handicrafts, and sewing (Jiang, 2017, p. 39). By the close of the Qing dynasty (1900s), the legitimacy of women's education had been established in the new-style schools. Consequently, some </w:t>
      </w:r>
      <w:r>
        <w:rPr>
          <w:rFonts w:hint="eastAsia" w:ascii="Times New Roman" w:hAnsi="Times New Roman"/>
          <w:color w:val="000000" w:themeColor="text1"/>
          <w:sz w:val="24"/>
          <w:lang w:val="en-US" w:eastAsia="zh-CN"/>
          <w14:textFill>
            <w14:solidFill>
              <w14:schemeClr w14:val="tx1"/>
            </w14:solidFill>
          </w14:textFill>
        </w:rPr>
        <w:t>Sishu</w:t>
      </w:r>
      <w:r>
        <w:rPr>
          <w:rFonts w:ascii="Times New Roman" w:hAnsi="Times New Roman"/>
          <w:color w:val="000000" w:themeColor="text1"/>
          <w:sz w:val="24"/>
          <w14:textFill>
            <w14:solidFill>
              <w14:schemeClr w14:val="tx1"/>
            </w14:solidFill>
          </w14:textFill>
        </w:rPr>
        <w:t xml:space="preserve"> also began to admit girls (Jiang, 2017, p. 186). </w:t>
      </w:r>
    </w:p>
    <w:p w14:paraId="3079F833">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CE10B5D">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In summary, Sishu functioned as a bridge between the upper and lower classes of society, thereby serving as a means of social stratification. Furthermore, the imperial Keju system, which had been in place since the Tang Dynasty, institutionally reinforced this route to the upper echelons. Consequently, within the context of ancient China, the initial step towards a fulfilling life was to pursue an education at Sishu (Jiang, 2017, p. P276). By the late Qing dynasty, Sishu had been strongly impacted by new schools and gradually declined. It was not until after the founding of New China (1949) that the country implemented compulsory education laws and gradually participated in the process of globalisation that traditional Sishu gradually disappeared (Jiang, 2017, p. 1).</w:t>
      </w:r>
    </w:p>
    <w:p w14:paraId="707DD968">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270A56D4">
      <w:pPr>
        <w:pStyle w:val="4"/>
        <w:numPr>
          <w:ilvl w:val="2"/>
          <w:numId w:val="3"/>
        </w:numPr>
        <w:ind w:left="0" w:leftChars="0" w:firstLine="0" w:firstLineChars="0"/>
      </w:pPr>
      <w:bookmarkStart w:id="18" w:name="_Toc19682"/>
      <w:r>
        <w:t>Modern Sishu in China</w:t>
      </w:r>
      <w:bookmarkEnd w:id="18"/>
      <w:r>
        <w:t xml:space="preserve"> </w:t>
      </w:r>
    </w:p>
    <w:p w14:paraId="7129CF6D">
      <w:pPr>
        <w:autoSpaceDE w:val="0"/>
        <w:spacing w:before="100" w:beforeAutospacing="1" w:after="160" w:line="360" w:lineRule="auto"/>
        <w:rPr>
          <w:rFonts w:hint="eastAsia" w:ascii="Times New Roman" w:hAnsi="Times New Roman" w:cs="Calibri"/>
          <w:bCs/>
          <w:sz w:val="24"/>
        </w:rPr>
      </w:pPr>
      <w:r>
        <w:rPr>
          <w:rFonts w:hint="eastAsia" w:ascii="Times New Roman" w:hAnsi="Times New Roman" w:cs="Calibri"/>
          <w:bCs/>
          <w:sz w:val="24"/>
        </w:rPr>
        <w:t>In contrast to the traditional Sishu in history, the legality of modern Sishu is not recognised. The main reason for the government</w:t>
      </w:r>
      <w:r>
        <w:rPr>
          <w:rFonts w:ascii="Times New Roman" w:hAnsi="Times New Roman" w:cs="Calibri"/>
          <w:bCs/>
          <w:sz w:val="24"/>
        </w:rPr>
        <w:t>’</w:t>
      </w:r>
      <w:r>
        <w:rPr>
          <w:rFonts w:hint="eastAsia" w:ascii="Times New Roman" w:hAnsi="Times New Roman" w:cs="Calibri"/>
          <w:bCs/>
          <w:sz w:val="24"/>
        </w:rPr>
        <w:t xml:space="preserve">s prohibition against modern Sishu is that they violate the Compulsory Education Law and provide an educational alternative to compulsory </w:t>
      </w:r>
      <w:r>
        <w:rPr>
          <w:rFonts w:ascii="Times New Roman" w:hAnsi="Times New Roman" w:cs="Calibri"/>
          <w:bCs/>
          <w:sz w:val="24"/>
        </w:rPr>
        <w:t>education (</w:t>
      </w:r>
      <w:r>
        <w:rPr>
          <w:rFonts w:hint="eastAsia" w:ascii="Times New Roman" w:hAnsi="Times New Roman" w:cs="Calibri"/>
          <w:bCs/>
          <w:sz w:val="24"/>
        </w:rPr>
        <w:t xml:space="preserve">Sheng, 2018). According to Articles 2, 4, 5, 11, 13, and 58 of the Chinese Compulsory Education Law, parents are obliged to send school-age children to school to receive compulsory education. Although China does not yet have a specific law on homeschooling, the existing of homeschooling is actually in violation of the provisions of the Chinese Compulsory Education Law (Sheng, 2019, p. 178). </w:t>
      </w:r>
      <w:r>
        <w:rPr>
          <w:rFonts w:ascii="Times New Roman" w:hAnsi="Times New Roman"/>
          <w:sz w:val="24"/>
          <w:szCs w:val="24"/>
          <w:u w:val="none"/>
          <w:lang w:val="en-US"/>
        </w:rPr>
        <w:t>It is important to note that the distinction between homeschooling and Sishu education should not be confused, nor should the terms be equated. Instead, the focus is on illuminating the legal status of homeschooling, intending to shed light on the legal status of Sishu institutions, which are also outside the scope of state education. It is noteworthy that homeschooling and Sishu education are treated almost identically in law, either as illegal or in a grey area (Sheng, 2019, p. 15).</w:t>
      </w:r>
    </w:p>
    <w:p w14:paraId="4707E4A1">
      <w:pPr>
        <w:autoSpaceDE w:val="0"/>
        <w:spacing w:line="360" w:lineRule="auto"/>
        <w:rPr>
          <w:rFonts w:hint="eastAsia" w:ascii="Times New Roman" w:hAnsi="Times New Roman" w:cs="Calibri"/>
          <w:bCs/>
          <w:sz w:val="24"/>
        </w:rPr>
      </w:pPr>
    </w:p>
    <w:p w14:paraId="12C92716">
      <w:pPr>
        <w:autoSpaceDE w:val="0"/>
        <w:spacing w:line="360" w:lineRule="auto"/>
        <w:rPr>
          <w:rFonts w:hint="eastAsia" w:ascii="Times New Roman" w:hAnsi="Times New Roman" w:cs="Calibri"/>
          <w:bCs/>
          <w:sz w:val="24"/>
        </w:rPr>
      </w:pPr>
      <w:r>
        <w:rPr>
          <w:rFonts w:hint="eastAsia" w:ascii="Times New Roman" w:hAnsi="Times New Roman" w:cs="Calibri"/>
          <w:bCs/>
          <w:sz w:val="24"/>
        </w:rPr>
        <w:t>In addition to mainland China, Hong Kong</w:t>
      </w:r>
      <w:r>
        <w:rPr>
          <w:rFonts w:hint="default" w:ascii="Times New Roman" w:hAnsi="Times New Roman" w:cs="Calibri"/>
          <w:bCs/>
          <w:sz w:val="24"/>
          <w:lang w:val="en-US" w:eastAsia="zh-CN"/>
        </w:rPr>
        <w:t>’</w:t>
      </w:r>
      <w:r>
        <w:rPr>
          <w:rFonts w:hint="eastAsia" w:ascii="Times New Roman" w:hAnsi="Times New Roman" w:cs="Calibri"/>
          <w:bCs/>
          <w:sz w:val="24"/>
        </w:rPr>
        <w:t>s education laws also fail to legalise home education (Erlings, 2019). According to Article 74(1) of the Hong Kong Education Ordinance, if the Permanent Secretary deems a child to be absent from primary or secondary school without reasonable justification, he is authorised to issue an order in the prescribed form, addressed to the child's parent, mandating the child's attendance at the specified primary or secondary school (Hong Kong e-Legislation, 2001). This means that when parents are negligent in their child's school attendance, the Secretary for Education is empowered to issue an attendance order, mandating parents to ensure their children's enrolment in a particular school (which is obligated to accept the child) (Erlings, 2019). In 2001, in response to a parliamentary question regarding the legality of home education, the Hong Kong Secretary for Education stated that children aged 5 to 15 must attend school' (Erlings, 2019). However, the Secretary for Education appeared to allow for potential changes in policy or law, stating that he 'would not make a rule to prohibit home education' (Erlings, 2019). Consequently, Hong Kong's home education and Sishu institutions have continued to operate ambiguously (Erlings, 2019).</w:t>
      </w:r>
    </w:p>
    <w:p w14:paraId="446599C2">
      <w:pPr>
        <w:autoSpaceDE w:val="0"/>
        <w:spacing w:line="360" w:lineRule="auto"/>
        <w:rPr>
          <w:rFonts w:hint="eastAsia" w:ascii="Times New Roman" w:hAnsi="Times New Roman" w:cs="Calibri"/>
          <w:bCs/>
          <w:sz w:val="24"/>
        </w:rPr>
      </w:pPr>
    </w:p>
    <w:p w14:paraId="6FC00106">
      <w:pPr>
        <w:autoSpaceDE w:val="0"/>
        <w:spacing w:before="100" w:beforeAutospacing="1" w:after="160" w:line="360" w:lineRule="auto"/>
        <w:rPr>
          <w:rFonts w:ascii="Times New Roman" w:hAnsi="Times New Roman"/>
          <w:sz w:val="24"/>
          <w:szCs w:val="24"/>
          <w:u w:val="none"/>
          <w:lang w:val="en-US"/>
        </w:rPr>
      </w:pPr>
      <w:r>
        <w:rPr>
          <w:rFonts w:ascii="Times New Roman" w:hAnsi="Times New Roman"/>
          <w:sz w:val="24"/>
          <w:szCs w:val="24"/>
          <w:u w:val="none"/>
          <w:lang w:val="en-US"/>
        </w:rPr>
        <w:t>In contrast to the Hong Kong context, in June 1999, the law court of Taiwan passed an amendment to the Education Act, formally recognising home education as a legal status in Taiwan, thereby legalising home education (Sheng, 2019, p. 177). Consequently, Taiwan has emerged as a pioneer in the homeschooling movement within China (Lee, 2023). In 2014, Taiwan enacted three laws, colloquially referred to as the 'Three Laws(</w:t>
      </w:r>
      <w:r>
        <w:rPr>
          <w:rFonts w:ascii="宋体" w:hAnsi="宋体"/>
          <w:sz w:val="24"/>
          <w:szCs w:val="24"/>
          <w:u w:val="none"/>
          <w:lang w:val="en-US"/>
        </w:rPr>
        <w:t>三法</w:t>
      </w:r>
      <w:r>
        <w:rPr>
          <w:rFonts w:ascii="Times New Roman" w:hAnsi="Times New Roman"/>
          <w:sz w:val="24"/>
          <w:szCs w:val="24"/>
          <w:u w:val="none"/>
          <w:lang w:val="en-US"/>
        </w:rPr>
        <w:t>)', which pertain to 'experimental non-school education(</w:t>
      </w:r>
      <w:r>
        <w:rPr>
          <w:rFonts w:ascii="宋体" w:hAnsi="宋体"/>
          <w:sz w:val="24"/>
          <w:szCs w:val="24"/>
          <w:u w:val="none"/>
          <w:lang w:val="en-US"/>
        </w:rPr>
        <w:t>非学校型实验教育</w:t>
      </w:r>
      <w:r>
        <w:rPr>
          <w:rFonts w:ascii="Times New Roman" w:hAnsi="Times New Roman"/>
          <w:sz w:val="24"/>
          <w:szCs w:val="24"/>
          <w:u w:val="none"/>
          <w:lang w:val="en-US"/>
        </w:rPr>
        <w:t>)', experimental school-type education(</w:t>
      </w:r>
      <w:r>
        <w:rPr>
          <w:rFonts w:ascii="宋体" w:hAnsi="宋体"/>
          <w:sz w:val="24"/>
          <w:szCs w:val="24"/>
          <w:u w:val="none"/>
          <w:lang w:val="en-US"/>
        </w:rPr>
        <w:t>学校型实验教育</w:t>
      </w:r>
      <w:r>
        <w:rPr>
          <w:rFonts w:ascii="Times New Roman" w:hAnsi="Times New Roman"/>
          <w:sz w:val="24"/>
          <w:szCs w:val="24"/>
          <w:u w:val="none"/>
          <w:lang w:val="en-US"/>
        </w:rPr>
        <w:t>)' and 'public schools managed by private consignment(</w:t>
      </w:r>
      <w:r>
        <w:rPr>
          <w:rFonts w:ascii="宋体" w:hAnsi="宋体"/>
          <w:sz w:val="24"/>
          <w:szCs w:val="24"/>
          <w:u w:val="none"/>
          <w:lang w:val="en-US"/>
        </w:rPr>
        <w:t>委托私立管理的公立学校</w:t>
      </w:r>
      <w:r>
        <w:rPr>
          <w:rFonts w:ascii="Times New Roman" w:hAnsi="Times New Roman"/>
          <w:sz w:val="24"/>
          <w:szCs w:val="24"/>
          <w:u w:val="none"/>
          <w:lang w:val="en-US"/>
        </w:rPr>
        <w:t xml:space="preserve">)' (Laws &amp; Regulations Database of The Republic of China, 2020). These legal provisions empower educators from both school and non-school settings to explore and innovate various experimental education (Chen, 2022). Notably, some Taipei families with high school-aged children have been beneficiaries of government subsidies, facilitating access to diverse learning resources (Lee, 2023). </w:t>
      </w:r>
    </w:p>
    <w:p w14:paraId="4866753F">
      <w:pPr>
        <w:autoSpaceDE w:val="0"/>
        <w:spacing w:before="100" w:beforeAutospacing="1" w:after="160" w:line="360" w:lineRule="auto"/>
        <w:rPr>
          <w:rFonts w:ascii="Times New Roman" w:hAnsi="Times New Roman"/>
          <w:sz w:val="24"/>
          <w:szCs w:val="24"/>
          <w:u w:val="none"/>
          <w:lang w:val="en-US"/>
        </w:rPr>
      </w:pPr>
    </w:p>
    <w:p w14:paraId="63AFDC2C">
      <w:pPr>
        <w:autoSpaceDE w:val="0"/>
        <w:spacing w:before="100" w:beforeAutospacing="1" w:after="160" w:line="360" w:lineRule="auto"/>
        <w:rPr>
          <w:rFonts w:ascii="Times New Roman" w:hAnsi="Times New Roman"/>
          <w:sz w:val="24"/>
          <w:szCs w:val="24"/>
          <w:u w:val="none"/>
          <w:lang w:val="en-US"/>
        </w:rPr>
      </w:pPr>
      <w:r>
        <w:rPr>
          <w:rFonts w:ascii="Times New Roman" w:hAnsi="Times New Roman"/>
          <w:sz w:val="24"/>
          <w:szCs w:val="24"/>
          <w:u w:val="none"/>
          <w:lang w:val="en-US"/>
        </w:rPr>
        <w:t>Subsequent to the enactment of these measures, homeschooling in Taiwan has witnessed consistent growth, accompanied by the establishment of numerous homeschooling associations. For instance, the Mu Zhen</w:t>
      </w:r>
      <w:r>
        <w:rPr>
          <w:rFonts w:hint="eastAsia" w:ascii="Times New Roman" w:hAnsi="Times New Roman"/>
          <w:sz w:val="24"/>
          <w:szCs w:val="24"/>
          <w:u w:val="none"/>
          <w:lang w:val="en-US"/>
        </w:rPr>
        <w:t>(</w:t>
      </w:r>
      <w:r>
        <w:rPr>
          <w:rFonts w:ascii="宋体" w:hAnsi="宋体"/>
          <w:sz w:val="24"/>
          <w:szCs w:val="24"/>
          <w:u w:val="none"/>
          <w:lang w:val="en-US"/>
        </w:rPr>
        <w:t>慕真</w:t>
      </w:r>
      <w:r>
        <w:rPr>
          <w:rFonts w:hint="eastAsia" w:ascii="Times New Roman" w:hAnsi="Times New Roman"/>
          <w:sz w:val="24"/>
          <w:szCs w:val="24"/>
          <w:u w:val="none"/>
          <w:lang w:val="en-US"/>
        </w:rPr>
        <w:t>)</w:t>
      </w:r>
      <w:r>
        <w:rPr>
          <w:rFonts w:ascii="Times New Roman" w:hAnsi="Times New Roman"/>
          <w:sz w:val="24"/>
          <w:szCs w:val="24"/>
          <w:u w:val="none"/>
          <w:lang w:val="en-US"/>
        </w:rPr>
        <w:t xml:space="preserve"> Home Schooling Association in Hsinchu County, Taiwan, was established in 1998 (</w:t>
      </w:r>
      <w:r>
        <w:rPr>
          <w:rFonts w:ascii="宋体" w:hAnsi="宋体"/>
          <w:sz w:val="24"/>
          <w:szCs w:val="24"/>
          <w:u w:val="none"/>
          <w:lang w:val="en-US"/>
        </w:rPr>
        <w:t>慕真在家教育協會</w:t>
      </w:r>
      <w:r>
        <w:rPr>
          <w:rFonts w:ascii="Times New Roman" w:hAnsi="Times New Roman"/>
          <w:sz w:val="24"/>
          <w:szCs w:val="24"/>
          <w:u w:val="none"/>
          <w:lang w:val="en-US"/>
        </w:rPr>
        <w:t xml:space="preserve"> ['Mu Zhen Home Schooling Association'], 2021). This homeschooling community was founded by seven initial homeschooling families with the aim of disseminating ideas and views on homeschooling and enhancing communication among homeschooling families (Mu Zhen Home Schooling Association, 2021). Due to different socio-cultural and legal backgrounds, the circumstances of homeschooling in Taiwan are significantly different from those in other parts of China. For instance, children who are homeschooled in Hong Kong families encounter more significant uncertainty and differ significantly from those enrolled in mainstream schools (Lee, 2023). Most parents who choose homeschooling in Hong Kong place significant emphasis on their children's self-fulfilment and personal pursuits (Lee, 2023, 2024). In contrast, homeschooling families in Taipei do not reject close interaction with mainstream schools. Instead, They mention civic responsibility and good citizenship more frequently and tend to ensure that their children continue to have the opportunity to study in public schools in the future(Lee, 2023). </w:t>
      </w:r>
    </w:p>
    <w:p w14:paraId="31384538">
      <w:pPr>
        <w:autoSpaceDE w:val="0"/>
        <w:spacing w:line="360" w:lineRule="auto"/>
        <w:rPr>
          <w:rFonts w:hint="eastAsia" w:ascii="Times New Roman" w:hAnsi="Times New Roman" w:cs="Calibri"/>
          <w:bCs/>
          <w:sz w:val="24"/>
        </w:rPr>
      </w:pPr>
    </w:p>
    <w:p w14:paraId="52B1DA28">
      <w:pPr>
        <w:autoSpaceDE w:val="0"/>
        <w:spacing w:line="360" w:lineRule="auto"/>
        <w:rPr>
          <w:rFonts w:ascii="Times New Roman" w:hAnsi="Times New Roman" w:cs="Calibri"/>
          <w:bCs/>
          <w:sz w:val="24"/>
        </w:rPr>
      </w:pPr>
      <w:r>
        <w:rPr>
          <w:rFonts w:hint="eastAsia" w:ascii="Times New Roman" w:hAnsi="Times New Roman" w:cs="Calibri"/>
          <w:bCs/>
          <w:sz w:val="24"/>
        </w:rPr>
        <w:t>Despite government prohibition</w:t>
      </w:r>
      <w:r>
        <w:rPr>
          <w:rFonts w:hint="eastAsia" w:ascii="Times New Roman" w:hAnsi="Times New Roman" w:cs="Calibri"/>
          <w:bCs/>
          <w:sz w:val="24"/>
          <w:lang w:val="en-US" w:eastAsia="zh-CN"/>
        </w:rPr>
        <w:t xml:space="preserve"> in most districts</w:t>
      </w:r>
      <w:r>
        <w:rPr>
          <w:rFonts w:hint="eastAsia" w:ascii="Times New Roman" w:hAnsi="Times New Roman" w:cs="Calibri"/>
          <w:bCs/>
          <w:sz w:val="24"/>
        </w:rPr>
        <w:t>, this kind of classical text-based learning has gained a degree of acceptance and widespread social interest in the modern context. Billioud and Thoraval</w:t>
      </w:r>
      <w:r>
        <w:rPr>
          <w:rFonts w:ascii="Times New Roman" w:hAnsi="Times New Roman" w:cs="Calibri"/>
          <w:bCs/>
          <w:sz w:val="24"/>
        </w:rPr>
        <w:t>’</w:t>
      </w:r>
      <w:r>
        <w:rPr>
          <w:rFonts w:hint="eastAsia" w:ascii="Times New Roman" w:hAnsi="Times New Roman" w:cs="Calibri"/>
          <w:bCs/>
          <w:sz w:val="24"/>
        </w:rPr>
        <w:t>s (2015) book fieldworked Sishu institutions in many Chinese cities. Unlike the ancient Sishu whose main purpose was to pass Keju exams for glory and government jobs, most of the modern Sishu as revealed in their study aim at fostering moral development and Confucian cultural literacy among their students. Second, parents may be ambitious to integrate the individual into the framework of a grand national narrative, with national cultural revival and the betterment of society as the goal of their children</w:t>
      </w:r>
      <w:r>
        <w:rPr>
          <w:rFonts w:ascii="Times New Roman" w:hAnsi="Times New Roman" w:cs="Calibri"/>
          <w:bCs/>
          <w:sz w:val="24"/>
        </w:rPr>
        <w:t>’</w:t>
      </w:r>
      <w:r>
        <w:rPr>
          <w:rFonts w:hint="eastAsia" w:ascii="Times New Roman" w:hAnsi="Times New Roman" w:cs="Calibri"/>
          <w:bCs/>
          <w:sz w:val="24"/>
        </w:rPr>
        <w:t>s learning (Billioud and Thoraval, 2015, p.60). According to different literatures, many Sishu cases mention that parents</w:t>
      </w:r>
      <w:r>
        <w:rPr>
          <w:rFonts w:ascii="Times New Roman" w:hAnsi="Times New Roman" w:cs="Calibri"/>
          <w:bCs/>
          <w:sz w:val="24"/>
        </w:rPr>
        <w:t>’</w:t>
      </w:r>
      <w:r>
        <w:rPr>
          <w:rFonts w:hint="eastAsia" w:ascii="Times New Roman" w:hAnsi="Times New Roman" w:cs="Calibri"/>
          <w:bCs/>
          <w:sz w:val="24"/>
        </w:rPr>
        <w:t xml:space="preserve"> expectations of their children are in line with the Confucian </w:t>
      </w:r>
      <w:r>
        <w:rPr>
          <w:rFonts w:ascii="Times New Roman" w:hAnsi="Times New Roman" w:cs="Calibri"/>
          <w:bCs/>
          <w:sz w:val="24"/>
        </w:rPr>
        <w:t>‘</w:t>
      </w:r>
      <w:r>
        <w:rPr>
          <w:rFonts w:hint="eastAsia" w:ascii="Times New Roman" w:hAnsi="Times New Roman" w:cs="Calibri"/>
          <w:bCs/>
          <w:sz w:val="24"/>
        </w:rPr>
        <w:t>junzi</w:t>
      </w:r>
      <w:r>
        <w:rPr>
          <w:rFonts w:ascii="Times New Roman" w:hAnsi="Times New Roman" w:cs="Calibri"/>
          <w:bCs/>
          <w:sz w:val="24"/>
        </w:rPr>
        <w:t>’</w:t>
      </w:r>
      <w:r>
        <w:rPr>
          <w:rFonts w:hint="eastAsia" w:ascii="Times New Roman" w:hAnsi="Times New Roman" w:cs="Calibri"/>
          <w:bCs/>
          <w:sz w:val="24"/>
        </w:rPr>
        <w:t xml:space="preserve"> (gentleman </w:t>
      </w:r>
      <w:r>
        <w:rPr>
          <w:rFonts w:hint="eastAsia" w:ascii="宋体" w:hAnsi="宋体" w:cs="Calibri"/>
          <w:bCs/>
          <w:sz w:val="24"/>
        </w:rPr>
        <w:t>君子</w:t>
      </w:r>
      <w:r>
        <w:rPr>
          <w:rFonts w:hint="eastAsia" w:ascii="Times New Roman" w:hAnsi="Times New Roman" w:cs="Calibri"/>
          <w:bCs/>
          <w:sz w:val="24"/>
        </w:rPr>
        <w:t xml:space="preserve">) ideal. They want to raise their child to be a </w:t>
      </w:r>
      <w:r>
        <w:rPr>
          <w:rFonts w:ascii="Times New Roman" w:hAnsi="Times New Roman" w:cs="Calibri"/>
          <w:bCs/>
          <w:sz w:val="24"/>
        </w:rPr>
        <w:t>‘</w:t>
      </w:r>
      <w:r>
        <w:rPr>
          <w:rFonts w:hint="eastAsia" w:ascii="Times New Roman" w:hAnsi="Times New Roman" w:cs="Calibri"/>
          <w:bCs/>
          <w:sz w:val="24"/>
        </w:rPr>
        <w:t>junzi</w:t>
      </w:r>
      <w:r>
        <w:rPr>
          <w:rFonts w:ascii="Times New Roman" w:hAnsi="Times New Roman" w:cs="Calibri"/>
          <w:bCs/>
          <w:sz w:val="24"/>
        </w:rPr>
        <w:t>’</w:t>
      </w:r>
      <w:r>
        <w:rPr>
          <w:rFonts w:hint="eastAsia" w:ascii="Times New Roman" w:hAnsi="Times New Roman" w:cs="Calibri"/>
          <w:bCs/>
          <w:sz w:val="24"/>
        </w:rPr>
        <w:t xml:space="preserve">, i.e. a virtuous person with moral leadership and a sense of social responsibility (Billioud and Thoraval, 2015, p. 92; Gilgan, 2023). However, unlike traditional Sishu practice, modern Sishu are situated in the context of modern society and the system of gender equality, and are characterised by modernity, i.e. both men and women are allowed to enrol in </w:t>
      </w:r>
      <w:r>
        <w:rPr>
          <w:rFonts w:hint="eastAsia" w:ascii="Times New Roman" w:hAnsi="Times New Roman" w:cs="Calibri"/>
          <w:bCs/>
          <w:sz w:val="24"/>
          <w:lang w:val="en-US" w:eastAsia="zh-CN"/>
        </w:rPr>
        <w:t>Sishu</w:t>
      </w:r>
      <w:r>
        <w:rPr>
          <w:rFonts w:hint="eastAsia" w:ascii="Times New Roman" w:hAnsi="Times New Roman" w:cs="Calibri"/>
          <w:bCs/>
          <w:sz w:val="24"/>
        </w:rPr>
        <w:t xml:space="preserve"> </w:t>
      </w:r>
      <w:r>
        <w:rPr>
          <w:rFonts w:ascii="Times New Roman" w:hAnsi="Times New Roman" w:cs="Calibri"/>
          <w:bCs/>
          <w:sz w:val="24"/>
        </w:rPr>
        <w:t>institutions. (</w:t>
      </w:r>
      <w:r>
        <w:rPr>
          <w:rFonts w:hint="eastAsia" w:ascii="Times New Roman" w:hAnsi="Times New Roman" w:cs="Calibri"/>
          <w:bCs/>
          <w:sz w:val="24"/>
        </w:rPr>
        <w:t>Lee, 2024; Sheng, 2013)</w:t>
      </w:r>
      <w:r>
        <w:rPr>
          <w:rFonts w:hint="eastAsia" w:ascii="宋体" w:hAnsi="宋体" w:cs="Calibri"/>
          <w:bCs/>
          <w:sz w:val="24"/>
        </w:rPr>
        <w:t>。</w:t>
      </w:r>
    </w:p>
    <w:p w14:paraId="0C0B13E4">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2006BFC3">
      <w:pPr>
        <w:autoSpaceDE w:val="0"/>
        <w:spacing w:line="360" w:lineRule="auto"/>
        <w:rPr>
          <w:rFonts w:ascii="Times New Roman" w:hAnsi="Times New Roman" w:cs="Calibri"/>
          <w:bCs/>
          <w:sz w:val="24"/>
          <w:u w:val="single"/>
        </w:rPr>
      </w:pPr>
      <w:r>
        <w:rPr>
          <w:rFonts w:hint="eastAsia" w:ascii="Times New Roman" w:hAnsi="Times New Roman" w:cs="Calibri"/>
          <w:bCs/>
          <w:sz w:val="24"/>
        </w:rPr>
        <w:t>Billioud and Thoraval (2015) showed that the core educational philosophy of modern Sishu is mainly derived from the classics-reading education philosophy of Wang Caigui, a modern Taiwanese scholar. Although this method is similar to that used in ancient Sishu, such as flooding children with classical texts without explanation. However, as he was the primary proponent of this approach in a modern context, having reinterpreted and revised it, the majority of Sishu that utilised classics-reading as the primary learning method adopted his methodologies to a certain extent, rather than directly borrowing from the ancient.</w:t>
      </w:r>
    </w:p>
    <w:p w14:paraId="3DF75C94">
      <w:pPr>
        <w:autoSpaceDE w:val="0"/>
        <w:spacing w:line="360" w:lineRule="auto"/>
        <w:rPr>
          <w:rFonts w:ascii="Times New Roman" w:hAnsi="Times New Roman" w:cs="Calibri"/>
          <w:bCs/>
          <w:sz w:val="24"/>
        </w:rPr>
      </w:pPr>
      <w:r>
        <w:rPr>
          <w:rFonts w:hint="eastAsia" w:ascii="Times New Roman" w:hAnsi="Times New Roman" w:cs="Calibri"/>
          <w:bCs/>
          <w:sz w:val="24"/>
        </w:rPr>
        <w:t xml:space="preserve"> </w:t>
      </w:r>
    </w:p>
    <w:p w14:paraId="55A77135">
      <w:pPr>
        <w:autoSpaceDE w:val="0"/>
        <w:spacing w:line="360" w:lineRule="auto"/>
        <w:rPr>
          <w:rFonts w:ascii="Times New Roman" w:hAnsi="Times New Roman" w:cs="Calibri"/>
          <w:bCs/>
          <w:sz w:val="24"/>
        </w:rPr>
      </w:pPr>
      <w:r>
        <w:rPr>
          <w:rFonts w:ascii="Times New Roman" w:hAnsi="Times New Roman" w:cs="Calibri"/>
          <w:bCs/>
          <w:sz w:val="24"/>
        </w:rPr>
        <w:t>Unlike large, state schools, modern Sishu tend to have smaller class sizes, which allows for greater teacher-student interaction and personalised attention. This is a key appeal of Sishu for parents dissatisfied with the impersonal nature of formal education systems in China, where students often face enormous pressure to perform on exams (</w:t>
      </w:r>
      <w:r>
        <w:rPr>
          <w:rFonts w:hint="eastAsia" w:ascii="Times New Roman" w:hAnsi="Times New Roman" w:cs="Calibri"/>
          <w:bCs/>
          <w:sz w:val="24"/>
        </w:rPr>
        <w:t>Sheng, 2013; 2018)</w:t>
      </w:r>
      <w:r>
        <w:rPr>
          <w:rFonts w:ascii="Times New Roman" w:hAnsi="Times New Roman" w:cs="Calibri"/>
          <w:bCs/>
          <w:sz w:val="24"/>
        </w:rPr>
        <w:t>.</w:t>
      </w:r>
      <w:r>
        <w:rPr>
          <w:rFonts w:hint="eastAsia" w:ascii="Times New Roman" w:hAnsi="Times New Roman" w:cs="Calibri"/>
          <w:bCs/>
          <w:sz w:val="24"/>
        </w:rPr>
        <w:t xml:space="preserve"> Another important feature of the modern Sishu is its deliberate emphasis on moral cultivation and mastery of Confucian texts. As Sheng (2013) points out in his study of a Sishu institution in Shanghai, the modern education movement, including those associated with Sishu, is partly a response to the inadequacy of the national education system, especially when it lacks moral education and personality concerns.</w:t>
      </w:r>
    </w:p>
    <w:p w14:paraId="13AED71F">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357F8413">
      <w:pPr>
        <w:autoSpaceDE w:val="0"/>
        <w:spacing w:line="360" w:lineRule="auto"/>
        <w:rPr>
          <w:rFonts w:ascii="Times New Roman" w:hAnsi="Times New Roman" w:cs="Calibri"/>
          <w:bCs/>
          <w:sz w:val="24"/>
        </w:rPr>
      </w:pPr>
      <w:r>
        <w:rPr>
          <w:rFonts w:ascii="Times New Roman" w:hAnsi="Times New Roman" w:cs="Calibri"/>
          <w:bCs/>
          <w:sz w:val="24"/>
        </w:rPr>
        <w:t>However, modern Sishu education is not without its criticisms. Some critics argue that the heavy emphasis on Confucian classics and moral education can limit students’ critical thinking skills and creativity. Gilgan (2023) notes that while Confucian classics are valued for their moral guidance, their use in the classroom can sometimes be seen as overly rigid, potentially hindering students’ ability to engage with contemporary global issues​. Furthermore, the lack of standardised curriculum and institutional oversight in some modern Sishu has raised concerns about their ability to provide a comprehensive and well-rounded education that aligns with national educational standards</w:t>
      </w:r>
      <w:r>
        <w:rPr>
          <w:rFonts w:hint="eastAsia" w:ascii="Times New Roman" w:hAnsi="Times New Roman" w:cs="Calibri"/>
          <w:bCs/>
          <w:sz w:val="24"/>
        </w:rPr>
        <w:t xml:space="preserve"> (Sheng, 2018)</w:t>
      </w:r>
      <w:r>
        <w:rPr>
          <w:rFonts w:ascii="Times New Roman" w:hAnsi="Times New Roman" w:cs="Calibri"/>
          <w:bCs/>
          <w:sz w:val="24"/>
        </w:rPr>
        <w:t>.</w:t>
      </w:r>
    </w:p>
    <w:p w14:paraId="77FA8F23">
      <w:pPr>
        <w:autoSpaceDE w:val="0"/>
        <w:spacing w:line="360" w:lineRule="auto"/>
        <w:rPr>
          <w:rFonts w:ascii="Times New Roman" w:hAnsi="Times New Roman" w:cs="Calibri"/>
          <w:bCs/>
          <w:sz w:val="24"/>
        </w:rPr>
      </w:pPr>
      <w:r>
        <w:rPr>
          <w:rFonts w:hint="eastAsia" w:ascii="Times New Roman" w:hAnsi="Times New Roman" w:cs="Calibri"/>
          <w:bCs/>
          <w:sz w:val="24"/>
        </w:rPr>
        <w:t xml:space="preserve"> </w:t>
      </w:r>
    </w:p>
    <w:p w14:paraId="6252216E">
      <w:pPr>
        <w:autoSpaceDE w:val="0"/>
        <w:spacing w:line="360" w:lineRule="auto"/>
        <w:rPr>
          <w:rFonts w:ascii="Times New Roman" w:hAnsi="Times New Roman" w:cs="Calibri"/>
          <w:bCs/>
          <w:sz w:val="24"/>
        </w:rPr>
      </w:pPr>
      <w:r>
        <w:rPr>
          <w:rFonts w:ascii="Times New Roman" w:hAnsi="Times New Roman" w:cs="Calibri"/>
          <w:bCs/>
          <w:sz w:val="24"/>
        </w:rPr>
        <w:t xml:space="preserve">Modern Sishu education represents a unique fusion of Confucian moral education and contemporary academic learning. </w:t>
      </w:r>
      <w:r>
        <w:rPr>
          <w:rFonts w:hint="eastAsia" w:ascii="Times New Roman" w:hAnsi="Times New Roman" w:cs="Calibri"/>
          <w:bCs/>
          <w:sz w:val="24"/>
        </w:rPr>
        <w:t xml:space="preserve">Some modern Sishu </w:t>
      </w:r>
      <w:r>
        <w:rPr>
          <w:rFonts w:ascii="Times New Roman" w:hAnsi="Times New Roman" w:cs="Calibri"/>
          <w:bCs/>
          <w:sz w:val="24"/>
        </w:rPr>
        <w:t>retains the core values of traditional Confucian education, it also adapts to the needs of modern society by incorporating new subjects and methods of teaching (</w:t>
      </w:r>
      <w:r>
        <w:rPr>
          <w:rFonts w:hint="eastAsia" w:ascii="Times New Roman" w:hAnsi="Times New Roman" w:cs="Calibri"/>
          <w:bCs/>
          <w:sz w:val="24"/>
        </w:rPr>
        <w:t xml:space="preserve">Sheng, 2018; </w:t>
      </w:r>
      <w:r>
        <w:rPr>
          <w:rFonts w:ascii="Times New Roman" w:hAnsi="Times New Roman"/>
          <w:sz w:val="24"/>
        </w:rPr>
        <w:t>Billioud and Thoraval, 2015)</w:t>
      </w:r>
      <w:r>
        <w:rPr>
          <w:rFonts w:ascii="Times New Roman" w:hAnsi="Times New Roman" w:cs="Calibri"/>
          <w:bCs/>
          <w:sz w:val="24"/>
        </w:rPr>
        <w:t>. Despite its challenges, modern Sishu continues to offer an alternative to China’s formal education system, focusing on the holistic development of students</w:t>
      </w:r>
      <w:r>
        <w:rPr>
          <w:rFonts w:hint="eastAsia" w:ascii="Times New Roman" w:hAnsi="Times New Roman" w:cs="Calibri"/>
          <w:bCs/>
          <w:sz w:val="24"/>
        </w:rPr>
        <w:t>, to</w:t>
      </w:r>
      <w:r>
        <w:rPr>
          <w:rFonts w:ascii="Times New Roman" w:hAnsi="Times New Roman" w:cs="Calibri"/>
          <w:bCs/>
          <w:sz w:val="24"/>
        </w:rPr>
        <w:t xml:space="preserve"> addresses the intellectual and ethical challenges of the 21st century.</w:t>
      </w:r>
    </w:p>
    <w:p w14:paraId="03D97293">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480D1D4F">
      <w:pPr>
        <w:pStyle w:val="4"/>
        <w:numPr>
          <w:ilvl w:val="2"/>
          <w:numId w:val="3"/>
        </w:numPr>
        <w:ind w:left="0" w:leftChars="0" w:firstLine="0" w:firstLineChars="0"/>
      </w:pPr>
      <w:bookmarkStart w:id="19" w:name="_Toc25877"/>
      <w:r>
        <w:t>Research status of modern Sishu education in China</w:t>
      </w:r>
      <w:bookmarkEnd w:id="19"/>
    </w:p>
    <w:p w14:paraId="3A2A4A79">
      <w:pPr>
        <w:autoSpaceDE w:val="0"/>
        <w:spacing w:line="360" w:lineRule="auto"/>
        <w:rPr>
          <w:rFonts w:ascii="Times New Roman" w:hAnsi="Times New Roman" w:cs="Calibri"/>
          <w:bCs/>
          <w:sz w:val="24"/>
        </w:rPr>
      </w:pPr>
      <w:r>
        <w:rPr>
          <w:rFonts w:ascii="Times New Roman" w:hAnsi="Times New Roman" w:cs="Calibri"/>
          <w:bCs/>
          <w:sz w:val="24"/>
        </w:rPr>
        <w:t xml:space="preserve">Modern Sishu education in China has elicited a range of scholarly inquiries. Research highlights diverse motivations among families, pedagogical complexities within Sishu, and critical questions regarding legality, cultural identity, and social stratification. </w:t>
      </w:r>
    </w:p>
    <w:p w14:paraId="0377D795">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27961784">
      <w:pPr>
        <w:autoSpaceDE w:val="0"/>
        <w:spacing w:line="360" w:lineRule="auto"/>
        <w:rPr>
          <w:rFonts w:ascii="Times New Roman" w:hAnsi="Times New Roman" w:cs="Calibri"/>
          <w:bCs/>
          <w:sz w:val="24"/>
        </w:rPr>
      </w:pPr>
      <w:r>
        <w:rPr>
          <w:rFonts w:hint="eastAsia" w:ascii="Times New Roman" w:hAnsi="Times New Roman" w:cs="Calibri"/>
          <w:bCs/>
          <w:sz w:val="24"/>
        </w:rPr>
        <w:t xml:space="preserve">In Li (2020), the researcher notes that </w:t>
      </w:r>
      <w:r>
        <w:rPr>
          <w:rFonts w:ascii="Times New Roman" w:hAnsi="Times New Roman" w:cs="Calibri"/>
          <w:bCs/>
          <w:sz w:val="24"/>
        </w:rPr>
        <w:t>‘</w:t>
      </w:r>
      <w:r>
        <w:rPr>
          <w:rFonts w:hint="eastAsia" w:ascii="Times New Roman" w:hAnsi="Times New Roman" w:cs="Calibri"/>
          <w:bCs/>
          <w:sz w:val="24"/>
        </w:rPr>
        <w:t>In the past decade or so, there has been a revival of Sishu (</w:t>
      </w:r>
      <w:r>
        <w:rPr>
          <w:rFonts w:hint="eastAsia" w:ascii="宋体" w:hAnsi="宋体" w:cs="Calibri"/>
          <w:bCs/>
          <w:sz w:val="24"/>
        </w:rPr>
        <w:t>近十几年私塾出现了复兴之势</w:t>
      </w:r>
      <w:r>
        <w:rPr>
          <w:rFonts w:hint="eastAsia" w:ascii="Times New Roman" w:hAnsi="Times New Roman" w:cs="Calibri"/>
          <w:bCs/>
          <w:sz w:val="24"/>
        </w:rPr>
        <w:t>)</w:t>
      </w:r>
      <w:r>
        <w:rPr>
          <w:rFonts w:ascii="Times New Roman" w:hAnsi="Times New Roman" w:cs="Calibri"/>
          <w:bCs/>
          <w:sz w:val="24"/>
        </w:rPr>
        <w:t>’</w:t>
      </w:r>
      <w:r>
        <w:rPr>
          <w:rFonts w:hint="eastAsia" w:ascii="Times New Roman" w:hAnsi="Times New Roman" w:cs="Calibri"/>
          <w:bCs/>
          <w:sz w:val="24"/>
        </w:rPr>
        <w:t xml:space="preserve">, highlighting the visible resurgence of Sishu in the last decade. She traces this trend partly to </w:t>
      </w:r>
      <w:r>
        <w:rPr>
          <w:rFonts w:ascii="Times New Roman" w:hAnsi="Times New Roman" w:cs="Calibri"/>
          <w:bCs/>
          <w:sz w:val="24"/>
        </w:rPr>
        <w:t>‘</w:t>
      </w:r>
      <w:r>
        <w:rPr>
          <w:rFonts w:hint="eastAsia" w:ascii="Times New Roman" w:hAnsi="Times New Roman" w:cs="Calibri"/>
          <w:bCs/>
          <w:sz w:val="24"/>
        </w:rPr>
        <w:t>Contemporary Classics Reading Movement (</w:t>
      </w:r>
      <w:r>
        <w:rPr>
          <w:rFonts w:hint="eastAsia" w:ascii="宋体" w:hAnsi="宋体" w:cs="Calibri"/>
          <w:bCs/>
          <w:sz w:val="24"/>
        </w:rPr>
        <w:t>当代读经运动</w:t>
      </w:r>
      <w:r>
        <w:rPr>
          <w:rFonts w:hint="eastAsia" w:ascii="Times New Roman" w:hAnsi="Times New Roman" w:cs="Calibri"/>
          <w:bCs/>
          <w:sz w:val="24"/>
        </w:rPr>
        <w:t>)</w:t>
      </w:r>
      <w:r>
        <w:rPr>
          <w:rFonts w:ascii="Times New Roman" w:hAnsi="Times New Roman" w:cs="Calibri"/>
          <w:bCs/>
          <w:sz w:val="24"/>
        </w:rPr>
        <w:t>’</w:t>
      </w:r>
      <w:r>
        <w:rPr>
          <w:rFonts w:hint="eastAsia" w:ascii="Times New Roman" w:hAnsi="Times New Roman" w:cs="Calibri"/>
          <w:bCs/>
          <w:sz w:val="24"/>
        </w:rPr>
        <w:t xml:space="preserve">, </w:t>
      </w:r>
      <w:r>
        <w:rPr>
          <w:rFonts w:ascii="Times New Roman" w:hAnsi="Times New Roman" w:cs="Calibri"/>
          <w:bCs/>
          <w:sz w:val="24"/>
        </w:rPr>
        <w:t>critiquing standardized schooling as stifling individuality. Rather than assuming that every Sishu replicates a traditional Confucian model, the paper stresses the varied forms Sishu can take</w:t>
      </w:r>
      <w:r>
        <w:rPr>
          <w:rFonts w:hint="eastAsia" w:ascii="Times New Roman" w:hAnsi="Times New Roman" w:cs="Calibri"/>
          <w:bCs/>
          <w:sz w:val="24"/>
        </w:rPr>
        <w:t>,</w:t>
      </w:r>
      <w:r>
        <w:rPr>
          <w:rFonts w:ascii="Times New Roman" w:hAnsi="Times New Roman" w:cs="Calibri"/>
          <w:bCs/>
          <w:sz w:val="24"/>
        </w:rPr>
        <w:t xml:space="preserve"> some emphasize recitation of the classics, others integrate broader cultural curricula, and others draw on Western homeschooling ideas. This diversity arises from parental dissatisfaction with public education, an inclination also observed by Lee (2023), who reports that parents in Chinese cities increasingly favour alternative learning spaces that allow 'greater personal attention to each child's developmental pace.'</w:t>
      </w:r>
      <w:r>
        <w:rPr>
          <w:rFonts w:hint="eastAsia" w:ascii="Times New Roman" w:hAnsi="Times New Roman" w:cs="Calibri"/>
          <w:bCs/>
          <w:sz w:val="24"/>
        </w:rPr>
        <w:t xml:space="preserve"> </w:t>
      </w:r>
      <w:r>
        <w:rPr>
          <w:rFonts w:ascii="Times New Roman" w:hAnsi="Times New Roman" w:cs="Calibri"/>
          <w:bCs/>
          <w:sz w:val="24"/>
        </w:rPr>
        <w:t xml:space="preserve">Nonetheless, ambiguity persists over how thoroughly these Sishu embody a coherent philosophy. On the one hand, some institutions declare a commitment to Confucian ethics. On the other hand, critics question whether certain Sishu rely on superficial moral instruction. As </w:t>
      </w:r>
      <w:r>
        <w:rPr>
          <w:rFonts w:hint="eastAsia" w:ascii="Times New Roman" w:hAnsi="Times New Roman" w:cs="Calibri"/>
          <w:bCs/>
          <w:sz w:val="24"/>
        </w:rPr>
        <w:t xml:space="preserve">Li </w:t>
      </w:r>
      <w:r>
        <w:rPr>
          <w:rFonts w:ascii="Times New Roman" w:hAnsi="Times New Roman" w:cs="Calibri"/>
          <w:bCs/>
          <w:sz w:val="24"/>
        </w:rPr>
        <w:t>(2020) cautions, ‘Purpose of education narrowed to special ethical and moral relations in traditional classics,’ meaning that some rely on a narrow view of classics-based moral education. Thus, Questions emerge about how deeply Sishu can or does encourage critical thinking alongside textual memorization.</w:t>
      </w:r>
    </w:p>
    <w:p w14:paraId="4410F91F">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5A31EFC1">
      <w:pPr>
        <w:autoSpaceDE w:val="0"/>
        <w:spacing w:line="360" w:lineRule="auto"/>
        <w:rPr>
          <w:rFonts w:ascii="Times New Roman" w:hAnsi="Times New Roman" w:cs="Calibri"/>
          <w:bCs/>
          <w:sz w:val="24"/>
        </w:rPr>
      </w:pPr>
      <w:r>
        <w:rPr>
          <w:rFonts w:hint="eastAsia" w:ascii="Times New Roman" w:hAnsi="Times New Roman" w:cs="Calibri"/>
          <w:bCs/>
          <w:sz w:val="24"/>
        </w:rPr>
        <w:t>In addition to critical discourse, a</w:t>
      </w:r>
      <w:r>
        <w:rPr>
          <w:rFonts w:ascii="Times New Roman" w:hAnsi="Times New Roman" w:cs="Calibri"/>
          <w:bCs/>
          <w:sz w:val="24"/>
        </w:rPr>
        <w:t>n</w:t>
      </w:r>
      <w:r>
        <w:rPr>
          <w:rFonts w:hint="eastAsia" w:ascii="Times New Roman" w:hAnsi="Times New Roman" w:cs="Calibri"/>
          <w:bCs/>
          <w:sz w:val="24"/>
        </w:rPr>
        <w:t>other</w:t>
      </w:r>
      <w:r>
        <w:rPr>
          <w:rFonts w:ascii="Times New Roman" w:hAnsi="Times New Roman" w:cs="Calibri"/>
          <w:bCs/>
          <w:sz w:val="24"/>
        </w:rPr>
        <w:t xml:space="preserve"> ongoing theme in the literature concerns the legal uncertainty surrounding modern Sishu. Officially, China's compulsory education laws stipulate that children attend recognized schools unless granted special permission. However, many Sishu operate informally, occupying a grey area. Wu (2019) states that while the 'renaissance of classical studies' has nationwide visibility, precise government oversight remains inconsistent. Li</w:t>
      </w:r>
      <w:r>
        <w:rPr>
          <w:rFonts w:hint="eastAsia" w:ascii="Times New Roman" w:hAnsi="Times New Roman" w:cs="Calibri"/>
          <w:bCs/>
          <w:sz w:val="24"/>
        </w:rPr>
        <w:t xml:space="preserve"> (</w:t>
      </w:r>
      <w:r>
        <w:rPr>
          <w:rFonts w:ascii="Times New Roman" w:hAnsi="Times New Roman" w:cs="Calibri"/>
          <w:bCs/>
          <w:sz w:val="24"/>
        </w:rPr>
        <w:t>2020)</w:t>
      </w:r>
      <w:r>
        <w:rPr>
          <w:rFonts w:hint="eastAsia" w:ascii="Times New Roman" w:hAnsi="Times New Roman" w:cs="Calibri"/>
          <w:bCs/>
          <w:sz w:val="24"/>
        </w:rPr>
        <w:t xml:space="preserve"> pointed that, s</w:t>
      </w:r>
      <w:r>
        <w:rPr>
          <w:rFonts w:ascii="Times New Roman" w:hAnsi="Times New Roman" w:cs="Calibri"/>
          <w:bCs/>
          <w:sz w:val="24"/>
        </w:rPr>
        <w:t>ome local officials are reportedly tolerant, whereas others apply more stringent checks.</w:t>
      </w:r>
      <w:r>
        <w:rPr>
          <w:rFonts w:hint="eastAsia" w:ascii="Times New Roman" w:hAnsi="Times New Roman" w:cs="Calibri"/>
          <w:bCs/>
          <w:sz w:val="24"/>
        </w:rPr>
        <w:t xml:space="preserve"> </w:t>
      </w:r>
      <w:r>
        <w:rPr>
          <w:rFonts w:ascii="Times New Roman" w:hAnsi="Times New Roman" w:cs="Calibri"/>
          <w:bCs/>
          <w:sz w:val="24"/>
        </w:rPr>
        <w:t>Parallel complexities appear in Hong Kong, where the ‘Do not Ask, Do not Tell’ approach to homeschooling leaves parents unsure of their legal standing (Erlings, 2019). Although Hong Kong's legal regime differs, the shared experience is that non-traditional education—Sishu or homeschooling—often lacks a firm policy framework in Chinese contexts. Researchers such as Sheng (2020) argue that the absence of clear recognition restricts Sishu's potential to expand or reform mainstream practice since families remain vulnerable to official scrutiny or closure.</w:t>
      </w:r>
    </w:p>
    <w:p w14:paraId="48C7A29E">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2DB669A2">
      <w:pPr>
        <w:autoSpaceDE w:val="0"/>
        <w:spacing w:line="360" w:lineRule="auto"/>
        <w:rPr>
          <w:rFonts w:ascii="Times New Roman" w:hAnsi="Times New Roman" w:cs="Calibri"/>
          <w:bCs/>
          <w:sz w:val="24"/>
        </w:rPr>
      </w:pPr>
      <w:r>
        <w:rPr>
          <w:rFonts w:ascii="Times New Roman" w:hAnsi="Times New Roman" w:cs="Calibri"/>
          <w:bCs/>
          <w:sz w:val="24"/>
        </w:rPr>
        <w:t xml:space="preserve">Another recurring point is social class. Sheng's (2014) study of home-based education documents that parents choosing unconventional schooling often hold higher cultural capital, enabling them to navigate an opaque regulatory environment. Likewise, Lee (2024) notes that in urban Chinese settings, middle-class families are more apt to opt out of formal schooling altogether, employing Sishu or hybrid academies as a strategic path to cultivate what they see as deeper moral and intellectual capacities. </w:t>
      </w:r>
      <w:r>
        <w:rPr>
          <w:rFonts w:hint="eastAsia" w:ascii="Times New Roman" w:hAnsi="Times New Roman" w:cs="Calibri"/>
          <w:bCs/>
          <w:sz w:val="24"/>
        </w:rPr>
        <w:t xml:space="preserve">This is usually because the average person has more economic-based solutions, such as study abroad or inherit family business (Sheng, 2018; 2014). </w:t>
      </w:r>
      <w:r>
        <w:rPr>
          <w:rFonts w:ascii="Times New Roman" w:hAnsi="Times New Roman" w:cs="Calibri"/>
          <w:bCs/>
          <w:sz w:val="24"/>
        </w:rPr>
        <w:t>This phenomenon, however, triggers questions of inequality: Sishu may be open to those with sufficient resources to pay private tuition or provide stable organizational backing. Families lacking that privilege might be sidelined, further accentuating educational disparities (Sheng, 2020).</w:t>
      </w:r>
    </w:p>
    <w:p w14:paraId="49FF2459">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5C224285">
      <w:pPr>
        <w:autoSpaceDE w:val="0"/>
        <w:spacing w:line="360" w:lineRule="auto"/>
        <w:rPr>
          <w:rFonts w:ascii="Times New Roman" w:hAnsi="Times New Roman" w:cs="Calibri"/>
          <w:bCs/>
          <w:sz w:val="24"/>
        </w:rPr>
      </w:pPr>
      <w:r>
        <w:rPr>
          <w:rFonts w:ascii="Times New Roman" w:hAnsi="Times New Roman" w:cs="Calibri"/>
          <w:bCs/>
          <w:sz w:val="24"/>
        </w:rPr>
        <w:t>Researchers also highlight pedagogical diversity; rather than a single orthodox model, modern Sishu exhibits wide-ranging instructional methods, from strict Confucian recitation to child-centred routines influenced by Western education (Wu, 2019). Nevertheless, critics warn that a gap can surface between a self-proclaimed "innovative" or "holistic" ethos and the actual practice, which may revert to rote strategies under social pressure to achieve visible academic outcomes (Sheng, 2014). Furthermore, Li (2020) reports that inadequate teacher training hinders consistent quality; Sishu teachers sometimes lack formal certification or rely heavily on personal charisma rather than pedagogical expertise.</w:t>
      </w:r>
      <w:r>
        <w:rPr>
          <w:rFonts w:hint="eastAsia" w:ascii="Times New Roman" w:hAnsi="Times New Roman" w:cs="Calibri"/>
          <w:bCs/>
          <w:sz w:val="24"/>
        </w:rPr>
        <w:t xml:space="preserve"> </w:t>
      </w:r>
      <w:r>
        <w:rPr>
          <w:rFonts w:ascii="Times New Roman" w:hAnsi="Times New Roman" w:cs="Calibri"/>
          <w:bCs/>
          <w:sz w:val="24"/>
        </w:rPr>
        <w:t xml:space="preserve">Another question is whether Sishu's approach fosters intellectual openness or cultural essentialism. On the one hand, integrative curricula might enrich children's learning experiences by merging moral and analytical dimensions. On the other hand, if instruction is heavily text-based without reflective discourse, it may perpetuate a narrow reading of tradition. </w:t>
      </w:r>
    </w:p>
    <w:p w14:paraId="295EE081">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37D775D4">
      <w:pPr>
        <w:autoSpaceDE w:val="0"/>
        <w:spacing w:line="360" w:lineRule="auto"/>
        <w:rPr>
          <w:rFonts w:ascii="Times New Roman" w:hAnsi="Times New Roman" w:cs="Calibri"/>
          <w:bCs/>
          <w:sz w:val="24"/>
        </w:rPr>
      </w:pPr>
      <w:r>
        <w:rPr>
          <w:rFonts w:ascii="Times New Roman" w:hAnsi="Times New Roman" w:cs="Calibri"/>
          <w:bCs/>
          <w:sz w:val="24"/>
        </w:rPr>
        <w:t>Overall, scholarship suggests that modern Sishu in China do not conform to a uniform pattern. From parental motivations to curriculum design, from legal ambiguity to social class disparities, the realities of Sishu are as varied as the families who support them. Researchers widely agree that Sishu's informal status remains a double-edged sword, affording flexibility for personalized instruction yet exposing educators and parents to regulatory uncertainty (Lee, 2023). Central questions persist: Can Sishu achieve broad-based legitimacy without sacrificing autonomy? Do they truly offer an alternative that addresses the perceived shortcomings of mass education, or do they amplify existing social divides?</w:t>
      </w:r>
    </w:p>
    <w:p w14:paraId="5FD00BFF">
      <w:pPr>
        <w:autoSpaceDE w:val="0"/>
        <w:spacing w:line="360" w:lineRule="auto"/>
        <w:rPr>
          <w:rFonts w:ascii="Times New Roman" w:hAnsi="Times New Roman" w:cs="Calibri"/>
          <w:bCs/>
          <w:sz w:val="24"/>
        </w:rPr>
      </w:pPr>
      <w:r>
        <w:rPr>
          <w:rFonts w:ascii="Times New Roman" w:hAnsi="Times New Roman" w:cs="Calibri"/>
          <w:bCs/>
          <w:sz w:val="24"/>
        </w:rPr>
        <w:t xml:space="preserve"> </w:t>
      </w:r>
    </w:p>
    <w:p w14:paraId="4B692880">
      <w:pPr>
        <w:autoSpaceDE w:val="0"/>
        <w:spacing w:line="360" w:lineRule="auto"/>
        <w:rPr>
          <w:rFonts w:ascii="Times New Roman" w:hAnsi="Times New Roman" w:cs="Calibri"/>
          <w:bCs/>
          <w:sz w:val="24"/>
        </w:rPr>
      </w:pPr>
      <w:r>
        <w:rPr>
          <w:rFonts w:ascii="Times New Roman" w:hAnsi="Times New Roman" w:cs="Calibri"/>
          <w:bCs/>
          <w:sz w:val="24"/>
        </w:rPr>
        <w:t>Ultimately, the modern Sishu phenomenon compels scholars and policymakers to reconsider the balance between tradition, innovation, and regulatory structures. As Wu (2019) advises, careful, context-rich studies are vital to understanding whether these institutions herald meaningful educational renewal or remain marginal experiments favoured mainly by socioeconomically advantaged families. Without decisive policy clarity and sustained research efforts, the future of modern Sishu in China will remain uncertain</w:t>
      </w:r>
      <w:r>
        <w:rPr>
          <w:rFonts w:hint="eastAsia" w:ascii="宋体" w:hAnsi="宋体" w:cs="Calibri"/>
          <w:bCs/>
          <w:sz w:val="24"/>
        </w:rPr>
        <w:t>—</w:t>
      </w:r>
      <w:r>
        <w:rPr>
          <w:rFonts w:ascii="Times New Roman" w:hAnsi="Times New Roman" w:cs="Calibri"/>
          <w:bCs/>
          <w:sz w:val="24"/>
        </w:rPr>
        <w:t>yet profoundly indicative of the ongoing transformations in Chinese education.</w:t>
      </w:r>
    </w:p>
    <w:p w14:paraId="1C43A1CD">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69A2ED24">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2A707CB5">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386D048B">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9542BB3">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3D1D5EC0">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2AC8B4BB">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70CA409F">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5F8BA3E8">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9554F32">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2FFEC5B0">
      <w:pPr>
        <w:pStyle w:val="3"/>
        <w:numPr>
          <w:ilvl w:val="1"/>
          <w:numId w:val="3"/>
        </w:numPr>
        <w:bidi w:val="0"/>
        <w:ind w:left="0" w:leftChars="0" w:firstLine="0" w:firstLineChars="0"/>
        <w:rPr>
          <w:rFonts w:hint="eastAsia"/>
        </w:rPr>
      </w:pPr>
      <w:bookmarkStart w:id="20" w:name="_Toc19093"/>
      <w:r>
        <w:t>Theme two</w:t>
      </w:r>
      <w:r>
        <w:rPr>
          <w:rFonts w:hint="eastAsia"/>
        </w:rPr>
        <w:t>:</w:t>
      </w:r>
      <w:r>
        <w:t xml:space="preserve"> Educational Aims and Curriculum</w:t>
      </w:r>
      <w:bookmarkEnd w:id="20"/>
    </w:p>
    <w:p w14:paraId="07CD61D4">
      <w:pPr>
        <w:pStyle w:val="4"/>
        <w:numPr>
          <w:ilvl w:val="2"/>
          <w:numId w:val="3"/>
        </w:numPr>
        <w:bidi w:val="0"/>
        <w:ind w:left="0" w:leftChars="0" w:firstLine="0" w:firstLineChars="0"/>
      </w:pPr>
      <w:bookmarkStart w:id="21" w:name="_Toc511"/>
      <w:r>
        <w:rPr>
          <w:rFonts w:hint="eastAsia"/>
          <w:lang w:val="en-US" w:eastAsia="zh-CN"/>
        </w:rPr>
        <w:t>Different Types of Sishu</w:t>
      </w:r>
      <w:r>
        <w:t xml:space="preserve"> </w:t>
      </w:r>
      <w:r>
        <w:rPr>
          <w:rFonts w:hint="eastAsia"/>
        </w:rPr>
        <w:t>P</w:t>
      </w:r>
      <w:r>
        <w:t>ractice</w:t>
      </w:r>
      <w:bookmarkEnd w:id="21"/>
    </w:p>
    <w:p w14:paraId="6D2EC79F">
      <w:pPr>
        <w:autoSpaceDE w:val="0"/>
        <w:spacing w:before="100" w:beforeAutospacing="1" w:line="360" w:lineRule="auto"/>
        <w:rPr>
          <w:rFonts w:ascii="Times New Roman" w:hAnsi="Times New Roman"/>
          <w:sz w:val="24"/>
          <w:szCs w:val="24"/>
        </w:rPr>
      </w:pPr>
      <w:r>
        <w:rPr>
          <w:rFonts w:ascii="Times New Roman" w:hAnsi="Times New Roman"/>
          <w:sz w:val="24"/>
          <w:szCs w:val="24"/>
        </w:rPr>
        <w:t>Modern Sishu educational practices differ in many ways from individual home-schooling practices and may even be opposite in some respects. A qualitative study of 31 Chinese home-schooling families in Hong Kong and Taipei showed that, although more than half of the parents (51.6%) tended to organise their home-schooling activities closer to a structured purpose, in general, parents always highlighted the importance of flexibility and freedom (Lee, 2023). To a greater or lesser extent, these families customise the learning style, pace and content of the curriculum to suit their child's needs or interests and even keep 'intervention' to a minimum where possible. A common view among the parents interviewed was to implement child-centred education wherever possible, rather than the school-centred tradition of compulsory education.</w:t>
      </w:r>
      <w:r>
        <w:rPr>
          <w:rFonts w:hint="eastAsia" w:ascii="Times New Roman" w:hAnsi="Times New Roman"/>
          <w:sz w:val="24"/>
          <w:szCs w:val="24"/>
        </w:rPr>
        <w:t xml:space="preserve"> Another study by Lee (2024) suggested that </w:t>
      </w:r>
      <w:r>
        <w:rPr>
          <w:rFonts w:ascii="Times New Roman" w:hAnsi="Times New Roman"/>
          <w:sz w:val="24"/>
          <w:szCs w:val="24"/>
        </w:rPr>
        <w:t xml:space="preserve">parents who chose to homeschool their children tended to respect their children's learning autonomy and attempted to democratise the learning process. </w:t>
      </w:r>
    </w:p>
    <w:p w14:paraId="36AD1526">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29112C59">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In spite of this, modern Sishu have not shown a positive attitude toward providing personalisation to students. </w:t>
      </w:r>
      <w:r>
        <w:rPr>
          <w:rFonts w:hint="eastAsia" w:ascii="Times New Roman" w:hAnsi="Times New Roman"/>
          <w:sz w:val="24"/>
          <w:szCs w:val="24"/>
        </w:rPr>
        <w:t>M</w:t>
      </w:r>
      <w:r>
        <w:rPr>
          <w:rFonts w:ascii="Times New Roman" w:hAnsi="Times New Roman"/>
          <w:sz w:val="24"/>
          <w:szCs w:val="24"/>
        </w:rPr>
        <w:t xml:space="preserve">any parents in China are equally keen to impart their preferred values and culture, i.e., those embodied in Confucian theories and works, in order to develop their children's morals and sound personalities (Sheng, 2013; 2018, p. 102). As a result, the basic learning content of most full-time Sishu is centred on classical Confucian works (Sheng, 2018), </w:t>
      </w:r>
      <w:r>
        <w:rPr>
          <w:rFonts w:hint="eastAsia" w:ascii="Times New Roman" w:hAnsi="Times New Roman"/>
          <w:sz w:val="24"/>
          <w:szCs w:val="24"/>
        </w:rPr>
        <w:t xml:space="preserve">and the teaching methods mainly focus on recitation and reading aloud. (Gilgan, 2023). </w:t>
      </w:r>
      <w:r>
        <w:rPr>
          <w:rFonts w:ascii="Times New Roman" w:hAnsi="Times New Roman"/>
          <w:sz w:val="24"/>
          <w:szCs w:val="24"/>
        </w:rPr>
        <w:t>‘Mengmutang’</w:t>
      </w:r>
      <w:r>
        <w:rPr>
          <w:rFonts w:hint="eastAsia" w:ascii="Times New Roman" w:hAnsi="Times New Roman"/>
          <w:sz w:val="24"/>
          <w:szCs w:val="24"/>
        </w:rPr>
        <w:t xml:space="preserve"> (</w:t>
      </w:r>
      <w:r>
        <w:rPr>
          <w:rFonts w:ascii="Times New Roman" w:hAnsi="Times New Roman"/>
          <w:sz w:val="24"/>
          <w:szCs w:val="24"/>
        </w:rPr>
        <w:t>‘Mengmutang’</w:t>
      </w:r>
      <w:r>
        <w:rPr>
          <w:rFonts w:hint="eastAsia" w:ascii="Times New Roman" w:hAnsi="Times New Roman"/>
          <w:sz w:val="24"/>
          <w:szCs w:val="24"/>
        </w:rPr>
        <w:t xml:space="preserve"> is the name of a modern Sishu</w:t>
      </w:r>
      <w:r>
        <w:rPr>
          <w:rFonts w:hint="eastAsia" w:ascii="Times New Roman" w:hAnsi="Times New Roman"/>
          <w:sz w:val="24"/>
          <w:szCs w:val="24"/>
          <w:lang w:val="en-US" w:eastAsia="zh-CN"/>
        </w:rPr>
        <w:t>, which had been banned by the government in 2006</w:t>
      </w:r>
      <w:r>
        <w:rPr>
          <w:rFonts w:hint="eastAsia" w:ascii="Times New Roman" w:hAnsi="Times New Roman"/>
          <w:sz w:val="24"/>
          <w:szCs w:val="24"/>
        </w:rPr>
        <w:t>)</w:t>
      </w:r>
      <w:r>
        <w:rPr>
          <w:rFonts w:ascii="Times New Roman" w:hAnsi="Times New Roman"/>
          <w:sz w:val="24"/>
          <w:szCs w:val="24"/>
        </w:rPr>
        <w:t xml:space="preserve"> in Shanghai is one of the modern practices of full-time Sishu.</w:t>
      </w:r>
      <w:r>
        <w:rPr>
          <w:rFonts w:hint="eastAsia" w:ascii="Times New Roman" w:hAnsi="Times New Roman"/>
          <w:sz w:val="24"/>
          <w:szCs w:val="24"/>
        </w:rPr>
        <w:t xml:space="preserve"> </w:t>
      </w:r>
      <w:r>
        <w:rPr>
          <w:rFonts w:ascii="Times New Roman" w:hAnsi="Times New Roman"/>
          <w:sz w:val="24"/>
          <w:szCs w:val="24"/>
        </w:rPr>
        <w:t xml:space="preserve">Sheng (2013), in his qualitative study of ‘Mengmutang’, noted that the teaching content of ‘Mengmutang' consisted almost entirely of Chinese Confucian works and that the specific teaching method was based on children reading and reciting under the guidance of a teacher (Sheng, 2013). </w:t>
      </w:r>
    </w:p>
    <w:p w14:paraId="12DF0822">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1147C3DD">
      <w:pPr>
        <w:autoSpaceDE w:val="0"/>
        <w:spacing w:before="100" w:beforeAutospacing="1" w:line="360" w:lineRule="auto"/>
        <w:rPr>
          <w:rFonts w:ascii="Times New Roman" w:hAnsi="Times New Roman"/>
          <w:sz w:val="24"/>
          <w:szCs w:val="24"/>
        </w:rPr>
      </w:pPr>
      <w:r>
        <w:rPr>
          <w:rFonts w:ascii="Times New Roman" w:hAnsi="Times New Roman"/>
          <w:sz w:val="24"/>
          <w:szCs w:val="24"/>
        </w:rPr>
        <w:t>Many parents who send their children to Mengmutang emphasize the emphasis on 'child-centred' teaching there, which 'adapts to children's individual learning styles' and 'meets their individual needs' (Sheng, 2013).</w:t>
      </w:r>
      <w:r>
        <w:rPr>
          <w:rFonts w:hint="eastAsia" w:ascii="Times New Roman" w:hAnsi="Times New Roman"/>
          <w:sz w:val="24"/>
          <w:szCs w:val="24"/>
        </w:rPr>
        <w:t xml:space="preserve"> </w:t>
      </w:r>
      <w:r>
        <w:rPr>
          <w:rFonts w:ascii="Times New Roman" w:hAnsi="Times New Roman"/>
          <w:sz w:val="24"/>
          <w:szCs w:val="24"/>
        </w:rPr>
        <w:t>Interestingly, however, there were limited examples provided in this study that demonstrated flexibility in teaching styles. The only specific description was that when a child could not recite a work well, the teacher would change the teaching style a little, i.e., let him read the text aloud (which would most likely still read Confucian works) (Sheng, 2013).</w:t>
      </w:r>
      <w:r>
        <w:rPr>
          <w:rFonts w:hint="eastAsia" w:ascii="Times New Roman" w:hAnsi="Times New Roman"/>
          <w:sz w:val="24"/>
          <w:szCs w:val="24"/>
        </w:rPr>
        <w:t xml:space="preserve"> </w:t>
      </w:r>
      <w:r>
        <w:rPr>
          <w:rFonts w:ascii="Times New Roman" w:hAnsi="Times New Roman"/>
          <w:sz w:val="24"/>
          <w:szCs w:val="24"/>
        </w:rPr>
        <w:t xml:space="preserve">The organisers of Mengmotang claim that Mengmotang's teachers set appropriate learning goals for students based on their character and abilities and that children can read and recite (Confucian works) at their own pace (Sheng, 2013). It is not difficult to notice that this is only a personalised adjustment of the learning pace, while the overall learning content and teaching style are clearly defined. </w:t>
      </w:r>
      <w:r>
        <w:rPr>
          <w:rFonts w:hint="eastAsia" w:ascii="Times New Roman" w:hAnsi="Times New Roman"/>
          <w:sz w:val="24"/>
          <w:szCs w:val="24"/>
        </w:rPr>
        <w:t>Again, here it is important to emphasize that</w:t>
      </w:r>
      <w:r>
        <w:rPr>
          <w:rFonts w:ascii="Times New Roman" w:hAnsi="Times New Roman"/>
          <w:sz w:val="24"/>
          <w:szCs w:val="24"/>
        </w:rPr>
        <w:t xml:space="preserve"> most modern Sishu use Confucian works as the main teaching materials, and the teaching methods mainly focus on recitation and reading aloud. In most cases, students have to bow to the Confucius image and the teacher before and after each class. The purpose of this was to teach students to respect authority and, in the present case, the teacher as the representative of authority (Gilgan, 2023). </w:t>
      </w:r>
    </w:p>
    <w:p w14:paraId="0931C204">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54ECC6EE">
      <w:pPr>
        <w:autoSpaceDE w:val="0"/>
        <w:spacing w:before="100" w:beforeAutospacing="1" w:line="360" w:lineRule="auto"/>
        <w:rPr>
          <w:rFonts w:ascii="Times New Roman" w:hAnsi="Times New Roman"/>
          <w:sz w:val="24"/>
          <w:szCs w:val="24"/>
        </w:rPr>
      </w:pPr>
      <w:r>
        <w:rPr>
          <w:rFonts w:ascii="Times New Roman" w:hAnsi="Times New Roman"/>
          <w:sz w:val="24"/>
          <w:szCs w:val="24"/>
        </w:rPr>
        <w:t>There is little research that indicates how well modern Sishu can cultivate their students' personal interests in their lives and what extent customised learning spaces they can provide. However, based on the living situations described in the literature, it can be reasonably assumed that in the strong Confucian environment and atmosphere of the Sishu, some parents' expectations of 'personalisation' and 'student-centredness' are not met. Another fact is that the child's 'personality' or 'interests' are limited to Confucian culture and its moral values or to projects related to traditional Chinese culture and art, such as martial arts, calligraphy, Chinese painting, Chinese chess, etc. Only a few Sishu are able to incorporate a very small number of non-Confucian texts into the curriculum (Sheng, 2018; Sheng, 2019, p. 87).</w:t>
      </w:r>
      <w:r>
        <w:rPr>
          <w:rFonts w:hint="eastAsia" w:ascii="Times New Roman" w:hAnsi="Times New Roman"/>
          <w:sz w:val="24"/>
          <w:szCs w:val="24"/>
        </w:rPr>
        <w:t xml:space="preserve"> </w:t>
      </w:r>
    </w:p>
    <w:p w14:paraId="1A986A23">
      <w:pPr>
        <w:autoSpaceDE w:val="0"/>
        <w:spacing w:before="100" w:beforeAutospacing="1" w:line="360" w:lineRule="auto"/>
        <w:rPr>
          <w:rFonts w:hint="eastAsia" w:ascii="Times New Roman" w:hAnsi="Times New Roman"/>
          <w:sz w:val="24"/>
          <w:szCs w:val="24"/>
        </w:rPr>
      </w:pPr>
      <w:r>
        <w:rPr>
          <w:rFonts w:hint="eastAsia" w:ascii="Times New Roman" w:hAnsi="Times New Roman"/>
          <w:sz w:val="24"/>
          <w:szCs w:val="24"/>
        </w:rPr>
        <w:t xml:space="preserve"> </w:t>
      </w:r>
    </w:p>
    <w:p w14:paraId="642C73BD">
      <w:pPr>
        <w:autoSpaceDE w:val="0"/>
        <w:spacing w:before="100" w:beforeAutospacing="1" w:line="360" w:lineRule="auto"/>
        <w:rPr>
          <w:rFonts w:hint="eastAsia" w:ascii="Times New Roman" w:hAnsi="Times New Roman"/>
          <w:sz w:val="24"/>
          <w:szCs w:val="24"/>
        </w:rPr>
      </w:pPr>
      <w:r>
        <w:rPr>
          <w:rFonts w:ascii="Times New Roman" w:hAnsi="Times New Roman"/>
          <w:sz w:val="24"/>
          <w:szCs w:val="24"/>
        </w:rPr>
        <w:t>Because of parents' shared endorsement of Confucian values and learning needs, this willingness and inclination usually limits, to some extent, the scope of Sishu’s practice of learning content from non-Confucian or non-Chinese classical cultures. From this perspective, modern Sishu education cannot be called ‘actually respecting children's interests and learning needs’. On the contrary, it may, through its strict control over learning content, schedules and ideology, to some extent deprive students of the space to realise their individual interests, or perhaps even the opportunity to discover them due to lack of access to relevant environments and learning materials. However, it is perhaps the strong moral values that underlie Confucian philosophy and its methods that make Sishu education particularly attractive to parents</w:t>
      </w:r>
      <w:r>
        <w:rPr>
          <w:rFonts w:hint="eastAsia" w:ascii="Times New Roman" w:hAnsi="Times New Roman"/>
          <w:sz w:val="24"/>
          <w:szCs w:val="24"/>
        </w:rPr>
        <w:t xml:space="preserve"> </w:t>
      </w:r>
      <w:r>
        <w:rPr>
          <w:rFonts w:ascii="Times New Roman" w:hAnsi="Times New Roman"/>
          <w:sz w:val="24"/>
          <w:szCs w:val="24"/>
        </w:rPr>
        <w:t>(Gilgan, 2023). Specifically, parents who chose Sishu education prioritised moral education, emphasising its importance for their children throughout their lives and for society (Gilgan, 2023; Billioud and Thoraval, 2015, p. 93). They would more or less believe that a child can be educated to be a good person in a favourable environment where social conditions are deliberately constructed; the child will be able to grow up to be a good and moral role model, and will have the potential to influence those around him or her, which in turn will lead to a sound vision of self-transformation and transformation of the society (Billioud and Thoraval, 2015, p.106; Gilgan, 2023).</w:t>
      </w:r>
    </w:p>
    <w:p w14:paraId="18610E40">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5E6C7900">
      <w:pPr>
        <w:autoSpaceDE w:val="0"/>
        <w:spacing w:before="100" w:beforeAutospacing="1" w:line="360" w:lineRule="auto"/>
        <w:rPr>
          <w:rFonts w:ascii="Times New Roman" w:hAnsi="Times New Roman"/>
          <w:sz w:val="24"/>
          <w:szCs w:val="24"/>
        </w:rPr>
      </w:pPr>
      <w:r>
        <w:rPr>
          <w:rFonts w:ascii="Times New Roman" w:hAnsi="Times New Roman"/>
          <w:sz w:val="24"/>
          <w:szCs w:val="24"/>
        </w:rPr>
        <w:t>Billioud and Thoraval</w:t>
      </w:r>
      <w:r>
        <w:rPr>
          <w:rFonts w:hint="eastAsia" w:ascii="Times New Roman" w:hAnsi="Times New Roman"/>
          <w:sz w:val="24"/>
          <w:szCs w:val="24"/>
        </w:rPr>
        <w:t xml:space="preserve"> (</w:t>
      </w:r>
      <w:r>
        <w:rPr>
          <w:rFonts w:ascii="Times New Roman" w:hAnsi="Times New Roman"/>
          <w:sz w:val="24"/>
          <w:szCs w:val="24"/>
        </w:rPr>
        <w:t>2015</w:t>
      </w:r>
      <w:r>
        <w:rPr>
          <w:rFonts w:hint="eastAsia" w:ascii="Times New Roman" w:hAnsi="Times New Roman"/>
          <w:sz w:val="24"/>
          <w:szCs w:val="24"/>
        </w:rPr>
        <w:t>) stated that, i</w:t>
      </w:r>
      <w:r>
        <w:rPr>
          <w:rFonts w:ascii="Times New Roman" w:hAnsi="Times New Roman"/>
          <w:sz w:val="24"/>
          <w:szCs w:val="24"/>
        </w:rPr>
        <w:t>n contrast with the method of learning classic texts in a large number of indoctrinations, another Sishu educational practice</w:t>
      </w:r>
      <w:r>
        <w:rPr>
          <w:rFonts w:hint="eastAsia" w:ascii="Times New Roman" w:hAnsi="Times New Roman"/>
          <w:sz w:val="24"/>
          <w:szCs w:val="24"/>
        </w:rPr>
        <w:t xml:space="preserve"> </w:t>
      </w:r>
      <w:r>
        <w:rPr>
          <w:rFonts w:ascii="Times New Roman" w:hAnsi="Times New Roman"/>
          <w:sz w:val="24"/>
          <w:szCs w:val="24"/>
        </w:rPr>
        <w:t xml:space="preserve">exhibits anti-intellectualism (p. 76). Self-improvement is no longer directly related to intellectual activity but involves the whole person and body (p. 77). This means that the importance of classical texts as key vehicles for self-mastery becomes less unique in this approach. One of the key figures who led this approach was a self-proclaimed ‘farmer’ from Heilongjiang province, Mr Liu Yousheng (born in 1939). He claimed to have inherited the studies of Wang Fengyi, an important figure in the religious world </w:t>
      </w:r>
      <w:r>
        <w:rPr>
          <w:rFonts w:hint="eastAsia" w:ascii="Times New Roman" w:hAnsi="Times New Roman"/>
          <w:sz w:val="24"/>
          <w:szCs w:val="24"/>
        </w:rPr>
        <w:t>during the Minguo (</w:t>
      </w:r>
      <w:r>
        <w:rPr>
          <w:rFonts w:hint="eastAsia" w:ascii="宋体" w:hAnsi="宋体"/>
          <w:sz w:val="24"/>
          <w:szCs w:val="24"/>
        </w:rPr>
        <w:t>民国</w:t>
      </w:r>
      <w:r>
        <w:rPr>
          <w:rFonts w:hint="eastAsia" w:ascii="Times New Roman" w:hAnsi="Times New Roman"/>
          <w:sz w:val="24"/>
          <w:szCs w:val="24"/>
        </w:rPr>
        <w:t xml:space="preserve">) period (p. 80). Wang Fengyi, also known as Wang Shanren, was an uneducated farmer who cured himself of a serious illness at the age of thirty-five. He then realised his healing abilities and developed a </w:t>
      </w:r>
      <w:r>
        <w:rPr>
          <w:rFonts w:ascii="Times New Roman" w:hAnsi="Times New Roman"/>
          <w:sz w:val="24"/>
          <w:szCs w:val="24"/>
        </w:rPr>
        <w:t>'</w:t>
      </w:r>
      <w:r>
        <w:rPr>
          <w:rFonts w:hint="eastAsia" w:ascii="Times New Roman" w:hAnsi="Times New Roman"/>
          <w:sz w:val="24"/>
          <w:szCs w:val="24"/>
        </w:rPr>
        <w:t>hea</w:t>
      </w:r>
      <w:r>
        <w:rPr>
          <w:rFonts w:ascii="Times New Roman" w:hAnsi="Times New Roman"/>
          <w:sz w:val="24"/>
          <w:szCs w:val="24"/>
        </w:rPr>
        <w:t>ling edification' system. According to the explanation of a modern Sishu founder</w:t>
      </w:r>
      <w:r>
        <w:rPr>
          <w:rFonts w:hint="eastAsia" w:ascii="Times New Roman" w:hAnsi="Times New Roman"/>
          <w:sz w:val="24"/>
          <w:szCs w:val="24"/>
        </w:rPr>
        <w:t>:</w:t>
      </w:r>
    </w:p>
    <w:p w14:paraId="026AE758">
      <w:pPr>
        <w:autoSpaceDE w:val="0"/>
        <w:spacing w:before="100" w:beforeAutospacing="1" w:line="360" w:lineRule="auto"/>
        <w:ind w:left="630" w:leftChars="300"/>
        <w:rPr>
          <w:rFonts w:ascii="Times New Roman" w:hAnsi="Times New Roman"/>
          <w:sz w:val="24"/>
          <w:szCs w:val="24"/>
        </w:rPr>
      </w:pPr>
      <w:r>
        <w:rPr>
          <w:rFonts w:hint="eastAsia" w:ascii="Times New Roman" w:hAnsi="Times New Roman"/>
          <w:sz w:val="24"/>
          <w:szCs w:val="24"/>
        </w:rPr>
        <w:t xml:space="preserve">Wang Fengyi talks about ethics, evokes nature (xing </w:t>
      </w:r>
      <w:r>
        <w:rPr>
          <w:rFonts w:hint="eastAsia" w:ascii="宋体" w:hAnsi="宋体"/>
          <w:sz w:val="24"/>
          <w:szCs w:val="24"/>
        </w:rPr>
        <w:t>性</w:t>
      </w:r>
      <w:r>
        <w:rPr>
          <w:rFonts w:hint="eastAsia" w:ascii="Times New Roman" w:hAnsi="Times New Roman"/>
          <w:sz w:val="24"/>
          <w:szCs w:val="24"/>
        </w:rPr>
        <w:t xml:space="preserve">) and principle (li </w:t>
      </w:r>
      <w:r>
        <w:rPr>
          <w:rFonts w:hint="eastAsia" w:ascii="宋体" w:hAnsi="宋体"/>
          <w:sz w:val="24"/>
          <w:szCs w:val="24"/>
        </w:rPr>
        <w:t>理</w:t>
      </w:r>
      <w:r>
        <w:rPr>
          <w:rFonts w:hint="eastAsia" w:ascii="Times New Roman" w:hAnsi="Times New Roman"/>
          <w:sz w:val="24"/>
          <w:szCs w:val="24"/>
        </w:rPr>
        <w:t>), and addresses the issue of nurturing and transforming the conditions of one</w:t>
      </w:r>
      <w:r>
        <w:rPr>
          <w:rFonts w:ascii="Times New Roman" w:hAnsi="Times New Roman"/>
          <w:sz w:val="24"/>
          <w:szCs w:val="24"/>
        </w:rPr>
        <w:t>’</w:t>
      </w:r>
      <w:r>
        <w:rPr>
          <w:rFonts w:hint="eastAsia" w:ascii="Times New Roman" w:hAnsi="Times New Roman"/>
          <w:sz w:val="24"/>
          <w:szCs w:val="24"/>
        </w:rPr>
        <w:t xml:space="preserve"> s body and heart/mind (curing disease by focusing on nature and principle), his fundamental focus is on how to act in a good way so that each person rectifies him or herself. If people manage to rectify themselves, then they will reach centrality and harmony and will be less the victims of the </w:t>
      </w:r>
      <w:r>
        <w:rPr>
          <w:rFonts w:ascii="Times New Roman" w:hAnsi="Times New Roman"/>
          <w:sz w:val="24"/>
          <w:szCs w:val="24"/>
        </w:rPr>
        <w:t>‘</w:t>
      </w:r>
      <w:r>
        <w:rPr>
          <w:rFonts w:hint="eastAsia" w:ascii="Times New Roman" w:hAnsi="Times New Roman"/>
          <w:sz w:val="24"/>
          <w:szCs w:val="24"/>
        </w:rPr>
        <w:t>five poisons</w:t>
      </w:r>
      <w:r>
        <w:rPr>
          <w:rFonts w:ascii="Times New Roman" w:hAnsi="Times New Roman"/>
          <w:sz w:val="24"/>
          <w:szCs w:val="24"/>
        </w:rPr>
        <w:t>’</w:t>
      </w:r>
      <w:r>
        <w:rPr>
          <w:rFonts w:hint="eastAsia" w:ascii="Times New Roman" w:hAnsi="Times New Roman"/>
          <w:sz w:val="24"/>
          <w:szCs w:val="24"/>
        </w:rPr>
        <w:t xml:space="preserve"> (wu du </w:t>
      </w:r>
      <w:r>
        <w:rPr>
          <w:rFonts w:hint="eastAsia" w:ascii="宋体" w:hAnsi="宋体"/>
          <w:sz w:val="24"/>
          <w:szCs w:val="24"/>
        </w:rPr>
        <w:t>五毒</w:t>
      </w:r>
      <w:r>
        <w:rPr>
          <w:rFonts w:hint="eastAsia" w:ascii="Times New Roman" w:hAnsi="Times New Roman"/>
          <w:sz w:val="24"/>
          <w:szCs w:val="24"/>
        </w:rPr>
        <w:t xml:space="preserve">), namely resentment (yuan </w:t>
      </w:r>
      <w:r>
        <w:rPr>
          <w:rFonts w:hint="eastAsia" w:ascii="宋体" w:hAnsi="宋体"/>
          <w:sz w:val="24"/>
          <w:szCs w:val="24"/>
        </w:rPr>
        <w:t>怨</w:t>
      </w:r>
      <w:r>
        <w:rPr>
          <w:rFonts w:hint="eastAsia" w:ascii="Times New Roman" w:hAnsi="Times New Roman"/>
          <w:sz w:val="24"/>
          <w:szCs w:val="24"/>
        </w:rPr>
        <w:t xml:space="preserve">), hate (hen </w:t>
      </w:r>
      <w:r>
        <w:rPr>
          <w:rFonts w:hint="eastAsia" w:ascii="宋体" w:hAnsi="宋体"/>
          <w:sz w:val="24"/>
          <w:szCs w:val="24"/>
        </w:rPr>
        <w:t>恨</w:t>
      </w:r>
      <w:r>
        <w:rPr>
          <w:rFonts w:hint="eastAsia" w:ascii="Times New Roman" w:hAnsi="Times New Roman"/>
          <w:sz w:val="24"/>
          <w:szCs w:val="24"/>
        </w:rPr>
        <w:t xml:space="preserve">), irritation (nao </w:t>
      </w:r>
      <w:r>
        <w:rPr>
          <w:rFonts w:hint="eastAsia" w:ascii="宋体" w:hAnsi="宋体"/>
          <w:sz w:val="24"/>
          <w:szCs w:val="24"/>
        </w:rPr>
        <w:t>惱</w:t>
      </w:r>
      <w:r>
        <w:rPr>
          <w:rFonts w:hint="eastAsia" w:ascii="Times New Roman" w:hAnsi="Times New Roman"/>
          <w:sz w:val="24"/>
          <w:szCs w:val="24"/>
        </w:rPr>
        <w:t xml:space="preserve">), anger (nu </w:t>
      </w:r>
      <w:r>
        <w:rPr>
          <w:rFonts w:hint="eastAsia" w:ascii="宋体" w:hAnsi="宋体"/>
          <w:sz w:val="24"/>
          <w:szCs w:val="24"/>
        </w:rPr>
        <w:t>怒</w:t>
      </w:r>
      <w:r>
        <w:rPr>
          <w:rFonts w:hint="eastAsia" w:ascii="Times New Roman" w:hAnsi="Times New Roman"/>
          <w:sz w:val="24"/>
          <w:szCs w:val="24"/>
        </w:rPr>
        <w:t xml:space="preserve">), and worries (fan </w:t>
      </w:r>
      <w:r>
        <w:rPr>
          <w:rFonts w:hint="eastAsia" w:ascii="宋体" w:hAnsi="宋体"/>
          <w:sz w:val="24"/>
          <w:szCs w:val="24"/>
        </w:rPr>
        <w:t>煩</w:t>
      </w:r>
      <w:r>
        <w:rPr>
          <w:rFonts w:hint="eastAsia" w:ascii="Times New Roman" w:hAnsi="Times New Roman"/>
          <w:sz w:val="24"/>
          <w:szCs w:val="24"/>
        </w:rPr>
        <w:t>). (Billioud and Thoraval, 2015, p.80).</w:t>
      </w:r>
    </w:p>
    <w:p w14:paraId="5A39D57D">
      <w:pPr>
        <w:autoSpaceDE w:val="0"/>
        <w:spacing w:before="100" w:beforeAutospacing="1" w:line="360" w:lineRule="auto"/>
        <w:ind w:left="630" w:leftChars="300"/>
        <w:rPr>
          <w:rFonts w:ascii="Times New Roman" w:hAnsi="Times New Roman"/>
          <w:sz w:val="24"/>
          <w:szCs w:val="24"/>
        </w:rPr>
      </w:pPr>
      <w:r>
        <w:rPr>
          <w:rFonts w:ascii="Times New Roman" w:hAnsi="Times New Roman"/>
          <w:sz w:val="24"/>
          <w:szCs w:val="24"/>
        </w:rPr>
        <w:t xml:space="preserve"> </w:t>
      </w:r>
    </w:p>
    <w:p w14:paraId="77BFF0EE">
      <w:pPr>
        <w:autoSpaceDE w:val="0"/>
        <w:spacing w:before="100" w:beforeAutospacing="1" w:line="360" w:lineRule="auto"/>
        <w:rPr>
          <w:rFonts w:ascii="Times New Roman" w:hAnsi="Times New Roman"/>
          <w:sz w:val="24"/>
          <w:szCs w:val="24"/>
        </w:rPr>
      </w:pPr>
      <w:r>
        <w:rPr>
          <w:rFonts w:hint="eastAsia" w:ascii="Times New Roman" w:hAnsi="Times New Roman"/>
          <w:sz w:val="24"/>
          <w:szCs w:val="24"/>
        </w:rPr>
        <w:t xml:space="preserve">In </w:t>
      </w:r>
      <w:r>
        <w:rPr>
          <w:rFonts w:ascii="Times New Roman" w:hAnsi="Times New Roman"/>
          <w:sz w:val="24"/>
          <w:szCs w:val="24"/>
        </w:rPr>
        <w:t xml:space="preserve">Billioud and Thoraval </w:t>
      </w:r>
      <w:r>
        <w:rPr>
          <w:rFonts w:hint="eastAsia" w:ascii="Times New Roman" w:hAnsi="Times New Roman"/>
          <w:sz w:val="24"/>
          <w:szCs w:val="24"/>
        </w:rPr>
        <w:t>(</w:t>
      </w:r>
      <w:r>
        <w:rPr>
          <w:rFonts w:ascii="Times New Roman" w:hAnsi="Times New Roman"/>
          <w:sz w:val="24"/>
          <w:szCs w:val="24"/>
        </w:rPr>
        <w:t>2015</w:t>
      </w:r>
      <w:r>
        <w:rPr>
          <w:rFonts w:hint="eastAsia" w:ascii="Times New Roman" w:hAnsi="Times New Roman"/>
          <w:sz w:val="24"/>
          <w:szCs w:val="24"/>
        </w:rPr>
        <w:t>)</w:t>
      </w:r>
      <w:r>
        <w:rPr>
          <w:rFonts w:ascii="Times New Roman" w:hAnsi="Times New Roman"/>
          <w:sz w:val="24"/>
          <w:szCs w:val="24"/>
        </w:rPr>
        <w:t>’</w:t>
      </w:r>
      <w:r>
        <w:rPr>
          <w:rFonts w:hint="eastAsia" w:ascii="Times New Roman" w:hAnsi="Times New Roman"/>
          <w:sz w:val="24"/>
          <w:szCs w:val="24"/>
        </w:rPr>
        <w:t>s work</w:t>
      </w:r>
      <w:r>
        <w:rPr>
          <w:rFonts w:ascii="Times New Roman" w:hAnsi="Times New Roman"/>
          <w:sz w:val="24"/>
          <w:szCs w:val="24"/>
        </w:rPr>
        <w:t>,</w:t>
      </w:r>
      <w:r>
        <w:rPr>
          <w:rFonts w:hint="eastAsia" w:ascii="Times New Roman" w:hAnsi="Times New Roman"/>
          <w:sz w:val="24"/>
          <w:szCs w:val="24"/>
        </w:rPr>
        <w:t xml:space="preserve"> i</w:t>
      </w:r>
      <w:r>
        <w:rPr>
          <w:rFonts w:ascii="Times New Roman" w:hAnsi="Times New Roman"/>
          <w:sz w:val="24"/>
          <w:szCs w:val="24"/>
        </w:rPr>
        <w:t xml:space="preserve">n line with this approach, some Sishu enshrines ‘less talk and more action’ as their motto (p. 77). The founders emphasised the unity of knowledge and action (i.e. knowing the good way and trying to do it) (p. 78). Therefore, unlike other modern Sishu that commonly read aloud and recite a large number of classical texts, this Sishu's practice was that no more than one chapter of </w:t>
      </w:r>
      <w:r>
        <w:rPr>
          <w:rFonts w:ascii="Times New Roman" w:hAnsi="Times New Roman"/>
          <w:i/>
          <w:iCs/>
          <w:sz w:val="24"/>
          <w:szCs w:val="24"/>
        </w:rPr>
        <w:t>the Analects</w:t>
      </w:r>
      <w:r>
        <w:rPr>
          <w:rFonts w:ascii="Times New Roman" w:hAnsi="Times New Roman"/>
          <w:sz w:val="24"/>
          <w:szCs w:val="24"/>
        </w:rPr>
        <w:t xml:space="preserve"> should be read aloud each week. The founders believed that repeated recitations were meant to be committed to memory, and that connecting students' daily lives to passages from t</w:t>
      </w:r>
      <w:r>
        <w:rPr>
          <w:rFonts w:ascii="Times New Roman" w:hAnsi="Times New Roman"/>
          <w:i/>
          <w:iCs/>
          <w:sz w:val="24"/>
          <w:szCs w:val="24"/>
        </w:rPr>
        <w:t>he Analects</w:t>
      </w:r>
      <w:r>
        <w:rPr>
          <w:rFonts w:ascii="Times New Roman" w:hAnsi="Times New Roman"/>
          <w:sz w:val="24"/>
          <w:szCs w:val="24"/>
        </w:rPr>
        <w:t xml:space="preserve"> in this gentle way would allow the teachings in the classics to be truly integrated into one's life, with the effect of drawing on the wisdom of the sages from the classical text (p. 78). </w:t>
      </w:r>
    </w:p>
    <w:p w14:paraId="198AC71C">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7C053F55">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An even more extreme example of this anti-intellectual educational philosophy is a traditional culture training centre in Anhui Province. They hold regular gatherings and recite </w:t>
      </w:r>
      <w:r>
        <w:rPr>
          <w:rFonts w:hint="eastAsia" w:ascii="Times New Roman" w:hAnsi="Times New Roman"/>
          <w:i/>
          <w:iCs/>
          <w:sz w:val="24"/>
          <w:szCs w:val="24"/>
        </w:rPr>
        <w:t xml:space="preserve">The </w:t>
      </w:r>
      <w:r>
        <w:rPr>
          <w:rFonts w:ascii="Times New Roman" w:hAnsi="Times New Roman"/>
          <w:i/>
          <w:iCs/>
          <w:sz w:val="24"/>
          <w:szCs w:val="24"/>
        </w:rPr>
        <w:t>Rules of the Disciples</w:t>
      </w:r>
      <w:r>
        <w:rPr>
          <w:rFonts w:ascii="Times New Roman" w:hAnsi="Times New Roman"/>
          <w:sz w:val="24"/>
          <w:szCs w:val="24"/>
        </w:rPr>
        <w:t xml:space="preserve"> (</w:t>
      </w:r>
      <w:r>
        <w:rPr>
          <w:rFonts w:ascii="Times New Roman" w:hAnsi="Times New Roman"/>
          <w:i/>
          <w:iCs/>
          <w:sz w:val="24"/>
          <w:szCs w:val="24"/>
        </w:rPr>
        <w:t>Dizigui</w:t>
      </w:r>
      <w:r>
        <w:rPr>
          <w:rFonts w:ascii="Times New Roman" w:hAnsi="Times New Roman"/>
          <w:sz w:val="24"/>
          <w:szCs w:val="24"/>
        </w:rPr>
        <w:t xml:space="preserve">) outdoors (Billioud and Thoraval, 2015, p. 81). </w:t>
      </w:r>
      <w:r>
        <w:rPr>
          <w:rFonts w:ascii="Times New Roman" w:hAnsi="Times New Roman"/>
          <w:i/>
          <w:iCs/>
          <w:sz w:val="24"/>
          <w:szCs w:val="24"/>
        </w:rPr>
        <w:t>The Rules of the Disciples</w:t>
      </w:r>
      <w:r>
        <w:rPr>
          <w:rFonts w:ascii="Times New Roman" w:hAnsi="Times New Roman"/>
          <w:sz w:val="24"/>
          <w:szCs w:val="24"/>
        </w:rPr>
        <w:t xml:space="preserve"> was a short textbook used to educate children that was widely circulated during the Qing Dynasty. This text encapsulates the most important rules of behaviour for home life and when dealing with others in simple, easy-to-understand three-character sentences. It is fully rooted in the Confucian tradition and partly inspired by </w:t>
      </w:r>
      <w:r>
        <w:rPr>
          <w:rFonts w:ascii="Times New Roman" w:hAnsi="Times New Roman"/>
          <w:i/>
          <w:iCs/>
          <w:sz w:val="24"/>
          <w:szCs w:val="24"/>
        </w:rPr>
        <w:t>the Analects</w:t>
      </w:r>
      <w:r>
        <w:rPr>
          <w:rFonts w:ascii="Times New Roman" w:hAnsi="Times New Roman"/>
          <w:sz w:val="24"/>
          <w:szCs w:val="24"/>
        </w:rPr>
        <w:t xml:space="preserve"> (Billioud and Thoraval, 2015, p. 83). The director claims that the Disciple's Rules appears to be a simple book with a simple meaning, but she has been reading it for six years and is still going on (Billioud and Thoraval, 2015, p. 81). The purpose of doing so is to understand the true meaning of what is being learnt and to practise it seriously (Billioud and Thoraval, 2015, p. 82). Not only that, she does not see the need to learn and use more classical Confucian texts and ironically talks about all the people who learn the classics in large quantities by rote. She firmly believes that being able to implement what is learnt from even simple texts is the only thing that matters (Billioud and Thoraval, 2015, p. 83). This chapter critically presents two of the most distinctive and pervasive ways of practising education in modern Sishu, reflecting the diversity and methodological characteristics of modern Sishu's practice of Confucian education.</w:t>
      </w:r>
    </w:p>
    <w:p w14:paraId="705B88A0">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02955FEF">
      <w:pPr>
        <w:pStyle w:val="4"/>
        <w:numPr>
          <w:ilvl w:val="2"/>
          <w:numId w:val="3"/>
        </w:numPr>
        <w:bidi w:val="0"/>
        <w:ind w:left="0" w:leftChars="0" w:firstLine="0" w:firstLineChars="0"/>
      </w:pPr>
      <w:bookmarkStart w:id="22" w:name="_Toc3438"/>
      <w:r>
        <w:rPr>
          <w:rFonts w:hint="eastAsia"/>
          <w:lang w:val="en-US" w:eastAsia="zh-CN"/>
        </w:rPr>
        <w:t xml:space="preserve">Sishu </w:t>
      </w:r>
      <w:r>
        <w:t>Teaching Content</w:t>
      </w:r>
      <w:bookmarkEnd w:id="22"/>
    </w:p>
    <w:p w14:paraId="378E0667">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In the work of Billioud and Thoraval (2015), a large number of fieldwork studies of Chinese Sishu and their cognate institutions are documented. Their research data witness the different educational practices that </w:t>
      </w:r>
      <w:r>
        <w:rPr>
          <w:rFonts w:hint="eastAsia" w:ascii="Times New Roman" w:hAnsi="Times New Roman"/>
          <w:sz w:val="24"/>
          <w:szCs w:val="24"/>
        </w:rPr>
        <w:t xml:space="preserve">stem from the same Confucian educational philosophy by </w:t>
      </w:r>
      <w:r>
        <w:rPr>
          <w:rFonts w:ascii="Times New Roman" w:hAnsi="Times New Roman"/>
          <w:sz w:val="24"/>
          <w:szCs w:val="24"/>
        </w:rPr>
        <w:t>Sishu groups</w:t>
      </w:r>
      <w:r>
        <w:rPr>
          <w:rFonts w:hint="eastAsia" w:ascii="Times New Roman" w:hAnsi="Times New Roman"/>
          <w:sz w:val="24"/>
          <w:szCs w:val="24"/>
        </w:rPr>
        <w:t xml:space="preserve"> </w:t>
      </w:r>
      <w:r>
        <w:rPr>
          <w:rFonts w:ascii="Times New Roman" w:hAnsi="Times New Roman"/>
          <w:sz w:val="24"/>
          <w:szCs w:val="24"/>
        </w:rPr>
        <w:t xml:space="preserve">(p. 86). This is because the macro-structure and specific educational practices of a Sishu basically depend on the founder or headmaster of this Sishu (Gilgan, 2023). This means that it is possible for different Sishu founders to creatively design specific instruction and adapt their content and teaching methods as needed, based on their own understanding and beliefs about classical Chinese works, as well as their judgement of the social situation. In this context, it is necessary to mention Wang Caigui’s educational theories, as his approach constitutes, to some extent, one of the common </w:t>
      </w:r>
      <w:r>
        <w:rPr>
          <w:rFonts w:hint="eastAsia" w:ascii="Times New Roman" w:hAnsi="Times New Roman"/>
          <w:sz w:val="24"/>
          <w:szCs w:val="24"/>
        </w:rPr>
        <w:t>method</w:t>
      </w:r>
      <w:r>
        <w:rPr>
          <w:rFonts w:ascii="Times New Roman" w:hAnsi="Times New Roman"/>
          <w:sz w:val="24"/>
          <w:szCs w:val="24"/>
        </w:rPr>
        <w:t xml:space="preserve"> from different Sishu. </w:t>
      </w:r>
    </w:p>
    <w:p w14:paraId="5E986832">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17E241A6">
      <w:pPr>
        <w:autoSpaceDE w:val="0"/>
        <w:spacing w:before="100" w:beforeAutospacing="1" w:line="360" w:lineRule="auto"/>
        <w:rPr>
          <w:rFonts w:ascii="Times New Roman" w:hAnsi="Times New Roman"/>
          <w:sz w:val="24"/>
          <w:szCs w:val="24"/>
        </w:rPr>
      </w:pPr>
      <w:r>
        <w:rPr>
          <w:rFonts w:hint="eastAsia" w:ascii="Times New Roman" w:hAnsi="Times New Roman"/>
          <w:sz w:val="24"/>
          <w:szCs w:val="24"/>
        </w:rPr>
        <w:t xml:space="preserve">According to </w:t>
      </w:r>
      <w:r>
        <w:rPr>
          <w:rFonts w:ascii="Times New Roman" w:hAnsi="Times New Roman"/>
          <w:sz w:val="24"/>
          <w:szCs w:val="24"/>
        </w:rPr>
        <w:t xml:space="preserve">Billioud and Thoraval </w:t>
      </w:r>
      <w:r>
        <w:rPr>
          <w:rFonts w:hint="eastAsia" w:ascii="Times New Roman" w:hAnsi="Times New Roman"/>
          <w:sz w:val="24"/>
          <w:szCs w:val="24"/>
        </w:rPr>
        <w:t>(</w:t>
      </w:r>
      <w:r>
        <w:rPr>
          <w:rFonts w:ascii="Times New Roman" w:hAnsi="Times New Roman"/>
          <w:sz w:val="24"/>
          <w:szCs w:val="24"/>
        </w:rPr>
        <w:t>2015</w:t>
      </w:r>
      <w:r>
        <w:rPr>
          <w:rFonts w:hint="eastAsia" w:ascii="Times New Roman" w:hAnsi="Times New Roman"/>
          <w:sz w:val="24"/>
          <w:szCs w:val="24"/>
        </w:rPr>
        <w:t xml:space="preserve">), </w:t>
      </w:r>
      <w:r>
        <w:rPr>
          <w:rFonts w:ascii="Times New Roman" w:hAnsi="Times New Roman"/>
          <w:sz w:val="24"/>
          <w:szCs w:val="24"/>
        </w:rPr>
        <w:t>Wan</w:t>
      </w:r>
      <w:r>
        <w:rPr>
          <w:rFonts w:hint="eastAsia" w:ascii="Times New Roman" w:hAnsi="Times New Roman"/>
          <w:sz w:val="24"/>
          <w:szCs w:val="24"/>
        </w:rPr>
        <w:t>g Caigui (</w:t>
      </w:r>
      <w:r>
        <w:rPr>
          <w:rFonts w:hint="eastAsia" w:ascii="宋体" w:hAnsi="宋体"/>
          <w:sz w:val="24"/>
          <w:szCs w:val="24"/>
        </w:rPr>
        <w:t>王財貴</w:t>
      </w:r>
      <w:r>
        <w:rPr>
          <w:rFonts w:hint="eastAsia" w:ascii="Times New Roman" w:hAnsi="Times New Roman"/>
          <w:sz w:val="24"/>
          <w:szCs w:val="24"/>
        </w:rPr>
        <w:t>) was born in 1949, and has served in several universities in Taiwan. He is a prominent participant in the Classics Reading Movement in Taiwan and a figure in the revival of Confucianism in Chinese folklore that began in the 2000s (</w:t>
      </w:r>
      <w:r>
        <w:rPr>
          <w:rFonts w:ascii="Times New Roman" w:hAnsi="Times New Roman"/>
          <w:sz w:val="24"/>
          <w:szCs w:val="24"/>
        </w:rPr>
        <w:t>p. 44). As a ‘theorist’ of education, he has worked primarily to promote classical learning in society, while also strongly encouraging the opening of traditional Sishu in Taiwan, with the aim of fostering a new generation of Confucian role models. Wang's core beliefs are that classical reading has a positive impact on children (i.e. reciting classical texts can transform children and enhance their abilities) (p. 86). However, an opposing comment might be that as far as children’s comprehension and ability to analyse problems is concerned, this form of education does not seem to leave much room for intellectual autonomy and critical thinking in the most extreme cases (p. 96). According to Gilgan’s (2023) semi-structured interviews with 21 full-time Sishu, these institutions commonly adopted Wang Caigui's 'Classics-reading education' as the underlying pedagogical philosophy. Billioud and Thoraval’s study also shows that most Sishu</w:t>
      </w:r>
      <w:r>
        <w:rPr>
          <w:rFonts w:hint="eastAsia" w:ascii="Times New Roman" w:hAnsi="Times New Roman"/>
          <w:sz w:val="24"/>
          <w:szCs w:val="24"/>
        </w:rPr>
        <w:t xml:space="preserve"> </w:t>
      </w:r>
      <w:r>
        <w:rPr>
          <w:rFonts w:ascii="Times New Roman" w:hAnsi="Times New Roman"/>
          <w:sz w:val="24"/>
          <w:szCs w:val="24"/>
        </w:rPr>
        <w:t>(Classics-reading institutions) find it difficult to ignore the influence of Wang Caigui’s educational theories, even though many of them do not necessarily openly admit that their pedagogical philosophies are inspired by Wang’s (Billioud and Thoraval, 2015, p. 94). All summed up, the learning and practice of the Confucian classics is a central element that forms the core of the learning life of today's Sishu.</w:t>
      </w:r>
    </w:p>
    <w:p w14:paraId="5DFD3DF7">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573F2391">
      <w:pPr>
        <w:autoSpaceDE w:val="0"/>
        <w:spacing w:before="100" w:beforeAutospacing="1" w:line="360" w:lineRule="auto"/>
        <w:rPr>
          <w:rFonts w:ascii="Times New Roman" w:hAnsi="Times New Roman"/>
          <w:sz w:val="24"/>
          <w:szCs w:val="24"/>
        </w:rPr>
      </w:pPr>
      <w:r>
        <w:rPr>
          <w:rFonts w:ascii="Times New Roman" w:hAnsi="Times New Roman"/>
          <w:sz w:val="24"/>
          <w:szCs w:val="24"/>
        </w:rPr>
        <w:t>Whilst Wang’s theory is inspiring, his approach continues to be critically drawn upon and has spawned very different</w:t>
      </w:r>
      <w:r>
        <w:rPr>
          <w:rFonts w:ascii="等线" w:hAnsi="等线" w:eastAsia="等线"/>
          <w:sz w:val="16"/>
          <w:szCs w:val="16"/>
        </w:rPr>
        <w:t xml:space="preserve"> </w:t>
      </w:r>
      <w:r>
        <w:rPr>
          <w:rFonts w:hint="eastAsia" w:ascii="Times New Roman" w:hAnsi="Times New Roman"/>
          <w:sz w:val="24"/>
          <w:szCs w:val="24"/>
        </w:rPr>
        <w:t>educational practice</w:t>
      </w:r>
      <w:r>
        <w:rPr>
          <w:rFonts w:ascii="Times New Roman" w:hAnsi="Times New Roman"/>
          <w:sz w:val="24"/>
          <w:szCs w:val="24"/>
        </w:rPr>
        <w:t xml:space="preserve">(Billioud and Thoraval, 2015, p. 86). Headmasters commonly set the tone for the operation and specific cultural practices of the Sishu, and they can determine which elements of the tradition they need to pass on to their students in or outside the classroom (Gilgan, 2023). In these Sishu, there were many borrowings and reinventions of ancient Sishu teaching methods in educational practices and daily life. This is manifested in the ritual of bowing to Confucius before class, traditional teacher-student relationships, strict discipline, and a way of life that honours values such as modesty, frugality, and dedication (Gilgan, 2023). In the classroom, it was common practice for students to sit down and read or recite classics steadily and monotonously, with a lesson usually lasting two hours (Gilgan, 2023; Billioud and Thoraval, 2015, p. 90). According to Wang Caigui’s teaching method, instead of going through the arduous process of rote memorisation of texts, children would usually memorise them more and more easily by repeating them aloud over and over again, reaching a certain number of times until they were able to recite lengthy works, and sometimes even complete texts, without thinking (Billioud and Thoraval, 2015, p. 89). </w:t>
      </w:r>
    </w:p>
    <w:p w14:paraId="2C444EAA">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538A9331">
      <w:pPr>
        <w:autoSpaceDE w:val="0"/>
        <w:spacing w:before="100" w:beforeAutospacing="1" w:line="360" w:lineRule="auto"/>
        <w:rPr>
          <w:rFonts w:ascii="Times New Roman" w:hAnsi="Times New Roman"/>
          <w:sz w:val="24"/>
          <w:szCs w:val="24"/>
        </w:rPr>
      </w:pPr>
      <w:r>
        <w:rPr>
          <w:rFonts w:ascii="Times New Roman" w:hAnsi="Times New Roman"/>
          <w:sz w:val="24"/>
          <w:szCs w:val="24"/>
        </w:rPr>
        <w:t>While the results may be fulfilling, researchers have found in fieldwork that the process is not usually pleasurable for children and adolescent students (Billioud and Thoraval, 2015, p. 89).</w:t>
      </w:r>
      <w:r>
        <w:rPr>
          <w:rFonts w:hint="eastAsia" w:ascii="Times New Roman" w:hAnsi="Times New Roman"/>
          <w:sz w:val="24"/>
          <w:szCs w:val="24"/>
        </w:rPr>
        <w:t xml:space="preserve"> </w:t>
      </w:r>
      <w:r>
        <w:rPr>
          <w:rFonts w:ascii="Times New Roman" w:hAnsi="Times New Roman"/>
          <w:sz w:val="24"/>
          <w:szCs w:val="24"/>
        </w:rPr>
        <w:t xml:space="preserve">Several studies of Sishu and </w:t>
      </w:r>
      <w:r>
        <w:rPr>
          <w:rFonts w:hint="eastAsia" w:ascii="Times New Roman" w:hAnsi="Times New Roman"/>
          <w:sz w:val="24"/>
          <w:szCs w:val="24"/>
        </w:rPr>
        <w:t>classics-reading</w:t>
      </w:r>
      <w:r>
        <w:rPr>
          <w:rFonts w:ascii="Times New Roman" w:hAnsi="Times New Roman"/>
          <w:sz w:val="24"/>
          <w:szCs w:val="24"/>
        </w:rPr>
        <w:t xml:space="preserve"> education suggest that this is actually a more challenging mode of learning for both students and teachers than the customised home-schooling approach of individual families. Gilgan (2023), for example, in one of his qualitative studies of Sishu institutions, recognised that reciting the classics was hard and disciplined work in a full-time approach to education. This is particularly true in some Sishu that follow a ‘purely classical reading’ educational philosophy, where students are likely to read aloud and recite classics for at least eight hours a day, every day, and are not permitted to engage in other activities during class (Gilgan, 2023). </w:t>
      </w:r>
    </w:p>
    <w:p w14:paraId="063DAAED">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 </w:t>
      </w:r>
    </w:p>
    <w:p w14:paraId="06D2FDB3">
      <w:pPr>
        <w:autoSpaceDE w:val="0"/>
        <w:spacing w:before="100" w:beforeAutospacing="1" w:line="360" w:lineRule="auto"/>
        <w:rPr>
          <w:rFonts w:ascii="Times New Roman" w:hAnsi="Times New Roman"/>
          <w:sz w:val="24"/>
          <w:szCs w:val="24"/>
        </w:rPr>
      </w:pPr>
      <w:r>
        <w:rPr>
          <w:rFonts w:ascii="Times New Roman" w:hAnsi="Times New Roman"/>
          <w:sz w:val="24"/>
          <w:szCs w:val="24"/>
        </w:rPr>
        <w:t xml:space="preserve">Overall, modern Sishu embodies two prevalent and widely shared features in their pedagogy, that is; on the one hand, the goal of these Sishu is to provide whole person learning, as opposed to the simple transfer of knowledge provided by compulsory education; on the other hand, classical texts are a crucial aspect of achieving whole person learning (Billioud and Thoraval, 2015, p. 91). Supported by </w:t>
      </w:r>
      <w:r>
        <w:rPr>
          <w:rFonts w:hint="eastAsia" w:ascii="Times New Roman" w:hAnsi="Times New Roman"/>
          <w:sz w:val="24"/>
          <w:szCs w:val="24"/>
        </w:rPr>
        <w:t>Wang</w:t>
      </w:r>
      <w:r>
        <w:rPr>
          <w:rFonts w:ascii="Times New Roman" w:hAnsi="Times New Roman"/>
          <w:sz w:val="24"/>
          <w:szCs w:val="24"/>
        </w:rPr>
        <w:t>’</w:t>
      </w:r>
      <w:r>
        <w:rPr>
          <w:rFonts w:hint="eastAsia" w:ascii="Times New Roman" w:hAnsi="Times New Roman"/>
          <w:sz w:val="24"/>
          <w:szCs w:val="24"/>
        </w:rPr>
        <w:t>s</w:t>
      </w:r>
      <w:r>
        <w:rPr>
          <w:rFonts w:ascii="Times New Roman" w:hAnsi="Times New Roman"/>
          <w:sz w:val="24"/>
          <w:szCs w:val="24"/>
        </w:rPr>
        <w:t xml:space="preserve"> educational concept and goal, modern Sishu seem to have reached a basic consensus on teaching content, that is, through concentrated classical text learning, instil Confucian classical classics and virtues into children, thereby shaping students' character (Sheng, 2018; Sheng, 2019, p.89; Billioud and Thoraval, 2015, p.25).</w:t>
      </w:r>
    </w:p>
    <w:p w14:paraId="3529EE86">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0D3469A4">
      <w:pPr>
        <w:pStyle w:val="3"/>
        <w:numPr>
          <w:ilvl w:val="1"/>
          <w:numId w:val="3"/>
        </w:numPr>
        <w:bidi w:val="0"/>
        <w:ind w:left="0" w:leftChars="0" w:firstLine="0" w:firstLineChars="0"/>
        <w:rPr>
          <w:lang w:val="en-US"/>
        </w:rPr>
      </w:pPr>
      <w:bookmarkStart w:id="23" w:name="_Toc22987"/>
      <w:r>
        <w:rPr>
          <w:lang w:val="en-US"/>
        </w:rPr>
        <w:t>Theme three: Challenges</w:t>
      </w:r>
      <w:bookmarkEnd w:id="23"/>
    </w:p>
    <w:p w14:paraId="4DECEFA6">
      <w:pPr>
        <w:pStyle w:val="4"/>
        <w:numPr>
          <w:ilvl w:val="2"/>
          <w:numId w:val="3"/>
        </w:numPr>
        <w:bidi w:val="0"/>
        <w:ind w:left="0" w:leftChars="0" w:firstLine="0" w:firstLineChars="0"/>
        <w:rPr>
          <w:rFonts w:hint="eastAsia"/>
          <w:lang w:val="en-US"/>
        </w:rPr>
      </w:pPr>
      <w:bookmarkStart w:id="24" w:name="_Toc23976"/>
      <w:r>
        <w:rPr>
          <w:rFonts w:hint="eastAsia"/>
          <w:lang w:val="en-US"/>
        </w:rPr>
        <w:t>Challenges for Sishu from the perspective of existing education policy</w:t>
      </w:r>
      <w:bookmarkEnd w:id="24"/>
    </w:p>
    <w:p w14:paraId="6875B3BF">
      <w:pPr>
        <w:autoSpaceDE w:val="0"/>
        <w:spacing w:before="100" w:beforeAutospacing="1" w:after="160" w:line="360" w:lineRule="auto"/>
        <w:rPr>
          <w:rFonts w:ascii="Times New Roman" w:hAnsi="Times New Roman"/>
          <w:sz w:val="24"/>
          <w:szCs w:val="24"/>
          <w:u w:val="none"/>
          <w:lang w:val="en-US"/>
        </w:rPr>
      </w:pPr>
      <w:r>
        <w:rPr>
          <w:rFonts w:ascii="Times New Roman" w:hAnsi="Times New Roman"/>
          <w:sz w:val="24"/>
          <w:szCs w:val="24"/>
          <w:u w:val="none"/>
          <w:lang w:val="en-US"/>
        </w:rPr>
        <w:t>After establishing the People's Republic of China, the Compulsory Education Law was formally implemented in 1986. It was revised and improved in 2006, 2015 and 2018 (The Central People's Government of the People's Republic of China, 2006). The duration of compulsory education is nine years in total, comprising primary and junior secondary school (Chen, 2000). Although the number of home-schooled children (including those in Sishu) has been on the rise in Beijing, Shanghai, Shenzhen, Zhejiang, Liaoning, Hong Kong and other places since 2000 and has attracted widespread attention from the media and society (Sheng, 2019, p. 170; Sheng, 2018; Sheng, 2014, p. 123; Gilgan, 2023; Lee, 2023), they are still a marginal educational phenomenon and continue to be legally controversial. As part of the background to this section, I will first list the relevant regulations in China's compulsory education law.</w:t>
      </w:r>
    </w:p>
    <w:p w14:paraId="1BC02CE6">
      <w:pPr>
        <w:autoSpaceDE w:val="0"/>
        <w:spacing w:before="100" w:beforeAutospacing="1" w:after="160" w:line="360" w:lineRule="auto"/>
        <w:rPr>
          <w:rFonts w:ascii="Times New Roman" w:hAnsi="Times New Roman"/>
          <w:sz w:val="24"/>
          <w:szCs w:val="24"/>
          <w:u w:val="single"/>
          <w:lang w:val="en-US"/>
        </w:rPr>
      </w:pPr>
    </w:p>
    <w:p w14:paraId="5C45089B">
      <w:pPr>
        <w:autoSpaceDE w:val="0"/>
        <w:spacing w:before="100" w:beforeAutospacing="1" w:after="160" w:line="360" w:lineRule="auto"/>
        <w:rPr>
          <w:rFonts w:ascii="Times New Roman" w:hAnsi="Times New Roman"/>
          <w:sz w:val="24"/>
          <w:szCs w:val="24"/>
          <w:u w:val="none"/>
          <w:lang w:val="en-US"/>
        </w:rPr>
      </w:pPr>
      <w:r>
        <w:rPr>
          <w:rFonts w:ascii="Times New Roman" w:hAnsi="Times New Roman"/>
          <w:sz w:val="24"/>
          <w:szCs w:val="24"/>
          <w:u w:val="none"/>
          <w:lang w:val="en-US"/>
        </w:rPr>
        <w:t xml:space="preserve">According to Article 2 of the Compulsory Education Law of the People's Republic of China, compulsory education is a public welfare undertaking that must be uniformly implemented by the state and received by all children and adolescents of the appropriate age. Article 4 of the Compulsory Education Law stipulates that all school-age children and adolescents who have the nationality of China should, regardless of gender, ethnicity, race, family financial situation, religious belief, etc., have the right to receive compulsory education equally and fulfil the obligation to receive compulsory education according to law (The Central People's Government of the People's Republic of China, 2006). Article 5 of the Compulsory Education Law stipulates that people's governments at all levels and their relevant departments should fulfil their duties as stipulated in this law and safeguard the right of school-age children and adolescents to receive compulsory education; the parents or other legal guardians of school-age children and adolescents should ensure that their children attend school on time to receive and complete compulsory education (The Central People's Government of the People's Republic of China, 2006). Article 11 of the Compulsory Education Law states that parents or other legal guardians of children who have reached the age of six should send their children to school to receive and complete compulsory education; children in areas where conditions are not yet in place may delay until the age of seven; if school-age children or adolescents need to delay enrolment or take a break from school due to their physical condition, their parents or other legal guardians should make an application. The local township people's government or the education administrative department of the people's government should approve (The Central People's Government of the People's Republic of China, 2006). </w:t>
      </w:r>
    </w:p>
    <w:p w14:paraId="7DB5026B">
      <w:pPr>
        <w:autoSpaceDE w:val="0"/>
        <w:spacing w:before="100" w:beforeAutospacing="1" w:after="160" w:line="360" w:lineRule="auto"/>
        <w:rPr>
          <w:rFonts w:ascii="Times New Roman" w:hAnsi="Times New Roman"/>
          <w:sz w:val="24"/>
          <w:szCs w:val="24"/>
          <w:u w:val="none"/>
          <w:lang w:val="en-US"/>
        </w:rPr>
      </w:pPr>
    </w:p>
    <w:p w14:paraId="12039B75">
      <w:pPr>
        <w:autoSpaceDE w:val="0"/>
        <w:spacing w:before="100" w:beforeAutospacing="1" w:after="160" w:line="360" w:lineRule="auto"/>
        <w:rPr>
          <w:rFonts w:ascii="Times New Roman" w:hAnsi="Times New Roman"/>
          <w:sz w:val="24"/>
          <w:szCs w:val="24"/>
          <w:u w:val="none"/>
          <w:lang w:val="en-US"/>
        </w:rPr>
      </w:pPr>
      <w:r>
        <w:rPr>
          <w:rFonts w:hint="eastAsia" w:ascii="Times New Roman" w:hAnsi="Times New Roman"/>
          <w:sz w:val="24"/>
          <w:szCs w:val="24"/>
          <w:u w:val="none"/>
          <w:lang w:val="en-US" w:eastAsia="zh-CN"/>
        </w:rPr>
        <w:t>Similarly, a</w:t>
      </w:r>
      <w:r>
        <w:rPr>
          <w:rFonts w:ascii="Times New Roman" w:hAnsi="Times New Roman"/>
          <w:sz w:val="24"/>
          <w:szCs w:val="24"/>
          <w:u w:val="none"/>
          <w:lang w:val="en-US"/>
        </w:rPr>
        <w:t xml:space="preserve">rticle 13 of the Compulsory Education Law stipulates that the education administrative departments of the people's governments at the district level and the people's governments of towns should organise and supervise the enrolment of school-age children and adolescents, help to solve the difficulties of school-age children and adolescents in receiving compulsory education, and take measures to prevent school-age children and adolescents from dropping out of school. The residents' and villagers' committees should assist the government in doing a good job and supervise the enrolment of school-age children and adolescents (The Central People's Government of the People's Republic of China, 2006). In addition, there are relevant provisions for parents or legal guardians who fail to send school-age children to school to receive compulsory education. For example, Article 58 of the Compulsory Education Law stipulates that if the parents or other legal guardians of school-age children and adolescents fail to send their children to school to receive compulsory education without justifiable reasons, they should be criticised by the local township people's government or the education administrative department of the county people's government and must make corrections within a time limit (The Central People's Government of the People's Republic of China, 2006). </w:t>
      </w:r>
    </w:p>
    <w:p w14:paraId="0B78C170">
      <w:pPr>
        <w:autoSpaceDE w:val="0"/>
        <w:spacing w:before="100" w:beforeAutospacing="1" w:after="160" w:line="360" w:lineRule="auto"/>
        <w:rPr>
          <w:rFonts w:ascii="Times New Roman" w:hAnsi="Times New Roman"/>
          <w:sz w:val="24"/>
          <w:szCs w:val="24"/>
          <w:u w:val="none"/>
          <w:lang w:val="en-US"/>
        </w:rPr>
      </w:pPr>
    </w:p>
    <w:p w14:paraId="18CF55AF">
      <w:pPr>
        <w:autoSpaceDE w:val="0"/>
        <w:spacing w:before="100" w:beforeAutospacing="1" w:after="160" w:line="360" w:lineRule="auto"/>
        <w:rPr>
          <w:rFonts w:ascii="Times New Roman" w:hAnsi="Times New Roman"/>
          <w:sz w:val="24"/>
          <w:szCs w:val="24"/>
          <w:u w:val="none"/>
          <w:lang w:val="en-US"/>
        </w:rPr>
      </w:pPr>
      <w:r>
        <w:rPr>
          <w:rFonts w:ascii="Times New Roman" w:hAnsi="Times New Roman"/>
          <w:sz w:val="24"/>
          <w:szCs w:val="24"/>
          <w:u w:val="none"/>
          <w:lang w:val="en-US"/>
        </w:rPr>
        <w:t>In addition, Article 59 of the Compulsory Education Law lists three penalties for violating the Compulsory Education Law: (1) coercing or enticing school-age children and adolescents who should receive compulsory education to drop out of school or fail to attend school; (2) illegally employing school-age children and adolescents who should receive compulsory education; and (3) publishing school textbooks that have not been legally reviewed and approved (The Central People's Government of the People's Republic of China, 2006). Moreover, Article 60 stipulates that anyone who violates the provisions of this law and constitutes a crime should be investigated for criminal liability according to the law (The Central People's Government of the People's Republic of China, 2006).</w:t>
      </w:r>
    </w:p>
    <w:p w14:paraId="06A6EF2C">
      <w:pPr>
        <w:autoSpaceDE w:val="0"/>
        <w:spacing w:line="360" w:lineRule="auto"/>
        <w:rPr>
          <w:rFonts w:ascii="Times New Roman" w:hAnsi="Times New Roman"/>
          <w:sz w:val="24"/>
          <w:szCs w:val="24"/>
          <w:u w:val="single"/>
          <w:lang w:val="en-US"/>
        </w:rPr>
      </w:pPr>
    </w:p>
    <w:p w14:paraId="6A91BFEF">
      <w:pPr>
        <w:autoSpaceDE w:val="0"/>
        <w:spacing w:line="360" w:lineRule="auto"/>
        <w:rPr>
          <w:rFonts w:hint="eastAsia" w:ascii="Times New Roman" w:hAnsi="Times New Roman" w:cs="Calibri"/>
          <w:bCs/>
          <w:sz w:val="24"/>
          <w:u w:val="none"/>
        </w:rPr>
      </w:pPr>
      <w:r>
        <w:rPr>
          <w:rFonts w:hint="eastAsia" w:ascii="Times New Roman" w:hAnsi="Times New Roman" w:cs="Calibri"/>
          <w:bCs/>
          <w:sz w:val="24"/>
          <w:u w:val="none"/>
        </w:rPr>
        <w:t>Since Sishu education, like home education, is essentially an educational practice that replaces compulsory education, and in particular, constitutes a significant educational alternative to compulsory education in mainland China, from this point of view, all forms and institutions of education that replace compulsory education, including Sishu education, are illegal (Lee, 2024; Sheng, 2019, p. 180). Therefore, in the context of implementing compulsory education laws in China, Sishu education and home education are often seen as targets for crackdowns on violations of compulsory education laws. For example, in 2006, the Shanghai Education Department announced that Mengmutang(孟母堂) was an illegal homeschooling institution and closed it down (Sheng, 2013). The education department stated that homeschooling violated Articles 2, 4 and 35 of the Compulsory Education Law of the People's Republic of China. Specifically, the violations are that parents are responsible for sending school-age children to school to receive compulsory education and that they violate the specific principles of having children receive school curricula, teaching, and student codes of conduct (Sheng, 2019, p. 180).</w:t>
      </w:r>
    </w:p>
    <w:p w14:paraId="2408F020">
      <w:pPr>
        <w:autoSpaceDE w:val="0"/>
        <w:spacing w:line="360" w:lineRule="auto"/>
        <w:rPr>
          <w:rFonts w:hint="default" w:ascii="Times New Roman" w:hAnsi="Times New Roman" w:cs="Calibri"/>
          <w:bCs/>
          <w:sz w:val="24"/>
          <w:u w:val="none"/>
          <w:lang w:val="en-US" w:eastAsia="zh-CN"/>
        </w:rPr>
      </w:pPr>
    </w:p>
    <w:p w14:paraId="77CAE0CA">
      <w:pPr>
        <w:autoSpaceDE w:val="0"/>
        <w:spacing w:before="100" w:beforeAutospacing="1" w:after="160" w:line="360" w:lineRule="auto"/>
        <w:rPr>
          <w:rFonts w:ascii="Times New Roman" w:hAnsi="Times New Roman"/>
          <w:sz w:val="24"/>
          <w:szCs w:val="24"/>
          <w:u w:val="none"/>
          <w:lang w:val="en-US"/>
        </w:rPr>
      </w:pPr>
      <w:r>
        <w:rPr>
          <w:rFonts w:ascii="Times New Roman" w:hAnsi="Times New Roman"/>
          <w:sz w:val="24"/>
          <w:szCs w:val="24"/>
          <w:u w:val="none"/>
          <w:lang w:val="en-US"/>
        </w:rPr>
        <w:t>Furthermore, in a document issued by the General Office of the Ministry of Education of the People's Republic of China in 2017, 'Sishu' and 'classics reading classes (</w:t>
      </w:r>
      <w:r>
        <w:rPr>
          <w:rFonts w:ascii="宋体" w:hAnsi="宋体"/>
          <w:sz w:val="24"/>
          <w:szCs w:val="24"/>
          <w:u w:val="none"/>
          <w:lang w:val="en-US"/>
        </w:rPr>
        <w:t>读经班</w:t>
      </w:r>
      <w:r>
        <w:rPr>
          <w:rFonts w:ascii="Times New Roman" w:hAnsi="Times New Roman"/>
          <w:sz w:val="24"/>
          <w:szCs w:val="24"/>
          <w:u w:val="none"/>
          <w:lang w:val="en-US"/>
        </w:rPr>
        <w:t>)' were listed together as negative subjects for comment (Ministry of Education of the People's Republic of China, 2017). The document emphasises that special attention should be paid to students who receive education from social training institutions such as 'Sishu' and 'classics reading classes' (Ministry of Education of the People's Republic of China, 2017). If school-age children and adolescents do not enrol in compulsory education according to the relevant provisions of the Compulsory Education Law, schools and education departments must immediately fulfil their responsibilities to persuade, register, and report in writing students who have dropped out of school. Homeschooling should not be used as a substitute for compulsory education implemented uniformly by the state (Ministry of Education of the People's Republic of China, 2017). The purpose of this document was to facilitate the return of students from 'Sishu' and 'classics reading classes' to the school system (Gilgan, 2023). By 2019, the government had further tightened its policies and regulations on private classics-reading institutions.</w:t>
      </w:r>
    </w:p>
    <w:p w14:paraId="6F477B30">
      <w:pPr>
        <w:autoSpaceDE w:val="0"/>
        <w:spacing w:before="100" w:beforeAutospacing="1" w:after="160" w:line="360" w:lineRule="auto"/>
        <w:rPr>
          <w:rFonts w:ascii="Times New Roman" w:hAnsi="Times New Roman"/>
          <w:sz w:val="24"/>
          <w:szCs w:val="24"/>
          <w:u w:val="none"/>
          <w:lang w:val="en-US"/>
        </w:rPr>
      </w:pPr>
    </w:p>
    <w:p w14:paraId="5D1F0D84">
      <w:pPr>
        <w:autoSpaceDE w:val="0"/>
        <w:spacing w:before="100" w:beforeAutospacing="1" w:after="160" w:line="360" w:lineRule="auto"/>
        <w:rPr>
          <w:rFonts w:ascii="Times New Roman" w:hAnsi="Times New Roman"/>
          <w:sz w:val="24"/>
          <w:szCs w:val="24"/>
          <w:u w:val="none"/>
          <w:lang w:val="en-US"/>
        </w:rPr>
      </w:pPr>
      <w:r>
        <w:rPr>
          <w:rFonts w:ascii="Times New Roman" w:hAnsi="Times New Roman"/>
          <w:sz w:val="24"/>
          <w:szCs w:val="24"/>
          <w:u w:val="none"/>
          <w:lang w:val="en-US"/>
        </w:rPr>
        <w:t>The first article of the released document firmly declares that local governments must carefully investigate and strictly investigate illegal schooling practices by social training institutions that replace compulsory education in the form of 'Guoxue classes (</w:t>
      </w:r>
      <w:r>
        <w:rPr>
          <w:rFonts w:ascii="宋体" w:hAnsi="宋体"/>
          <w:sz w:val="24"/>
          <w:szCs w:val="24"/>
          <w:u w:val="none"/>
          <w:lang w:val="en-US"/>
        </w:rPr>
        <w:t>国学班</w:t>
      </w:r>
      <w:r>
        <w:rPr>
          <w:rFonts w:ascii="Times New Roman" w:hAnsi="Times New Roman"/>
          <w:sz w:val="24"/>
          <w:szCs w:val="24"/>
          <w:u w:val="none"/>
          <w:lang w:val="en-US"/>
        </w:rPr>
        <w:t>)', 'classics reading classes (</w:t>
      </w:r>
      <w:r>
        <w:rPr>
          <w:rFonts w:ascii="宋体" w:hAnsi="宋体"/>
          <w:sz w:val="24"/>
          <w:szCs w:val="24"/>
          <w:u w:val="none"/>
          <w:lang w:val="en-US"/>
        </w:rPr>
        <w:t>读经班</w:t>
      </w:r>
      <w:r>
        <w:rPr>
          <w:rFonts w:ascii="Times New Roman" w:hAnsi="Times New Roman"/>
          <w:sz w:val="24"/>
          <w:szCs w:val="24"/>
          <w:u w:val="none"/>
          <w:lang w:val="en-US"/>
        </w:rPr>
        <w:t>)', 'Sishu (</w:t>
      </w:r>
      <w:r>
        <w:rPr>
          <w:rFonts w:ascii="宋体" w:hAnsi="宋体"/>
          <w:sz w:val="24"/>
          <w:szCs w:val="24"/>
          <w:u w:val="none"/>
          <w:lang w:val="en-US"/>
        </w:rPr>
        <w:t>私塾</w:t>
      </w:r>
      <w:r>
        <w:rPr>
          <w:rFonts w:ascii="Times New Roman" w:hAnsi="Times New Roman"/>
          <w:sz w:val="24"/>
          <w:szCs w:val="24"/>
          <w:u w:val="none"/>
          <w:lang w:val="en-US"/>
        </w:rPr>
        <w:t>)' and other forms. Parents or other legal guardians who, without justifiable reasons, fail to send school-age children to receive compulsory education or cause them to drop out of school, and the circumstances are severe or constitute a crime, should be investigated for legal responsibility according to law (Ministry of Education of the People's Republic of China, 2019). Although this document mainly targets the 'school-picking fever' (</w:t>
      </w:r>
      <w:r>
        <w:rPr>
          <w:rFonts w:ascii="宋体" w:hAnsi="宋体"/>
          <w:sz w:val="24"/>
          <w:szCs w:val="24"/>
          <w:u w:val="none"/>
          <w:lang w:val="en-US"/>
        </w:rPr>
        <w:t>择校热</w:t>
      </w:r>
      <w:r>
        <w:rPr>
          <w:rFonts w:ascii="Times New Roman" w:hAnsi="Times New Roman"/>
          <w:sz w:val="24"/>
          <w:szCs w:val="24"/>
          <w:u w:val="none"/>
          <w:lang w:val="en-US"/>
        </w:rPr>
        <w:t>), this document also attempts to control the phenomenon of dropping out of school caused by classics-reading education due to China's compulsory regulations on compulsory education (Gilgan, 2023). Therefore, in general, Sishu education and homeschooling institutions in China usually maintain a low-key approach, either praying not to be discovered or finding their own way to deal with officials and ensure the continuation of educational practices (Erlings, 2019).</w:t>
      </w:r>
    </w:p>
    <w:p w14:paraId="0B2A7CD0">
      <w:pPr>
        <w:autoSpaceDE w:val="0"/>
        <w:spacing w:before="100" w:beforeAutospacing="1" w:after="160" w:line="360" w:lineRule="auto"/>
        <w:rPr>
          <w:rFonts w:hint="eastAsia" w:ascii="Times New Roman" w:hAnsi="Times New Roman"/>
          <w:sz w:val="24"/>
          <w:szCs w:val="24"/>
          <w:lang w:val="en-US"/>
        </w:rPr>
      </w:pPr>
    </w:p>
    <w:p w14:paraId="0AD79011">
      <w:pPr>
        <w:pStyle w:val="4"/>
        <w:numPr>
          <w:ilvl w:val="2"/>
          <w:numId w:val="3"/>
        </w:numPr>
        <w:bidi w:val="0"/>
        <w:ind w:left="0" w:leftChars="0" w:firstLine="0" w:firstLineChars="0"/>
        <w:rPr>
          <w:rFonts w:hint="eastAsia"/>
          <w:lang w:val="en-US" w:eastAsia="zh-CN"/>
        </w:rPr>
      </w:pPr>
      <w:bookmarkStart w:id="25" w:name="_Toc14430"/>
      <w:r>
        <w:rPr>
          <w:lang w:val="en-US"/>
        </w:rPr>
        <w:t>Integration</w:t>
      </w:r>
      <w:r>
        <w:rPr>
          <w:rFonts w:hint="eastAsia"/>
          <w:lang w:val="en-US" w:eastAsia="zh-CN"/>
        </w:rPr>
        <w:t xml:space="preserve"> of Sishu students into mainstream education and society</w:t>
      </w:r>
      <w:bookmarkEnd w:id="25"/>
    </w:p>
    <w:p w14:paraId="0ABEA3D0">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Apart from the legal controversy, the integration of Sishu students into mainstream education and society is always a topic concerned by articles (Lee, 2024; Lee, 2023; Sheng, 2013; Zhu, 2012; Beer, Vos and Myburgh, 2020, p. 52;). For Sishu students, integration may involve two aspects. On the one hand, it is the integration into mainstream education; on the other hand, it is the integration into society. However, the literature shows that these two aspects are not independent of each other, and they are related to a certain extent for Sishu students, which I will discuss in the following article. Most of the literature currently discusses the former, which usually involves the attitudes of parents who choose Sishu education towards mainstream education. This is because the attitude towards mainstream education is likely to directly affect the integration process with mainstream education (Zhu, 2012). The latter (integration into society) may involve investigating the situation of Sishu students after they enter society and the workforce. Although this is an important aspect of understanding the effectiveness and social impact of Sishu education, little literature has been published on this topic. This issue will be discussed at the end of this section.</w:t>
      </w:r>
    </w:p>
    <w:p w14:paraId="4E9F088D">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 xml:space="preserve"> </w:t>
      </w:r>
    </w:p>
    <w:p w14:paraId="4617E695">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Among families choosing Sishu education, the decision to re-enrol their children in mainstream schools may be influenced by parents' subjective attitudes towards mainstream schools (Zhu, 2012). Parents' attitudes towards mainstream education may differ across regions. Parents of Sishu students in most parts of China generally hold a negative attitude towards mainstream education, while parents in Taiwan are more likely to maintain a good relationship with schools and participate in school programmes and activities (Lee, 2023). Criticisms of mainstream schools often focus on the system of exam-oriented education. Gilgan's (2023) study interviewed staff and parents of students at 21 Sishu institutions. The content of the interviews with parents reflects some consistency with other literature on parents' dissatisfaction with schooling</w:t>
      </w:r>
      <w:r>
        <w:rPr>
          <w:rFonts w:hint="eastAsia" w:ascii="Times New Roman" w:hAnsi="Times New Roman"/>
          <w:sz w:val="24"/>
          <w:szCs w:val="24"/>
          <w:lang w:val="en-US" w:eastAsia="zh-CN"/>
        </w:rPr>
        <w:t xml:space="preserve"> (Sheng, 2014)</w:t>
      </w:r>
      <w:r>
        <w:rPr>
          <w:rFonts w:ascii="Times New Roman" w:hAnsi="Times New Roman"/>
          <w:sz w:val="24"/>
          <w:szCs w:val="24"/>
          <w:lang w:val="en-US"/>
        </w:rPr>
        <w:t>. For example, a common criticism is that the modern mainstream education system in China only aims for students to get good grades so that they can enter a good university and eventually find a well-paid job. In terms of learning pressure, schools are accused of having a learning and examination system that is too stressful for students, who are required to achieve a large amount of knowledge input through short courses. Not only that, but activists criticise mainstream schools for inputting knowledge purely for the sake of getting higher scores, which may be meaningless for students' future lives (Gilgan, 2023). On the other hand, it can be seen from Gilgan's interview data that families who choose Sishu education usually have more profound expectations for their children in terms of moral character and cultural transmission. Gilgan found that these expectations are rooted in a vision of aspiring to build an ideal society. This is because many Sishu educators and parents believe that China's educational and social deficiencies result from blindly following Western ideas and systems. This led them to believe that educational reform based on Confucian classics could provide society with better talent and a better future (Gilgan, 2023). This is also confirmed by many of the research cases described in the book by Billioud and Thoraval, in which many parents who choose Sishu education and traditional Chinese cultural educators hope to improve society by promoting the teachings of Confucius (Billioud and Thoraval, 2015, p. 114).</w:t>
      </w:r>
    </w:p>
    <w:p w14:paraId="1DF5C869">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 xml:space="preserve"> </w:t>
      </w:r>
    </w:p>
    <w:p w14:paraId="11BF2512">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Driven by dissatisfaction with the mainstream schools and the pursuit of traditional cultural values, parents' opinions on allowing their children to integrate with mainstream schools are diverse. Zhu's (2012) study mainly involved in-depth interviews and participant observation with a non-governmental organisation called Huaxia</w:t>
      </w:r>
      <w:r>
        <w:rPr>
          <w:rFonts w:hint="eastAsia" w:ascii="Times New Roman" w:hAnsi="Times New Roman"/>
          <w:sz w:val="24"/>
          <w:szCs w:val="24"/>
          <w:lang w:val="en-US" w:eastAsia="zh-CN"/>
        </w:rPr>
        <w:t xml:space="preserve"> (</w:t>
      </w:r>
      <w:r>
        <w:rPr>
          <w:rFonts w:ascii="宋体" w:hAnsi="宋体"/>
          <w:sz w:val="24"/>
          <w:szCs w:val="24"/>
          <w:lang w:val="en-US"/>
        </w:rPr>
        <w:t>华夏</w:t>
      </w:r>
      <w:r>
        <w:rPr>
          <w:rFonts w:ascii="Times New Roman" w:hAnsi="Times New Roman"/>
          <w:sz w:val="24"/>
          <w:szCs w:val="24"/>
          <w:lang w:val="en-US"/>
        </w:rPr>
        <w:t xml:space="preserve">) Children's Community in Shanghai. The organisation is dedicated to promoting the reading of Confucian classics and the promotion of traditional Chinese culture. Although Zhu's research is an unpublished master's thesis, her findings and interview data reveal some of the deeper issues of modern Sishu that are relevant to this study. Contrary to the findings of other empirical studies, Zhu's research found that in the context of the modern revival of Confucianism, although parents have different reasons for teaching their children Confucian classics, most of them believe that this is only a supplement to school education. She believes that this is because even though most parents are aware of the shortcomings of the current mainstream school system, their choices are ultimately limited by social norms such as obtaining a degree and the importance of passing the university entrance exam. Only a small number of parents have the courage to go beyond the constraints of these social conventions, and to a certain extent or completely deviate from mainstream schooling and turn to Sishu education. In other words, for most parents who choose Sishu education and still hope that their children can eventually return to mainstream schooling, sometimes the reason for returning to mainstream education is not because their previous dissatisfaction with mainstream schooling has disappeared or has become approval, but rather due to pressure from social conventions and anxiety about their children's uncertain futures (Lee, 2024). </w:t>
      </w:r>
    </w:p>
    <w:p w14:paraId="63F639D5">
      <w:pPr>
        <w:autoSpaceDE w:val="0"/>
        <w:spacing w:before="100" w:beforeAutospacing="1" w:after="160" w:line="360" w:lineRule="auto"/>
        <w:rPr>
          <w:rFonts w:ascii="Times New Roman" w:hAnsi="Times New Roman"/>
          <w:sz w:val="24"/>
          <w:szCs w:val="24"/>
          <w:lang w:val="en-US"/>
        </w:rPr>
      </w:pPr>
    </w:p>
    <w:p w14:paraId="7916154B">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According to Terry (2013), this anxiety is rooted in the prevailing definition of educational success within Chinese society. For example, children often assume a central role within their family unit, and the child's future determines the whole family's future. Consequently, attending a prestigious university is widely regarded as the pinnacle of a successful childhood (Terry, 2013). However, due to the fact that Chinese law does not support homeschooling or any Sishu institutions, there are no established procedures or regulations for evaluating and reintegrating homeschooled children into the mainstream education system. Therefore, opting out of compulsory education and mainstream schooling may compromise a child's capacity to sit the compulsory entrance exam required for admission to a Chinese university or result in a disadvantage compared to children of the same age in standardised tests. In other words, parents may face challenges in achieving their desired educational outcomes for their children, while shouldering the entirety of the educational responsibilities and consequences (Beer, Vos and Myburgh, 2020).</w:t>
      </w:r>
    </w:p>
    <w:p w14:paraId="5F3BE471">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 xml:space="preserve"> </w:t>
      </w:r>
    </w:p>
    <w:p w14:paraId="7BE2134A">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This is both an interesting discovery and a cruel truth. Most studies on modern Sishu rarely mention the price paid by children and families on the road to the dream of building a better society, or on the way to becoming a 'sage' who can rejuvenate China. For example, Billioud and Thoraval (2015) describe an extreme example of Sishu education in their study. In this case, the children are not parents' own children, but the children of "the country, the people and humanity". The goal of this Sishu is to cultivate sages who can rejuvenate China. One of the student mothers even emphasises that she intends to give birth to two more children in order to cultivate two more Confucian role models for society (Billioud and Thoraval, 2015, p. 61). Another case in Billioud and Thoraval's (2015) study expresses a similar dramatic ideal. When asked what the children would do after completing their Sishu education, the founder of the Sishu replied, 'They will engage in self-cultivation, regulate their families, govern the country and pacify the universe (xiushen qijia zhiguo ping tianxia</w:t>
      </w:r>
      <w:r>
        <w:rPr>
          <w:rFonts w:ascii="宋体" w:hAnsi="宋体"/>
          <w:sz w:val="24"/>
          <w:szCs w:val="24"/>
          <w:lang w:val="en-US"/>
        </w:rPr>
        <w:t>修身齊家治國平天下</w:t>
      </w:r>
      <w:r>
        <w:rPr>
          <w:rFonts w:ascii="Times New Roman" w:hAnsi="Times New Roman"/>
          <w:sz w:val="24"/>
          <w:szCs w:val="24"/>
          <w:lang w:val="en-US"/>
        </w:rPr>
        <w:t xml:space="preserve">)'. This answer is a direct quote from the important Confucian text </w:t>
      </w:r>
      <w:r>
        <w:rPr>
          <w:rFonts w:ascii="Times New Roman" w:hAnsi="Times New Roman"/>
          <w:i/>
          <w:iCs/>
          <w:sz w:val="24"/>
          <w:szCs w:val="24"/>
          <w:lang w:val="en-US"/>
        </w:rPr>
        <w:t>The Great Learning</w:t>
      </w:r>
      <w:r>
        <w:rPr>
          <w:rFonts w:ascii="Times New Roman" w:hAnsi="Times New Roman"/>
          <w:sz w:val="24"/>
          <w:szCs w:val="24"/>
          <w:lang w:val="en-US"/>
        </w:rPr>
        <w:t xml:space="preserve"> (Da Xue </w:t>
      </w:r>
      <w:r>
        <w:rPr>
          <w:rFonts w:ascii="宋体" w:hAnsi="宋体"/>
          <w:sz w:val="24"/>
          <w:szCs w:val="24"/>
          <w:lang w:val="en-US"/>
        </w:rPr>
        <w:t>大学</w:t>
      </w:r>
      <w:r>
        <w:rPr>
          <w:rFonts w:ascii="Times New Roman" w:hAnsi="Times New Roman"/>
          <w:sz w:val="24"/>
          <w:szCs w:val="24"/>
          <w:lang w:val="en-US"/>
        </w:rPr>
        <w:t>). The researcher also seems to sense the idealisation and vagueness of this answer. He, therefore, deliberately provides a more pragmatic interpretation of the answer for the readers, which is that the students trained at this Sishu will later work for social reform at their respective levels (Billioud and Thoraval, 2015, p. 60).</w:t>
      </w:r>
    </w:p>
    <w:p w14:paraId="691FA0E2">
      <w:pPr>
        <w:autoSpaceDE w:val="0"/>
        <w:spacing w:before="100" w:beforeAutospacing="1" w:after="160" w:line="360" w:lineRule="auto"/>
        <w:rPr>
          <w:rFonts w:ascii="Times New Roman" w:hAnsi="Times New Roman"/>
          <w:sz w:val="24"/>
          <w:szCs w:val="24"/>
          <w:lang w:val="en-US"/>
        </w:rPr>
      </w:pPr>
    </w:p>
    <w:p w14:paraId="2B0AE5F6">
      <w:pPr>
        <w:autoSpaceDE w:val="0"/>
        <w:spacing w:before="100" w:beforeAutospacing="1" w:after="160" w:line="360" w:lineRule="auto"/>
        <w:rPr>
          <w:rFonts w:ascii="Times New Roman" w:hAnsi="Times New Roman"/>
          <w:sz w:val="24"/>
          <w:szCs w:val="24"/>
          <w:lang w:val="en-US"/>
        </w:rPr>
      </w:pPr>
      <w:r>
        <w:rPr>
          <w:rFonts w:ascii="Times New Roman" w:hAnsi="Times New Roman"/>
          <w:sz w:val="24"/>
          <w:szCs w:val="24"/>
          <w:lang w:val="en-US"/>
        </w:rPr>
        <w:t>The discussion of whether children should be integrated into mainstream education is not addressed in most of the case studies by Billioud and Thoraval (2015). However, based on the descriptions of the Sishu personnel in these two cases, it can be speculated that the parents in these cases may not care whether their children will be able or need to integrate into mainstream schools in the future. They may already have their own solutions, such as retaining their school places through personal channels or choosing to apply to universities abroad instead of taking the Chinese college entrance exam (Lee, 2024; Sheng, 2013). However, the data obtained from the literature still provides valuable information; that is, there are roughly two types of families choosing Sishu education and mainstream schools through different educational goals. Some parents tend to have utilitarian goals, hoping that their children will be more competitive and successful in the future through short-term participation in Sishu education, and ultimately still choose mainstream school education as the primary path  (Zhu, 2012). Some other families who choose to send their children to Sishu for a long time  and do not care much about whether their children have academic qualifications, but just hope that they can become healthy, happy and moral persons who can support themselves (Lee, 2023). In short, Sishu education is still in its infancy as a field of study, both as a marginal alternative to mainstream education and because of the low profile that its legal status confers on it. Interestingly, published longitudinal studies, which are an important part of understanding the effectiveness and social impact of Sishu education, are rare and difficult to access. Questions about Sishu students' integration and working conditions in modern society, therefore, remain to be followed up and studied longitudinally by future scholars.</w:t>
      </w:r>
    </w:p>
    <w:p w14:paraId="35AF1CC8">
      <w:pPr>
        <w:numPr>
          <w:ilvl w:val="255"/>
          <w:numId w:val="0"/>
        </w:numPr>
        <w:spacing w:line="360" w:lineRule="auto"/>
        <w:rPr>
          <w:rFonts w:ascii="Times New Roman" w:hAnsi="Times New Roman"/>
          <w:color w:val="000000" w:themeColor="text1"/>
          <w:sz w:val="24"/>
          <w:lang w:val="en-US"/>
          <w14:textFill>
            <w14:solidFill>
              <w14:schemeClr w14:val="tx1"/>
            </w14:solidFill>
          </w14:textFill>
        </w:rPr>
      </w:pPr>
    </w:p>
    <w:p w14:paraId="5345E69A">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7C3C9EE2">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104B9AF">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3029CD6B">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531E455F">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226BE3F5">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336B00C8">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03D57621">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52850214">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6B78DB31">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0AA691F">
      <w:pPr>
        <w:numPr>
          <w:ilvl w:val="255"/>
          <w:numId w:val="0"/>
        </w:numPr>
        <w:spacing w:line="360" w:lineRule="auto"/>
        <w:rPr>
          <w:rFonts w:hint="eastAsia" w:ascii="Times New Roman" w:hAnsi="Times New Roman"/>
          <w:color w:val="000000" w:themeColor="text1"/>
          <w:sz w:val="24"/>
          <w14:textFill>
            <w14:solidFill>
              <w14:schemeClr w14:val="tx1"/>
            </w14:solidFill>
          </w14:textFill>
        </w:rPr>
      </w:pPr>
    </w:p>
    <w:p w14:paraId="1A1E1A09">
      <w:pPr>
        <w:pStyle w:val="2"/>
        <w:numPr>
          <w:ilvl w:val="0"/>
          <w:numId w:val="3"/>
        </w:numPr>
        <w:ind w:left="0" w:leftChars="0" w:firstLine="0" w:firstLineChars="0"/>
      </w:pPr>
      <w:bookmarkStart w:id="26" w:name="_Toc20937"/>
      <w:r>
        <w:t>DISCUSSION</w:t>
      </w:r>
      <w:bookmarkEnd w:id="26"/>
    </w:p>
    <w:p w14:paraId="0FD991EE">
      <w:pPr>
        <w:pStyle w:val="3"/>
        <w:numPr>
          <w:ilvl w:val="1"/>
          <w:numId w:val="3"/>
        </w:numPr>
        <w:ind w:left="0" w:leftChars="0" w:firstLine="0" w:firstLineChars="0"/>
      </w:pPr>
      <w:bookmarkStart w:id="27" w:name="_Toc13206"/>
      <w:r>
        <w:t>Possible reasons why the Chinese government does not support Sishu education</w:t>
      </w:r>
      <w:bookmarkEnd w:id="27"/>
    </w:p>
    <w:p w14:paraId="4DABC675">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To answer the research question, the possible reasons why the Chinese government does not support Sishu education. The first reason is likely the link between education and politics. This may be more obvious to homeschooling parents in Hong Kong than in other parts of China. The study by Erlings (2019) describes the background, relevant laws and practices of homeschooling in Hong Kong. The paper describes the particular legislative background of the Hong Kong Education Ordinance. In particular, his study highlights the colonial government's perception of compulsory education as a way to ensure that all children received an education and, in the process, to keep them away from Chinese nationalism. Erlings also notes that after Hong Kong's handover to mainland China in 1997, the Chinese government emphasised the importance of promoting return through schooling, using education to cultivate patriotism. Compulsory education ensures everyone receives the necessary education and strengthens their knowledge of their new homeland. For example, the Chief Executive of the Hong Kong Special Administrative Region stated in his 2017 policy address that 'helping students understand the development of the country's history, culture, economy, science and technology, political system and laws, and cultivating students' sense of national identity is an inherent responsibility of school education' (Chief Executive [of the Hong Kong Special Administrative Region], 2017, p. 44). </w:t>
      </w:r>
    </w:p>
    <w:p w14:paraId="51DBCCC2">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28C015F4">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The change of government has highlighted the consistent attitude of different governments towards education, suggesting that one of the purposes of compulsory education in the country is, to a large extent, to use education to control the thinking of the masses (Erlings, 2019).</w:t>
      </w:r>
      <w:r>
        <w:rPr>
          <w:rFonts w:hint="eastAsia" w:ascii="Times New Roman" w:hAnsi="Times New Roman"/>
          <w:color w:val="000000" w:themeColor="text1"/>
          <w:sz w:val="24"/>
          <w14:textFill>
            <w14:solidFill>
              <w14:schemeClr w14:val="tx1"/>
            </w14:solidFill>
          </w14:textFill>
        </w:rPr>
        <w:t xml:space="preserve"> </w:t>
      </w:r>
      <w:r>
        <w:rPr>
          <w:rFonts w:ascii="Times New Roman" w:hAnsi="Times New Roman"/>
          <w:color w:val="000000" w:themeColor="text1"/>
          <w:sz w:val="24"/>
          <w14:textFill>
            <w14:solidFill>
              <w14:schemeClr w14:val="tx1"/>
            </w14:solidFill>
          </w14:textFill>
        </w:rPr>
        <w:t>Under this assumption, it is only natural that Sishu education, which attempts to replace compulsory education, should not be legalised. The state needs to ensure a uniform narrative for governance, reducing ideological conflict by regulating the content of learning, and fostering a sense of identity to achieve the political goals of reducing the risk of national division (Erlings, 2019). Zhu's (2012) research also touches on this point. She believes that the government intends to prevent non-governmental organisations and civil society groups from growing and developing. The evidence came from an event she attended in Shanghai, organised by a group of non-governmental organisations to share resources. She found that the organisers had forced social media services to block the information they were disseminating, for fear that it would circulate too quickly on social media platforms. This was because the organisers did not want to attract negative attention from the government, which might suspect them of an excessive expansion of civil power (Zhu, 2012).</w:t>
      </w:r>
    </w:p>
    <w:p w14:paraId="6C16F7D9">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82F213D">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The government's cautious attitude towards civil society groups confirms Erlings' view, and the applicability of this view may extend to the whole of mainland China. Various literatures have mentioned that the main reason why Mengmotang was shut down by the Chinese government was that it violated the Compulsory Education Law and replaced compulsory education (Sheng, 2013, 2017, 2014, p. 111; Billioud and Thoraval, 2015, p. 50). It is worth noting that, according to the description of the content of modern Sishu courses, the content is usually focused on teaching Confucian ideas and texts. Confucian texts emphasise values such as loyalty to the state, the ruler, and service to the people and society. These values seem easy to find, do not harm society and the state, and are even conducive to state governance. This paradox is reconciled by Erling's argument that the Chinese government has never legislated or legalised Sishu education or homeschooling, probably because it fears that it cannot guarantee the preservation of collective narratives and the transmission of party ideology if education is outside the control of the state education system and teaching materials. Billioud and Thoraval's case studies of modern Sishu also suggest similar potential consequences. They found that when Sishu emerged as an alternative to compulsory education, there was often an underlying ideology of opposition to the state-controlled compulsory education system, which sometimes may evolve into educational practices that were at odds with society and mainstream values (Billioud and Thoraval, 2015, p. 62). In other words, Sishu education is sometimes used to provide children with a more fulfilling or moral education. However, in its extreme form, it can lead to unpredictable outcomes, aided by radical social criticism and the almost messianic aspirations of Confucianism. The potential risks of this personal choice may well turn into governance risks for the government under certain diffusion practices. Therefore, it can be argued that by rejecting the benefits of Sishu education in terms of the diversity of educational choice it offers, the government is also rejecting the uncontrollability and potential risks of diversity of choice.</w:t>
      </w:r>
    </w:p>
    <w:p w14:paraId="531B0018">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DDF77E1">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On the other hand, there is evidence that the Chinese government, in its official capacity, continues to advocate the transmission and promotion of China's outstanding traditional culture, for example, in the Belt and Road Initiative and the Confucius Institutes (Billioud and Thoraval, 2015, p. 36; Gilgan, 20-23). This further reveals the Chinese government's subtle attitude towards Sishu education, that is, the government encourages the continuation and promotion of Confucianism and traditional Chinese culture</w:t>
      </w:r>
      <w:r>
        <w:rPr>
          <w:rFonts w:hint="eastAsia" w:ascii="Times New Roman" w:hAnsi="Times New Roman"/>
          <w:color w:val="000000" w:themeColor="text1"/>
          <w:sz w:val="24"/>
          <w14:textFill>
            <w14:solidFill>
              <w14:schemeClr w14:val="tx1"/>
            </w14:solidFill>
          </w14:textFill>
        </w:rPr>
        <w:t>,</w:t>
      </w:r>
      <w:r>
        <w:rPr>
          <w:rFonts w:ascii="Times New Roman" w:hAnsi="Times New Roman"/>
          <w:color w:val="000000" w:themeColor="text1"/>
          <w:sz w:val="24"/>
          <w14:textFill>
            <w14:solidFill>
              <w14:schemeClr w14:val="tx1"/>
            </w14:solidFill>
          </w14:textFill>
        </w:rPr>
        <w:t xml:space="preserve"> but refuses to do so by giving up the right of education to the public. This explains why the promotion of Confucian classics on the margins of compulsory education is transparent, legitimate and in some cases even encouraged (Billioud and Thoraval, 2015, p. 48).</w:t>
      </w:r>
    </w:p>
    <w:p w14:paraId="1106C071">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B117063">
      <w:pPr>
        <w:pStyle w:val="3"/>
        <w:numPr>
          <w:ilvl w:val="1"/>
          <w:numId w:val="3"/>
        </w:numPr>
        <w:bidi w:val="0"/>
        <w:ind w:left="0" w:leftChars="0" w:firstLine="0" w:firstLineChars="0"/>
      </w:pPr>
      <w:bookmarkStart w:id="28" w:name="_Toc17393"/>
      <w:r>
        <w:t>The current state of Sishu as an industry</w:t>
      </w:r>
      <w:bookmarkEnd w:id="28"/>
    </w:p>
    <w:p w14:paraId="77116EC9">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Regardless of the crackdowns and restrictions imposed by the Chinese government, Sishu as an educational practice has continued to develop gradually in a complex environment. Although it may have originated from the ideas of the Classics Reading Movement and the great dream of a modern revival of Confucianism, it is ultimately inseparable from utilitarian discourse and people</w:t>
      </w:r>
      <w:r>
        <w:rPr>
          <w:rFonts w:hint="default" w:ascii="Times New Roman" w:hAnsi="Times New Roman"/>
          <w:color w:val="000000" w:themeColor="text1"/>
          <w:sz w:val="24"/>
          <w:lang w:val="en-US" w:eastAsia="zh-CN"/>
          <w14:textFill>
            <w14:solidFill>
              <w14:schemeClr w14:val="tx1"/>
            </w14:solidFill>
          </w14:textFill>
        </w:rPr>
        <w:t>’</w:t>
      </w:r>
      <w:r>
        <w:rPr>
          <w:rFonts w:ascii="Times New Roman" w:hAnsi="Times New Roman"/>
          <w:color w:val="000000" w:themeColor="text1"/>
          <w:sz w:val="24"/>
          <w14:textFill>
            <w14:solidFill>
              <w14:schemeClr w14:val="tx1"/>
            </w14:solidFill>
          </w14:textFill>
        </w:rPr>
        <w:t>s pursuit of success. It should be made clear at the outset that this part of the discussion involves using research cases on homeschooling in China as a reference for the analysis of modern Sishu. This approach is not intended to confuse the terms modern Sishu and homeschooling, but rather to show that when discussing the consequences of being outside compulsory education and mainstream schooling, homeschooling and Sishu education in China face almost the same predicament, i.e. no academic qualifications or obstacles to returning to mainstream schooling. For example, Sheng</w:t>
      </w:r>
      <w:r>
        <w:rPr>
          <w:rFonts w:hint="default" w:ascii="Times New Roman" w:hAnsi="Times New Roman"/>
          <w:color w:val="000000" w:themeColor="text1"/>
          <w:sz w:val="24"/>
          <w:lang w:val="en-US" w:eastAsia="zh-CN"/>
          <w14:textFill>
            <w14:solidFill>
              <w14:schemeClr w14:val="tx1"/>
            </w14:solidFill>
          </w14:textFill>
        </w:rPr>
        <w:t>’</w:t>
      </w:r>
      <w:r>
        <w:rPr>
          <w:rFonts w:ascii="Times New Roman" w:hAnsi="Times New Roman"/>
          <w:color w:val="000000" w:themeColor="text1"/>
          <w:sz w:val="24"/>
          <w14:textFill>
            <w14:solidFill>
              <w14:schemeClr w14:val="tx1"/>
            </w14:solidFill>
          </w14:textFill>
        </w:rPr>
        <w:t>s (2014) research subjects include both individuals' homeschooling practices and the practices of Sishu institutions. He combined and reviewed these two types of research subjects, stating that the long-term consequences of such educational practices that replace compulsory education are likely to be the inability to participate in mainstream education or difficulty continuing to succeed in mainstream education (p. 122). On the other hand, those parents who successfully solve the problem of lack of qualifications or reduce the barriers to returning to mainstream schools also tend to enjoy more privilege than the general population, whether in terms of educational resources or socio-economic status. Sheng's (2018) research also shows that with the rapid economic growth since 1978 and the emergence of the Chinese middle class since the mid-1990s. These middle-class parents choose Sishu education (in this study, Sishu institutions and homeschooling based on Confucianism are collectively referred to as Confucian homeschooling) often benefit their children through strong financial support and a diverse range of educational methods, thereby ranking themselves at the top of the social hierarchy. Therefore, when discussing the characteristics of parents who choose Sishu education, research on home education will be of some degree of applicability and reference.</w:t>
      </w:r>
    </w:p>
    <w:p w14:paraId="72D419A4">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DE895E6">
      <w:pPr>
        <w:numPr>
          <w:ilvl w:val="255"/>
          <w:numId w:val="0"/>
        </w:numPr>
        <w:spacing w:line="360" w:lineRule="auto"/>
        <w:rPr>
          <w:rFonts w:ascii="Times New Roman" w:hAnsi="Times New Roman"/>
          <w:color w:val="000000" w:themeColor="text1"/>
          <w:sz w:val="24"/>
          <w14:textFill>
            <w14:solidFill>
              <w14:schemeClr w14:val="tx1"/>
            </w14:solidFill>
          </w14:textFill>
        </w:rPr>
      </w:pPr>
      <w:r>
        <w:rPr>
          <w:rFonts w:ascii="Times New Roman" w:hAnsi="Times New Roman"/>
          <w:color w:val="000000" w:themeColor="text1"/>
          <w:sz w:val="24"/>
          <w14:textFill>
            <w14:solidFill>
              <w14:schemeClr w14:val="tx1"/>
            </w14:solidFill>
          </w14:textFill>
        </w:rPr>
        <w:t>Based on the above, the group of parents who choose Sishu education has become an important part of the research on the phenomenon of modern Sishu education. Different studies have shown that most parents who choose Sishu education have a relatively high e</w:t>
      </w:r>
      <w:r>
        <w:rPr>
          <w:rFonts w:hint="eastAsia" w:ascii="Times New Roman" w:hAnsi="Times New Roman"/>
          <w:color w:val="000000" w:themeColor="text1"/>
          <w:sz w:val="24"/>
          <w14:textFill>
            <w14:solidFill>
              <w14:schemeClr w14:val="tx1"/>
            </w14:solidFill>
          </w14:textFill>
        </w:rPr>
        <w:t>conomic and social status (Lee, 2024; Sheng, 2018). Billioud and Thoraval (2015) admit in their book that the 'classics fever' (读经热) is partly driven in part by influential entrepreneurs and that critics sometimes criticise their activities for their appar</w:t>
      </w:r>
      <w:r>
        <w:rPr>
          <w:rFonts w:ascii="Times New Roman" w:hAnsi="Times New Roman"/>
          <w:color w:val="000000" w:themeColor="text1"/>
          <w:sz w:val="24"/>
          <w14:textFill>
            <w14:solidFill>
              <w14:schemeClr w14:val="tx1"/>
            </w14:solidFill>
          </w14:textFill>
        </w:rPr>
        <w:t>ent commercial dimension (p. 47). However, Billioud and Thoraval point out that for Confucian-minded businessmen, Confucian ideals and commercial goals are not in conflict. Considerations of business strategy or social influence may sometimes drive them. However, more often, Confucian-minded businessmen, driven by conviction and personal commitment, are likely to incorporate educational and cultural missions into their economic undertakings. The trend towards studying Confucian classics, driven by these entrepreneurs, has often attracted the attention of many middle classes and stimulated their thinking about the education of the next generation. For some people, reading Confucian classics and attending conferences with Confucian ideas may represent personal morality and business success. Participating in these activities can, to some extent, both satisfy the need for spiritual values and demonstrate one's cultural and social capital (Billioud and Thoraval, 2015, p. 114). Therefore, when wealthy middle-class families encounter Confucian culture and its educational practices, which have symbolic capital, the demand for education arises, and a quasi-market for modern Sishu is formed.</w:t>
      </w:r>
    </w:p>
    <w:p w14:paraId="6ECB72FE">
      <w:pPr>
        <w:numPr>
          <w:ilvl w:val="255"/>
          <w:numId w:val="0"/>
        </w:numPr>
        <w:spacing w:line="360" w:lineRule="auto"/>
        <w:rPr>
          <w:rFonts w:ascii="Times New Roman" w:hAnsi="Times New Roman"/>
          <w:color w:val="000000" w:themeColor="text1"/>
          <w:sz w:val="24"/>
          <w14:textFill>
            <w14:solidFill>
              <w14:schemeClr w14:val="tx1"/>
            </w14:solidFill>
          </w14:textFill>
        </w:rPr>
      </w:pPr>
    </w:p>
    <w:p w14:paraId="4B54B8A5">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Although modern Sishu should not be regarded as a market phenomenon in general, there are still many non-profit organisations that embrace the Confucian ideal of education (Billioud and Thoraval, 2015, p. 46). However, as mentioned above, the realisation of Confucian ideals sometimes requires strong financial support. Therefore, it is undeniable that the proliferation of modern Sishu over the past 20 years has not only met the diverse educational needs of the middle class, but some Sishu may have achieved a win-win situation of practising Confucian educational ideals while making a profit. Zhu's (2012) research data points to the commercial symbolism in the operation of modern Sishu, which is rarely mentioned in other literature. Although Zhu (2012) has not yet published her paper in a journal, her case study provides a unique insight into the discussion of modern Sishu in this section. Her study conducted a field investigation of a Sishu called Huaxia Kids Community. Compared with the fervent practice of Confucian revival aspirations often seen in the literature on other modern Sishu, her interviewees showed a more practical and calmer attitude. In this field study, a representative of the Sishu institution stated that Wang Caigui's classics reading concept is good, but how to attract parents and retain clients so that this model can continue is the biggest problem Huaxia Kids Community faces. In line with this statement, Zhu's research found that, unlike other Confucian institutions, which strictly adopt a hierarchical teacher-student system and rigid teaching methods that do not consider the well-being of students, the teachers at Huaxia Kids Community treat students and parents as customers and develop corresponding cultural products, such as classics reading lessons, martial arts training and traditional Chinese cultural activities to meet the emotional needs of children and the intellectual needs of parents. Zhu points out that when Huaxia Kids Community's focus shifts to maintaining and increasing the number of students, it may lead to changes in the structure of Huaxia Kids Community's programmes, expanding its market and social influence by offering new consumer benefits. </w:t>
      </w:r>
    </w:p>
    <w:p w14:paraId="7B327060">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0E075D55">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Although most literature on parents choosing Sishu education almost always shows identification with Confucian moral ideals and an agreement with the value of classical texts, the literature also points out that parents may be impatient for quick results. For example, one interviewee of Zhu's study (2012) bluntly stated that parents want to see changes in their children quickly rather than spending money on an unpredictable outcome. Therefore, it is noteworthy that modern Sishu, with their lofty Confucian social ideals and moral-based teaching content, not only transcend the traditional Confucian teacher-centred teaching method, but also the emerging trend of child-centred education. Ultimately, it demonstrates a parent-centred educational consideration, that is, serving parents' educational ideals and forming children with good character for parents who conform to their values. More bluntly, parents are the customers, the Sishu institutions are the service providers, and the children are the specific service targets. Sishu institutions attract customers and survive by shaping the service targets in the way customers like. However, these aspects of Sishu institutions as an industry are sometimes inevitably overshadowed by the lofty visions of traditional culture promoters and their personal pious beliefs.</w:t>
      </w:r>
    </w:p>
    <w:p w14:paraId="4B943E73">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112CA0F1">
      <w:pPr>
        <w:numPr>
          <w:ilvl w:val="255"/>
          <w:numId w:val="0"/>
        </w:numPr>
        <w:spacing w:line="360" w:lineRule="auto"/>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It is not difficult to find that the appeal of modern Sishu to parents largely comes from their belief in Confucian thinking and their vision of their children's moral character. Since parents have such high expectations for their children, it is time to pose some follow-up questions: What is the trajectory of children who receive Sishu education after they leave Sishu? What are the concrete manifestations of their moral standards and positive social influence? Are their performances able to meet the expectations of their parents? And what is their own attitude towards the experience? Billioud and Thoraval also asked similar questions at the beginning of their study, but unfortunately, they were unable to conduct longitudinal observations and on-site interviews with the children of </w:t>
      </w:r>
      <w:r>
        <w:rPr>
          <w:rFonts w:hint="eastAsia" w:ascii="Times New Roman" w:hAnsi="Times New Roman"/>
          <w:color w:val="000000" w:themeColor="text1"/>
          <w:sz w:val="24"/>
          <w:szCs w:val="24"/>
          <w:lang w:val="en-US" w:eastAsia="zh-CN"/>
          <w14:textFill>
            <w14:solidFill>
              <w14:schemeClr w14:val="tx1"/>
            </w14:solidFill>
          </w14:textFill>
        </w:rPr>
        <w:t>Sishu</w:t>
      </w:r>
      <w:r>
        <w:rPr>
          <w:rFonts w:ascii="Times New Roman" w:hAnsi="Times New Roman"/>
          <w:color w:val="000000" w:themeColor="text1"/>
          <w:sz w:val="24"/>
          <w:szCs w:val="24"/>
          <w14:textFill>
            <w14:solidFill>
              <w14:schemeClr w14:val="tx1"/>
            </w14:solidFill>
          </w14:textFill>
        </w:rPr>
        <w:t>. The existing literature provides very few answers to these questions, and there are usually only unilateral expectations from parents or Sishu teachers, as well as vague answers. For example, some parents hope that their children will become a 'junzi (gentleman)' or a saint (Billioud and Thoraval, 2015, p. 92) through studying the classics and Sishu education. Parents in another study also mentioned cultivating modern 'junzi' and morally upright people (Gilgan, 2023). With regard to their children's future academic plans, three parents in Zhu's (2012) study did not consider it necessary to obtain a university degree. They did not want to send their children to mainstream schools. Moreover, almost all studies confirm that parents who choose Sishu education have ambitious expectations for their children's moral standards and future achievements in Confucianism.</w:t>
      </w:r>
    </w:p>
    <w:p w14:paraId="16CAC4B7">
      <w:pPr>
        <w:numPr>
          <w:ilvl w:val="255"/>
          <w:numId w:val="0"/>
        </w:numPr>
        <w:spacing w:line="360" w:lineRule="auto"/>
        <w:rPr>
          <w:rFonts w:ascii="Times New Roman" w:hAnsi="Times New Roman"/>
          <w:color w:val="000000" w:themeColor="text1"/>
          <w:sz w:val="24"/>
          <w:szCs w:val="24"/>
          <w14:textFill>
            <w14:solidFill>
              <w14:schemeClr w14:val="tx1"/>
            </w14:solidFill>
          </w14:textFill>
        </w:rPr>
      </w:pPr>
    </w:p>
    <w:p w14:paraId="5ED2E6A2">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r>
        <w:rPr>
          <w:rFonts w:hint="eastAsia" w:ascii="Times New Roman" w:hAnsi="Times New Roman"/>
          <w:color w:val="000000" w:themeColor="text1"/>
          <w:sz w:val="24"/>
          <w:szCs w:val="24"/>
          <w14:textFill>
            <w14:solidFill>
              <w14:schemeClr w14:val="tx1"/>
            </w14:solidFill>
          </w14:textFill>
        </w:rPr>
        <w:t>Regardless of the purpose of parents' choice of Sishu, it is mostly to cultivate future elites and saints, or as a supplement to enhance their children's future social competitiveness, or to maintain class distinctions and increase the potential demand for cultural capital. A phenomenon that is worth noting is that, in this grand classics reading movement, it is full of parents' thoughts and rationales, crowded with grand visions of improving society, but the voices of Sishu students are barely heard. Evidence suggests that most children had little choice in whether or not to attend Sishu, with parents determining the type of education their children would ultimately receive (Xiong and Li, 2011). Of the literature collected for this study, only one article presents the child's perspective, but that article focuses on individual homeschooling cases in China. Therefore, it is not a useful reference for Sishu students. It is hard to imagine that after more than two decades of the movement, the students' voices have rarely been heard. This seems to reflect the 'parent-centred' nature of the homeschooling industry from a certain perspective. Fortunately, the issue of parents' strong expectations and desire for control over their children seems to have gradually been recognised by some homeschooling practitioners. An article entitled "The Blind Spot of Homeschooling" is displayed in the most prominent place on the website of the Mu Zhen Home Schooling Association (慕真在家教育協會 [' Mu Zhen Home Schooling Association'], 2021). It quotes extensively from an article by Pastor Reb Bradley (a well-known leader in the homeschooling movement in the United States) published in the Virginia Homeschool Journal. It highlights the common problems of homeschooling parents being self-centred, emphasising external appearances, and being overprotective and controlling of their children. The purpose of the webpage author in displaying this article is to warn all parents who are currently undertaking or preparing to undertake any form of homeschooling that it is necessary to examine all the motives of being a parent in educating their children. Although this is a stern warning to the wide range of homeschooling parents, it may be an instructive experience to note the common characteristics displayed by homeschooling parents and homeschool promoters.</w:t>
      </w:r>
    </w:p>
    <w:p w14:paraId="28BAC5C3">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33FE9494">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r>
        <w:rPr>
          <w:rFonts w:hint="eastAsia" w:ascii="Times New Roman" w:hAnsi="Times New Roman"/>
          <w:color w:val="000000" w:themeColor="text1"/>
          <w:sz w:val="24"/>
          <w:szCs w:val="24"/>
          <w14:textFill>
            <w14:solidFill>
              <w14:schemeClr w14:val="tx1"/>
            </w14:solidFill>
          </w14:textFill>
        </w:rPr>
        <w:t>In short, as an industry, modern Sishu shows a tendency to serve the middle class in class maintenance and a parent-centric character. Moreover, in terms of longitudinal studies of Sishu students, no empirical research can show how their lives will proceed after graduating from a modern Sishu. This unusual research gap may be due to the fact that the phenomenon of Sishu is a highly marginal educational alternative to mainstream schools. Ultimately, it is the parents who actually implement this education and pay the tuition fees for Sishu education, so scholars tend to focus on the ideas of parents as active parties and the legal status of Sishu while rarely focusing on children as passive recipients of education.</w:t>
      </w:r>
    </w:p>
    <w:p w14:paraId="3C55927B">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03EFC40B">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05E9DBCA">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14181095">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58421185">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09C1B918">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419F686D">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74DC6EFA">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109A1A6C">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005E1D0E">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3CA00330">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37318FE0">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6A0A5093">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01D63C26">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5C188110">
      <w:pPr>
        <w:numPr>
          <w:ilvl w:val="255"/>
          <w:numId w:val="0"/>
        </w:numPr>
        <w:spacing w:line="360" w:lineRule="auto"/>
        <w:rPr>
          <w:rFonts w:hint="eastAsia" w:ascii="Times New Roman" w:hAnsi="Times New Roman"/>
          <w:color w:val="000000" w:themeColor="text1"/>
          <w:sz w:val="24"/>
          <w:szCs w:val="24"/>
          <w14:textFill>
            <w14:solidFill>
              <w14:schemeClr w14:val="tx1"/>
            </w14:solidFill>
          </w14:textFill>
        </w:rPr>
      </w:pPr>
    </w:p>
    <w:p w14:paraId="5C401293">
      <w:pPr>
        <w:pStyle w:val="2"/>
        <w:numPr>
          <w:ilvl w:val="0"/>
          <w:numId w:val="3"/>
        </w:numPr>
        <w:bidi w:val="0"/>
        <w:ind w:left="0" w:leftChars="0" w:firstLine="0" w:firstLineChars="0"/>
        <w:rPr>
          <w:rFonts w:hint="eastAsia"/>
        </w:rPr>
      </w:pPr>
      <w:bookmarkStart w:id="29" w:name="_Toc29129"/>
      <w:r>
        <w:rPr>
          <w:rFonts w:hint="eastAsia"/>
        </w:rPr>
        <w:t>CONCLUSION AND RECOMMENDATIONS</w:t>
      </w:r>
      <w:bookmarkEnd w:id="29"/>
    </w:p>
    <w:p w14:paraId="1940DFE6">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Comprehensive existing literature and research results show that the rise of modern </w:t>
      </w:r>
      <w:r>
        <w:rPr>
          <w:rFonts w:hint="eastAsia" w:ascii="Times New Roman" w:hAnsi="Times New Roman" w:cs="Times New Roman"/>
          <w:sz w:val="24"/>
          <w:szCs w:val="24"/>
          <w:lang w:val="en-US" w:eastAsia="zh-CN"/>
        </w:rPr>
        <w:t>Sishu</w:t>
      </w:r>
      <w:r>
        <w:rPr>
          <w:rFonts w:hint="default" w:ascii="Times New Roman" w:hAnsi="Times New Roman" w:cs="Times New Roman"/>
          <w:sz w:val="24"/>
          <w:szCs w:val="24"/>
          <w:lang w:val="en-US" w:eastAsia="zh-CN"/>
        </w:rPr>
        <w:t xml:space="preserve"> in contemporary China not only carries the return and reconstruction of the traditional Confucian educational values, but also </w:t>
      </w:r>
      <w:r>
        <w:rPr>
          <w:rFonts w:hint="eastAsia" w:ascii="Times New Roman" w:hAnsi="Times New Roman" w:cs="Times New Roman"/>
          <w:sz w:val="24"/>
          <w:szCs w:val="24"/>
          <w:lang w:val="en-US" w:eastAsia="zh-CN"/>
        </w:rPr>
        <w:t>inspires</w:t>
      </w:r>
      <w:r>
        <w:rPr>
          <w:rFonts w:hint="default" w:ascii="Times New Roman" w:hAnsi="Times New Roman" w:cs="Times New Roman"/>
          <w:sz w:val="24"/>
          <w:szCs w:val="24"/>
          <w:lang w:val="en-US" w:eastAsia="zh-CN"/>
        </w:rPr>
        <w:t xml:space="preserve"> the reflection and dissatisfaction of the society on the current examination-based education </w:t>
      </w:r>
      <w:r>
        <w:rPr>
          <w:rFonts w:hint="eastAsia" w:ascii="Times New Roman" w:hAnsi="Times New Roman" w:cs="Times New Roman"/>
          <w:sz w:val="24"/>
          <w:szCs w:val="24"/>
          <w:lang w:val="en-US" w:eastAsia="zh-CN"/>
        </w:rPr>
        <w:t>system</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Sishu</w:t>
      </w:r>
      <w:r>
        <w:rPr>
          <w:rFonts w:hint="default" w:ascii="Times New Roman" w:hAnsi="Times New Roman" w:cs="Times New Roman"/>
          <w:sz w:val="24"/>
          <w:szCs w:val="24"/>
          <w:lang w:val="en-US" w:eastAsia="zh-CN"/>
        </w:rPr>
        <w:t xml:space="preserve"> focus on moral character building and classical studies echoes the educational needs of many parents who value personalisation and cultural heritage.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However, due to the restrictions of China's Compulsory Education Law, modern </w:t>
      </w:r>
      <w:r>
        <w:rPr>
          <w:rFonts w:hint="eastAsia" w:ascii="Times New Roman" w:hAnsi="Times New Roman" w:cs="Times New Roman"/>
          <w:sz w:val="24"/>
          <w:szCs w:val="24"/>
          <w:lang w:val="en-US" w:eastAsia="zh-CN"/>
        </w:rPr>
        <w:t>Sishu</w:t>
      </w:r>
      <w:r>
        <w:rPr>
          <w:rFonts w:hint="default" w:ascii="Times New Roman" w:hAnsi="Times New Roman" w:cs="Times New Roman"/>
          <w:sz w:val="24"/>
          <w:szCs w:val="24"/>
          <w:lang w:val="en-US" w:eastAsia="zh-CN"/>
        </w:rPr>
        <w:t xml:space="preserve"> have always been in the grey area of law and policy, and have faced tests of legitimacy and viability in their development.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On the one hand, the core concepts of Confucianism advocated by </w:t>
      </w:r>
      <w:r>
        <w:rPr>
          <w:rFonts w:hint="eastAsia" w:ascii="Times New Roman" w:hAnsi="Times New Roman" w:cs="Times New Roman"/>
          <w:sz w:val="24"/>
          <w:szCs w:val="24"/>
          <w:lang w:val="en-US" w:eastAsia="zh-CN"/>
        </w:rPr>
        <w:t>Sishu</w:t>
      </w:r>
      <w:r>
        <w:rPr>
          <w:rFonts w:hint="default" w:ascii="Times New Roman" w:hAnsi="Times New Roman" w:cs="Times New Roman"/>
          <w:sz w:val="24"/>
          <w:szCs w:val="24"/>
          <w:lang w:val="en-US" w:eastAsia="zh-CN"/>
        </w:rPr>
        <w:t xml:space="preserve"> have been diversified and explored in practice, but the lack of uniform norms has led to variations in the quality of teaching and the level of teachers;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On the other hand, factors such as social class and economic conditions also determine the resources and opportunities available to different families in choosing and maintaining </w:t>
      </w:r>
      <w:r>
        <w:rPr>
          <w:rFonts w:hint="eastAsia" w:ascii="Times New Roman" w:hAnsi="Times New Roman" w:cs="Times New Roman"/>
          <w:sz w:val="24"/>
          <w:szCs w:val="24"/>
          <w:lang w:val="en-US" w:eastAsia="zh-CN"/>
        </w:rPr>
        <w:t>Sishu</w:t>
      </w:r>
      <w:r>
        <w:rPr>
          <w:rFonts w:hint="default" w:ascii="Times New Roman" w:hAnsi="Times New Roman" w:cs="Times New Roman"/>
          <w:sz w:val="24"/>
          <w:szCs w:val="24"/>
          <w:lang w:val="en-US" w:eastAsia="zh-CN"/>
        </w:rPr>
        <w:t xml:space="preserve"> education.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On the whole, modern </w:t>
      </w:r>
      <w:r>
        <w:rPr>
          <w:rFonts w:hint="eastAsia" w:ascii="Times New Roman" w:hAnsi="Times New Roman" w:cs="Times New Roman"/>
          <w:sz w:val="24"/>
          <w:szCs w:val="24"/>
          <w:lang w:val="en-US" w:eastAsia="zh-CN"/>
        </w:rPr>
        <w:t>Sishu</w:t>
      </w:r>
      <w:r>
        <w:rPr>
          <w:rFonts w:hint="default" w:ascii="Times New Roman" w:hAnsi="Times New Roman" w:cs="Times New Roman"/>
          <w:sz w:val="24"/>
          <w:szCs w:val="24"/>
          <w:lang w:val="en-US" w:eastAsia="zh-CN"/>
        </w:rPr>
        <w:t xml:space="preserve"> is both a complement and a challenge to mainstream education, and also offers new possibilities for the development of multiple modes of education. How to create a more inclusive and flexible institutional environment for this new form of education, while adhering to the national concept of universal education, still relies on the continued attention and constructive dialogue of the Government, the academic community and all sectors of society.</w:t>
      </w:r>
    </w:p>
    <w:p w14:paraId="24A485EB">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14:paraId="02294DDB">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Follow-up research on modern Chinese Sishu should focus on exploring the motivation, psychological feelings and evolution of values of Sishu students from the perspective of Sishu students, using qualitative methods such as in-depth interviews, observation and narrative research. B</w:t>
      </w:r>
      <w:r>
        <w:rPr>
          <w:rFonts w:hint="default" w:ascii="Times New Roman" w:hAnsi="Times New Roman" w:cs="Times New Roman"/>
          <w:sz w:val="24"/>
          <w:szCs w:val="24"/>
          <w:lang w:val="en-US" w:eastAsia="zh-CN"/>
        </w:rPr>
        <w:t xml:space="preserve">y listening and analysing the real experiences of the student population can we provide a more focused basis for the improvement of </w:t>
      </w:r>
      <w:r>
        <w:rPr>
          <w:rFonts w:hint="eastAsia" w:ascii="Times New Roman" w:hAnsi="Times New Roman" w:cs="Times New Roman"/>
          <w:sz w:val="24"/>
          <w:szCs w:val="24"/>
          <w:lang w:val="en-US" w:eastAsia="zh-CN"/>
        </w:rPr>
        <w:t>Sishu</w:t>
      </w:r>
      <w:r>
        <w:rPr>
          <w:rFonts w:hint="default" w:ascii="Times New Roman" w:hAnsi="Times New Roman" w:cs="Times New Roman"/>
          <w:sz w:val="24"/>
          <w:szCs w:val="24"/>
          <w:lang w:val="en-US" w:eastAsia="zh-CN"/>
        </w:rPr>
        <w:t xml:space="preserve"> education and policy refinement.</w:t>
      </w:r>
      <w:r>
        <w:rPr>
          <w:rFonts w:hint="eastAsia" w:ascii="Times New Roman" w:hAnsi="Times New Roman" w:cs="Times New Roman"/>
          <w:sz w:val="24"/>
          <w:szCs w:val="24"/>
          <w:lang w:val="en-US" w:eastAsia="zh-CN"/>
        </w:rPr>
        <w:t xml:space="preserve"> In order to measure the effectiveness of Sishu education more comprehensively, it is recommended that a medium-to-long-term tracking study be conducted to evaluate Sishu education by combining multi-dimensional indicators such as academic performance, social adjustment, personal psychological growth and family background, and to cover the subsequent development of students in terms of further studies, employment and social participation.</w:t>
      </w:r>
    </w:p>
    <w:p w14:paraId="1566A8C2">
      <w:pPr>
        <w:rPr>
          <w:rFonts w:hint="eastAsia"/>
        </w:rPr>
      </w:pPr>
    </w:p>
    <w:p w14:paraId="57C44BE2">
      <w:pPr>
        <w:rPr>
          <w:rFonts w:hint="eastAsia"/>
        </w:rPr>
      </w:pPr>
    </w:p>
    <w:p w14:paraId="6D24C02D">
      <w:pPr>
        <w:rPr>
          <w:rFonts w:hint="eastAsia"/>
        </w:rPr>
      </w:pPr>
    </w:p>
    <w:p w14:paraId="7A6F4DBE">
      <w:pPr>
        <w:rPr>
          <w:rFonts w:hint="eastAsia"/>
        </w:rPr>
      </w:pPr>
    </w:p>
    <w:p w14:paraId="058C98D1">
      <w:pPr>
        <w:rPr>
          <w:rFonts w:hint="eastAsia"/>
        </w:rPr>
      </w:pPr>
    </w:p>
    <w:p w14:paraId="14D46EFC">
      <w:pPr>
        <w:rPr>
          <w:rFonts w:hint="eastAsia"/>
        </w:rPr>
      </w:pPr>
    </w:p>
    <w:p w14:paraId="3B298925">
      <w:pPr>
        <w:rPr>
          <w:rFonts w:hint="eastAsia"/>
        </w:rPr>
      </w:pPr>
    </w:p>
    <w:p w14:paraId="216D300D">
      <w:pPr>
        <w:rPr>
          <w:rFonts w:hint="eastAsia"/>
        </w:rPr>
      </w:pPr>
    </w:p>
    <w:p w14:paraId="3C727A61">
      <w:pPr>
        <w:rPr>
          <w:rFonts w:hint="eastAsia"/>
        </w:rPr>
      </w:pPr>
    </w:p>
    <w:p w14:paraId="5C9AC949">
      <w:pPr>
        <w:rPr>
          <w:rFonts w:hint="eastAsia"/>
        </w:rPr>
      </w:pPr>
    </w:p>
    <w:p w14:paraId="55E77492">
      <w:pPr>
        <w:rPr>
          <w:rFonts w:hint="eastAsia"/>
        </w:rPr>
      </w:pPr>
    </w:p>
    <w:p w14:paraId="5DB357B3">
      <w:pPr>
        <w:rPr>
          <w:rFonts w:hint="eastAsia"/>
        </w:rPr>
      </w:pPr>
    </w:p>
    <w:p w14:paraId="062CAF42">
      <w:pPr>
        <w:rPr>
          <w:rFonts w:hint="eastAsia"/>
        </w:rPr>
      </w:pPr>
    </w:p>
    <w:p w14:paraId="1FF6FC8D">
      <w:pPr>
        <w:rPr>
          <w:rFonts w:hint="eastAsia"/>
        </w:rPr>
      </w:pPr>
    </w:p>
    <w:p w14:paraId="2110B13D">
      <w:pPr>
        <w:rPr>
          <w:rFonts w:hint="eastAsia"/>
        </w:rPr>
      </w:pPr>
    </w:p>
    <w:p w14:paraId="2BC13918">
      <w:pPr>
        <w:rPr>
          <w:rFonts w:hint="eastAsia"/>
        </w:rPr>
      </w:pPr>
    </w:p>
    <w:p w14:paraId="084C4A3E">
      <w:pPr>
        <w:rPr>
          <w:rFonts w:hint="eastAsia"/>
        </w:rPr>
      </w:pPr>
    </w:p>
    <w:p w14:paraId="6D22E70D">
      <w:pPr>
        <w:rPr>
          <w:rFonts w:hint="eastAsia"/>
        </w:rPr>
      </w:pPr>
    </w:p>
    <w:p w14:paraId="78D97B6D">
      <w:pPr>
        <w:rPr>
          <w:rFonts w:hint="eastAsia"/>
        </w:rPr>
      </w:pPr>
    </w:p>
    <w:p w14:paraId="72D6E9DF">
      <w:pPr>
        <w:rPr>
          <w:rFonts w:hint="eastAsia"/>
        </w:rPr>
      </w:pPr>
    </w:p>
    <w:p w14:paraId="1C65F080">
      <w:pPr>
        <w:rPr>
          <w:rFonts w:hint="eastAsia"/>
        </w:rPr>
      </w:pPr>
    </w:p>
    <w:p w14:paraId="0A23FF46">
      <w:pPr>
        <w:rPr>
          <w:rFonts w:hint="eastAsia"/>
        </w:rPr>
      </w:pPr>
    </w:p>
    <w:p w14:paraId="7AF06336">
      <w:pPr>
        <w:rPr>
          <w:rFonts w:hint="eastAsia"/>
        </w:rPr>
      </w:pPr>
    </w:p>
    <w:p w14:paraId="6639FB38">
      <w:pPr>
        <w:rPr>
          <w:rFonts w:hint="eastAsia"/>
        </w:rPr>
      </w:pPr>
    </w:p>
    <w:p w14:paraId="49C15B6E">
      <w:pPr>
        <w:rPr>
          <w:rFonts w:hint="eastAsia"/>
        </w:rPr>
      </w:pPr>
    </w:p>
    <w:p w14:paraId="70716604">
      <w:pPr>
        <w:rPr>
          <w:rFonts w:hint="eastAsia"/>
        </w:rPr>
      </w:pPr>
    </w:p>
    <w:p w14:paraId="0161FE1A">
      <w:pPr>
        <w:rPr>
          <w:rFonts w:hint="eastAsia"/>
        </w:rPr>
      </w:pPr>
    </w:p>
    <w:p w14:paraId="549A9AE5">
      <w:pPr>
        <w:rPr>
          <w:rFonts w:hint="eastAsia"/>
        </w:rPr>
      </w:pPr>
    </w:p>
    <w:p w14:paraId="7F2FDC19">
      <w:pPr>
        <w:rPr>
          <w:rFonts w:hint="eastAsia"/>
        </w:rPr>
      </w:pPr>
    </w:p>
    <w:p w14:paraId="27655594">
      <w:pPr>
        <w:rPr>
          <w:rFonts w:hint="eastAsia"/>
        </w:rPr>
      </w:pPr>
    </w:p>
    <w:p w14:paraId="4F3AF6C0">
      <w:pPr>
        <w:rPr>
          <w:rFonts w:hint="eastAsia"/>
        </w:rPr>
      </w:pPr>
    </w:p>
    <w:p w14:paraId="1BB02DE9">
      <w:pPr>
        <w:rPr>
          <w:rFonts w:hint="eastAsia"/>
        </w:rPr>
      </w:pPr>
    </w:p>
    <w:p w14:paraId="10A88DA5">
      <w:pPr>
        <w:rPr>
          <w:rFonts w:hint="eastAsia"/>
        </w:rPr>
      </w:pPr>
    </w:p>
    <w:p w14:paraId="47B81D73">
      <w:pPr>
        <w:rPr>
          <w:rFonts w:hint="eastAsia"/>
        </w:rPr>
      </w:pPr>
    </w:p>
    <w:p w14:paraId="756851FB">
      <w:pPr>
        <w:rPr>
          <w:rFonts w:hint="eastAsia"/>
        </w:rPr>
      </w:pPr>
    </w:p>
    <w:p w14:paraId="75967E2F">
      <w:pPr>
        <w:rPr>
          <w:rFonts w:hint="eastAsia"/>
        </w:rPr>
      </w:pPr>
    </w:p>
    <w:p w14:paraId="39EFBA94">
      <w:pPr>
        <w:rPr>
          <w:rFonts w:hint="eastAsia"/>
        </w:rPr>
      </w:pPr>
    </w:p>
    <w:p w14:paraId="523F1142">
      <w:pPr>
        <w:rPr>
          <w:rFonts w:hint="eastAsia"/>
        </w:rPr>
      </w:pPr>
    </w:p>
    <w:p w14:paraId="7F878C2A">
      <w:pPr>
        <w:rPr>
          <w:rFonts w:hint="eastAsia"/>
        </w:rPr>
      </w:pPr>
    </w:p>
    <w:p w14:paraId="02BE0AC2">
      <w:pPr>
        <w:pStyle w:val="2"/>
        <w:numPr>
          <w:ilvl w:val="0"/>
          <w:numId w:val="3"/>
        </w:numPr>
        <w:bidi w:val="0"/>
        <w:ind w:left="0" w:leftChars="0" w:firstLine="0" w:firstLineChars="0"/>
        <w:rPr>
          <w:rFonts w:hint="eastAsia"/>
        </w:rPr>
      </w:pPr>
      <w:bookmarkStart w:id="30" w:name="_Toc2806"/>
      <w:bookmarkStart w:id="31" w:name="_Toc115759276"/>
      <w:r>
        <w:rPr>
          <w:lang w:val="en-US" w:eastAsia="en-US"/>
        </w:rPr>
        <w:t>REFERENCES</w:t>
      </w:r>
      <w:bookmarkEnd w:id="30"/>
      <w:bookmarkEnd w:id="31"/>
    </w:p>
    <w:sectPr>
      <w:pgSz w:w="11906" w:h="16838"/>
      <w:pgMar w:top="1440" w:right="1440" w:bottom="1440" w:left="144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C594038">
    <w:pPr>
      <w:pStyle w:val="7"/>
      <w:rPr>
        <w:rFonts w:ascii="Times New Roman" w:hAnsi="Times New Roman"/>
        <w:sz w:val="20"/>
        <w:szCs w:val="20"/>
      </w:rPr>
    </w:pPr>
    <w:r>
      <w:rPr>
        <w:sz w:val="20"/>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DBD82D8">
                          <w:pPr>
                            <w:pStyle w:val="7"/>
                            <w:rPr>
                              <w:rStyle w:val="16"/>
                              <w:rFonts w:ascii="Times New Roman" w:hAnsi="Times New Roman"/>
                              <w:sz w:val="20"/>
                              <w:szCs w:val="20"/>
                            </w:rPr>
                          </w:pPr>
                          <w:r>
                            <w:rPr>
                              <w:rStyle w:val="16"/>
                              <w:rFonts w:ascii="Times New Roman" w:hAnsi="Times New Roman"/>
                              <w:sz w:val="20"/>
                              <w:szCs w:val="20"/>
                            </w:rPr>
                            <w:fldChar w:fldCharType="begin"/>
                          </w:r>
                          <w:r>
                            <w:rPr>
                              <w:rStyle w:val="16"/>
                              <w:rFonts w:ascii="Times New Roman" w:hAnsi="Times New Roman"/>
                              <w:sz w:val="20"/>
                              <w:szCs w:val="20"/>
                            </w:rPr>
                            <w:instrText xml:space="preserve">PAGE  </w:instrText>
                          </w:r>
                          <w:r>
                            <w:rPr>
                              <w:rStyle w:val="16"/>
                              <w:rFonts w:ascii="Times New Roman" w:hAnsi="Times New Roman"/>
                              <w:sz w:val="20"/>
                              <w:szCs w:val="20"/>
                            </w:rPr>
                            <w:fldChar w:fldCharType="separate"/>
                          </w:r>
                          <w:r>
                            <w:rPr>
                              <w:rStyle w:val="16"/>
                              <w:rFonts w:ascii="Times New Roman" w:hAnsi="Times New Roman"/>
                              <w:sz w:val="20"/>
                              <w:szCs w:val="20"/>
                            </w:rPr>
                            <w:t>1</w:t>
                          </w:r>
                          <w:r>
                            <w:rPr>
                              <w:rStyle w:val="16"/>
                              <w:rFonts w:ascii="Times New Roman" w:hAnsi="Times New Roman"/>
                              <w:sz w:val="20"/>
                              <w:szCs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XDnwqAgAAV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CLNmWdjqneUROirm&#10;7eoYIGCnaxSlV2LQCtPWdWZ4GXGc/9x3UY9/g+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IzXDnwqAgAAVQQAAA4AAAAAAAAAAQAgAAAAHwEAAGRycy9lMm9Eb2MueG1sUEsFBgAAAAAGAAYA&#10;WQEAALsFAAAAAA==&#10;">
              <v:fill on="f" focussize="0,0"/>
              <v:stroke on="f" weight="0.5pt"/>
              <v:imagedata o:title=""/>
              <o:lock v:ext="edit" aspectratio="f"/>
              <v:textbox inset="0mm,0mm,0mm,0mm" style="mso-fit-shape-to-text:t;">
                <w:txbxContent>
                  <w:p w14:paraId="4DBD82D8">
                    <w:pPr>
                      <w:pStyle w:val="7"/>
                      <w:rPr>
                        <w:rStyle w:val="16"/>
                        <w:rFonts w:ascii="Times New Roman" w:hAnsi="Times New Roman"/>
                        <w:sz w:val="20"/>
                        <w:szCs w:val="20"/>
                      </w:rPr>
                    </w:pPr>
                    <w:r>
                      <w:rPr>
                        <w:rStyle w:val="16"/>
                        <w:rFonts w:ascii="Times New Roman" w:hAnsi="Times New Roman"/>
                        <w:sz w:val="20"/>
                        <w:szCs w:val="20"/>
                      </w:rPr>
                      <w:fldChar w:fldCharType="begin"/>
                    </w:r>
                    <w:r>
                      <w:rPr>
                        <w:rStyle w:val="16"/>
                        <w:rFonts w:ascii="Times New Roman" w:hAnsi="Times New Roman"/>
                        <w:sz w:val="20"/>
                        <w:szCs w:val="20"/>
                      </w:rPr>
                      <w:instrText xml:space="preserve">PAGE  </w:instrText>
                    </w:r>
                    <w:r>
                      <w:rPr>
                        <w:rStyle w:val="16"/>
                        <w:rFonts w:ascii="Times New Roman" w:hAnsi="Times New Roman"/>
                        <w:sz w:val="20"/>
                        <w:szCs w:val="20"/>
                      </w:rPr>
                      <w:fldChar w:fldCharType="separate"/>
                    </w:r>
                    <w:r>
                      <w:rPr>
                        <w:rStyle w:val="16"/>
                        <w:rFonts w:ascii="Times New Roman" w:hAnsi="Times New Roman"/>
                        <w:sz w:val="20"/>
                        <w:szCs w:val="20"/>
                      </w:rPr>
                      <w:t>1</w:t>
                    </w:r>
                    <w:r>
                      <w:rPr>
                        <w:rStyle w:val="16"/>
                        <w:rFonts w:ascii="Times New Roman" w:hAnsi="Times New Roman"/>
                        <w:sz w:val="20"/>
                        <w:szCs w:val="20"/>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38C6FB9">
    <w:pPr>
      <w:pStyle w:val="7"/>
      <w:framePr w:wrap="around" w:vAnchor="text" w:hAnchor="margin" w:xAlign="center" w:y="1"/>
      <w:rPr>
        <w:rStyle w:val="16"/>
      </w:rPr>
    </w:pPr>
    <w:r>
      <w:rPr>
        <w:rStyle w:val="16"/>
      </w:rPr>
      <w:fldChar w:fldCharType="begin"/>
    </w:r>
    <w:r>
      <w:rPr>
        <w:rStyle w:val="16"/>
      </w:rPr>
      <w:instrText xml:space="preserve">PAGE  </w:instrText>
    </w:r>
    <w:r>
      <w:rPr>
        <w:rStyle w:val="16"/>
      </w:rPr>
      <w:fldChar w:fldCharType="separate"/>
    </w:r>
    <w:r>
      <w:rPr>
        <w:rStyle w:val="16"/>
      </w:rPr>
      <w:t>1</w:t>
    </w:r>
    <w:r>
      <w:rPr>
        <w:rStyle w:val="16"/>
      </w:rPr>
      <w:fldChar w:fldCharType="end"/>
    </w:r>
  </w:p>
  <w:p w14:paraId="0DA6D02C">
    <w:pPr>
      <w:pStyle w:val="7"/>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2D1B56"/>
    <w:multiLevelType w:val="multilevel"/>
    <w:tmpl w:val="B92D1B56"/>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20E94505"/>
    <w:multiLevelType w:val="multilevel"/>
    <w:tmpl w:val="20E94505"/>
    <w:lvl w:ilvl="0" w:tentative="0">
      <w:start w:val="1"/>
      <w:numFmt w:val="decimal"/>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2">
    <w:nsid w:val="7430298D"/>
    <w:multiLevelType w:val="multilevel"/>
    <w:tmpl w:val="7430298D"/>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5"/>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E9D5F35"/>
    <w:rsid w:val="000775B3"/>
    <w:rsid w:val="00090FE6"/>
    <w:rsid w:val="000A2C6C"/>
    <w:rsid w:val="000C39DA"/>
    <w:rsid w:val="00135C11"/>
    <w:rsid w:val="001D772F"/>
    <w:rsid w:val="00255157"/>
    <w:rsid w:val="00294911"/>
    <w:rsid w:val="00296B90"/>
    <w:rsid w:val="002A063D"/>
    <w:rsid w:val="003B0173"/>
    <w:rsid w:val="003E33C3"/>
    <w:rsid w:val="003F3EFC"/>
    <w:rsid w:val="00441176"/>
    <w:rsid w:val="00471A82"/>
    <w:rsid w:val="004C0BB2"/>
    <w:rsid w:val="004E4E3F"/>
    <w:rsid w:val="004F10CF"/>
    <w:rsid w:val="005115F1"/>
    <w:rsid w:val="00525CCA"/>
    <w:rsid w:val="00586F44"/>
    <w:rsid w:val="005D7D6A"/>
    <w:rsid w:val="005E2A4C"/>
    <w:rsid w:val="005E2E19"/>
    <w:rsid w:val="00665851"/>
    <w:rsid w:val="006D267A"/>
    <w:rsid w:val="006E4A04"/>
    <w:rsid w:val="00724274"/>
    <w:rsid w:val="007A2BFD"/>
    <w:rsid w:val="007B0D29"/>
    <w:rsid w:val="007D322E"/>
    <w:rsid w:val="008220C7"/>
    <w:rsid w:val="00851573"/>
    <w:rsid w:val="008547EF"/>
    <w:rsid w:val="008B19CD"/>
    <w:rsid w:val="008E3CE1"/>
    <w:rsid w:val="00903821"/>
    <w:rsid w:val="009A5863"/>
    <w:rsid w:val="009C3071"/>
    <w:rsid w:val="00A77BB0"/>
    <w:rsid w:val="00A803A5"/>
    <w:rsid w:val="00A862FF"/>
    <w:rsid w:val="00B05C3C"/>
    <w:rsid w:val="00C47153"/>
    <w:rsid w:val="00D156B0"/>
    <w:rsid w:val="00E361AC"/>
    <w:rsid w:val="00E817FC"/>
    <w:rsid w:val="00F031DD"/>
    <w:rsid w:val="00F23281"/>
    <w:rsid w:val="00F92AE0"/>
    <w:rsid w:val="00FC3B91"/>
    <w:rsid w:val="00FD03BD"/>
    <w:rsid w:val="01FE3025"/>
    <w:rsid w:val="0B245631"/>
    <w:rsid w:val="0D335069"/>
    <w:rsid w:val="0E65475F"/>
    <w:rsid w:val="0F276507"/>
    <w:rsid w:val="120371DB"/>
    <w:rsid w:val="15804478"/>
    <w:rsid w:val="1A065E3F"/>
    <w:rsid w:val="1BE7599C"/>
    <w:rsid w:val="1BF63E31"/>
    <w:rsid w:val="1C444B9D"/>
    <w:rsid w:val="1E0F2F88"/>
    <w:rsid w:val="202D1DEC"/>
    <w:rsid w:val="22D6753F"/>
    <w:rsid w:val="291C47AB"/>
    <w:rsid w:val="29975695"/>
    <w:rsid w:val="2AE85BE1"/>
    <w:rsid w:val="2C923F9C"/>
    <w:rsid w:val="2FB60EBF"/>
    <w:rsid w:val="30E939AE"/>
    <w:rsid w:val="31AB4BE4"/>
    <w:rsid w:val="34FA3661"/>
    <w:rsid w:val="363917D6"/>
    <w:rsid w:val="36945C2A"/>
    <w:rsid w:val="3A547825"/>
    <w:rsid w:val="3A615735"/>
    <w:rsid w:val="3ABC7B9C"/>
    <w:rsid w:val="3CCC056A"/>
    <w:rsid w:val="3D962926"/>
    <w:rsid w:val="443A225E"/>
    <w:rsid w:val="444C3D3F"/>
    <w:rsid w:val="44F543D6"/>
    <w:rsid w:val="4ACF1226"/>
    <w:rsid w:val="4CA7245A"/>
    <w:rsid w:val="503E3A51"/>
    <w:rsid w:val="53DC50DF"/>
    <w:rsid w:val="5B525C87"/>
    <w:rsid w:val="5DC015CE"/>
    <w:rsid w:val="5E9D5F35"/>
    <w:rsid w:val="5EB153BA"/>
    <w:rsid w:val="5F227D9A"/>
    <w:rsid w:val="62F615EE"/>
    <w:rsid w:val="695C3772"/>
    <w:rsid w:val="69D00DEB"/>
    <w:rsid w:val="74213D9F"/>
    <w:rsid w:val="74EC4B62"/>
    <w:rsid w:val="755521A4"/>
    <w:rsid w:val="772938E8"/>
    <w:rsid w:val="777E3FFD"/>
    <w:rsid w:val="7A106F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qFormat="1"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1"/>
      <w:lang w:val="en-GB" w:eastAsia="zh-CN" w:bidi="ar-SA"/>
    </w:rPr>
  </w:style>
  <w:style w:type="paragraph" w:styleId="2">
    <w:name w:val="heading 1"/>
    <w:basedOn w:val="1"/>
    <w:next w:val="1"/>
    <w:qFormat/>
    <w:uiPriority w:val="0"/>
    <w:pPr>
      <w:keepNext/>
      <w:keepLines/>
      <w:spacing w:before="340" w:after="330"/>
      <w:jc w:val="left"/>
      <w:outlineLvl w:val="0"/>
    </w:pPr>
    <w:rPr>
      <w:rFonts w:ascii="Times New Roman" w:hAnsi="Times New Roman"/>
      <w:b/>
      <w:kern w:val="44"/>
      <w:sz w:val="32"/>
    </w:rPr>
  </w:style>
  <w:style w:type="paragraph" w:styleId="3">
    <w:name w:val="heading 2"/>
    <w:basedOn w:val="1"/>
    <w:next w:val="1"/>
    <w:unhideWhenUsed/>
    <w:qFormat/>
    <w:uiPriority w:val="0"/>
    <w:pPr>
      <w:keepNext/>
      <w:keepLines/>
      <w:spacing w:before="260" w:after="260"/>
      <w:jc w:val="left"/>
      <w:outlineLvl w:val="1"/>
    </w:pPr>
    <w:rPr>
      <w:rFonts w:ascii="Times New Roman" w:hAnsi="Times New Roman" w:eastAsia="黑体"/>
      <w:b/>
      <w:sz w:val="28"/>
    </w:rPr>
  </w:style>
  <w:style w:type="paragraph" w:styleId="4">
    <w:name w:val="heading 3"/>
    <w:basedOn w:val="1"/>
    <w:next w:val="1"/>
    <w:unhideWhenUsed/>
    <w:qFormat/>
    <w:uiPriority w:val="0"/>
    <w:pPr>
      <w:keepNext/>
      <w:keepLines/>
      <w:spacing w:before="260" w:after="260"/>
      <w:jc w:val="left"/>
      <w:outlineLvl w:val="2"/>
    </w:pPr>
    <w:rPr>
      <w:rFonts w:ascii="Times New Roman" w:hAnsi="Times New Roman"/>
      <w:b/>
      <w:sz w:val="24"/>
    </w:rPr>
  </w:style>
  <w:style w:type="character" w:default="1" w:styleId="14">
    <w:name w:val="Default Paragraph Font"/>
    <w:semiHidden/>
    <w:unhideWhenUsed/>
    <w:qFormat/>
    <w:uiPriority w:val="1"/>
  </w:style>
  <w:style w:type="table" w:default="1" w:styleId="13">
    <w:name w:val="Normal Table"/>
    <w:semiHidden/>
    <w:unhideWhenUsed/>
    <w:qFormat/>
    <w:uiPriority w:val="99"/>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rPr>
    <w:tblPr>
      <w:tblCellMar>
        <w:top w:w="0" w:type="dxa"/>
        <w:left w:w="108" w:type="dxa"/>
        <w:bottom w:w="0" w:type="dxa"/>
        <w:right w:w="108" w:type="dxa"/>
      </w:tblCellMar>
    </w:tblPr>
  </w:style>
  <w:style w:type="paragraph" w:styleId="5">
    <w:name w:val="annotation text"/>
    <w:basedOn w:val="1"/>
    <w:link w:val="18"/>
    <w:qFormat/>
    <w:uiPriority w:val="0"/>
    <w:rPr>
      <w:sz w:val="20"/>
      <w:szCs w:val="20"/>
    </w:rPr>
  </w:style>
  <w:style w:type="paragraph" w:styleId="6">
    <w:name w:val="toc 3"/>
    <w:basedOn w:val="1"/>
    <w:next w:val="1"/>
    <w:qFormat/>
    <w:uiPriority w:val="0"/>
    <w:pPr>
      <w:ind w:left="840" w:leftChars="400"/>
    </w:pPr>
  </w:style>
  <w:style w:type="paragraph" w:styleId="7">
    <w:name w:val="footer"/>
    <w:basedOn w:val="1"/>
    <w:link w:val="22"/>
    <w:qFormat/>
    <w:uiPriority w:val="0"/>
    <w:pPr>
      <w:tabs>
        <w:tab w:val="center" w:pos="4153"/>
        <w:tab w:val="right" w:pos="8306"/>
      </w:tabs>
      <w:snapToGrid w:val="0"/>
      <w:jc w:val="left"/>
    </w:pPr>
    <w:rPr>
      <w:sz w:val="18"/>
      <w:szCs w:val="18"/>
    </w:rPr>
  </w:style>
  <w:style w:type="paragraph" w:styleId="8">
    <w:name w:val="header"/>
    <w:basedOn w:val="1"/>
    <w:link w:val="21"/>
    <w:qFormat/>
    <w:uiPriority w:val="0"/>
    <w:pPr>
      <w:tabs>
        <w:tab w:val="center" w:pos="4153"/>
        <w:tab w:val="right" w:pos="8306"/>
      </w:tabs>
      <w:snapToGrid w:val="0"/>
      <w:jc w:val="center"/>
    </w:pPr>
    <w:rPr>
      <w:sz w:val="18"/>
      <w:szCs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paragraph" w:styleId="11">
    <w:name w:val="Normal (Web)"/>
    <w:basedOn w:val="1"/>
    <w:qFormat/>
    <w:uiPriority w:val="0"/>
    <w:pPr>
      <w:spacing w:beforeAutospacing="1" w:afterAutospacing="1"/>
      <w:jc w:val="left"/>
    </w:pPr>
    <w:rPr>
      <w:kern w:val="0"/>
      <w:sz w:val="24"/>
      <w:lang w:val="en-US"/>
    </w:rPr>
  </w:style>
  <w:style w:type="paragraph" w:styleId="12">
    <w:name w:val="annotation subject"/>
    <w:basedOn w:val="5"/>
    <w:next w:val="5"/>
    <w:link w:val="19"/>
    <w:qFormat/>
    <w:uiPriority w:val="0"/>
    <w:rPr>
      <w:b/>
      <w:bCs/>
    </w:rPr>
  </w:style>
  <w:style w:type="character" w:styleId="15">
    <w:name w:val="Strong"/>
    <w:basedOn w:val="14"/>
    <w:qFormat/>
    <w:uiPriority w:val="0"/>
    <w:rPr>
      <w:b/>
    </w:rPr>
  </w:style>
  <w:style w:type="character" w:styleId="16">
    <w:name w:val="page number"/>
    <w:basedOn w:val="14"/>
    <w:qFormat/>
    <w:uiPriority w:val="0"/>
  </w:style>
  <w:style w:type="character" w:styleId="17">
    <w:name w:val="annotation reference"/>
    <w:basedOn w:val="14"/>
    <w:qFormat/>
    <w:uiPriority w:val="0"/>
    <w:rPr>
      <w:sz w:val="16"/>
      <w:szCs w:val="16"/>
    </w:rPr>
  </w:style>
  <w:style w:type="character" w:customStyle="1" w:styleId="18">
    <w:name w:val="批注文字 字符"/>
    <w:basedOn w:val="14"/>
    <w:link w:val="5"/>
    <w:qFormat/>
    <w:uiPriority w:val="0"/>
    <w:rPr>
      <w:kern w:val="2"/>
      <w:lang w:val="en-US"/>
    </w:rPr>
  </w:style>
  <w:style w:type="character" w:customStyle="1" w:styleId="19">
    <w:name w:val="批注主题 字符"/>
    <w:basedOn w:val="18"/>
    <w:link w:val="12"/>
    <w:qFormat/>
    <w:uiPriority w:val="0"/>
    <w:rPr>
      <w:b/>
      <w:bCs/>
      <w:kern w:val="2"/>
      <w:lang w:val="en-US"/>
    </w:rPr>
  </w:style>
  <w:style w:type="paragraph" w:customStyle="1" w:styleId="20">
    <w:name w:val="修订1"/>
    <w:hidden/>
    <w:unhideWhenUsed/>
    <w:qFormat/>
    <w:uiPriority w:val="99"/>
    <w:rPr>
      <w:rFonts w:asciiTheme="minorHAnsi" w:hAnsiTheme="minorHAnsi" w:eastAsiaTheme="minorEastAsia" w:cstheme="minorBidi"/>
      <w:kern w:val="2"/>
      <w:sz w:val="21"/>
      <w:szCs w:val="24"/>
      <w:lang w:val="en-US" w:eastAsia="zh-CN" w:bidi="ar-SA"/>
    </w:rPr>
  </w:style>
  <w:style w:type="character" w:customStyle="1" w:styleId="21">
    <w:name w:val="页眉 字符"/>
    <w:basedOn w:val="14"/>
    <w:link w:val="8"/>
    <w:qFormat/>
    <w:uiPriority w:val="0"/>
    <w:rPr>
      <w:rFonts w:asciiTheme="minorHAnsi" w:hAnsiTheme="minorHAnsi" w:eastAsiaTheme="minorEastAsia" w:cstheme="minorBidi"/>
      <w:kern w:val="2"/>
      <w:sz w:val="18"/>
      <w:szCs w:val="18"/>
    </w:rPr>
  </w:style>
  <w:style w:type="character" w:customStyle="1" w:styleId="22">
    <w:name w:val="页脚 字符"/>
    <w:basedOn w:val="14"/>
    <w:link w:val="7"/>
    <w:qFormat/>
    <w:uiPriority w:val="0"/>
    <w:rPr>
      <w:rFonts w:asciiTheme="minorHAnsi" w:hAnsiTheme="minorHAnsi" w:eastAsiaTheme="minorEastAsia" w:cstheme="minorBidi"/>
      <w:kern w:val="2"/>
      <w:sz w:val="18"/>
      <w:szCs w:val="18"/>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52</Pages>
  <Words>10460</Words>
  <Characters>59017</Characters>
  <Lines>718</Lines>
  <Paragraphs>202</Paragraphs>
  <TotalTime>7</TotalTime>
  <ScaleCrop>false</ScaleCrop>
  <LinksUpToDate>false</LinksUpToDate>
  <CharactersWithSpaces>69305</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2025-01-19T10:46:00Z</dcterms:created>
  <dc:creator>Paul</dc:creator>
  <cp:lastModifiedBy>曾思瑶</cp:lastModifiedBy>
  <dcterms:modified xsi:type="dcterms:W3CDTF">2025-03-03T23:31:30Z</dcterms:modified>
  <cp:revision>25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32A153E1E12943A4BC298404BCD5177C_13</vt:lpwstr>
  </property>
  <property fmtid="{D5CDD505-2E9C-101B-9397-08002B2CF9AE}" pid="4" name="KSOTemplateDocerSaveRecord">
    <vt:lpwstr>eyJoZGlkIjoiM2EyNWFiZmI3NDlmN2IzYTA3ZGIyMDhiNmZiNDZmY2MiLCJ1c2VySWQiOiIyNjQyNTE1MDAifQ==</vt:lpwstr>
  </property>
</Properties>
</file>