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641AE0" w14:textId="77777777" w:rsidR="00722ABC" w:rsidRPr="00425F60" w:rsidRDefault="00722ABC" w:rsidP="00425F60">
      <w:pPr>
        <w:spacing w:line="360" w:lineRule="auto"/>
        <w:rPr>
          <w:rFonts w:ascii="Arial" w:hAnsi="Arial" w:cs="Arial"/>
          <w:sz w:val="28"/>
          <w:szCs w:val="28"/>
        </w:rPr>
      </w:pPr>
    </w:p>
    <w:p w14:paraId="6CE2A877" w14:textId="68DD0048"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r>
        <w:rPr>
          <w:noProof/>
        </w:rPr>
        <w:drawing>
          <wp:inline distT="0" distB="0" distL="0" distR="0" wp14:anchorId="0160BD8D" wp14:editId="46A50A83">
            <wp:extent cx="3260723" cy="1238250"/>
            <wp:effectExtent l="0" t="0" r="0" b="0"/>
            <wp:docPr id="3074" name="Picture 2" descr="University of wales Logos">
              <a:extLst xmlns:a="http://schemas.openxmlformats.org/drawingml/2006/main">
                <a:ext uri="{FF2B5EF4-FFF2-40B4-BE49-F238E27FC236}">
                  <a16:creationId xmlns:a16="http://schemas.microsoft.com/office/drawing/2014/main" id="{EB2DB8C7-FBDE-53E9-BABD-14CE3F53CB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University of wales Logos">
                      <a:extLst>
                        <a:ext uri="{FF2B5EF4-FFF2-40B4-BE49-F238E27FC236}">
                          <a16:creationId xmlns:a16="http://schemas.microsoft.com/office/drawing/2014/main" id="{EB2DB8C7-FBDE-53E9-BABD-14CE3F53CB2E}"/>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7003" cy="1244432"/>
                    </a:xfrm>
                    <a:prstGeom prst="rect">
                      <a:avLst/>
                    </a:prstGeom>
                    <a:noFill/>
                  </pic:spPr>
                </pic:pic>
              </a:graphicData>
            </a:graphic>
          </wp:inline>
        </w:drawing>
      </w:r>
    </w:p>
    <w:p w14:paraId="21314122"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03CCB7E5" w14:textId="0E80E567" w:rsidR="00952A37" w:rsidRPr="00952A37" w:rsidRDefault="00952A37" w:rsidP="00952A37">
      <w:pPr>
        <w:spacing w:before="100" w:beforeAutospacing="1" w:after="100" w:afterAutospacing="1" w:line="360" w:lineRule="auto"/>
        <w:jc w:val="center"/>
        <w:outlineLvl w:val="1"/>
        <w:rPr>
          <w:rFonts w:ascii="Arial" w:eastAsia="Arial" w:hAnsi="Arial" w:cs="Arial"/>
          <w:b/>
          <w:bCs/>
          <w:color w:val="000000" w:themeColor="text1"/>
          <w:spacing w:val="-2"/>
          <w:kern w:val="24"/>
          <w:sz w:val="40"/>
          <w:szCs w:val="40"/>
          <w:lang w:val="en-US"/>
        </w:rPr>
      </w:pPr>
      <w:r w:rsidRPr="00952A37">
        <w:rPr>
          <w:rFonts w:ascii="Arial" w:eastAsiaTheme="majorEastAsia" w:hAnsi="Arial" w:cs="Arial"/>
          <w:b/>
          <w:bCs/>
          <w:color w:val="000000" w:themeColor="text1"/>
          <w:kern w:val="24"/>
          <w:sz w:val="40"/>
          <w:szCs w:val="40"/>
        </w:rPr>
        <w:t>Psychology in Health and Social Care</w:t>
      </w:r>
      <w:r w:rsidRPr="00952A37">
        <w:rPr>
          <w:rFonts w:ascii="Arial" w:eastAsiaTheme="majorEastAsia" w:hAnsi="Arial" w:cs="Arial"/>
          <w:b/>
          <w:bCs/>
          <w:color w:val="000000" w:themeColor="text1"/>
          <w:kern w:val="24"/>
          <w:sz w:val="40"/>
          <w:szCs w:val="40"/>
        </w:rPr>
        <w:br/>
      </w:r>
      <w:r w:rsidRPr="00952A37">
        <w:rPr>
          <w:rFonts w:ascii="Arial" w:eastAsia="Arial" w:hAnsi="Arial" w:cs="Arial"/>
          <w:b/>
          <w:bCs/>
          <w:color w:val="000000" w:themeColor="text1"/>
          <w:spacing w:val="-2"/>
          <w:kern w:val="24"/>
          <w:sz w:val="40"/>
          <w:szCs w:val="40"/>
          <w:lang w:val="en-US"/>
        </w:rPr>
        <w:t>LCHS4010</w:t>
      </w:r>
      <w:r w:rsidRPr="00952A37">
        <w:rPr>
          <w:rFonts w:ascii="Arial" w:eastAsia="Arial" w:hAnsi="Arial" w:cs="Arial"/>
          <w:b/>
          <w:bCs/>
          <w:color w:val="000000" w:themeColor="text1"/>
          <w:spacing w:val="-2"/>
          <w:kern w:val="24"/>
          <w:sz w:val="40"/>
          <w:szCs w:val="40"/>
          <w:lang w:val="en-US"/>
        </w:rPr>
        <w:br/>
      </w:r>
      <w:r w:rsidRPr="00952A37">
        <w:rPr>
          <w:rFonts w:ascii="Arial" w:eastAsia="Arial" w:hAnsi="Arial" w:cs="Arial"/>
          <w:b/>
          <w:bCs/>
          <w:color w:val="000000" w:themeColor="text1"/>
          <w:spacing w:val="-2"/>
          <w:kern w:val="24"/>
          <w:sz w:val="40"/>
          <w:szCs w:val="40"/>
          <w:lang w:val="en-US"/>
        </w:rPr>
        <w:br/>
        <w:t>Component 2: Written task – report</w:t>
      </w:r>
    </w:p>
    <w:p w14:paraId="236084F4" w14:textId="77777777" w:rsidR="00952A37" w:rsidRDefault="00952A37" w:rsidP="00952A37">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p w14:paraId="52CE8B9A" w14:textId="77777777" w:rsidR="00952A37" w:rsidRDefault="00952A37" w:rsidP="00952A37">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p w14:paraId="01C2F19C" w14:textId="77777777" w:rsidR="00952A37" w:rsidRDefault="00952A37" w:rsidP="00952A37">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p w14:paraId="10B524CA" w14:textId="03415D6A" w:rsidR="00952A37" w:rsidRPr="006A685A" w:rsidRDefault="00952A37" w:rsidP="00952A37">
      <w:pPr>
        <w:pStyle w:val="NormalWeb"/>
        <w:spacing w:before="200" w:beforeAutospacing="0" w:after="0" w:afterAutospacing="0" w:line="216" w:lineRule="auto"/>
        <w:rPr>
          <w:rFonts w:ascii="Arial" w:hAnsi="Arial" w:cs="Arial"/>
          <w:sz w:val="32"/>
          <w:szCs w:val="32"/>
        </w:rPr>
      </w:pPr>
      <w:r w:rsidRPr="00952A37">
        <w:rPr>
          <w:rFonts w:ascii="Arial" w:eastAsiaTheme="minorEastAsia" w:hAnsi="Arial" w:cs="Arial"/>
          <w:b/>
          <w:bCs/>
          <w:color w:val="000000" w:themeColor="text1"/>
          <w:kern w:val="24"/>
          <w:sz w:val="32"/>
          <w:szCs w:val="32"/>
        </w:rPr>
        <w:t xml:space="preserve">Student name: </w:t>
      </w:r>
      <w:r w:rsidR="006A685A">
        <w:rPr>
          <w:rFonts w:ascii="Arial" w:eastAsiaTheme="minorEastAsia" w:hAnsi="Arial" w:cs="Arial"/>
          <w:color w:val="000000" w:themeColor="text1"/>
          <w:kern w:val="24"/>
          <w:sz w:val="32"/>
          <w:szCs w:val="32"/>
        </w:rPr>
        <w:t>Maria-</w:t>
      </w:r>
      <w:proofErr w:type="spellStart"/>
      <w:r w:rsidR="006A685A">
        <w:rPr>
          <w:rFonts w:ascii="Arial" w:eastAsiaTheme="minorEastAsia" w:hAnsi="Arial" w:cs="Arial"/>
          <w:color w:val="000000" w:themeColor="text1"/>
          <w:kern w:val="24"/>
          <w:sz w:val="32"/>
          <w:szCs w:val="32"/>
        </w:rPr>
        <w:t>Steluta</w:t>
      </w:r>
      <w:proofErr w:type="spellEnd"/>
      <w:r w:rsidR="006A685A">
        <w:rPr>
          <w:rFonts w:ascii="Arial" w:eastAsiaTheme="minorEastAsia" w:hAnsi="Arial" w:cs="Arial"/>
          <w:color w:val="000000" w:themeColor="text1"/>
          <w:kern w:val="24"/>
          <w:sz w:val="32"/>
          <w:szCs w:val="32"/>
        </w:rPr>
        <w:t xml:space="preserve"> </w:t>
      </w:r>
      <w:proofErr w:type="spellStart"/>
      <w:r w:rsidR="006A685A">
        <w:rPr>
          <w:rFonts w:ascii="Arial" w:eastAsiaTheme="minorEastAsia" w:hAnsi="Arial" w:cs="Arial"/>
          <w:color w:val="000000" w:themeColor="text1"/>
          <w:kern w:val="24"/>
          <w:sz w:val="32"/>
          <w:szCs w:val="32"/>
        </w:rPr>
        <w:t>Birlean</w:t>
      </w:r>
      <w:proofErr w:type="spellEnd"/>
    </w:p>
    <w:p w14:paraId="1051267D" w14:textId="6B6E2F69" w:rsidR="00952A37" w:rsidRPr="006A685A" w:rsidRDefault="00952A37" w:rsidP="00952A37">
      <w:pPr>
        <w:pStyle w:val="NormalWeb"/>
        <w:spacing w:before="200" w:beforeAutospacing="0" w:after="0" w:afterAutospacing="0" w:line="216" w:lineRule="auto"/>
        <w:rPr>
          <w:rFonts w:ascii="Arial" w:hAnsi="Arial" w:cs="Arial"/>
          <w:sz w:val="32"/>
          <w:szCs w:val="32"/>
        </w:rPr>
      </w:pPr>
      <w:r w:rsidRPr="00952A37">
        <w:rPr>
          <w:rFonts w:ascii="Arial" w:eastAsiaTheme="minorEastAsia" w:hAnsi="Arial" w:cs="Arial"/>
          <w:b/>
          <w:bCs/>
          <w:color w:val="000000" w:themeColor="text1"/>
          <w:kern w:val="24"/>
          <w:sz w:val="32"/>
          <w:szCs w:val="32"/>
        </w:rPr>
        <w:t>Student ID:</w:t>
      </w:r>
      <w:r w:rsidR="006A685A">
        <w:rPr>
          <w:rFonts w:ascii="Arial" w:eastAsiaTheme="minorEastAsia" w:hAnsi="Arial" w:cs="Arial"/>
          <w:b/>
          <w:bCs/>
          <w:color w:val="000000" w:themeColor="text1"/>
          <w:kern w:val="24"/>
          <w:sz w:val="32"/>
          <w:szCs w:val="32"/>
        </w:rPr>
        <w:t xml:space="preserve"> </w:t>
      </w:r>
      <w:r w:rsidR="006A685A" w:rsidRPr="006A685A">
        <w:rPr>
          <w:rFonts w:ascii="Arial" w:eastAsiaTheme="minorEastAsia" w:hAnsi="Arial" w:cs="Arial"/>
          <w:color w:val="000000" w:themeColor="text1"/>
          <w:kern w:val="24"/>
          <w:sz w:val="32"/>
          <w:szCs w:val="32"/>
        </w:rPr>
        <w:t>2422392</w:t>
      </w:r>
    </w:p>
    <w:p w14:paraId="143E395E" w14:textId="57456D59" w:rsidR="00952A37" w:rsidRPr="00952A37" w:rsidRDefault="00952A37" w:rsidP="00952A37">
      <w:pPr>
        <w:pStyle w:val="NormalWeb"/>
        <w:spacing w:before="200" w:beforeAutospacing="0" w:after="0" w:afterAutospacing="0" w:line="216" w:lineRule="auto"/>
        <w:rPr>
          <w:rFonts w:ascii="Arial" w:hAnsi="Arial" w:cs="Arial"/>
          <w:b/>
          <w:bCs/>
          <w:sz w:val="32"/>
          <w:szCs w:val="32"/>
        </w:rPr>
      </w:pPr>
      <w:r w:rsidRPr="00952A37">
        <w:rPr>
          <w:rFonts w:ascii="Arial" w:eastAsiaTheme="minorEastAsia" w:hAnsi="Arial" w:cs="Arial"/>
          <w:b/>
          <w:bCs/>
          <w:color w:val="000000" w:themeColor="text1"/>
          <w:kern w:val="24"/>
          <w:sz w:val="32"/>
          <w:szCs w:val="32"/>
        </w:rPr>
        <w:t xml:space="preserve">Lecturer: </w:t>
      </w:r>
      <w:r w:rsidRPr="00952A37">
        <w:rPr>
          <w:rFonts w:ascii="Arial" w:eastAsiaTheme="minorEastAsia" w:hAnsi="Arial" w:cs="Arial"/>
          <w:color w:val="000000" w:themeColor="text1"/>
          <w:kern w:val="24"/>
          <w:sz w:val="32"/>
          <w:szCs w:val="32"/>
        </w:rPr>
        <w:t>Bianca Sanfilippo</w:t>
      </w:r>
      <w:r w:rsidRPr="00952A37">
        <w:rPr>
          <w:rFonts w:ascii="Arial" w:eastAsiaTheme="minorEastAsia" w:hAnsi="Arial" w:cs="Arial"/>
          <w:b/>
          <w:bCs/>
          <w:color w:val="000000" w:themeColor="text1"/>
          <w:kern w:val="24"/>
          <w:sz w:val="32"/>
          <w:szCs w:val="32"/>
        </w:rPr>
        <w:t xml:space="preserve"> </w:t>
      </w:r>
    </w:p>
    <w:p w14:paraId="0274DA12" w14:textId="77777777" w:rsidR="00952A37" w:rsidRPr="00952A37" w:rsidRDefault="00952A37" w:rsidP="00952A37">
      <w:pPr>
        <w:spacing w:before="100" w:beforeAutospacing="1" w:after="100" w:afterAutospacing="1" w:line="360" w:lineRule="auto"/>
        <w:outlineLvl w:val="1"/>
        <w:rPr>
          <w:rFonts w:ascii="Arial" w:eastAsia="Arial" w:hAnsi="Arial" w:cs="Arial"/>
          <w:b/>
          <w:bCs/>
          <w:color w:val="000000" w:themeColor="text1"/>
          <w:spacing w:val="-2"/>
          <w:kern w:val="24"/>
          <w:sz w:val="32"/>
          <w:szCs w:val="32"/>
        </w:rPr>
      </w:pPr>
    </w:p>
    <w:p w14:paraId="0908C63F" w14:textId="77777777" w:rsidR="00952A37" w:rsidRPr="00952A37" w:rsidRDefault="00952A37" w:rsidP="00952A37">
      <w:pPr>
        <w:spacing w:before="100" w:beforeAutospacing="1" w:after="100" w:afterAutospacing="1" w:line="360" w:lineRule="auto"/>
        <w:outlineLvl w:val="1"/>
        <w:rPr>
          <w:rFonts w:ascii="Arial" w:eastAsia="Times New Roman" w:hAnsi="Arial" w:cs="Arial"/>
          <w:b/>
          <w:bCs/>
          <w:color w:val="000000"/>
          <w:kern w:val="0"/>
          <w:sz w:val="32"/>
          <w:szCs w:val="32"/>
          <w14:ligatures w14:val="none"/>
        </w:rPr>
      </w:pPr>
    </w:p>
    <w:p w14:paraId="31D080F8"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74A05261"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2754C26C"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7453FD1E"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2342C7BB" w14:textId="477AF5C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r>
        <w:rPr>
          <w:rFonts w:ascii="Arial" w:eastAsia="Times New Roman" w:hAnsi="Arial" w:cs="Arial"/>
          <w:b/>
          <w:bCs/>
          <w:color w:val="000000"/>
          <w:kern w:val="0"/>
          <w:sz w:val="28"/>
          <w:szCs w:val="28"/>
          <w14:ligatures w14:val="none"/>
        </w:rPr>
        <w:t xml:space="preserve">Table of contents </w:t>
      </w:r>
    </w:p>
    <w:p w14:paraId="7B35509D" w14:textId="22B623BB" w:rsidR="00952A37" w:rsidRDefault="004050F7" w:rsidP="004050F7">
      <w:pPr>
        <w:pStyle w:val="ListParagraph"/>
        <w:numPr>
          <w:ilvl w:val="0"/>
          <w:numId w:val="4"/>
        </w:numPr>
        <w:spacing w:before="100" w:beforeAutospacing="1" w:after="100" w:afterAutospacing="1" w:line="360" w:lineRule="auto"/>
        <w:outlineLvl w:val="1"/>
        <w:rPr>
          <w:rFonts w:ascii="Arial" w:eastAsia="Times New Roman" w:hAnsi="Arial" w:cs="Arial"/>
          <w:b/>
          <w:bCs/>
          <w:color w:val="000000"/>
          <w:kern w:val="0"/>
          <w:sz w:val="22"/>
          <w:szCs w:val="22"/>
          <w14:ligatures w14:val="none"/>
        </w:rPr>
      </w:pPr>
      <w:proofErr w:type="spellStart"/>
      <w:r>
        <w:rPr>
          <w:rFonts w:ascii="Arial" w:eastAsia="Times New Roman" w:hAnsi="Arial" w:cs="Arial"/>
          <w:b/>
          <w:bCs/>
          <w:color w:val="000000"/>
          <w:kern w:val="0"/>
          <w:sz w:val="22"/>
          <w:szCs w:val="22"/>
          <w14:ligatures w14:val="none"/>
        </w:rPr>
        <w:t>Definiton</w:t>
      </w:r>
      <w:proofErr w:type="spellEnd"/>
      <w:r>
        <w:rPr>
          <w:rFonts w:ascii="Arial" w:eastAsia="Times New Roman" w:hAnsi="Arial" w:cs="Arial"/>
          <w:b/>
          <w:bCs/>
          <w:color w:val="000000"/>
          <w:kern w:val="0"/>
          <w:sz w:val="22"/>
          <w:szCs w:val="22"/>
          <w14:ligatures w14:val="none"/>
        </w:rPr>
        <w:t xml:space="preserve"> of dementia and description of a dementia care home.</w:t>
      </w:r>
    </w:p>
    <w:p w14:paraId="5A2D9E34" w14:textId="3DF458E0" w:rsidR="004050F7" w:rsidRPr="004050F7" w:rsidRDefault="004050F7" w:rsidP="004050F7">
      <w:pPr>
        <w:pStyle w:val="ListParagraph"/>
        <w:numPr>
          <w:ilvl w:val="0"/>
          <w:numId w:val="4"/>
        </w:numPr>
        <w:spacing w:before="100" w:beforeAutospacing="1" w:after="100" w:afterAutospacing="1" w:line="360" w:lineRule="auto"/>
        <w:outlineLvl w:val="1"/>
        <w:rPr>
          <w:rFonts w:ascii="Arial" w:eastAsia="Times New Roman" w:hAnsi="Arial" w:cs="Arial"/>
          <w:b/>
          <w:bCs/>
          <w:color w:val="000000"/>
          <w:kern w:val="0"/>
          <w:sz w:val="22"/>
          <w:szCs w:val="22"/>
          <w14:ligatures w14:val="none"/>
        </w:rPr>
      </w:pPr>
      <w:r>
        <w:rPr>
          <w:rFonts w:ascii="Arial" w:hAnsi="Arial" w:cs="Arial"/>
          <w:b/>
          <w:bCs/>
          <w:sz w:val="22"/>
          <w:szCs w:val="22"/>
        </w:rPr>
        <w:t xml:space="preserve">Description of </w:t>
      </w:r>
      <w:r w:rsidRPr="00DE0A3A">
        <w:rPr>
          <w:rFonts w:ascii="Arial" w:hAnsi="Arial" w:cs="Arial"/>
          <w:b/>
          <w:bCs/>
          <w:sz w:val="22"/>
          <w:szCs w:val="22"/>
        </w:rPr>
        <w:t>Bowlby’s attachment theory</w:t>
      </w:r>
      <w:r w:rsidRPr="004050F7">
        <w:rPr>
          <w:rFonts w:ascii="Arial" w:hAnsi="Arial" w:cs="Arial"/>
          <w:b/>
          <w:bCs/>
          <w:sz w:val="22"/>
          <w:szCs w:val="22"/>
        </w:rPr>
        <w:t xml:space="preserve"> </w:t>
      </w:r>
      <w:r w:rsidRPr="004050F7">
        <w:rPr>
          <w:rFonts w:ascii="Arial" w:hAnsi="Arial" w:cs="Arial"/>
          <w:b/>
          <w:bCs/>
          <w:sz w:val="22"/>
          <w:szCs w:val="22"/>
        </w:rPr>
        <w:t>and</w:t>
      </w:r>
      <w:r>
        <w:rPr>
          <w:rFonts w:ascii="Arial" w:hAnsi="Arial" w:cs="Arial"/>
          <w:sz w:val="22"/>
          <w:szCs w:val="22"/>
        </w:rPr>
        <w:t xml:space="preserve"> </w:t>
      </w:r>
      <w:r w:rsidRPr="00DE0A3A">
        <w:rPr>
          <w:rFonts w:ascii="Arial" w:hAnsi="Arial" w:cs="Arial"/>
          <w:b/>
          <w:bCs/>
          <w:sz w:val="22"/>
          <w:szCs w:val="22"/>
        </w:rPr>
        <w:t>Vygotsky’s sociocultural theory</w:t>
      </w:r>
    </w:p>
    <w:p w14:paraId="0FB67164" w14:textId="404A38C3" w:rsidR="004050F7" w:rsidRPr="004050F7" w:rsidRDefault="004050F7" w:rsidP="004050F7">
      <w:pPr>
        <w:pStyle w:val="ListParagraph"/>
        <w:numPr>
          <w:ilvl w:val="0"/>
          <w:numId w:val="4"/>
        </w:numPr>
        <w:spacing w:before="100" w:beforeAutospacing="1" w:after="100" w:afterAutospacing="1" w:line="360" w:lineRule="auto"/>
        <w:outlineLvl w:val="1"/>
        <w:rPr>
          <w:rFonts w:ascii="Arial" w:eastAsia="Times New Roman" w:hAnsi="Arial" w:cs="Arial"/>
          <w:b/>
          <w:bCs/>
          <w:color w:val="000000"/>
          <w:kern w:val="0"/>
          <w:sz w:val="22"/>
          <w:szCs w:val="22"/>
          <w14:ligatures w14:val="none"/>
        </w:rPr>
      </w:pPr>
      <w:r>
        <w:rPr>
          <w:rFonts w:ascii="Arial" w:hAnsi="Arial" w:cs="Arial"/>
          <w:b/>
          <w:bCs/>
          <w:sz w:val="22"/>
          <w:szCs w:val="22"/>
        </w:rPr>
        <w:t xml:space="preserve">Application of these theories to dementia care homes and challenges faced by care providers. </w:t>
      </w:r>
    </w:p>
    <w:p w14:paraId="2A9904C5"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2879BC8D"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6B4C7687"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1EFD8FA3"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3459AFF9"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4D734914"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2F8E6B2B"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1DE31040"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4D7D0A69"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5258382A"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47007CD0"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217D9153"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60FF1569"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592A793C"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1878A645" w14:textId="2803DC70" w:rsidR="00425F60" w:rsidRDefault="0038272F" w:rsidP="004050F7">
      <w:pPr>
        <w:jc w:val="both"/>
        <w:rPr>
          <w:rFonts w:ascii="Arial" w:hAnsi="Arial" w:cs="Arial"/>
          <w:sz w:val="22"/>
          <w:szCs w:val="22"/>
        </w:rPr>
      </w:pPr>
      <w:r>
        <w:rPr>
          <w:rFonts w:ascii="Arial" w:hAnsi="Arial" w:cs="Arial"/>
          <w:sz w:val="22"/>
          <w:szCs w:val="22"/>
        </w:rPr>
        <w:lastRenderedPageBreak/>
        <w:t xml:space="preserve">This report is aimed at health and social care professionals and provides guidance on how some psychological theories </w:t>
      </w:r>
      <w:r w:rsidR="000C2032">
        <w:rPr>
          <w:rFonts w:ascii="Arial" w:hAnsi="Arial" w:cs="Arial"/>
          <w:sz w:val="22"/>
          <w:szCs w:val="22"/>
        </w:rPr>
        <w:t xml:space="preserve">and research may be used </w:t>
      </w:r>
      <w:r w:rsidR="00004C65">
        <w:rPr>
          <w:rFonts w:ascii="Arial" w:hAnsi="Arial" w:cs="Arial"/>
          <w:sz w:val="22"/>
          <w:szCs w:val="22"/>
        </w:rPr>
        <w:t xml:space="preserve">to support adults aged 65 and over who are suffering from a psychological health condition. The main body of the report is broken down into </w:t>
      </w:r>
      <w:r w:rsidR="003D43B7">
        <w:rPr>
          <w:rFonts w:ascii="Arial" w:hAnsi="Arial" w:cs="Arial"/>
          <w:sz w:val="22"/>
          <w:szCs w:val="22"/>
        </w:rPr>
        <w:t>three</w:t>
      </w:r>
      <w:r w:rsidR="00004C65">
        <w:rPr>
          <w:rFonts w:ascii="Arial" w:hAnsi="Arial" w:cs="Arial"/>
          <w:sz w:val="22"/>
          <w:szCs w:val="22"/>
        </w:rPr>
        <w:t xml:space="preserve"> sections:</w:t>
      </w:r>
    </w:p>
    <w:p w14:paraId="5B065875" w14:textId="6C2CA3ED" w:rsidR="00004C65" w:rsidRDefault="00D37D8B" w:rsidP="004050F7">
      <w:pPr>
        <w:pStyle w:val="ListParagraph"/>
        <w:numPr>
          <w:ilvl w:val="0"/>
          <w:numId w:val="1"/>
        </w:numPr>
        <w:jc w:val="both"/>
        <w:rPr>
          <w:rFonts w:ascii="Arial" w:hAnsi="Arial" w:cs="Arial"/>
          <w:sz w:val="22"/>
          <w:szCs w:val="22"/>
        </w:rPr>
      </w:pPr>
      <w:r>
        <w:rPr>
          <w:rFonts w:ascii="Arial" w:hAnsi="Arial" w:cs="Arial"/>
          <w:sz w:val="22"/>
          <w:szCs w:val="22"/>
        </w:rPr>
        <w:t>Explains what dementia is and describes the environment in a dementia care home.</w:t>
      </w:r>
    </w:p>
    <w:p w14:paraId="62812276" w14:textId="5EC9AAAC" w:rsidR="00D37D8B" w:rsidRDefault="003D43B7" w:rsidP="004050F7">
      <w:pPr>
        <w:pStyle w:val="ListParagraph"/>
        <w:numPr>
          <w:ilvl w:val="0"/>
          <w:numId w:val="1"/>
        </w:numPr>
        <w:jc w:val="both"/>
        <w:rPr>
          <w:rFonts w:ascii="Arial" w:hAnsi="Arial" w:cs="Arial"/>
          <w:sz w:val="22"/>
          <w:szCs w:val="22"/>
        </w:rPr>
      </w:pPr>
      <w:r>
        <w:rPr>
          <w:rFonts w:ascii="Arial" w:hAnsi="Arial" w:cs="Arial"/>
          <w:sz w:val="22"/>
          <w:szCs w:val="22"/>
        </w:rPr>
        <w:t>Describes two psychological theories that are applicable to adult development and health behaviour and explains how they apply to adults aged 65 and over.</w:t>
      </w:r>
    </w:p>
    <w:p w14:paraId="5B0CE10D" w14:textId="37DFDFE5" w:rsidR="003D43B7" w:rsidRDefault="00EB33EE" w:rsidP="004050F7">
      <w:pPr>
        <w:pStyle w:val="ListParagraph"/>
        <w:numPr>
          <w:ilvl w:val="0"/>
          <w:numId w:val="1"/>
        </w:numPr>
        <w:jc w:val="both"/>
        <w:rPr>
          <w:rFonts w:ascii="Arial" w:hAnsi="Arial" w:cs="Arial"/>
          <w:sz w:val="22"/>
          <w:szCs w:val="22"/>
        </w:rPr>
      </w:pPr>
      <w:r>
        <w:rPr>
          <w:rFonts w:ascii="Arial" w:hAnsi="Arial" w:cs="Arial"/>
          <w:sz w:val="22"/>
          <w:szCs w:val="22"/>
        </w:rPr>
        <w:t xml:space="preserve">Critically evaluates how the theories identified above can be applied in a dementia care home setting to support vulnerable adults by tackling the psychological </w:t>
      </w:r>
      <w:r w:rsidR="007C0B12">
        <w:rPr>
          <w:rFonts w:ascii="Arial" w:hAnsi="Arial" w:cs="Arial"/>
          <w:sz w:val="22"/>
          <w:szCs w:val="22"/>
        </w:rPr>
        <w:t>and</w:t>
      </w:r>
      <w:r>
        <w:rPr>
          <w:rFonts w:ascii="Arial" w:hAnsi="Arial" w:cs="Arial"/>
          <w:sz w:val="22"/>
          <w:szCs w:val="22"/>
        </w:rPr>
        <w:t xml:space="preserve"> behavioural challenges experienced by those suffering from this condition. </w:t>
      </w:r>
      <w:r w:rsidR="007C0B12">
        <w:rPr>
          <w:rFonts w:ascii="Arial" w:hAnsi="Arial" w:cs="Arial"/>
          <w:sz w:val="22"/>
          <w:szCs w:val="22"/>
        </w:rPr>
        <w:t>Finally, it discuss</w:t>
      </w:r>
      <w:r w:rsidR="00206129">
        <w:rPr>
          <w:rFonts w:ascii="Arial" w:hAnsi="Arial" w:cs="Arial"/>
          <w:sz w:val="22"/>
          <w:szCs w:val="22"/>
        </w:rPr>
        <w:t>es</w:t>
      </w:r>
      <w:r w:rsidR="007C0B12">
        <w:rPr>
          <w:rFonts w:ascii="Arial" w:hAnsi="Arial" w:cs="Arial"/>
          <w:sz w:val="22"/>
          <w:szCs w:val="22"/>
        </w:rPr>
        <w:t xml:space="preserve"> potential challenges faced by care providers in the chosen social care setting and suggest applicable strategies to assist in managing them. </w:t>
      </w:r>
    </w:p>
    <w:p w14:paraId="7176C991" w14:textId="5649FBA6" w:rsidR="002B786F" w:rsidRDefault="002B786F" w:rsidP="004050F7">
      <w:pPr>
        <w:jc w:val="both"/>
        <w:rPr>
          <w:rFonts w:ascii="Arial" w:hAnsi="Arial" w:cs="Arial"/>
          <w:sz w:val="22"/>
          <w:szCs w:val="22"/>
        </w:rPr>
      </w:pPr>
      <w:r w:rsidRPr="00484F6A">
        <w:rPr>
          <w:rFonts w:ascii="Arial" w:hAnsi="Arial" w:cs="Arial"/>
          <w:b/>
          <w:bCs/>
          <w:sz w:val="22"/>
          <w:szCs w:val="22"/>
        </w:rPr>
        <w:t>1.</w:t>
      </w:r>
      <w:r w:rsidR="00484F6A">
        <w:rPr>
          <w:rFonts w:ascii="Arial" w:hAnsi="Arial" w:cs="Arial"/>
          <w:sz w:val="22"/>
          <w:szCs w:val="22"/>
        </w:rPr>
        <w:t xml:space="preserve"> </w:t>
      </w:r>
      <w:r w:rsidR="00DF3AFD">
        <w:rPr>
          <w:rFonts w:ascii="Arial" w:hAnsi="Arial" w:cs="Arial"/>
          <w:sz w:val="22"/>
          <w:szCs w:val="22"/>
        </w:rPr>
        <w:t xml:space="preserve">According to the World Health Organization (2017) </w:t>
      </w:r>
      <w:r w:rsidR="00DF3AFD" w:rsidRPr="00B47E9E">
        <w:rPr>
          <w:rFonts w:ascii="Arial" w:hAnsi="Arial" w:cs="Arial"/>
          <w:b/>
          <w:bCs/>
          <w:sz w:val="22"/>
          <w:szCs w:val="22"/>
        </w:rPr>
        <w:t>dementia</w:t>
      </w:r>
      <w:r w:rsidR="00DF3AFD">
        <w:rPr>
          <w:rFonts w:ascii="Arial" w:hAnsi="Arial" w:cs="Arial"/>
          <w:sz w:val="22"/>
          <w:szCs w:val="22"/>
        </w:rPr>
        <w:t xml:space="preserve"> is an umbrella term used to describe several diseases “that are mostly progressive, affecting memory, other cognitive abilities and behaviour, and that interfere significantly with a person’s ability to maintain the activities of daily living”</w:t>
      </w:r>
      <w:r w:rsidR="00DF3AFD">
        <w:rPr>
          <w:rStyle w:val="FootnoteReference"/>
          <w:rFonts w:ascii="Arial" w:hAnsi="Arial" w:cs="Arial"/>
          <w:sz w:val="22"/>
          <w:szCs w:val="22"/>
        </w:rPr>
        <w:footnoteReference w:id="1"/>
      </w:r>
      <w:r w:rsidR="0076682A">
        <w:rPr>
          <w:rFonts w:ascii="Arial" w:hAnsi="Arial" w:cs="Arial"/>
          <w:sz w:val="22"/>
          <w:szCs w:val="22"/>
        </w:rPr>
        <w:t xml:space="preserve">. However, the study by Innes et al. (2021) argues that </w:t>
      </w:r>
      <w:r w:rsidR="007C54DC">
        <w:rPr>
          <w:rFonts w:ascii="Arial" w:hAnsi="Arial" w:cs="Arial"/>
          <w:sz w:val="22"/>
          <w:szCs w:val="22"/>
        </w:rPr>
        <w:t xml:space="preserve">patients experience dementia symptoms differently: some encounter severe decline rapidly, whilst others undergo slower and gradual deterioration. </w:t>
      </w:r>
    </w:p>
    <w:p w14:paraId="6100DEE2" w14:textId="6601DDE9" w:rsidR="00A733CD" w:rsidRDefault="00194CC6" w:rsidP="004050F7">
      <w:pPr>
        <w:jc w:val="both"/>
        <w:rPr>
          <w:rFonts w:ascii="Arial" w:hAnsi="Arial" w:cs="Arial"/>
          <w:sz w:val="22"/>
          <w:szCs w:val="22"/>
        </w:rPr>
      </w:pPr>
      <w:r>
        <w:rPr>
          <w:rFonts w:ascii="Arial" w:hAnsi="Arial" w:cs="Arial"/>
          <w:sz w:val="22"/>
          <w:szCs w:val="22"/>
        </w:rPr>
        <w:t xml:space="preserve">Nandhakumar (2024) draws attention over the fact that dementia does not affect the elderly only, and young people may equally </w:t>
      </w:r>
      <w:r w:rsidR="001F08BF">
        <w:rPr>
          <w:rFonts w:ascii="Arial" w:hAnsi="Arial" w:cs="Arial"/>
          <w:sz w:val="22"/>
          <w:szCs w:val="22"/>
        </w:rPr>
        <w:t>suffer from this condition.</w:t>
      </w:r>
      <w:r w:rsidR="004D46FC">
        <w:rPr>
          <w:rFonts w:ascii="Arial" w:hAnsi="Arial" w:cs="Arial"/>
          <w:sz w:val="22"/>
          <w:szCs w:val="22"/>
        </w:rPr>
        <w:t xml:space="preserve"> Moreover, there is an ongoing concern that the number of people with dementia is going to see a dramatic upward movement </w:t>
      </w:r>
      <w:r w:rsidR="00BB63F7">
        <w:rPr>
          <w:rFonts w:ascii="Arial" w:hAnsi="Arial" w:cs="Arial"/>
          <w:sz w:val="22"/>
          <w:szCs w:val="22"/>
        </w:rPr>
        <w:t xml:space="preserve">as the ageing population is increasing and the fertility rate is declining (Anderson et al. (2024)). </w:t>
      </w:r>
      <w:r w:rsidR="00017789">
        <w:rPr>
          <w:rFonts w:ascii="Arial" w:hAnsi="Arial" w:cs="Arial"/>
          <w:sz w:val="22"/>
          <w:szCs w:val="22"/>
        </w:rPr>
        <w:t xml:space="preserve">It has been reported that in 2018 approximately 50 million people were suffering from dementia and it is expected that 152 million people will be diagnosed with this syndrome by 2050 (World Alzheimer Report 2018). </w:t>
      </w:r>
    </w:p>
    <w:p w14:paraId="26EF3B9E" w14:textId="3EA0034F" w:rsidR="00DE5E2A" w:rsidRDefault="00DE5E2A" w:rsidP="004050F7">
      <w:pPr>
        <w:jc w:val="both"/>
        <w:rPr>
          <w:rFonts w:ascii="Arial" w:hAnsi="Arial" w:cs="Arial"/>
          <w:sz w:val="22"/>
          <w:szCs w:val="22"/>
        </w:rPr>
      </w:pPr>
      <w:r>
        <w:rPr>
          <w:rFonts w:ascii="Arial" w:hAnsi="Arial" w:cs="Arial"/>
          <w:sz w:val="22"/>
          <w:szCs w:val="22"/>
        </w:rPr>
        <w:t xml:space="preserve">Therefore, as the NHS suggests, a person diagnosed with dementia needs more care and support as their cognitive decline worsens, hence moving into a care home may be a positive alternative to living independently. </w:t>
      </w:r>
      <w:r w:rsidRPr="00B47E9E">
        <w:rPr>
          <w:rFonts w:ascii="Arial" w:hAnsi="Arial" w:cs="Arial"/>
          <w:b/>
          <w:bCs/>
          <w:sz w:val="22"/>
          <w:szCs w:val="22"/>
        </w:rPr>
        <w:t>Dementia care homes</w:t>
      </w:r>
      <w:r>
        <w:rPr>
          <w:rFonts w:ascii="Arial" w:hAnsi="Arial" w:cs="Arial"/>
          <w:sz w:val="22"/>
          <w:szCs w:val="22"/>
        </w:rPr>
        <w:t xml:space="preserve"> are secure environments that offer 24-hour specialist support, social activities through interaction with other residents, dementia-friendly structure of the premises (calming décor, appropriate lighting, clear signs) to </w:t>
      </w:r>
      <w:r w:rsidR="00553762">
        <w:rPr>
          <w:rFonts w:ascii="Arial" w:hAnsi="Arial" w:cs="Arial"/>
          <w:sz w:val="22"/>
          <w:szCs w:val="22"/>
        </w:rPr>
        <w:t>reduce the patients’ confusion and promote independence, caring</w:t>
      </w:r>
      <w:r w:rsidR="00AE30E4">
        <w:rPr>
          <w:rFonts w:ascii="Arial" w:hAnsi="Arial" w:cs="Arial"/>
          <w:sz w:val="22"/>
          <w:szCs w:val="22"/>
        </w:rPr>
        <w:t xml:space="preserve">, </w:t>
      </w:r>
      <w:r w:rsidR="00553762">
        <w:rPr>
          <w:rFonts w:ascii="Arial" w:hAnsi="Arial" w:cs="Arial"/>
          <w:sz w:val="22"/>
          <w:szCs w:val="22"/>
        </w:rPr>
        <w:t xml:space="preserve">compassionate </w:t>
      </w:r>
      <w:r w:rsidR="00AE30E4">
        <w:rPr>
          <w:rFonts w:ascii="Arial" w:hAnsi="Arial" w:cs="Arial"/>
          <w:sz w:val="22"/>
          <w:szCs w:val="22"/>
        </w:rPr>
        <w:t xml:space="preserve">and </w:t>
      </w:r>
      <w:r w:rsidR="00553762">
        <w:rPr>
          <w:rFonts w:ascii="Arial" w:hAnsi="Arial" w:cs="Arial"/>
          <w:sz w:val="22"/>
          <w:szCs w:val="22"/>
        </w:rPr>
        <w:t xml:space="preserve">specialised staff that prioritise the dignity of their residents. </w:t>
      </w:r>
    </w:p>
    <w:p w14:paraId="48378156" w14:textId="35635F3D" w:rsidR="009309BA" w:rsidRDefault="009309BA" w:rsidP="004050F7">
      <w:pPr>
        <w:jc w:val="both"/>
        <w:rPr>
          <w:rFonts w:ascii="Arial" w:hAnsi="Arial" w:cs="Arial"/>
          <w:sz w:val="22"/>
          <w:szCs w:val="22"/>
        </w:rPr>
      </w:pPr>
      <w:r w:rsidRPr="009309BA">
        <w:rPr>
          <w:rFonts w:ascii="Arial" w:hAnsi="Arial" w:cs="Arial"/>
          <w:b/>
          <w:bCs/>
          <w:sz w:val="22"/>
          <w:szCs w:val="22"/>
        </w:rPr>
        <w:t>2.</w:t>
      </w:r>
      <w:bookmarkStart w:id="0" w:name="_Hlk216903143"/>
      <w:bookmarkStart w:id="1" w:name="_Hlk216994852"/>
      <w:r w:rsidRPr="00DE0A3A">
        <w:rPr>
          <w:rFonts w:ascii="Arial" w:hAnsi="Arial" w:cs="Arial"/>
          <w:b/>
          <w:bCs/>
          <w:sz w:val="22"/>
          <w:szCs w:val="22"/>
        </w:rPr>
        <w:t>Bowlby’s attachment theory</w:t>
      </w:r>
      <w:r>
        <w:rPr>
          <w:rFonts w:ascii="Arial" w:hAnsi="Arial" w:cs="Arial"/>
          <w:sz w:val="22"/>
          <w:szCs w:val="22"/>
        </w:rPr>
        <w:t xml:space="preserve"> </w:t>
      </w:r>
      <w:bookmarkEnd w:id="0"/>
      <w:r>
        <w:rPr>
          <w:rFonts w:ascii="Arial" w:hAnsi="Arial" w:cs="Arial"/>
          <w:sz w:val="22"/>
          <w:szCs w:val="22"/>
        </w:rPr>
        <w:t xml:space="preserve">and </w:t>
      </w:r>
      <w:r w:rsidRPr="00DE0A3A">
        <w:rPr>
          <w:rFonts w:ascii="Arial" w:hAnsi="Arial" w:cs="Arial"/>
          <w:b/>
          <w:bCs/>
          <w:sz w:val="22"/>
          <w:szCs w:val="22"/>
        </w:rPr>
        <w:t>Vygotsky</w:t>
      </w:r>
      <w:r w:rsidR="00654022" w:rsidRPr="00DE0A3A">
        <w:rPr>
          <w:rFonts w:ascii="Arial" w:hAnsi="Arial" w:cs="Arial"/>
          <w:b/>
          <w:bCs/>
          <w:sz w:val="22"/>
          <w:szCs w:val="22"/>
        </w:rPr>
        <w:t>’s sociocultural theory</w:t>
      </w:r>
      <w:r w:rsidR="00654022">
        <w:rPr>
          <w:rFonts w:ascii="Arial" w:hAnsi="Arial" w:cs="Arial"/>
          <w:sz w:val="22"/>
          <w:szCs w:val="22"/>
        </w:rPr>
        <w:t xml:space="preserve"> </w:t>
      </w:r>
      <w:bookmarkEnd w:id="1"/>
      <w:r w:rsidR="00082804">
        <w:rPr>
          <w:rFonts w:ascii="Arial" w:hAnsi="Arial" w:cs="Arial"/>
          <w:sz w:val="22"/>
          <w:szCs w:val="22"/>
        </w:rPr>
        <w:t xml:space="preserve">are </w:t>
      </w:r>
      <w:r w:rsidR="00082804" w:rsidRPr="00B47E9E">
        <w:rPr>
          <w:rFonts w:ascii="Arial" w:hAnsi="Arial" w:cs="Arial"/>
          <w:b/>
          <w:bCs/>
          <w:sz w:val="22"/>
          <w:szCs w:val="22"/>
        </w:rPr>
        <w:t>highly applicable</w:t>
      </w:r>
      <w:r w:rsidR="00082804">
        <w:rPr>
          <w:rFonts w:ascii="Arial" w:hAnsi="Arial" w:cs="Arial"/>
          <w:sz w:val="22"/>
          <w:szCs w:val="22"/>
        </w:rPr>
        <w:t xml:space="preserve"> to </w:t>
      </w:r>
      <w:r w:rsidR="00082804" w:rsidRPr="00B47E9E">
        <w:rPr>
          <w:rFonts w:ascii="Arial" w:hAnsi="Arial" w:cs="Arial"/>
          <w:b/>
          <w:bCs/>
          <w:sz w:val="22"/>
          <w:szCs w:val="22"/>
        </w:rPr>
        <w:t>dementia care home setting</w:t>
      </w:r>
      <w:r w:rsidR="00B47E9E" w:rsidRPr="00B47E9E">
        <w:rPr>
          <w:rFonts w:ascii="Arial" w:hAnsi="Arial" w:cs="Arial"/>
          <w:b/>
          <w:bCs/>
          <w:sz w:val="22"/>
          <w:szCs w:val="22"/>
        </w:rPr>
        <w:t>s</w:t>
      </w:r>
      <w:r w:rsidR="00082804">
        <w:rPr>
          <w:rFonts w:ascii="Arial" w:hAnsi="Arial" w:cs="Arial"/>
          <w:sz w:val="22"/>
          <w:szCs w:val="22"/>
        </w:rPr>
        <w:t xml:space="preserve"> because </w:t>
      </w:r>
      <w:r w:rsidR="00EA57C1">
        <w:rPr>
          <w:rFonts w:ascii="Arial" w:hAnsi="Arial" w:cs="Arial"/>
          <w:sz w:val="22"/>
          <w:szCs w:val="22"/>
        </w:rPr>
        <w:t xml:space="preserve">they offer great awareness of attachment relationships between people suffering from dementia and their professional caregivers. Furthermore, Cheston et al. (2014) argue that there is evidence </w:t>
      </w:r>
      <w:r w:rsidR="00506EA7">
        <w:rPr>
          <w:rFonts w:ascii="Arial" w:hAnsi="Arial" w:cs="Arial"/>
          <w:sz w:val="22"/>
          <w:szCs w:val="22"/>
        </w:rPr>
        <w:t xml:space="preserve">suggesting that including the attachment theory into staff training workshops is beneficial as it highlights best practices for dementia care homes. </w:t>
      </w:r>
    </w:p>
    <w:p w14:paraId="203F0869" w14:textId="7AFDEB41" w:rsidR="002961B5" w:rsidRDefault="00DE0A3A" w:rsidP="004050F7">
      <w:pPr>
        <w:jc w:val="both"/>
        <w:rPr>
          <w:rFonts w:ascii="Arial" w:hAnsi="Arial" w:cs="Arial"/>
          <w:b/>
          <w:bCs/>
          <w:sz w:val="22"/>
          <w:szCs w:val="22"/>
          <w:u w:val="single"/>
        </w:rPr>
      </w:pPr>
      <w:r w:rsidRPr="00DE0A3A">
        <w:rPr>
          <w:rFonts w:ascii="Arial" w:hAnsi="Arial" w:cs="Arial"/>
          <w:b/>
          <w:bCs/>
          <w:sz w:val="22"/>
          <w:szCs w:val="22"/>
          <w:u w:val="single"/>
        </w:rPr>
        <w:lastRenderedPageBreak/>
        <w:t>Bowlby’s attachment theory</w:t>
      </w:r>
    </w:p>
    <w:p w14:paraId="5F0A1FD1" w14:textId="77777777" w:rsidR="007741F3" w:rsidRDefault="00DE0A3A" w:rsidP="004050F7">
      <w:pPr>
        <w:jc w:val="both"/>
        <w:rPr>
          <w:rFonts w:ascii="Arial" w:hAnsi="Arial" w:cs="Arial"/>
          <w:sz w:val="22"/>
          <w:szCs w:val="22"/>
        </w:rPr>
      </w:pPr>
      <w:r>
        <w:rPr>
          <w:rFonts w:ascii="Arial" w:hAnsi="Arial" w:cs="Arial"/>
          <w:sz w:val="22"/>
          <w:szCs w:val="22"/>
        </w:rPr>
        <w:t xml:space="preserve">According to </w:t>
      </w:r>
      <w:r w:rsidR="00E75336">
        <w:rPr>
          <w:rFonts w:ascii="Arial" w:hAnsi="Arial" w:cs="Arial"/>
          <w:sz w:val="22"/>
          <w:szCs w:val="22"/>
        </w:rPr>
        <w:t>Jeremy Holmes (2014), Bowlby’s attachment theory proposes that at birth, the human infant is in a state of great immaturity</w:t>
      </w:r>
      <w:r w:rsidR="00F65988">
        <w:rPr>
          <w:rFonts w:ascii="Arial" w:hAnsi="Arial" w:cs="Arial"/>
          <w:sz w:val="22"/>
          <w:szCs w:val="22"/>
        </w:rPr>
        <w:t xml:space="preserve">: if the child is closed to his loved one, he/she feels good, but when distance intervenes, the child feels sad, anxious, and lonely. Attachment is conveyed </w:t>
      </w:r>
      <w:proofErr w:type="gramStart"/>
      <w:r w:rsidR="00F65988">
        <w:rPr>
          <w:rFonts w:ascii="Arial" w:hAnsi="Arial" w:cs="Arial"/>
          <w:sz w:val="22"/>
          <w:szCs w:val="22"/>
        </w:rPr>
        <w:t>on the basis of</w:t>
      </w:r>
      <w:proofErr w:type="gramEnd"/>
      <w:r w:rsidR="00F65988">
        <w:rPr>
          <w:rFonts w:ascii="Arial" w:hAnsi="Arial" w:cs="Arial"/>
          <w:sz w:val="22"/>
          <w:szCs w:val="22"/>
        </w:rPr>
        <w:t xml:space="preserve"> 3 elements: looking, hearing and holding – thus “an achievement of proximity”. </w:t>
      </w:r>
    </w:p>
    <w:p w14:paraId="2E9018BA" w14:textId="339C610F" w:rsidR="00DE0A3A" w:rsidRDefault="008E7E50" w:rsidP="004050F7">
      <w:pPr>
        <w:jc w:val="both"/>
        <w:rPr>
          <w:rFonts w:ascii="Arial" w:hAnsi="Arial" w:cs="Arial"/>
          <w:sz w:val="22"/>
          <w:szCs w:val="22"/>
        </w:rPr>
      </w:pPr>
      <w:r>
        <w:rPr>
          <w:rFonts w:ascii="Arial" w:hAnsi="Arial" w:cs="Arial"/>
          <w:sz w:val="22"/>
          <w:szCs w:val="22"/>
        </w:rPr>
        <w:t xml:space="preserve">The </w:t>
      </w:r>
      <w:r w:rsidRPr="00BA2788">
        <w:rPr>
          <w:rFonts w:ascii="Arial" w:hAnsi="Arial" w:cs="Arial"/>
          <w:b/>
          <w:bCs/>
          <w:sz w:val="22"/>
          <w:szCs w:val="22"/>
        </w:rPr>
        <w:t>attachment style</w:t>
      </w:r>
      <w:r>
        <w:rPr>
          <w:rFonts w:ascii="Arial" w:hAnsi="Arial" w:cs="Arial"/>
          <w:sz w:val="22"/>
          <w:szCs w:val="22"/>
        </w:rPr>
        <w:t xml:space="preserve"> can be classified as “</w:t>
      </w:r>
      <w:r w:rsidRPr="00BA2788">
        <w:rPr>
          <w:rFonts w:ascii="Arial" w:hAnsi="Arial" w:cs="Arial"/>
          <w:b/>
          <w:bCs/>
          <w:sz w:val="22"/>
          <w:szCs w:val="22"/>
        </w:rPr>
        <w:t>secure</w:t>
      </w:r>
      <w:r>
        <w:rPr>
          <w:rFonts w:ascii="Arial" w:hAnsi="Arial" w:cs="Arial"/>
          <w:sz w:val="22"/>
          <w:szCs w:val="22"/>
        </w:rPr>
        <w:t>” or “</w:t>
      </w:r>
      <w:r w:rsidRPr="00BA2788">
        <w:rPr>
          <w:rFonts w:ascii="Arial" w:hAnsi="Arial" w:cs="Arial"/>
          <w:b/>
          <w:bCs/>
          <w:sz w:val="22"/>
          <w:szCs w:val="22"/>
        </w:rPr>
        <w:t>insecure</w:t>
      </w:r>
      <w:r>
        <w:rPr>
          <w:rFonts w:ascii="Arial" w:hAnsi="Arial" w:cs="Arial"/>
          <w:sz w:val="22"/>
          <w:szCs w:val="22"/>
        </w:rPr>
        <w:t xml:space="preserve">”, the latter </w:t>
      </w:r>
      <w:r w:rsidR="004D2847">
        <w:rPr>
          <w:rFonts w:ascii="Arial" w:hAnsi="Arial" w:cs="Arial"/>
          <w:sz w:val="22"/>
          <w:szCs w:val="22"/>
        </w:rPr>
        <w:t>showing</w:t>
      </w:r>
      <w:r>
        <w:rPr>
          <w:rFonts w:ascii="Arial" w:hAnsi="Arial" w:cs="Arial"/>
          <w:sz w:val="22"/>
          <w:szCs w:val="22"/>
        </w:rPr>
        <w:t xml:space="preserve"> a mixture of feelings </w:t>
      </w:r>
      <w:r w:rsidR="004D2847">
        <w:rPr>
          <w:rFonts w:ascii="Arial" w:hAnsi="Arial" w:cs="Arial"/>
          <w:sz w:val="22"/>
          <w:szCs w:val="22"/>
        </w:rPr>
        <w:t xml:space="preserve">vis-à-vis their attachment figure </w:t>
      </w:r>
      <w:r>
        <w:rPr>
          <w:rFonts w:ascii="Arial" w:hAnsi="Arial" w:cs="Arial"/>
          <w:sz w:val="22"/>
          <w:szCs w:val="22"/>
        </w:rPr>
        <w:t>(intense need and dependency as well as irritability and fear of rejection)</w:t>
      </w:r>
      <w:r w:rsidR="004D2847">
        <w:rPr>
          <w:rFonts w:ascii="Arial" w:hAnsi="Arial" w:cs="Arial"/>
          <w:sz w:val="22"/>
          <w:szCs w:val="22"/>
        </w:rPr>
        <w:t xml:space="preserve">. Therefore, Cheston et al. suggest that the attachment style that is formed in the early years will directly influence the ability of an individual to form relationships and care for others. </w:t>
      </w:r>
      <w:r w:rsidR="007741F3">
        <w:rPr>
          <w:rFonts w:ascii="Arial" w:hAnsi="Arial" w:cs="Arial"/>
          <w:sz w:val="22"/>
          <w:szCs w:val="22"/>
        </w:rPr>
        <w:t>George and Solomon (1999) consider that professional caregivers’ ability to cope with their job is directly influenced by their attachment style. Consequently, they are at risk of developing burnout because caring for people suffering from dementia is a complex duty due to their highly unpredictable needs that evolve as their condition progresses</w:t>
      </w:r>
      <w:r w:rsidR="00EF0342">
        <w:rPr>
          <w:rFonts w:ascii="Arial" w:hAnsi="Arial" w:cs="Arial"/>
          <w:sz w:val="22"/>
          <w:szCs w:val="22"/>
        </w:rPr>
        <w:t xml:space="preserve"> (Duffy et al. 2009).</w:t>
      </w:r>
    </w:p>
    <w:p w14:paraId="4720B6B8" w14:textId="77777777" w:rsidR="004050F7" w:rsidRDefault="00B47E9E" w:rsidP="004050F7">
      <w:pPr>
        <w:jc w:val="both"/>
        <w:rPr>
          <w:rFonts w:ascii="Arial" w:hAnsi="Arial" w:cs="Arial"/>
          <w:sz w:val="22"/>
          <w:szCs w:val="22"/>
        </w:rPr>
      </w:pPr>
      <w:r>
        <w:rPr>
          <w:rFonts w:ascii="Arial" w:hAnsi="Arial" w:cs="Arial"/>
          <w:sz w:val="22"/>
          <w:szCs w:val="22"/>
        </w:rPr>
        <w:t xml:space="preserve">Thus, </w:t>
      </w:r>
      <w:r w:rsidR="009523D9">
        <w:rPr>
          <w:rFonts w:ascii="Arial" w:hAnsi="Arial" w:cs="Arial"/>
          <w:sz w:val="22"/>
          <w:szCs w:val="22"/>
        </w:rPr>
        <w:t xml:space="preserve">research shows that </w:t>
      </w:r>
      <w:r>
        <w:rPr>
          <w:rFonts w:ascii="Arial" w:hAnsi="Arial" w:cs="Arial"/>
          <w:sz w:val="22"/>
          <w:szCs w:val="22"/>
        </w:rPr>
        <w:t xml:space="preserve">the attachment theory </w:t>
      </w:r>
      <w:r w:rsidR="009523D9">
        <w:rPr>
          <w:rFonts w:ascii="Arial" w:hAnsi="Arial" w:cs="Arial"/>
          <w:sz w:val="22"/>
          <w:szCs w:val="22"/>
        </w:rPr>
        <w:t>applies to adults aged 65 and over despite its initial focus on early years development. For example, Ainsworth</w:t>
      </w:r>
      <w:r w:rsidR="006A1FDF">
        <w:rPr>
          <w:rFonts w:ascii="Arial" w:hAnsi="Arial" w:cs="Arial"/>
          <w:sz w:val="22"/>
          <w:szCs w:val="22"/>
        </w:rPr>
        <w:t xml:space="preserve">’s attachment research (1978) shows that early patterns of care are relevant across the life span and impact upon the late adulthood quality of attachment. </w:t>
      </w:r>
      <w:r w:rsidR="00BA2788">
        <w:rPr>
          <w:rFonts w:ascii="Arial" w:hAnsi="Arial" w:cs="Arial"/>
          <w:sz w:val="22"/>
          <w:szCs w:val="22"/>
        </w:rPr>
        <w:t xml:space="preserve">The mental representation of the self and others regarding relationships is shaped in the early years and influences a 65+ years old’s relationships expectations. </w:t>
      </w:r>
    </w:p>
    <w:p w14:paraId="5E3FF62C" w14:textId="7A70740B" w:rsidR="00B47E9E" w:rsidRDefault="00BA2788" w:rsidP="004050F7">
      <w:pPr>
        <w:jc w:val="both"/>
        <w:rPr>
          <w:rFonts w:ascii="Arial" w:hAnsi="Arial" w:cs="Arial"/>
          <w:sz w:val="22"/>
          <w:szCs w:val="22"/>
        </w:rPr>
      </w:pPr>
      <w:r>
        <w:rPr>
          <w:rFonts w:ascii="Arial" w:hAnsi="Arial" w:cs="Arial"/>
          <w:sz w:val="22"/>
          <w:szCs w:val="22"/>
        </w:rPr>
        <w:t xml:space="preserve">In fact, the attachments styles identified above are especially relevant to the old age adults as they are more prone to experience vulnerabilities through bereavement or health issues. In conclusion, secure attachment leads </w:t>
      </w:r>
      <w:r w:rsidR="00AE0A0D">
        <w:rPr>
          <w:rFonts w:ascii="Arial" w:hAnsi="Arial" w:cs="Arial"/>
          <w:sz w:val="22"/>
          <w:szCs w:val="22"/>
        </w:rPr>
        <w:t xml:space="preserve">to better outcomes for those adults living in a dementia care home as they are able to integrate better and socially adapt to that environment, they are more resilient which triggers greater overall satisfaction in contrast to those presenting sign of an insecure attachment which is linked to increased loneliness, depression, anxious apprehension of death due to difficulty in regulating their emotions. </w:t>
      </w:r>
    </w:p>
    <w:p w14:paraId="716B1296" w14:textId="1BD7B04F" w:rsidR="00EF0342" w:rsidRPr="00A70410" w:rsidRDefault="00A70410" w:rsidP="004050F7">
      <w:pPr>
        <w:jc w:val="both"/>
        <w:rPr>
          <w:rFonts w:ascii="Arial" w:hAnsi="Arial" w:cs="Arial"/>
          <w:sz w:val="22"/>
          <w:szCs w:val="22"/>
          <w:u w:val="single"/>
        </w:rPr>
      </w:pPr>
      <w:r w:rsidRPr="00A70410">
        <w:rPr>
          <w:rFonts w:ascii="Arial" w:hAnsi="Arial" w:cs="Arial"/>
          <w:b/>
          <w:bCs/>
          <w:sz w:val="22"/>
          <w:szCs w:val="22"/>
          <w:u w:val="single"/>
        </w:rPr>
        <w:t>Vygotsky’s sociocultural theory</w:t>
      </w:r>
    </w:p>
    <w:p w14:paraId="044514CB" w14:textId="77777777" w:rsidR="00256A77" w:rsidRDefault="001F44B8" w:rsidP="004050F7">
      <w:pPr>
        <w:jc w:val="both"/>
        <w:rPr>
          <w:rFonts w:ascii="Arial" w:hAnsi="Arial" w:cs="Arial"/>
          <w:sz w:val="22"/>
          <w:szCs w:val="22"/>
        </w:rPr>
      </w:pPr>
      <w:r>
        <w:rPr>
          <w:rFonts w:ascii="Arial" w:hAnsi="Arial" w:cs="Arial"/>
          <w:sz w:val="22"/>
          <w:szCs w:val="22"/>
        </w:rPr>
        <w:t>Lev Vygotsky</w:t>
      </w:r>
      <w:r w:rsidR="00BE29B4">
        <w:rPr>
          <w:rFonts w:ascii="Arial" w:hAnsi="Arial" w:cs="Arial"/>
          <w:sz w:val="22"/>
          <w:szCs w:val="22"/>
        </w:rPr>
        <w:t xml:space="preserve"> focused on children’s learning and </w:t>
      </w:r>
      <w:r w:rsidR="00E56030">
        <w:rPr>
          <w:rFonts w:ascii="Arial" w:hAnsi="Arial" w:cs="Arial"/>
          <w:sz w:val="22"/>
          <w:szCs w:val="22"/>
        </w:rPr>
        <w:t>development;</w:t>
      </w:r>
      <w:r w:rsidR="00BE29B4">
        <w:rPr>
          <w:rFonts w:ascii="Arial" w:hAnsi="Arial" w:cs="Arial"/>
          <w:sz w:val="22"/>
          <w:szCs w:val="22"/>
        </w:rPr>
        <w:t xml:space="preserve"> </w:t>
      </w:r>
      <w:r w:rsidR="00E56030">
        <w:rPr>
          <w:rFonts w:ascii="Arial" w:hAnsi="Arial" w:cs="Arial"/>
          <w:sz w:val="22"/>
          <w:szCs w:val="22"/>
        </w:rPr>
        <w:t>however,</w:t>
      </w:r>
      <w:r w:rsidR="00BE29B4">
        <w:rPr>
          <w:rFonts w:ascii="Arial" w:hAnsi="Arial" w:cs="Arial"/>
          <w:sz w:val="22"/>
          <w:szCs w:val="22"/>
        </w:rPr>
        <w:t xml:space="preserve"> his sociocultural theory is highly applicable to dementia care because it argues that social activities and cultural tools help patients suffering from this disease to maintain </w:t>
      </w:r>
      <w:r w:rsidR="00E56030">
        <w:rPr>
          <w:rFonts w:ascii="Arial" w:hAnsi="Arial" w:cs="Arial"/>
          <w:sz w:val="22"/>
          <w:szCs w:val="22"/>
        </w:rPr>
        <w:t xml:space="preserve">their sense of identity. Moreover, the professional caregivers (“more knowledgeable others) play a pivotal role in creating a supportive environment that aims to enhance the patients’ quality of life as their abilities decline.  </w:t>
      </w:r>
    </w:p>
    <w:p w14:paraId="7A2D63AF" w14:textId="375CF58E" w:rsidR="001F08BF" w:rsidRDefault="00B5522D" w:rsidP="004050F7">
      <w:pPr>
        <w:jc w:val="both"/>
        <w:rPr>
          <w:rFonts w:ascii="Arial" w:hAnsi="Arial" w:cs="Arial"/>
          <w:sz w:val="22"/>
          <w:szCs w:val="22"/>
        </w:rPr>
      </w:pPr>
      <w:r>
        <w:rPr>
          <w:rFonts w:ascii="Arial" w:hAnsi="Arial" w:cs="Arial"/>
          <w:sz w:val="22"/>
          <w:szCs w:val="22"/>
        </w:rPr>
        <w:t xml:space="preserve">According to Young et al. (2011), people suffering from dementia experience an inevitable loss of cognitive functionality which manifests itself through progressive deterioration of thinking, </w:t>
      </w:r>
      <w:r w:rsidR="00152BFE">
        <w:rPr>
          <w:rFonts w:ascii="Arial" w:hAnsi="Arial" w:cs="Arial"/>
          <w:sz w:val="22"/>
          <w:szCs w:val="22"/>
        </w:rPr>
        <w:t xml:space="preserve">memory, speech and problem-solving skills. Consequently, Kontos (2004) argued that they may face social stigmatisation and develop conditions such as depression and anxiety. Additionally, </w:t>
      </w:r>
      <w:r w:rsidR="004371CB">
        <w:rPr>
          <w:rFonts w:ascii="Arial" w:hAnsi="Arial" w:cs="Arial"/>
          <w:sz w:val="22"/>
          <w:szCs w:val="22"/>
        </w:rPr>
        <w:t>it is likely that dementia will trigger impairment on their communication skills at such a critical time when “the need for effective and sustaining communications is greater than ever” (</w:t>
      </w:r>
      <w:r w:rsidR="00213518">
        <w:rPr>
          <w:rFonts w:ascii="Arial" w:hAnsi="Arial" w:cs="Arial"/>
          <w:sz w:val="22"/>
          <w:szCs w:val="22"/>
        </w:rPr>
        <w:t xml:space="preserve">Young, </w:t>
      </w:r>
      <w:proofErr w:type="spellStart"/>
      <w:r w:rsidR="00213518">
        <w:rPr>
          <w:rFonts w:ascii="Arial" w:hAnsi="Arial" w:cs="Arial"/>
          <w:sz w:val="22"/>
          <w:szCs w:val="22"/>
        </w:rPr>
        <w:t>Manthorp</w:t>
      </w:r>
      <w:proofErr w:type="spellEnd"/>
      <w:r w:rsidR="00213518">
        <w:rPr>
          <w:rFonts w:ascii="Arial" w:hAnsi="Arial" w:cs="Arial"/>
          <w:sz w:val="22"/>
          <w:szCs w:val="22"/>
        </w:rPr>
        <w:t xml:space="preserve"> and Howells 2010). </w:t>
      </w:r>
    </w:p>
    <w:p w14:paraId="24CAC55B" w14:textId="77777777" w:rsidR="00256A77" w:rsidRDefault="00DA2A10" w:rsidP="004050F7">
      <w:pPr>
        <w:jc w:val="both"/>
        <w:rPr>
          <w:rFonts w:ascii="Arial" w:hAnsi="Arial" w:cs="Arial"/>
          <w:sz w:val="22"/>
          <w:szCs w:val="22"/>
        </w:rPr>
      </w:pPr>
      <w:r>
        <w:rPr>
          <w:rFonts w:ascii="Arial" w:hAnsi="Arial" w:cs="Arial"/>
          <w:b/>
          <w:bCs/>
          <w:sz w:val="22"/>
          <w:szCs w:val="22"/>
        </w:rPr>
        <w:lastRenderedPageBreak/>
        <w:t>3.</w:t>
      </w:r>
      <w:r w:rsidR="00402EAD">
        <w:rPr>
          <w:rFonts w:ascii="Arial" w:hAnsi="Arial" w:cs="Arial"/>
          <w:sz w:val="22"/>
          <w:szCs w:val="22"/>
        </w:rPr>
        <w:t>How can Bowlby’s theory be applied in a dementia care home to support patients? Patients experience a permanent separation from their familiar environment, family, friends and community, and even staff transition due to turnover may cause disruption to their wellbeing. Therefore, creating a secure base through consistent routine</w:t>
      </w:r>
      <w:r w:rsidR="00E646AC">
        <w:rPr>
          <w:rFonts w:ascii="Arial" w:hAnsi="Arial" w:cs="Arial"/>
          <w:sz w:val="22"/>
          <w:szCs w:val="22"/>
        </w:rPr>
        <w:t xml:space="preserve"> contribute to forming a sense of security and trust and it improves the relationship patient-caregiver. </w:t>
      </w:r>
    </w:p>
    <w:p w14:paraId="18B3C75E" w14:textId="3DC352BF" w:rsidR="001F08BF" w:rsidRPr="00402EAD" w:rsidRDefault="00E646AC" w:rsidP="004050F7">
      <w:pPr>
        <w:jc w:val="both"/>
        <w:rPr>
          <w:rFonts w:ascii="Arial" w:hAnsi="Arial" w:cs="Arial"/>
          <w:sz w:val="22"/>
          <w:szCs w:val="22"/>
        </w:rPr>
      </w:pPr>
      <w:r>
        <w:rPr>
          <w:rFonts w:ascii="Arial" w:hAnsi="Arial" w:cs="Arial"/>
          <w:sz w:val="22"/>
          <w:szCs w:val="22"/>
        </w:rPr>
        <w:t xml:space="preserve">The practical steps include using calm tones, appropriate light, addressing patients by using their name, maintaining eye contact, explain their routine and procedures. Furthermore, these strategies are useful in navigating the challenges associated with dementia whilst empowering the carers to foster connection, strengthen the attachment bonds, create a positive experience for both individuals and reduce confusion. Undoubtedly, working in a dementia care home is a very demanding career that can affect the staff emotionally due to demanding behaviours from patients </w:t>
      </w:r>
      <w:r w:rsidR="00016AEE">
        <w:rPr>
          <w:rFonts w:ascii="Arial" w:hAnsi="Arial" w:cs="Arial"/>
          <w:sz w:val="22"/>
          <w:szCs w:val="22"/>
        </w:rPr>
        <w:t>(</w:t>
      </w:r>
      <w:r>
        <w:rPr>
          <w:rFonts w:ascii="Arial" w:hAnsi="Arial" w:cs="Arial"/>
          <w:sz w:val="22"/>
          <w:szCs w:val="22"/>
        </w:rPr>
        <w:t xml:space="preserve">such as aggression, </w:t>
      </w:r>
      <w:r w:rsidR="00016AEE">
        <w:rPr>
          <w:rFonts w:ascii="Arial" w:hAnsi="Arial" w:cs="Arial"/>
          <w:sz w:val="22"/>
          <w:szCs w:val="22"/>
        </w:rPr>
        <w:t xml:space="preserve">refusal of care), burnout, stress and grief triggered by rapid decline of </w:t>
      </w:r>
      <w:r w:rsidR="00256A77">
        <w:rPr>
          <w:rFonts w:ascii="Arial" w:hAnsi="Arial" w:cs="Arial"/>
          <w:sz w:val="22"/>
          <w:szCs w:val="22"/>
        </w:rPr>
        <w:t>the patients’</w:t>
      </w:r>
      <w:r w:rsidR="00016AEE">
        <w:rPr>
          <w:rFonts w:ascii="Arial" w:hAnsi="Arial" w:cs="Arial"/>
          <w:sz w:val="22"/>
          <w:szCs w:val="22"/>
        </w:rPr>
        <w:t xml:space="preserve"> condition. </w:t>
      </w:r>
      <w:r w:rsidR="00402EAD">
        <w:rPr>
          <w:rFonts w:ascii="Arial" w:hAnsi="Arial" w:cs="Arial"/>
          <w:sz w:val="22"/>
          <w:szCs w:val="22"/>
        </w:rPr>
        <w:t xml:space="preserve"> </w:t>
      </w:r>
    </w:p>
    <w:p w14:paraId="02F04381" w14:textId="77777777" w:rsidR="00256A77" w:rsidRDefault="00DA2A10" w:rsidP="004050F7">
      <w:pPr>
        <w:jc w:val="both"/>
        <w:rPr>
          <w:rFonts w:ascii="Arial" w:hAnsi="Arial" w:cs="Arial"/>
          <w:sz w:val="22"/>
          <w:szCs w:val="22"/>
        </w:rPr>
      </w:pPr>
      <w:r>
        <w:rPr>
          <w:rFonts w:ascii="Arial" w:hAnsi="Arial" w:cs="Arial"/>
          <w:sz w:val="22"/>
          <w:szCs w:val="22"/>
        </w:rPr>
        <w:t xml:space="preserve">How can Vygotsky’s theory be applied in a dementia care home to support the patients? The key concepts </w:t>
      </w:r>
      <w:r w:rsidR="00971D7E">
        <w:rPr>
          <w:rFonts w:ascii="Arial" w:hAnsi="Arial" w:cs="Arial"/>
          <w:sz w:val="22"/>
          <w:szCs w:val="22"/>
        </w:rPr>
        <w:t>lay in the Zone of Proximal Development (ZPD)</w:t>
      </w:r>
      <w:r w:rsidR="001F1633">
        <w:rPr>
          <w:rFonts w:ascii="Arial" w:hAnsi="Arial" w:cs="Arial"/>
          <w:sz w:val="22"/>
          <w:szCs w:val="22"/>
        </w:rPr>
        <w:t xml:space="preserve">, which is the gap between what a person diagnosed with dementia can do alone and with the help of professional </w:t>
      </w:r>
      <w:proofErr w:type="spellStart"/>
      <w:r w:rsidR="001F1633">
        <w:rPr>
          <w:rFonts w:ascii="Arial" w:hAnsi="Arial" w:cs="Arial"/>
          <w:sz w:val="22"/>
          <w:szCs w:val="22"/>
        </w:rPr>
        <w:t>carer</w:t>
      </w:r>
      <w:proofErr w:type="spellEnd"/>
      <w:r w:rsidR="001F1633">
        <w:rPr>
          <w:rFonts w:ascii="Arial" w:hAnsi="Arial" w:cs="Arial"/>
          <w:sz w:val="22"/>
          <w:szCs w:val="22"/>
        </w:rPr>
        <w:t xml:space="preserve">. </w:t>
      </w:r>
      <w:proofErr w:type="gramStart"/>
      <w:r w:rsidR="001F1633">
        <w:rPr>
          <w:rFonts w:ascii="Arial" w:hAnsi="Arial" w:cs="Arial"/>
          <w:sz w:val="22"/>
          <w:szCs w:val="22"/>
        </w:rPr>
        <w:t>In order to</w:t>
      </w:r>
      <w:proofErr w:type="gramEnd"/>
      <w:r w:rsidR="001F1633">
        <w:rPr>
          <w:rFonts w:ascii="Arial" w:hAnsi="Arial" w:cs="Arial"/>
          <w:sz w:val="22"/>
          <w:szCs w:val="22"/>
        </w:rPr>
        <w:t xml:space="preserve"> support the patients, staff may be looking at initiating tasks such as cooking, reminiscing, shared storytelling, </w:t>
      </w:r>
      <w:r w:rsidR="00A52241">
        <w:rPr>
          <w:rFonts w:ascii="Arial" w:hAnsi="Arial" w:cs="Arial"/>
          <w:sz w:val="22"/>
          <w:szCs w:val="22"/>
        </w:rPr>
        <w:t xml:space="preserve">music and activities that aim to reconnect the individuals with their background, communities and sense of self. </w:t>
      </w:r>
    </w:p>
    <w:p w14:paraId="080E7A5F" w14:textId="094A501E" w:rsidR="00D97F47" w:rsidRDefault="00D97F47" w:rsidP="004050F7">
      <w:pPr>
        <w:jc w:val="both"/>
        <w:rPr>
          <w:rFonts w:ascii="Arial" w:hAnsi="Arial" w:cs="Arial"/>
          <w:sz w:val="22"/>
          <w:szCs w:val="22"/>
        </w:rPr>
      </w:pPr>
      <w:r>
        <w:rPr>
          <w:rFonts w:ascii="Arial" w:hAnsi="Arial" w:cs="Arial"/>
          <w:sz w:val="22"/>
          <w:szCs w:val="22"/>
        </w:rPr>
        <w:t xml:space="preserve">Practically speaking, as part of the group reminiscence therapy, the caregiver can initiate dialogue and trigger emotions and recollections of events by showing old photographs or meaningful objects. </w:t>
      </w:r>
      <w:r w:rsidR="00BA210B">
        <w:rPr>
          <w:rFonts w:ascii="Arial" w:hAnsi="Arial" w:cs="Arial"/>
          <w:sz w:val="22"/>
          <w:szCs w:val="22"/>
        </w:rPr>
        <w:t>According to the National Institutes of Health and Frontiers, this is good practice that shows respect for the patients’</w:t>
      </w:r>
      <w:r w:rsidR="00471AF3">
        <w:rPr>
          <w:rFonts w:ascii="Arial" w:hAnsi="Arial" w:cs="Arial"/>
          <w:sz w:val="22"/>
          <w:szCs w:val="22"/>
        </w:rPr>
        <w:t xml:space="preserve"> history, supporting present experiences and preserving personhood.  </w:t>
      </w:r>
    </w:p>
    <w:p w14:paraId="6139BE9C" w14:textId="77777777" w:rsidR="00256A77" w:rsidRDefault="00A52241" w:rsidP="004050F7">
      <w:pPr>
        <w:jc w:val="both"/>
        <w:rPr>
          <w:rFonts w:ascii="Arial" w:hAnsi="Arial" w:cs="Arial"/>
          <w:sz w:val="22"/>
          <w:szCs w:val="22"/>
        </w:rPr>
      </w:pPr>
      <w:proofErr w:type="gramStart"/>
      <w:r>
        <w:rPr>
          <w:rFonts w:ascii="Arial" w:hAnsi="Arial" w:cs="Arial"/>
          <w:sz w:val="22"/>
          <w:szCs w:val="22"/>
        </w:rPr>
        <w:t>Despite the fact that</w:t>
      </w:r>
      <w:proofErr w:type="gramEnd"/>
      <w:r>
        <w:rPr>
          <w:rFonts w:ascii="Arial" w:hAnsi="Arial" w:cs="Arial"/>
          <w:sz w:val="22"/>
          <w:szCs w:val="22"/>
        </w:rPr>
        <w:t xml:space="preserve"> this disease gradually affects the identity of the sufferer, the carer can help maintain the dignity of the patients and the connection with “being oneself” by allowing hobbies and familiar routines to be part of patient’s schedule. </w:t>
      </w:r>
      <w:r w:rsidR="00331BEC">
        <w:rPr>
          <w:rFonts w:ascii="Arial" w:hAnsi="Arial" w:cs="Arial"/>
          <w:sz w:val="22"/>
          <w:szCs w:val="22"/>
        </w:rPr>
        <w:t>Therefore, with appropriate scaffolding and empathy, caregivers will shape the experience of patients in dementia care homes by focusing on the individual and not on the diagnosis, which is crucial for creating a supportive environment.</w:t>
      </w:r>
    </w:p>
    <w:p w14:paraId="75282729" w14:textId="7F525184" w:rsidR="00DA2A10" w:rsidRPr="00DA2A10" w:rsidRDefault="00D97F47" w:rsidP="004050F7">
      <w:pPr>
        <w:jc w:val="both"/>
        <w:rPr>
          <w:rFonts w:ascii="Arial" w:hAnsi="Arial" w:cs="Arial"/>
          <w:sz w:val="22"/>
          <w:szCs w:val="22"/>
        </w:rPr>
      </w:pPr>
      <w:r>
        <w:rPr>
          <w:rFonts w:ascii="Arial" w:hAnsi="Arial" w:cs="Arial"/>
          <w:sz w:val="22"/>
          <w:szCs w:val="22"/>
        </w:rPr>
        <w:t xml:space="preserve">Nevertheless, it must be emphasized that working in this environment can be challenging as dementia can impact </w:t>
      </w:r>
      <w:r w:rsidR="00BA210B">
        <w:rPr>
          <w:rFonts w:ascii="Arial" w:hAnsi="Arial" w:cs="Arial"/>
          <w:sz w:val="22"/>
          <w:szCs w:val="22"/>
        </w:rPr>
        <w:t>communication skills and different aspect of self-awareness at a fast pace which narrow the ZPD. Offering training in adaptive communication is a proactive step that care homes could take to assist their staff with the learning process.</w:t>
      </w:r>
    </w:p>
    <w:p w14:paraId="0979C541" w14:textId="77777777" w:rsidR="001F08BF" w:rsidRDefault="001F08BF" w:rsidP="004050F7">
      <w:pPr>
        <w:jc w:val="both"/>
        <w:rPr>
          <w:rFonts w:ascii="Arial" w:hAnsi="Arial" w:cs="Arial"/>
          <w:sz w:val="22"/>
          <w:szCs w:val="22"/>
        </w:rPr>
      </w:pPr>
    </w:p>
    <w:p w14:paraId="1701B570" w14:textId="77777777" w:rsidR="001F08BF" w:rsidRDefault="001F08BF" w:rsidP="004050F7">
      <w:pPr>
        <w:jc w:val="both"/>
        <w:rPr>
          <w:rFonts w:ascii="Arial" w:hAnsi="Arial" w:cs="Arial"/>
          <w:sz w:val="22"/>
          <w:szCs w:val="22"/>
        </w:rPr>
      </w:pPr>
    </w:p>
    <w:p w14:paraId="35A48959" w14:textId="77777777" w:rsidR="001F08BF" w:rsidRDefault="001F08BF" w:rsidP="004050F7">
      <w:pPr>
        <w:jc w:val="both"/>
        <w:rPr>
          <w:rFonts w:ascii="Arial" w:hAnsi="Arial" w:cs="Arial"/>
          <w:sz w:val="22"/>
          <w:szCs w:val="22"/>
        </w:rPr>
      </w:pPr>
    </w:p>
    <w:p w14:paraId="26787A3C" w14:textId="77777777" w:rsidR="001F08BF" w:rsidRDefault="001F08BF" w:rsidP="002B786F">
      <w:pPr>
        <w:rPr>
          <w:rFonts w:ascii="Arial" w:hAnsi="Arial" w:cs="Arial"/>
          <w:sz w:val="22"/>
          <w:szCs w:val="22"/>
        </w:rPr>
      </w:pPr>
    </w:p>
    <w:p w14:paraId="58E52F36" w14:textId="77777777" w:rsidR="001F08BF" w:rsidRDefault="001F08BF" w:rsidP="002B786F">
      <w:pPr>
        <w:rPr>
          <w:rFonts w:ascii="Arial" w:hAnsi="Arial" w:cs="Arial"/>
          <w:sz w:val="22"/>
          <w:szCs w:val="22"/>
        </w:rPr>
      </w:pPr>
    </w:p>
    <w:p w14:paraId="664F6BF5" w14:textId="77777777" w:rsidR="004050F7" w:rsidRDefault="004050F7" w:rsidP="002B786F">
      <w:pPr>
        <w:rPr>
          <w:rFonts w:ascii="Arial" w:hAnsi="Arial" w:cs="Arial"/>
          <w:sz w:val="22"/>
          <w:szCs w:val="22"/>
        </w:rPr>
      </w:pPr>
    </w:p>
    <w:p w14:paraId="0036CFFD" w14:textId="77777777" w:rsidR="00256A77" w:rsidRDefault="00256A77" w:rsidP="002B786F">
      <w:pPr>
        <w:rPr>
          <w:rFonts w:ascii="Arial" w:hAnsi="Arial" w:cs="Arial"/>
          <w:sz w:val="22"/>
          <w:szCs w:val="22"/>
        </w:rPr>
      </w:pPr>
    </w:p>
    <w:p w14:paraId="5D3151DA" w14:textId="3B613AD2" w:rsidR="001F08BF" w:rsidRDefault="001F08BF" w:rsidP="002B786F">
      <w:pPr>
        <w:rPr>
          <w:rFonts w:ascii="Arial" w:hAnsi="Arial" w:cs="Arial"/>
          <w:b/>
          <w:bCs/>
          <w:sz w:val="22"/>
          <w:szCs w:val="22"/>
        </w:rPr>
      </w:pPr>
      <w:r>
        <w:rPr>
          <w:rFonts w:ascii="Arial" w:hAnsi="Arial" w:cs="Arial"/>
          <w:b/>
          <w:bCs/>
          <w:sz w:val="22"/>
          <w:szCs w:val="22"/>
        </w:rPr>
        <w:lastRenderedPageBreak/>
        <w:t>References:</w:t>
      </w:r>
    </w:p>
    <w:p w14:paraId="7B4BAB84" w14:textId="6E4C1CDA" w:rsidR="00BB63F7" w:rsidRDefault="00BB63F7" w:rsidP="00BA2788">
      <w:pPr>
        <w:pStyle w:val="ListParagraph"/>
        <w:numPr>
          <w:ilvl w:val="0"/>
          <w:numId w:val="2"/>
        </w:numPr>
        <w:jc w:val="both"/>
        <w:rPr>
          <w:rFonts w:ascii="Arial" w:hAnsi="Arial" w:cs="Arial"/>
          <w:sz w:val="22"/>
          <w:szCs w:val="22"/>
        </w:rPr>
      </w:pPr>
      <w:r>
        <w:rPr>
          <w:rFonts w:ascii="Arial" w:hAnsi="Arial" w:cs="Arial"/>
          <w:sz w:val="22"/>
          <w:szCs w:val="22"/>
        </w:rPr>
        <w:t xml:space="preserve">Anderson, N. D., Murphy, K.J., </w:t>
      </w:r>
      <w:r w:rsidR="00017789">
        <w:rPr>
          <w:rFonts w:ascii="Arial" w:hAnsi="Arial" w:cs="Arial"/>
          <w:sz w:val="22"/>
          <w:szCs w:val="22"/>
        </w:rPr>
        <w:t xml:space="preserve">Troyer, A.K. (2024), </w:t>
      </w:r>
      <w:r w:rsidR="00017789">
        <w:rPr>
          <w:rFonts w:ascii="Arial" w:hAnsi="Arial" w:cs="Arial"/>
          <w:i/>
          <w:iCs/>
          <w:sz w:val="22"/>
          <w:szCs w:val="22"/>
        </w:rPr>
        <w:t xml:space="preserve">Living with mild cognitive impairment: a guide to maximizing brain health and reducing the risk of dementia, </w:t>
      </w:r>
      <w:r w:rsidR="00017789">
        <w:rPr>
          <w:rFonts w:ascii="Arial" w:hAnsi="Arial" w:cs="Arial"/>
          <w:sz w:val="22"/>
          <w:szCs w:val="22"/>
        </w:rPr>
        <w:t>“</w:t>
      </w:r>
      <w:r w:rsidR="00017789" w:rsidRPr="00017789">
        <w:rPr>
          <w:rFonts w:ascii="Arial" w:hAnsi="Arial" w:cs="Arial"/>
          <w:sz w:val="22"/>
          <w:szCs w:val="22"/>
        </w:rPr>
        <w:t>What is dementia?</w:t>
      </w:r>
      <w:r w:rsidR="00017789">
        <w:rPr>
          <w:rFonts w:ascii="Arial" w:hAnsi="Arial" w:cs="Arial"/>
          <w:sz w:val="22"/>
          <w:szCs w:val="22"/>
        </w:rPr>
        <w:t xml:space="preserve"> – chapter 6”</w:t>
      </w:r>
      <w:r w:rsidR="00907251">
        <w:rPr>
          <w:rFonts w:ascii="Arial" w:hAnsi="Arial" w:cs="Arial"/>
          <w:sz w:val="22"/>
          <w:szCs w:val="22"/>
        </w:rPr>
        <w:t>.</w:t>
      </w:r>
      <w:r w:rsidR="00017789">
        <w:rPr>
          <w:rFonts w:ascii="Arial" w:hAnsi="Arial" w:cs="Arial"/>
          <w:i/>
          <w:iCs/>
          <w:sz w:val="22"/>
          <w:szCs w:val="22"/>
        </w:rPr>
        <w:t xml:space="preserve"> </w:t>
      </w:r>
      <w:r w:rsidR="00017789">
        <w:rPr>
          <w:rFonts w:ascii="Arial" w:hAnsi="Arial" w:cs="Arial"/>
          <w:sz w:val="22"/>
          <w:szCs w:val="22"/>
        </w:rPr>
        <w:t xml:space="preserve">Available at </w:t>
      </w:r>
      <w:hyperlink r:id="rId9" w:history="1">
        <w:r w:rsidR="00017789" w:rsidRPr="00811531">
          <w:rPr>
            <w:rStyle w:val="Hyperlink"/>
            <w:rFonts w:ascii="Arial" w:hAnsi="Arial" w:cs="Arial"/>
            <w:sz w:val="22"/>
            <w:szCs w:val="22"/>
          </w:rPr>
          <w:t>https://academic.oup.com/book/56399/chapter/450128981?login=true</w:t>
        </w:r>
      </w:hyperlink>
      <w:r w:rsidR="00017789">
        <w:rPr>
          <w:rFonts w:ascii="Arial" w:hAnsi="Arial" w:cs="Arial"/>
          <w:sz w:val="22"/>
          <w:szCs w:val="22"/>
        </w:rPr>
        <w:t>. (Accessed on 10</w:t>
      </w:r>
      <w:r w:rsidR="00017789" w:rsidRPr="00017789">
        <w:rPr>
          <w:rFonts w:ascii="Arial" w:hAnsi="Arial" w:cs="Arial"/>
          <w:sz w:val="22"/>
          <w:szCs w:val="22"/>
          <w:vertAlign w:val="superscript"/>
        </w:rPr>
        <w:t>th</w:t>
      </w:r>
      <w:r w:rsidR="00017789">
        <w:rPr>
          <w:rFonts w:ascii="Arial" w:hAnsi="Arial" w:cs="Arial"/>
          <w:sz w:val="22"/>
          <w:szCs w:val="22"/>
        </w:rPr>
        <w:t xml:space="preserve"> of December 2025).</w:t>
      </w:r>
    </w:p>
    <w:p w14:paraId="016F5A44" w14:textId="01404824" w:rsidR="00A70410" w:rsidRDefault="00A70410" w:rsidP="00BA2788">
      <w:pPr>
        <w:pStyle w:val="ListParagraph"/>
        <w:numPr>
          <w:ilvl w:val="0"/>
          <w:numId w:val="2"/>
        </w:numPr>
        <w:jc w:val="both"/>
        <w:rPr>
          <w:rFonts w:ascii="Arial" w:hAnsi="Arial" w:cs="Arial"/>
          <w:sz w:val="22"/>
          <w:szCs w:val="22"/>
        </w:rPr>
      </w:pPr>
      <w:r>
        <w:rPr>
          <w:rFonts w:ascii="Arial" w:hAnsi="Arial" w:cs="Arial"/>
          <w:sz w:val="22"/>
          <w:szCs w:val="22"/>
        </w:rPr>
        <w:t xml:space="preserve">Astrom, S. (1990), </w:t>
      </w:r>
      <w:r w:rsidR="00F07EB3">
        <w:rPr>
          <w:rFonts w:ascii="Arial" w:hAnsi="Arial" w:cs="Arial"/>
          <w:i/>
          <w:iCs/>
          <w:sz w:val="22"/>
          <w:szCs w:val="22"/>
        </w:rPr>
        <w:t xml:space="preserve">Attitudes, empathy and burnout among staff in geriatric and psychogeriatric care. </w:t>
      </w:r>
      <w:r w:rsidR="00F07EB3">
        <w:rPr>
          <w:rFonts w:ascii="Arial" w:hAnsi="Arial" w:cs="Arial"/>
          <w:sz w:val="22"/>
          <w:szCs w:val="22"/>
        </w:rPr>
        <w:t xml:space="preserve">Available at </w:t>
      </w:r>
      <w:hyperlink r:id="rId10" w:history="1">
        <w:r w:rsidR="00F07EB3" w:rsidRPr="00811531">
          <w:rPr>
            <w:rStyle w:val="Hyperlink"/>
            <w:rFonts w:ascii="Arial" w:hAnsi="Arial" w:cs="Arial"/>
            <w:sz w:val="22"/>
            <w:szCs w:val="22"/>
          </w:rPr>
          <w:t>https://umu.diva-portal.org/smash/get/diva2:815567/FULLTEXT01.pdf</w:t>
        </w:r>
      </w:hyperlink>
      <w:r w:rsidR="00F07EB3">
        <w:rPr>
          <w:rFonts w:ascii="Arial" w:hAnsi="Arial" w:cs="Arial"/>
          <w:sz w:val="22"/>
          <w:szCs w:val="22"/>
        </w:rPr>
        <w:t>. (Accessed on 13</w:t>
      </w:r>
      <w:r w:rsidR="00F07EB3" w:rsidRPr="00F07EB3">
        <w:rPr>
          <w:rFonts w:ascii="Arial" w:hAnsi="Arial" w:cs="Arial"/>
          <w:sz w:val="22"/>
          <w:szCs w:val="22"/>
          <w:vertAlign w:val="superscript"/>
        </w:rPr>
        <w:t>th</w:t>
      </w:r>
      <w:r w:rsidR="00F07EB3">
        <w:rPr>
          <w:rFonts w:ascii="Arial" w:hAnsi="Arial" w:cs="Arial"/>
          <w:sz w:val="22"/>
          <w:szCs w:val="22"/>
        </w:rPr>
        <w:t xml:space="preserve"> of December 2025). </w:t>
      </w:r>
    </w:p>
    <w:p w14:paraId="6993D087" w14:textId="2D6B5CBA" w:rsidR="00907251" w:rsidRDefault="00907251" w:rsidP="00BA2788">
      <w:pPr>
        <w:pStyle w:val="ListParagraph"/>
        <w:numPr>
          <w:ilvl w:val="0"/>
          <w:numId w:val="2"/>
        </w:numPr>
        <w:jc w:val="both"/>
        <w:rPr>
          <w:rFonts w:ascii="Arial" w:hAnsi="Arial" w:cs="Arial"/>
          <w:sz w:val="22"/>
          <w:szCs w:val="22"/>
        </w:rPr>
      </w:pPr>
      <w:r>
        <w:rPr>
          <w:rFonts w:ascii="Arial" w:hAnsi="Arial" w:cs="Arial"/>
          <w:sz w:val="22"/>
          <w:szCs w:val="22"/>
        </w:rPr>
        <w:t xml:space="preserve">Bupa, </w:t>
      </w:r>
      <w:r>
        <w:rPr>
          <w:rFonts w:ascii="Arial" w:hAnsi="Arial" w:cs="Arial"/>
          <w:i/>
          <w:iCs/>
          <w:sz w:val="22"/>
          <w:szCs w:val="22"/>
        </w:rPr>
        <w:t xml:space="preserve">Dementia care homes. </w:t>
      </w:r>
      <w:r>
        <w:rPr>
          <w:rFonts w:ascii="Arial" w:hAnsi="Arial" w:cs="Arial"/>
          <w:sz w:val="22"/>
          <w:szCs w:val="22"/>
        </w:rPr>
        <w:t xml:space="preserve">Available at </w:t>
      </w:r>
      <w:hyperlink r:id="rId11" w:history="1">
        <w:r w:rsidRPr="00811531">
          <w:rPr>
            <w:rStyle w:val="Hyperlink"/>
            <w:rFonts w:ascii="Arial" w:hAnsi="Arial" w:cs="Arial"/>
            <w:sz w:val="22"/>
            <w:szCs w:val="22"/>
          </w:rPr>
          <w:t>https://www.bupa.co.uk/care-services/what-type-of-care-do-i-need/dementia-care</w:t>
        </w:r>
      </w:hyperlink>
      <w:r>
        <w:rPr>
          <w:rFonts w:ascii="Arial" w:hAnsi="Arial" w:cs="Arial"/>
          <w:sz w:val="22"/>
          <w:szCs w:val="22"/>
        </w:rPr>
        <w:t>. (Accessed on 11</w:t>
      </w:r>
      <w:r w:rsidRPr="00907251">
        <w:rPr>
          <w:rFonts w:ascii="Arial" w:hAnsi="Arial" w:cs="Arial"/>
          <w:sz w:val="22"/>
          <w:szCs w:val="22"/>
          <w:vertAlign w:val="superscript"/>
        </w:rPr>
        <w:t>th</w:t>
      </w:r>
      <w:r>
        <w:rPr>
          <w:rFonts w:ascii="Arial" w:hAnsi="Arial" w:cs="Arial"/>
          <w:sz w:val="22"/>
          <w:szCs w:val="22"/>
        </w:rPr>
        <w:t xml:space="preserve"> of December 2025).</w:t>
      </w:r>
    </w:p>
    <w:p w14:paraId="0627E120" w14:textId="529CC786" w:rsidR="00EF0342" w:rsidRDefault="00EF0342" w:rsidP="00BA2788">
      <w:pPr>
        <w:pStyle w:val="ListParagraph"/>
        <w:numPr>
          <w:ilvl w:val="0"/>
          <w:numId w:val="2"/>
        </w:numPr>
        <w:jc w:val="both"/>
        <w:rPr>
          <w:rFonts w:ascii="Arial" w:hAnsi="Arial" w:cs="Arial"/>
          <w:sz w:val="22"/>
          <w:szCs w:val="22"/>
        </w:rPr>
      </w:pPr>
      <w:r>
        <w:rPr>
          <w:rFonts w:ascii="Arial" w:hAnsi="Arial" w:cs="Arial"/>
          <w:sz w:val="22"/>
          <w:szCs w:val="22"/>
        </w:rPr>
        <w:t xml:space="preserve">Duffy, B., </w:t>
      </w:r>
      <w:proofErr w:type="spellStart"/>
      <w:r>
        <w:rPr>
          <w:rFonts w:ascii="Arial" w:hAnsi="Arial" w:cs="Arial"/>
          <w:sz w:val="22"/>
          <w:szCs w:val="22"/>
        </w:rPr>
        <w:t>Oyebode</w:t>
      </w:r>
      <w:proofErr w:type="spellEnd"/>
      <w:r>
        <w:rPr>
          <w:rFonts w:ascii="Arial" w:hAnsi="Arial" w:cs="Arial"/>
          <w:sz w:val="22"/>
          <w:szCs w:val="22"/>
        </w:rPr>
        <w:t xml:space="preserve">, J.R., Allen, J. (2009), </w:t>
      </w:r>
      <w:r>
        <w:rPr>
          <w:rFonts w:ascii="Arial" w:hAnsi="Arial" w:cs="Arial"/>
          <w:i/>
          <w:iCs/>
          <w:sz w:val="22"/>
          <w:szCs w:val="22"/>
        </w:rPr>
        <w:t xml:space="preserve">Burnout among care staff for older adults with dementia. </w:t>
      </w:r>
      <w:r>
        <w:rPr>
          <w:rFonts w:ascii="Arial" w:hAnsi="Arial" w:cs="Arial"/>
          <w:sz w:val="22"/>
          <w:szCs w:val="22"/>
        </w:rPr>
        <w:t xml:space="preserve">Available at </w:t>
      </w:r>
      <w:hyperlink r:id="rId12" w:history="1">
        <w:r w:rsidRPr="00811531">
          <w:rPr>
            <w:rStyle w:val="Hyperlink"/>
            <w:rFonts w:ascii="Arial" w:hAnsi="Arial" w:cs="Arial"/>
            <w:sz w:val="22"/>
            <w:szCs w:val="22"/>
          </w:rPr>
          <w:t>https://journals-sagepub-com.ezproxy.uwtsd.ac.uk/doi/abs/10.1177/1471301209350285</w:t>
        </w:r>
      </w:hyperlink>
      <w:r>
        <w:rPr>
          <w:rFonts w:ascii="Arial" w:hAnsi="Arial" w:cs="Arial"/>
          <w:sz w:val="22"/>
          <w:szCs w:val="22"/>
        </w:rPr>
        <w:t>. (Accessed on 12</w:t>
      </w:r>
      <w:r w:rsidRPr="00EF0342">
        <w:rPr>
          <w:rFonts w:ascii="Arial" w:hAnsi="Arial" w:cs="Arial"/>
          <w:sz w:val="22"/>
          <w:szCs w:val="22"/>
          <w:vertAlign w:val="superscript"/>
        </w:rPr>
        <w:t>th</w:t>
      </w:r>
      <w:r>
        <w:rPr>
          <w:rFonts w:ascii="Arial" w:hAnsi="Arial" w:cs="Arial"/>
          <w:sz w:val="22"/>
          <w:szCs w:val="22"/>
        </w:rPr>
        <w:t xml:space="preserve"> of December 2025).</w:t>
      </w:r>
    </w:p>
    <w:p w14:paraId="6495E6E2" w14:textId="3A005720" w:rsidR="00F65988" w:rsidRDefault="00F65988" w:rsidP="00BA2788">
      <w:pPr>
        <w:pStyle w:val="ListParagraph"/>
        <w:numPr>
          <w:ilvl w:val="0"/>
          <w:numId w:val="2"/>
        </w:numPr>
        <w:jc w:val="both"/>
        <w:rPr>
          <w:rFonts w:ascii="Arial" w:hAnsi="Arial" w:cs="Arial"/>
          <w:sz w:val="22"/>
          <w:szCs w:val="22"/>
        </w:rPr>
      </w:pPr>
      <w:r>
        <w:rPr>
          <w:rFonts w:ascii="Arial" w:hAnsi="Arial" w:cs="Arial"/>
          <w:sz w:val="22"/>
          <w:szCs w:val="22"/>
        </w:rPr>
        <w:t xml:space="preserve">Holmes, J. (2014), </w:t>
      </w:r>
      <w:r w:rsidR="00C870A4">
        <w:rPr>
          <w:rFonts w:ascii="Arial" w:hAnsi="Arial" w:cs="Arial"/>
          <w:i/>
          <w:iCs/>
          <w:sz w:val="22"/>
          <w:szCs w:val="22"/>
        </w:rPr>
        <w:t xml:space="preserve">John Bowlby and attachment theory. </w:t>
      </w:r>
      <w:r w:rsidR="00C870A4">
        <w:rPr>
          <w:rFonts w:ascii="Arial" w:hAnsi="Arial" w:cs="Arial"/>
          <w:sz w:val="22"/>
          <w:szCs w:val="22"/>
        </w:rPr>
        <w:t xml:space="preserve">Available at </w:t>
      </w:r>
      <w:hyperlink r:id="rId13" w:history="1">
        <w:r w:rsidR="00C870A4" w:rsidRPr="00811531">
          <w:rPr>
            <w:rStyle w:val="Hyperlink"/>
            <w:rFonts w:ascii="Arial" w:hAnsi="Arial" w:cs="Arial"/>
            <w:sz w:val="22"/>
            <w:szCs w:val="22"/>
          </w:rPr>
          <w:t>https://www.taylorfrancis.com/reader/read-online/eed8627f-2443-4764-a755-727e029fa450/book/epub?context=ubx</w:t>
        </w:r>
      </w:hyperlink>
      <w:r w:rsidR="00C870A4">
        <w:rPr>
          <w:rFonts w:ascii="Arial" w:hAnsi="Arial" w:cs="Arial"/>
          <w:sz w:val="22"/>
          <w:szCs w:val="22"/>
        </w:rPr>
        <w:t>. (Accessed on 12</w:t>
      </w:r>
      <w:r w:rsidR="00C870A4" w:rsidRPr="00C870A4">
        <w:rPr>
          <w:rFonts w:ascii="Arial" w:hAnsi="Arial" w:cs="Arial"/>
          <w:sz w:val="22"/>
          <w:szCs w:val="22"/>
          <w:vertAlign w:val="superscript"/>
        </w:rPr>
        <w:t>th</w:t>
      </w:r>
      <w:r w:rsidR="00C870A4">
        <w:rPr>
          <w:rFonts w:ascii="Arial" w:hAnsi="Arial" w:cs="Arial"/>
          <w:sz w:val="22"/>
          <w:szCs w:val="22"/>
        </w:rPr>
        <w:t xml:space="preserve"> of December 2025).</w:t>
      </w:r>
    </w:p>
    <w:p w14:paraId="1A61FD1D" w14:textId="40AFA536" w:rsidR="00497E68" w:rsidRDefault="00497E68" w:rsidP="00BA2788">
      <w:pPr>
        <w:pStyle w:val="ListParagraph"/>
        <w:numPr>
          <w:ilvl w:val="0"/>
          <w:numId w:val="2"/>
        </w:numPr>
        <w:jc w:val="both"/>
        <w:rPr>
          <w:rFonts w:ascii="Arial" w:hAnsi="Arial" w:cs="Arial"/>
          <w:sz w:val="22"/>
          <w:szCs w:val="22"/>
        </w:rPr>
      </w:pPr>
      <w:r>
        <w:rPr>
          <w:rFonts w:ascii="Arial" w:hAnsi="Arial" w:cs="Arial"/>
          <w:sz w:val="22"/>
          <w:szCs w:val="22"/>
        </w:rPr>
        <w:t xml:space="preserve">Kokkonen, T-M., Cheston, R.I.L., Dallos, R., Smart, C.A., </w:t>
      </w:r>
      <w:r>
        <w:rPr>
          <w:rFonts w:ascii="Arial" w:hAnsi="Arial" w:cs="Arial"/>
          <w:i/>
          <w:iCs/>
          <w:sz w:val="22"/>
          <w:szCs w:val="22"/>
        </w:rPr>
        <w:t>Attachment and coping of dementia care staff: the role of staff</w:t>
      </w:r>
      <w:r w:rsidR="002961B5">
        <w:rPr>
          <w:rFonts w:ascii="Arial" w:hAnsi="Arial" w:cs="Arial"/>
          <w:i/>
          <w:iCs/>
          <w:sz w:val="22"/>
          <w:szCs w:val="22"/>
        </w:rPr>
        <w:t xml:space="preserve"> attachment style, geriatric nursing self-efficacy, and approaches to dementia in burnout. </w:t>
      </w:r>
      <w:r w:rsidR="002961B5">
        <w:rPr>
          <w:rFonts w:ascii="Arial" w:hAnsi="Arial" w:cs="Arial"/>
          <w:sz w:val="22"/>
          <w:szCs w:val="22"/>
        </w:rPr>
        <w:t xml:space="preserve">Available at </w:t>
      </w:r>
      <w:hyperlink r:id="rId14" w:history="1">
        <w:r w:rsidR="002961B5" w:rsidRPr="00811531">
          <w:rPr>
            <w:rStyle w:val="Hyperlink"/>
            <w:rFonts w:ascii="Arial" w:hAnsi="Arial" w:cs="Arial"/>
            <w:sz w:val="22"/>
            <w:szCs w:val="22"/>
          </w:rPr>
          <w:t>https://librarysearch.uwtsd.ac.uk/discovery/fulldisplay?docid=cdi_proquest_miscellaneous_1832242474&amp;context=PC&amp;vid=44WHELF_UWTSD:44WHELF_UWTSD_VU1&amp;lang=en&amp;search_scope=MyInst_and_CI&amp;adaptor=Primo%20Central&amp;tab=Everything&amp;query=any,contains,attachment%20and%20coping%20of%20dementia%20care%20staff&amp;offset=0</w:t>
        </w:r>
      </w:hyperlink>
      <w:r w:rsidR="002961B5">
        <w:rPr>
          <w:rFonts w:ascii="Arial" w:hAnsi="Arial" w:cs="Arial"/>
          <w:sz w:val="22"/>
          <w:szCs w:val="22"/>
        </w:rPr>
        <w:t>. (Accessed on 12</w:t>
      </w:r>
      <w:r w:rsidR="002961B5" w:rsidRPr="002961B5">
        <w:rPr>
          <w:rFonts w:ascii="Arial" w:hAnsi="Arial" w:cs="Arial"/>
          <w:sz w:val="22"/>
          <w:szCs w:val="22"/>
          <w:vertAlign w:val="superscript"/>
        </w:rPr>
        <w:t>th</w:t>
      </w:r>
      <w:r w:rsidR="002961B5">
        <w:rPr>
          <w:rFonts w:ascii="Arial" w:hAnsi="Arial" w:cs="Arial"/>
          <w:sz w:val="22"/>
          <w:szCs w:val="22"/>
        </w:rPr>
        <w:t xml:space="preserve"> of December 2025).</w:t>
      </w:r>
    </w:p>
    <w:p w14:paraId="38301DD0" w14:textId="272CC343" w:rsidR="001F08BF" w:rsidRDefault="001F08BF" w:rsidP="00BA2788">
      <w:pPr>
        <w:pStyle w:val="ListParagraph"/>
        <w:numPr>
          <w:ilvl w:val="0"/>
          <w:numId w:val="2"/>
        </w:numPr>
        <w:jc w:val="both"/>
        <w:rPr>
          <w:rFonts w:ascii="Arial" w:hAnsi="Arial" w:cs="Arial"/>
          <w:sz w:val="22"/>
          <w:szCs w:val="22"/>
        </w:rPr>
      </w:pPr>
      <w:r>
        <w:rPr>
          <w:rFonts w:ascii="Arial" w:hAnsi="Arial" w:cs="Arial"/>
          <w:sz w:val="22"/>
          <w:szCs w:val="22"/>
        </w:rPr>
        <w:t xml:space="preserve">Nandhakumar, S. (2024), </w:t>
      </w:r>
      <w:r>
        <w:rPr>
          <w:rFonts w:ascii="Arial" w:hAnsi="Arial" w:cs="Arial"/>
          <w:i/>
          <w:iCs/>
          <w:sz w:val="22"/>
          <w:szCs w:val="22"/>
        </w:rPr>
        <w:t xml:space="preserve">Dementia: stigma and stories. </w:t>
      </w:r>
      <w:r>
        <w:rPr>
          <w:rFonts w:ascii="Arial" w:hAnsi="Arial" w:cs="Arial"/>
          <w:sz w:val="22"/>
          <w:szCs w:val="22"/>
        </w:rPr>
        <w:t xml:space="preserve">Available at </w:t>
      </w:r>
      <w:hyperlink r:id="rId15" w:history="1">
        <w:r w:rsidRPr="00811531">
          <w:rPr>
            <w:rStyle w:val="Hyperlink"/>
            <w:rFonts w:ascii="Arial" w:hAnsi="Arial" w:cs="Arial"/>
            <w:sz w:val="22"/>
            <w:szCs w:val="22"/>
          </w:rPr>
          <w:t>https://research-ebsco-com.ezproxy.uwtsd.ac.uk/c/onvpsy/ebook-viewer/pdf/skihcw5s6b/page/pp_i</w:t>
        </w:r>
      </w:hyperlink>
      <w:r>
        <w:rPr>
          <w:rFonts w:ascii="Arial" w:hAnsi="Arial" w:cs="Arial"/>
          <w:sz w:val="22"/>
          <w:szCs w:val="22"/>
        </w:rPr>
        <w:t>. (Accessed on 10</w:t>
      </w:r>
      <w:r w:rsidRPr="001F08BF">
        <w:rPr>
          <w:rFonts w:ascii="Arial" w:hAnsi="Arial" w:cs="Arial"/>
          <w:sz w:val="22"/>
          <w:szCs w:val="22"/>
          <w:vertAlign w:val="superscript"/>
        </w:rPr>
        <w:t>th</w:t>
      </w:r>
      <w:r>
        <w:rPr>
          <w:rFonts w:ascii="Arial" w:hAnsi="Arial" w:cs="Arial"/>
          <w:sz w:val="22"/>
          <w:szCs w:val="22"/>
        </w:rPr>
        <w:t xml:space="preserve"> of December 2025). </w:t>
      </w:r>
    </w:p>
    <w:p w14:paraId="5E1EB9F9" w14:textId="2794DF4D" w:rsidR="00471AF3" w:rsidRDefault="00471AF3" w:rsidP="00BA2788">
      <w:pPr>
        <w:pStyle w:val="ListParagraph"/>
        <w:numPr>
          <w:ilvl w:val="0"/>
          <w:numId w:val="2"/>
        </w:numPr>
        <w:jc w:val="both"/>
        <w:rPr>
          <w:rFonts w:ascii="Arial" w:hAnsi="Arial" w:cs="Arial"/>
          <w:sz w:val="22"/>
          <w:szCs w:val="22"/>
        </w:rPr>
      </w:pPr>
      <w:r>
        <w:rPr>
          <w:rFonts w:ascii="Arial" w:hAnsi="Arial" w:cs="Arial"/>
          <w:sz w:val="22"/>
          <w:szCs w:val="22"/>
        </w:rPr>
        <w:t xml:space="preserve">National Library of Medicine, Alzheimer’s Disease, Chapter 13, </w:t>
      </w:r>
      <w:r>
        <w:rPr>
          <w:rFonts w:ascii="Arial" w:hAnsi="Arial" w:cs="Arial"/>
          <w:i/>
          <w:iCs/>
          <w:sz w:val="22"/>
          <w:szCs w:val="22"/>
        </w:rPr>
        <w:t>Sense of sel</w:t>
      </w:r>
      <w:r w:rsidR="002C12FB">
        <w:rPr>
          <w:rFonts w:ascii="Arial" w:hAnsi="Arial" w:cs="Arial"/>
          <w:i/>
          <w:iCs/>
          <w:sz w:val="22"/>
          <w:szCs w:val="22"/>
        </w:rPr>
        <w:t xml:space="preserve">f among persons with advanced dementia. </w:t>
      </w:r>
      <w:r w:rsidR="002C12FB">
        <w:rPr>
          <w:rFonts w:ascii="Arial" w:hAnsi="Arial" w:cs="Arial"/>
          <w:sz w:val="22"/>
          <w:szCs w:val="22"/>
        </w:rPr>
        <w:t xml:space="preserve">Available at </w:t>
      </w:r>
      <w:hyperlink r:id="rId16" w:history="1">
        <w:r w:rsidR="002C12FB" w:rsidRPr="00811531">
          <w:rPr>
            <w:rStyle w:val="Hyperlink"/>
            <w:rFonts w:ascii="Arial" w:hAnsi="Arial" w:cs="Arial"/>
            <w:sz w:val="22"/>
            <w:szCs w:val="22"/>
          </w:rPr>
          <w:t>https://www.ncbi.nlm.nih.gov/books/NBK552152/</w:t>
        </w:r>
      </w:hyperlink>
      <w:r w:rsidR="002C12FB">
        <w:rPr>
          <w:rFonts w:ascii="Arial" w:hAnsi="Arial" w:cs="Arial"/>
          <w:sz w:val="22"/>
          <w:szCs w:val="22"/>
        </w:rPr>
        <w:t>. (Accessed on 15</w:t>
      </w:r>
      <w:r w:rsidR="002C12FB" w:rsidRPr="002C12FB">
        <w:rPr>
          <w:rFonts w:ascii="Arial" w:hAnsi="Arial" w:cs="Arial"/>
          <w:sz w:val="22"/>
          <w:szCs w:val="22"/>
          <w:vertAlign w:val="superscript"/>
        </w:rPr>
        <w:t>th</w:t>
      </w:r>
      <w:r w:rsidR="002C12FB">
        <w:rPr>
          <w:rFonts w:ascii="Arial" w:hAnsi="Arial" w:cs="Arial"/>
          <w:sz w:val="22"/>
          <w:szCs w:val="22"/>
        </w:rPr>
        <w:t xml:space="preserve"> of December 2025). </w:t>
      </w:r>
    </w:p>
    <w:p w14:paraId="00A00282" w14:textId="1D294BBF" w:rsidR="00553762" w:rsidRDefault="00553762" w:rsidP="00BA2788">
      <w:pPr>
        <w:pStyle w:val="ListParagraph"/>
        <w:numPr>
          <w:ilvl w:val="0"/>
          <w:numId w:val="2"/>
        </w:numPr>
        <w:jc w:val="both"/>
        <w:rPr>
          <w:rFonts w:ascii="Arial" w:hAnsi="Arial" w:cs="Arial"/>
          <w:sz w:val="22"/>
          <w:szCs w:val="22"/>
        </w:rPr>
      </w:pPr>
      <w:r>
        <w:rPr>
          <w:rFonts w:ascii="Arial" w:hAnsi="Arial" w:cs="Arial"/>
          <w:sz w:val="22"/>
          <w:szCs w:val="22"/>
        </w:rPr>
        <w:t xml:space="preserve">NHS, </w:t>
      </w:r>
      <w:r>
        <w:rPr>
          <w:rFonts w:ascii="Arial" w:hAnsi="Arial" w:cs="Arial"/>
          <w:i/>
          <w:iCs/>
          <w:sz w:val="22"/>
          <w:szCs w:val="22"/>
        </w:rPr>
        <w:t>Dementia and care homes</w:t>
      </w:r>
      <w:r w:rsidR="00907251">
        <w:rPr>
          <w:rFonts w:ascii="Arial" w:hAnsi="Arial" w:cs="Arial"/>
          <w:i/>
          <w:iCs/>
          <w:sz w:val="22"/>
          <w:szCs w:val="22"/>
        </w:rPr>
        <w:t xml:space="preserve">. </w:t>
      </w:r>
      <w:r w:rsidR="00907251">
        <w:rPr>
          <w:rFonts w:ascii="Arial" w:hAnsi="Arial" w:cs="Arial"/>
          <w:sz w:val="22"/>
          <w:szCs w:val="22"/>
        </w:rPr>
        <w:t xml:space="preserve">Available at </w:t>
      </w:r>
      <w:hyperlink r:id="rId17" w:history="1">
        <w:r w:rsidR="00907251" w:rsidRPr="00811531">
          <w:rPr>
            <w:rStyle w:val="Hyperlink"/>
            <w:rFonts w:ascii="Arial" w:hAnsi="Arial" w:cs="Arial"/>
            <w:sz w:val="22"/>
            <w:szCs w:val="22"/>
          </w:rPr>
          <w:t>https://www.nhs.uk/conditions/dementia/care-and-support/care-homes/</w:t>
        </w:r>
      </w:hyperlink>
      <w:r w:rsidR="00907251">
        <w:rPr>
          <w:rFonts w:ascii="Arial" w:hAnsi="Arial" w:cs="Arial"/>
          <w:sz w:val="22"/>
          <w:szCs w:val="22"/>
        </w:rPr>
        <w:t>. (Accessed on 10</w:t>
      </w:r>
      <w:r w:rsidR="00907251" w:rsidRPr="00907251">
        <w:rPr>
          <w:rFonts w:ascii="Arial" w:hAnsi="Arial" w:cs="Arial"/>
          <w:sz w:val="22"/>
          <w:szCs w:val="22"/>
          <w:vertAlign w:val="superscript"/>
        </w:rPr>
        <w:t>th</w:t>
      </w:r>
      <w:r w:rsidR="00907251">
        <w:rPr>
          <w:rFonts w:ascii="Arial" w:hAnsi="Arial" w:cs="Arial"/>
          <w:sz w:val="22"/>
          <w:szCs w:val="22"/>
        </w:rPr>
        <w:t xml:space="preserve"> of December 2025).</w:t>
      </w:r>
    </w:p>
    <w:p w14:paraId="67929658" w14:textId="0411CEFB" w:rsidR="006A1FDF" w:rsidRDefault="006A1FDF" w:rsidP="00BA2788">
      <w:pPr>
        <w:pStyle w:val="ListParagraph"/>
        <w:numPr>
          <w:ilvl w:val="0"/>
          <w:numId w:val="2"/>
        </w:numPr>
        <w:jc w:val="both"/>
        <w:rPr>
          <w:rFonts w:ascii="Arial" w:hAnsi="Arial" w:cs="Arial"/>
          <w:sz w:val="22"/>
          <w:szCs w:val="22"/>
        </w:rPr>
      </w:pPr>
      <w:r>
        <w:rPr>
          <w:rFonts w:ascii="Arial" w:hAnsi="Arial" w:cs="Arial"/>
          <w:sz w:val="22"/>
          <w:szCs w:val="22"/>
        </w:rPr>
        <w:t xml:space="preserve">Sroufe, L.A. (1980), </w:t>
      </w:r>
      <w:r>
        <w:rPr>
          <w:rFonts w:ascii="Arial" w:hAnsi="Arial" w:cs="Arial"/>
          <w:i/>
          <w:iCs/>
          <w:sz w:val="22"/>
          <w:szCs w:val="22"/>
        </w:rPr>
        <w:t xml:space="preserve">Patterns of Attachment: a psychological study of the strange situation. </w:t>
      </w:r>
      <w:r>
        <w:rPr>
          <w:rFonts w:ascii="Arial" w:hAnsi="Arial" w:cs="Arial"/>
          <w:sz w:val="22"/>
          <w:szCs w:val="22"/>
        </w:rPr>
        <w:t xml:space="preserve">Available at </w:t>
      </w:r>
      <w:hyperlink r:id="rId18" w:history="1">
        <w:r w:rsidR="00BA2788" w:rsidRPr="00811531">
          <w:rPr>
            <w:rStyle w:val="Hyperlink"/>
            <w:rFonts w:ascii="Arial" w:hAnsi="Arial" w:cs="Arial"/>
            <w:sz w:val="22"/>
            <w:szCs w:val="22"/>
          </w:rPr>
          <w:t>https://www-jstor-org.ezproxy.uwtsd.ac.uk/stable/27849769?seq=1</w:t>
        </w:r>
      </w:hyperlink>
      <w:r w:rsidR="00BA2788">
        <w:rPr>
          <w:rFonts w:ascii="Arial" w:hAnsi="Arial" w:cs="Arial"/>
          <w:sz w:val="22"/>
          <w:szCs w:val="22"/>
        </w:rPr>
        <w:t>. (Accessed on 13</w:t>
      </w:r>
      <w:r w:rsidR="00BA2788" w:rsidRPr="00BA2788">
        <w:rPr>
          <w:rFonts w:ascii="Arial" w:hAnsi="Arial" w:cs="Arial"/>
          <w:sz w:val="22"/>
          <w:szCs w:val="22"/>
          <w:vertAlign w:val="superscript"/>
        </w:rPr>
        <w:t>th</w:t>
      </w:r>
      <w:r w:rsidR="00BA2788">
        <w:rPr>
          <w:rFonts w:ascii="Arial" w:hAnsi="Arial" w:cs="Arial"/>
          <w:sz w:val="22"/>
          <w:szCs w:val="22"/>
        </w:rPr>
        <w:t xml:space="preserve"> of December 2025).</w:t>
      </w:r>
    </w:p>
    <w:p w14:paraId="76C7E7AC" w14:textId="46DE3B13" w:rsidR="00907251" w:rsidRDefault="00907251" w:rsidP="00BA2788">
      <w:pPr>
        <w:pStyle w:val="ListParagraph"/>
        <w:numPr>
          <w:ilvl w:val="0"/>
          <w:numId w:val="2"/>
        </w:numPr>
        <w:jc w:val="both"/>
        <w:rPr>
          <w:rFonts w:ascii="Arial" w:hAnsi="Arial" w:cs="Arial"/>
          <w:sz w:val="22"/>
          <w:szCs w:val="22"/>
        </w:rPr>
      </w:pPr>
      <w:r>
        <w:rPr>
          <w:rFonts w:ascii="Arial" w:hAnsi="Arial" w:cs="Arial"/>
          <w:sz w:val="22"/>
          <w:szCs w:val="22"/>
        </w:rPr>
        <w:t xml:space="preserve">Wokingham Borough Council (2025), </w:t>
      </w:r>
      <w:r>
        <w:rPr>
          <w:rFonts w:ascii="Arial" w:hAnsi="Arial" w:cs="Arial"/>
          <w:i/>
          <w:iCs/>
          <w:sz w:val="22"/>
          <w:szCs w:val="22"/>
        </w:rPr>
        <w:t xml:space="preserve">Dementia care homes. </w:t>
      </w:r>
      <w:r>
        <w:rPr>
          <w:rFonts w:ascii="Arial" w:hAnsi="Arial" w:cs="Arial"/>
          <w:sz w:val="22"/>
          <w:szCs w:val="22"/>
        </w:rPr>
        <w:t xml:space="preserve">Available at </w:t>
      </w:r>
      <w:hyperlink r:id="rId19" w:history="1">
        <w:r w:rsidRPr="00811531">
          <w:rPr>
            <w:rStyle w:val="Hyperlink"/>
            <w:rFonts w:ascii="Arial" w:hAnsi="Arial" w:cs="Arial"/>
            <w:sz w:val="22"/>
            <w:szCs w:val="22"/>
          </w:rPr>
          <w:t>https://www.wokingham.gov.uk/care-and-support-adults/care-and-nursing-homes/care-homes-and-specialist-care-facilities/about-dementia-care-homes</w:t>
        </w:r>
      </w:hyperlink>
      <w:r>
        <w:rPr>
          <w:rFonts w:ascii="Arial" w:hAnsi="Arial" w:cs="Arial"/>
          <w:sz w:val="22"/>
          <w:szCs w:val="22"/>
        </w:rPr>
        <w:t>. (Accessed on 11</w:t>
      </w:r>
      <w:r w:rsidRPr="00907251">
        <w:rPr>
          <w:rFonts w:ascii="Arial" w:hAnsi="Arial" w:cs="Arial"/>
          <w:sz w:val="22"/>
          <w:szCs w:val="22"/>
          <w:vertAlign w:val="superscript"/>
        </w:rPr>
        <w:t>th</w:t>
      </w:r>
      <w:r>
        <w:rPr>
          <w:rFonts w:ascii="Arial" w:hAnsi="Arial" w:cs="Arial"/>
          <w:sz w:val="22"/>
          <w:szCs w:val="22"/>
        </w:rPr>
        <w:t xml:space="preserve"> of December 2025).</w:t>
      </w:r>
    </w:p>
    <w:p w14:paraId="77486F71" w14:textId="1CEF7342" w:rsidR="00971D7E" w:rsidRPr="001F08BF" w:rsidRDefault="00971D7E" w:rsidP="00BA2788">
      <w:pPr>
        <w:pStyle w:val="ListParagraph"/>
        <w:numPr>
          <w:ilvl w:val="0"/>
          <w:numId w:val="2"/>
        </w:numPr>
        <w:jc w:val="both"/>
        <w:rPr>
          <w:rFonts w:ascii="Arial" w:hAnsi="Arial" w:cs="Arial"/>
          <w:sz w:val="22"/>
          <w:szCs w:val="22"/>
        </w:rPr>
      </w:pPr>
      <w:r>
        <w:rPr>
          <w:rFonts w:ascii="Arial" w:hAnsi="Arial" w:cs="Arial"/>
          <w:sz w:val="22"/>
          <w:szCs w:val="22"/>
        </w:rPr>
        <w:lastRenderedPageBreak/>
        <w:t xml:space="preserve">Young, T.J., </w:t>
      </w:r>
      <w:proofErr w:type="spellStart"/>
      <w:r w:rsidR="001F1633">
        <w:rPr>
          <w:rFonts w:ascii="Arial" w:hAnsi="Arial" w:cs="Arial"/>
          <w:sz w:val="22"/>
          <w:szCs w:val="22"/>
        </w:rPr>
        <w:t>Manthorp</w:t>
      </w:r>
      <w:proofErr w:type="spellEnd"/>
      <w:r w:rsidR="001F1633">
        <w:rPr>
          <w:rFonts w:ascii="Arial" w:hAnsi="Arial" w:cs="Arial"/>
          <w:sz w:val="22"/>
          <w:szCs w:val="22"/>
        </w:rPr>
        <w:t xml:space="preserve">, C., Howells, D., Tullo, E. (2011), </w:t>
      </w:r>
      <w:r w:rsidR="001F1633">
        <w:rPr>
          <w:rFonts w:ascii="Arial" w:hAnsi="Arial" w:cs="Arial"/>
          <w:i/>
          <w:iCs/>
          <w:sz w:val="22"/>
          <w:szCs w:val="22"/>
        </w:rPr>
        <w:t xml:space="preserve">Developing a carer communication intervention to support personhood and quality of life in dementia. </w:t>
      </w:r>
      <w:r w:rsidR="001F1633">
        <w:rPr>
          <w:rFonts w:ascii="Arial" w:hAnsi="Arial" w:cs="Arial"/>
          <w:sz w:val="22"/>
          <w:szCs w:val="22"/>
        </w:rPr>
        <w:t xml:space="preserve">Available at </w:t>
      </w:r>
      <w:hyperlink r:id="rId20" w:history="1">
        <w:r w:rsidR="001F1633" w:rsidRPr="00811531">
          <w:rPr>
            <w:rStyle w:val="Hyperlink"/>
            <w:rFonts w:ascii="Arial" w:hAnsi="Arial" w:cs="Arial"/>
            <w:sz w:val="22"/>
            <w:szCs w:val="22"/>
          </w:rPr>
          <w:t>https://librarysearch.uwtsd.ac.uk/discovery/fulldisplay?docid=cdi_proquest_miscellaneous_921288273&amp;context=PC&amp;vid=44WHELF_UWTSD:44WHELF_UWTSD_VU1&amp;lang=en&amp;search_scope=MyInst_and_CI&amp;adaptor=Primo%20Central&amp;tab=Everything&amp;query=any,contains,sociocultural%20theory%20and%20dementia&amp;offset=10</w:t>
        </w:r>
      </w:hyperlink>
      <w:r w:rsidR="001F1633">
        <w:rPr>
          <w:rFonts w:ascii="Arial" w:hAnsi="Arial" w:cs="Arial"/>
          <w:sz w:val="22"/>
          <w:szCs w:val="22"/>
        </w:rPr>
        <w:t>. (Accessed on 14</w:t>
      </w:r>
      <w:r w:rsidR="001F1633" w:rsidRPr="001F1633">
        <w:rPr>
          <w:rFonts w:ascii="Arial" w:hAnsi="Arial" w:cs="Arial"/>
          <w:sz w:val="22"/>
          <w:szCs w:val="22"/>
          <w:vertAlign w:val="superscript"/>
        </w:rPr>
        <w:t>th</w:t>
      </w:r>
      <w:r w:rsidR="001F1633">
        <w:rPr>
          <w:rFonts w:ascii="Arial" w:hAnsi="Arial" w:cs="Arial"/>
          <w:sz w:val="22"/>
          <w:szCs w:val="22"/>
        </w:rPr>
        <w:t xml:space="preserve"> of December 2025). </w:t>
      </w:r>
    </w:p>
    <w:sectPr w:rsidR="00971D7E" w:rsidRPr="001F08BF">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2BC93D" w14:textId="77777777" w:rsidR="00B04286" w:rsidRDefault="00B04286" w:rsidP="00952A37">
      <w:pPr>
        <w:spacing w:after="0" w:line="240" w:lineRule="auto"/>
      </w:pPr>
      <w:r>
        <w:separator/>
      </w:r>
    </w:p>
  </w:endnote>
  <w:endnote w:type="continuationSeparator" w:id="0">
    <w:p w14:paraId="67818B54" w14:textId="77777777" w:rsidR="00B04286" w:rsidRDefault="00B04286" w:rsidP="00952A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9809035"/>
      <w:docPartObj>
        <w:docPartGallery w:val="Page Numbers (Bottom of Page)"/>
        <w:docPartUnique/>
      </w:docPartObj>
    </w:sdtPr>
    <w:sdtContent>
      <w:p w14:paraId="640EBABE" w14:textId="54A2B164" w:rsidR="00952A37" w:rsidRDefault="00952A37">
        <w:pPr>
          <w:pStyle w:val="Footer"/>
          <w:jc w:val="center"/>
        </w:pPr>
        <w:r>
          <w:fldChar w:fldCharType="begin"/>
        </w:r>
        <w:r>
          <w:instrText>PAGE   \* MERGEFORMAT</w:instrText>
        </w:r>
        <w:r>
          <w:fldChar w:fldCharType="separate"/>
        </w:r>
        <w:r>
          <w:t>2</w:t>
        </w:r>
        <w:r>
          <w:fldChar w:fldCharType="end"/>
        </w:r>
      </w:p>
    </w:sdtContent>
  </w:sdt>
  <w:p w14:paraId="013CEF23" w14:textId="77777777" w:rsidR="00952A37" w:rsidRDefault="00952A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94874A" w14:textId="77777777" w:rsidR="00B04286" w:rsidRDefault="00B04286" w:rsidP="00952A37">
      <w:pPr>
        <w:spacing w:after="0" w:line="240" w:lineRule="auto"/>
      </w:pPr>
      <w:r>
        <w:separator/>
      </w:r>
    </w:p>
  </w:footnote>
  <w:footnote w:type="continuationSeparator" w:id="0">
    <w:p w14:paraId="5F61D2C4" w14:textId="77777777" w:rsidR="00B04286" w:rsidRDefault="00B04286" w:rsidP="00952A37">
      <w:pPr>
        <w:spacing w:after="0" w:line="240" w:lineRule="auto"/>
      </w:pPr>
      <w:r>
        <w:continuationSeparator/>
      </w:r>
    </w:p>
  </w:footnote>
  <w:footnote w:id="1">
    <w:p w14:paraId="6C2674B6" w14:textId="11DDE57E" w:rsidR="00DF3AFD" w:rsidRPr="0076682A" w:rsidRDefault="00DF3AFD">
      <w:pPr>
        <w:pStyle w:val="FootnoteText"/>
        <w:rPr>
          <w:lang w:val="en-US"/>
        </w:rPr>
      </w:pPr>
      <w:r>
        <w:rPr>
          <w:rStyle w:val="FootnoteReference"/>
        </w:rPr>
        <w:footnoteRef/>
      </w:r>
      <w:r>
        <w:t xml:space="preserve"> </w:t>
      </w:r>
      <w:r>
        <w:rPr>
          <w:lang w:val="en-US"/>
        </w:rPr>
        <w:t xml:space="preserve">Innes, A., Calvert, L., </w:t>
      </w:r>
      <w:r w:rsidR="0076682A">
        <w:rPr>
          <w:lang w:val="en-US"/>
        </w:rPr>
        <w:t xml:space="preserve">Bowker, G. (2021), </w:t>
      </w:r>
      <w:r w:rsidR="0076682A">
        <w:rPr>
          <w:i/>
          <w:iCs/>
          <w:lang w:val="en-US"/>
        </w:rPr>
        <w:t xml:space="preserve">Dementia: the basics. </w:t>
      </w:r>
      <w:r w:rsidR="0076682A">
        <w:rPr>
          <w:lang w:val="en-US"/>
        </w:rPr>
        <w:t xml:space="preserve">Available at </w:t>
      </w:r>
      <w:hyperlink r:id="rId1" w:history="1">
        <w:r w:rsidR="0076682A" w:rsidRPr="00811531">
          <w:rPr>
            <w:rStyle w:val="Hyperlink"/>
            <w:lang w:val="en-US"/>
          </w:rPr>
          <w:t>https://research-ebsco-com.ezproxy.uwtsd.ac.uk/c/onvpsy/ebook-viewer/pdf/qi4g54rgnb/section/lp_1?location=https://research-ebsco-com.ezproxy.uwtsd.ac.uk/c/onvpsy/search/details/qi4g54rgnb?db=nlebk</w:t>
        </w:r>
      </w:hyperlink>
      <w:r w:rsidR="0076682A">
        <w:rPr>
          <w:lang w:val="en-US"/>
        </w:rPr>
        <w:t>. (Accessed on 9</w:t>
      </w:r>
      <w:r w:rsidR="0076682A" w:rsidRPr="0076682A">
        <w:rPr>
          <w:vertAlign w:val="superscript"/>
          <w:lang w:val="en-US"/>
        </w:rPr>
        <w:t>th</w:t>
      </w:r>
      <w:r w:rsidR="0076682A">
        <w:rPr>
          <w:lang w:val="en-US"/>
        </w:rPr>
        <w:t xml:space="preserve"> of December 2025).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3F2058"/>
    <w:multiLevelType w:val="hybridMultilevel"/>
    <w:tmpl w:val="524EF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F109B0"/>
    <w:multiLevelType w:val="hybridMultilevel"/>
    <w:tmpl w:val="908E1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B540B9E"/>
    <w:multiLevelType w:val="hybridMultilevel"/>
    <w:tmpl w:val="C550145A"/>
    <w:lvl w:ilvl="0" w:tplc="03344F0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8642B9"/>
    <w:multiLevelType w:val="hybridMultilevel"/>
    <w:tmpl w:val="9BE631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5894322">
    <w:abstractNumId w:val="2"/>
  </w:num>
  <w:num w:numId="2" w16cid:durableId="541983899">
    <w:abstractNumId w:val="1"/>
  </w:num>
  <w:num w:numId="3" w16cid:durableId="475804582">
    <w:abstractNumId w:val="0"/>
  </w:num>
  <w:num w:numId="4" w16cid:durableId="20429747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F60"/>
    <w:rsid w:val="00004C65"/>
    <w:rsid w:val="00016AEE"/>
    <w:rsid w:val="00017789"/>
    <w:rsid w:val="00060FB4"/>
    <w:rsid w:val="00082804"/>
    <w:rsid w:val="000C2032"/>
    <w:rsid w:val="00152BFE"/>
    <w:rsid w:val="00194CC6"/>
    <w:rsid w:val="001F08BF"/>
    <w:rsid w:val="001F1633"/>
    <w:rsid w:val="001F44B8"/>
    <w:rsid w:val="00206129"/>
    <w:rsid w:val="00213518"/>
    <w:rsid w:val="00256A77"/>
    <w:rsid w:val="002961B5"/>
    <w:rsid w:val="002B786F"/>
    <w:rsid w:val="002C12FB"/>
    <w:rsid w:val="00325CF7"/>
    <w:rsid w:val="00331BEC"/>
    <w:rsid w:val="0038272F"/>
    <w:rsid w:val="003B4A80"/>
    <w:rsid w:val="003D43B7"/>
    <w:rsid w:val="00402EAD"/>
    <w:rsid w:val="004050F7"/>
    <w:rsid w:val="00425F60"/>
    <w:rsid w:val="004371CB"/>
    <w:rsid w:val="00437B07"/>
    <w:rsid w:val="00471AF3"/>
    <w:rsid w:val="00484F6A"/>
    <w:rsid w:val="00497E68"/>
    <w:rsid w:val="004D2847"/>
    <w:rsid w:val="004D46FC"/>
    <w:rsid w:val="00506EA7"/>
    <w:rsid w:val="00553762"/>
    <w:rsid w:val="00556503"/>
    <w:rsid w:val="00646B8C"/>
    <w:rsid w:val="00654022"/>
    <w:rsid w:val="006A1FDF"/>
    <w:rsid w:val="006A685A"/>
    <w:rsid w:val="00722ABC"/>
    <w:rsid w:val="0076682A"/>
    <w:rsid w:val="007741F3"/>
    <w:rsid w:val="00780A21"/>
    <w:rsid w:val="007C0B12"/>
    <w:rsid w:val="007C54DC"/>
    <w:rsid w:val="00843325"/>
    <w:rsid w:val="008E7E50"/>
    <w:rsid w:val="00907251"/>
    <w:rsid w:val="009309BA"/>
    <w:rsid w:val="009523D9"/>
    <w:rsid w:val="00952A37"/>
    <w:rsid w:val="00971D7E"/>
    <w:rsid w:val="00A52241"/>
    <w:rsid w:val="00A70410"/>
    <w:rsid w:val="00A733CD"/>
    <w:rsid w:val="00AE0A0D"/>
    <w:rsid w:val="00AE30E4"/>
    <w:rsid w:val="00AF5E59"/>
    <w:rsid w:val="00B04286"/>
    <w:rsid w:val="00B47E9E"/>
    <w:rsid w:val="00B5522D"/>
    <w:rsid w:val="00BA210B"/>
    <w:rsid w:val="00BA2788"/>
    <w:rsid w:val="00BB63F7"/>
    <w:rsid w:val="00BE29B4"/>
    <w:rsid w:val="00BF217C"/>
    <w:rsid w:val="00C870A4"/>
    <w:rsid w:val="00D37D8B"/>
    <w:rsid w:val="00D52E6C"/>
    <w:rsid w:val="00D97F47"/>
    <w:rsid w:val="00DA014F"/>
    <w:rsid w:val="00DA2A10"/>
    <w:rsid w:val="00DA4078"/>
    <w:rsid w:val="00DE0A3A"/>
    <w:rsid w:val="00DE5E2A"/>
    <w:rsid w:val="00DF3AFD"/>
    <w:rsid w:val="00E56030"/>
    <w:rsid w:val="00E646AC"/>
    <w:rsid w:val="00E75336"/>
    <w:rsid w:val="00EA57C1"/>
    <w:rsid w:val="00EB33EE"/>
    <w:rsid w:val="00EF0342"/>
    <w:rsid w:val="00F07EB3"/>
    <w:rsid w:val="00F659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6033D"/>
  <w15:chartTrackingRefBased/>
  <w15:docId w15:val="{26EC2EEC-490C-E74A-ACE8-A696749A0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5F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5F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25F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25F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5F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5F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5F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5F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5F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5F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5F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25F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25F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5F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5F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5F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5F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5F60"/>
    <w:rPr>
      <w:rFonts w:eastAsiaTheme="majorEastAsia" w:cstheme="majorBidi"/>
      <w:color w:val="272727" w:themeColor="text1" w:themeTint="D8"/>
    </w:rPr>
  </w:style>
  <w:style w:type="paragraph" w:styleId="Title">
    <w:name w:val="Title"/>
    <w:basedOn w:val="Normal"/>
    <w:next w:val="Normal"/>
    <w:link w:val="TitleChar"/>
    <w:uiPriority w:val="10"/>
    <w:qFormat/>
    <w:rsid w:val="00425F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5F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5F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5F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5F60"/>
    <w:pPr>
      <w:spacing w:before="160"/>
      <w:jc w:val="center"/>
    </w:pPr>
    <w:rPr>
      <w:i/>
      <w:iCs/>
      <w:color w:val="404040" w:themeColor="text1" w:themeTint="BF"/>
    </w:rPr>
  </w:style>
  <w:style w:type="character" w:customStyle="1" w:styleId="QuoteChar">
    <w:name w:val="Quote Char"/>
    <w:basedOn w:val="DefaultParagraphFont"/>
    <w:link w:val="Quote"/>
    <w:uiPriority w:val="29"/>
    <w:rsid w:val="00425F60"/>
    <w:rPr>
      <w:i/>
      <w:iCs/>
      <w:color w:val="404040" w:themeColor="text1" w:themeTint="BF"/>
    </w:rPr>
  </w:style>
  <w:style w:type="paragraph" w:styleId="ListParagraph">
    <w:name w:val="List Paragraph"/>
    <w:basedOn w:val="Normal"/>
    <w:uiPriority w:val="34"/>
    <w:qFormat/>
    <w:rsid w:val="00425F60"/>
    <w:pPr>
      <w:ind w:left="720"/>
      <w:contextualSpacing/>
    </w:pPr>
  </w:style>
  <w:style w:type="character" w:styleId="IntenseEmphasis">
    <w:name w:val="Intense Emphasis"/>
    <w:basedOn w:val="DefaultParagraphFont"/>
    <w:uiPriority w:val="21"/>
    <w:qFormat/>
    <w:rsid w:val="00425F60"/>
    <w:rPr>
      <w:i/>
      <w:iCs/>
      <w:color w:val="0F4761" w:themeColor="accent1" w:themeShade="BF"/>
    </w:rPr>
  </w:style>
  <w:style w:type="paragraph" w:styleId="IntenseQuote">
    <w:name w:val="Intense Quote"/>
    <w:basedOn w:val="Normal"/>
    <w:next w:val="Normal"/>
    <w:link w:val="IntenseQuoteChar"/>
    <w:uiPriority w:val="30"/>
    <w:qFormat/>
    <w:rsid w:val="00425F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5F60"/>
    <w:rPr>
      <w:i/>
      <w:iCs/>
      <w:color w:val="0F4761" w:themeColor="accent1" w:themeShade="BF"/>
    </w:rPr>
  </w:style>
  <w:style w:type="character" w:styleId="IntenseReference">
    <w:name w:val="Intense Reference"/>
    <w:basedOn w:val="DefaultParagraphFont"/>
    <w:uiPriority w:val="32"/>
    <w:qFormat/>
    <w:rsid w:val="00425F60"/>
    <w:rPr>
      <w:b/>
      <w:bCs/>
      <w:smallCaps/>
      <w:color w:val="0F4761" w:themeColor="accent1" w:themeShade="BF"/>
      <w:spacing w:val="5"/>
    </w:rPr>
  </w:style>
  <w:style w:type="character" w:styleId="Strong">
    <w:name w:val="Strong"/>
    <w:basedOn w:val="DefaultParagraphFont"/>
    <w:uiPriority w:val="22"/>
    <w:qFormat/>
    <w:rsid w:val="00425F60"/>
    <w:rPr>
      <w:b/>
      <w:bCs/>
    </w:rPr>
  </w:style>
  <w:style w:type="paragraph" w:styleId="NormalWeb">
    <w:name w:val="Normal (Web)"/>
    <w:basedOn w:val="Normal"/>
    <w:uiPriority w:val="99"/>
    <w:semiHidden/>
    <w:unhideWhenUsed/>
    <w:rsid w:val="00425F60"/>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425F60"/>
  </w:style>
  <w:style w:type="character" w:styleId="Emphasis">
    <w:name w:val="Emphasis"/>
    <w:basedOn w:val="DefaultParagraphFont"/>
    <w:uiPriority w:val="20"/>
    <w:qFormat/>
    <w:rsid w:val="00425F60"/>
    <w:rPr>
      <w:i/>
      <w:iCs/>
    </w:rPr>
  </w:style>
  <w:style w:type="paragraph" w:styleId="Header">
    <w:name w:val="header"/>
    <w:basedOn w:val="Normal"/>
    <w:link w:val="HeaderChar"/>
    <w:uiPriority w:val="99"/>
    <w:unhideWhenUsed/>
    <w:rsid w:val="00952A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A37"/>
  </w:style>
  <w:style w:type="paragraph" w:styleId="Footer">
    <w:name w:val="footer"/>
    <w:basedOn w:val="Normal"/>
    <w:link w:val="FooterChar"/>
    <w:uiPriority w:val="99"/>
    <w:unhideWhenUsed/>
    <w:rsid w:val="00952A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A37"/>
  </w:style>
  <w:style w:type="paragraph" w:styleId="FootnoteText">
    <w:name w:val="footnote text"/>
    <w:basedOn w:val="Normal"/>
    <w:link w:val="FootnoteTextChar"/>
    <w:uiPriority w:val="99"/>
    <w:semiHidden/>
    <w:unhideWhenUsed/>
    <w:rsid w:val="00DF3A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F3AFD"/>
    <w:rPr>
      <w:sz w:val="20"/>
      <w:szCs w:val="20"/>
    </w:rPr>
  </w:style>
  <w:style w:type="character" w:styleId="FootnoteReference">
    <w:name w:val="footnote reference"/>
    <w:basedOn w:val="DefaultParagraphFont"/>
    <w:uiPriority w:val="99"/>
    <w:semiHidden/>
    <w:unhideWhenUsed/>
    <w:rsid w:val="00DF3AFD"/>
    <w:rPr>
      <w:vertAlign w:val="superscript"/>
    </w:rPr>
  </w:style>
  <w:style w:type="character" w:styleId="Hyperlink">
    <w:name w:val="Hyperlink"/>
    <w:basedOn w:val="DefaultParagraphFont"/>
    <w:uiPriority w:val="99"/>
    <w:unhideWhenUsed/>
    <w:rsid w:val="0076682A"/>
    <w:rPr>
      <w:color w:val="467886" w:themeColor="hyperlink"/>
      <w:u w:val="single"/>
    </w:rPr>
  </w:style>
  <w:style w:type="character" w:styleId="UnresolvedMention">
    <w:name w:val="Unresolved Mention"/>
    <w:basedOn w:val="DefaultParagraphFont"/>
    <w:uiPriority w:val="99"/>
    <w:semiHidden/>
    <w:unhideWhenUsed/>
    <w:rsid w:val="007668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1907747">
      <w:bodyDiv w:val="1"/>
      <w:marLeft w:val="0"/>
      <w:marRight w:val="0"/>
      <w:marTop w:val="0"/>
      <w:marBottom w:val="0"/>
      <w:divBdr>
        <w:top w:val="none" w:sz="0" w:space="0" w:color="auto"/>
        <w:left w:val="none" w:sz="0" w:space="0" w:color="auto"/>
        <w:bottom w:val="none" w:sz="0" w:space="0" w:color="auto"/>
        <w:right w:val="none" w:sz="0" w:space="0" w:color="auto"/>
      </w:divBdr>
    </w:div>
    <w:div w:id="1092628218">
      <w:bodyDiv w:val="1"/>
      <w:marLeft w:val="0"/>
      <w:marRight w:val="0"/>
      <w:marTop w:val="0"/>
      <w:marBottom w:val="0"/>
      <w:divBdr>
        <w:top w:val="none" w:sz="0" w:space="0" w:color="auto"/>
        <w:left w:val="none" w:sz="0" w:space="0" w:color="auto"/>
        <w:bottom w:val="none" w:sz="0" w:space="0" w:color="auto"/>
        <w:right w:val="none" w:sz="0" w:space="0" w:color="auto"/>
      </w:divBdr>
    </w:div>
    <w:div w:id="2007977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aylorfrancis.com/reader/read-online/eed8627f-2443-4764-a755-727e029fa450/book/epub?context=ubx" TargetMode="External"/><Relationship Id="rId18" Type="http://schemas.openxmlformats.org/officeDocument/2006/relationships/hyperlink" Target="https://www-jstor-org.ezproxy.uwtsd.ac.uk/stable/27849769?seq=1"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journals-sagepub-com.ezproxy.uwtsd.ac.uk/doi/abs/10.1177/1471301209350285" TargetMode="External"/><Relationship Id="rId17" Type="http://schemas.openxmlformats.org/officeDocument/2006/relationships/hyperlink" Target="https://www.nhs.uk/conditions/dementia/care-and-support/care-homes/" TargetMode="External"/><Relationship Id="rId2" Type="http://schemas.openxmlformats.org/officeDocument/2006/relationships/numbering" Target="numbering.xml"/><Relationship Id="rId16" Type="http://schemas.openxmlformats.org/officeDocument/2006/relationships/hyperlink" Target="https://www.ncbi.nlm.nih.gov/books/NBK552152/" TargetMode="External"/><Relationship Id="rId20" Type="http://schemas.openxmlformats.org/officeDocument/2006/relationships/hyperlink" Target="https://librarysearch.uwtsd.ac.uk/discovery/fulldisplay?docid=cdi_proquest_miscellaneous_921288273&amp;context=PC&amp;vid=44WHELF_UWTSD:44WHELF_UWTSD_VU1&amp;lang=en&amp;search_scope=MyInst_and_CI&amp;adaptor=Primo%20Central&amp;tab=Everything&amp;query=any,contains,sociocultural%20theory%20and%20dementia&amp;offset=1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pa.co.uk/care-services/what-type-of-care-do-i-need/dementia-care" TargetMode="External"/><Relationship Id="rId5" Type="http://schemas.openxmlformats.org/officeDocument/2006/relationships/webSettings" Target="webSettings.xml"/><Relationship Id="rId15" Type="http://schemas.openxmlformats.org/officeDocument/2006/relationships/hyperlink" Target="https://research-ebsco-com.ezproxy.uwtsd.ac.uk/c/onvpsy/ebook-viewer/pdf/skihcw5s6b/page/pp_i" TargetMode="External"/><Relationship Id="rId23" Type="http://schemas.openxmlformats.org/officeDocument/2006/relationships/theme" Target="theme/theme1.xml"/><Relationship Id="rId10" Type="http://schemas.openxmlformats.org/officeDocument/2006/relationships/hyperlink" Target="https://umu.diva-portal.org/smash/get/diva2:815567/FULLTEXT01.pdf" TargetMode="External"/><Relationship Id="rId19" Type="http://schemas.openxmlformats.org/officeDocument/2006/relationships/hyperlink" Target="https://www.wokingham.gov.uk/care-and-support-adults/care-and-nursing-homes/care-homes-and-specialist-care-facilities/about-dementia-care-homes" TargetMode="External"/><Relationship Id="rId4" Type="http://schemas.openxmlformats.org/officeDocument/2006/relationships/settings" Target="settings.xml"/><Relationship Id="rId9" Type="http://schemas.openxmlformats.org/officeDocument/2006/relationships/hyperlink" Target="https://academic.oup.com/book/56399/chapter/450128981?login=true" TargetMode="External"/><Relationship Id="rId14" Type="http://schemas.openxmlformats.org/officeDocument/2006/relationships/hyperlink" Target="https://librarysearch.uwtsd.ac.uk/discovery/fulldisplay?docid=cdi_proquest_miscellaneous_1832242474&amp;context=PC&amp;vid=44WHELF_UWTSD:44WHELF_UWTSD_VU1&amp;lang=en&amp;search_scope=MyInst_and_CI&amp;adaptor=Primo%20Central&amp;tab=Everything&amp;query=any,contains,attachment%20and%20coping%20of%20dementia%20care%20staff&amp;offset=0"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research-ebsco-com.ezproxy.uwtsd.ac.uk/c/onvpsy/ebook-viewer/pdf/qi4g54rgnb/section/lp_1?location=https://research-ebsco-com.ezproxy.uwtsd.ac.uk/c/onvpsy/search/details/qi4g54rgnb?db=nleb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C89D34-F091-4728-A027-39388661B0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2189</Words>
  <Characters>12478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Dominic Barrett Evans</cp:lastModifiedBy>
  <cp:revision>2</cp:revision>
  <dcterms:created xsi:type="dcterms:W3CDTF">2025-12-19T00:12:00Z</dcterms:created>
  <dcterms:modified xsi:type="dcterms:W3CDTF">2025-12-19T00:12:00Z</dcterms:modified>
</cp:coreProperties>
</file>