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r w:rsidRPr="00C6488B">
        <w:rPr>
          <w:rFonts w:ascii="Cambria" w:hAnsi="Cambria"/>
          <w:b/>
          <w:noProof/>
          <w:sz w:val="28"/>
          <w:u w:val="single"/>
          <w:lang w:eastAsia="en-GB"/>
        </w:rPr>
        <mc:AlternateContent>
          <mc:Choice Requires="wps">
            <w:drawing>
              <wp:anchor distT="0" distB="0" distL="114300" distR="114300" simplePos="0" relativeHeight="251659264" behindDoc="0" locked="0" layoutInCell="1" allowOverlap="1" wp14:editId="36B11C9B">
                <wp:simplePos x="0" y="0"/>
                <wp:positionH relativeFrom="column">
                  <wp:align>center</wp:align>
                </wp:positionH>
                <wp:positionV relativeFrom="paragraph">
                  <wp:posOffset>0</wp:posOffset>
                </wp:positionV>
                <wp:extent cx="4343400" cy="448627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4486275"/>
                        </a:xfrm>
                        <a:prstGeom prst="rect">
                          <a:avLst/>
                        </a:prstGeom>
                        <a:solidFill>
                          <a:srgbClr val="FFFFFF"/>
                        </a:solidFill>
                        <a:ln w="9525">
                          <a:solidFill>
                            <a:srgbClr val="000000"/>
                          </a:solidFill>
                          <a:miter lim="800000"/>
                          <a:headEnd/>
                          <a:tailEnd/>
                        </a:ln>
                      </wps:spPr>
                      <wps:txbx>
                        <w:txbxContent>
                          <w:p w:rsidR="00C71483" w:rsidRDefault="00C71483" w:rsidP="0033644D">
                            <w:pPr>
                              <w:spacing w:line="256" w:lineRule="auto"/>
                              <w:rPr>
                                <w:rFonts w:ascii="Calibri" w:eastAsia="Times New Roman" w:hAnsi="Calibri" w:cs="Calibri"/>
                                <w:lang w:eastAsia="en-GB"/>
                              </w:rPr>
                            </w:pPr>
                          </w:p>
                          <w:p w:rsidR="00C71483" w:rsidRPr="00C71483" w:rsidRDefault="00541DF9" w:rsidP="0033644D">
                            <w:pPr>
                              <w:spacing w:line="256" w:lineRule="auto"/>
                              <w:rPr>
                                <w:rFonts w:ascii="Calibri" w:eastAsia="Times New Roman" w:hAnsi="Calibri" w:cs="Calibri"/>
                                <w:b/>
                                <w:sz w:val="28"/>
                                <w:szCs w:val="28"/>
                                <w:lang w:eastAsia="en-GB"/>
                              </w:rPr>
                            </w:pPr>
                            <w:r>
                              <w:rPr>
                                <w:rFonts w:ascii="Calibri" w:eastAsia="Times New Roman" w:hAnsi="Calibri" w:cs="Calibri"/>
                                <w:b/>
                                <w:sz w:val="28"/>
                                <w:szCs w:val="28"/>
                                <w:lang w:eastAsia="en-GB"/>
                              </w:rPr>
                              <w:t>Mark 73</w:t>
                            </w:r>
                          </w:p>
                          <w:p w:rsidR="0033644D" w:rsidRPr="0033644D"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 xml:space="preserve">This paper engages with the assignment question with a nicely written, clear and engaging way. The ethnographic details and arguments made </w:t>
                            </w:r>
                            <w:proofErr w:type="gramStart"/>
                            <w:r w:rsidRPr="0033644D">
                              <w:rPr>
                                <w:rFonts w:ascii="Calibri" w:eastAsia="Times New Roman" w:hAnsi="Calibri" w:cs="Calibri"/>
                                <w:sz w:val="24"/>
                                <w:szCs w:val="24"/>
                                <w:lang w:eastAsia="en-GB"/>
                              </w:rPr>
                              <w:t>are backed up</w:t>
                            </w:r>
                            <w:proofErr w:type="gramEnd"/>
                            <w:r w:rsidRPr="0033644D">
                              <w:rPr>
                                <w:rFonts w:ascii="Calibri" w:eastAsia="Times New Roman" w:hAnsi="Calibri" w:cs="Calibri"/>
                                <w:sz w:val="24"/>
                                <w:szCs w:val="24"/>
                                <w:lang w:eastAsia="en-GB"/>
                              </w:rPr>
                              <w:t xml:space="preserve"> with sound knowledge of theory covered during the last week</w:t>
                            </w:r>
                            <w:r w:rsidRPr="00D4622A">
                              <w:rPr>
                                <w:rFonts w:ascii="Calibri" w:eastAsia="Times New Roman" w:hAnsi="Calibri" w:cs="Calibri"/>
                                <w:sz w:val="24"/>
                                <w:szCs w:val="24"/>
                                <w:lang w:eastAsia="en-GB"/>
                              </w:rPr>
                              <w:t xml:space="preserve"> of the block</w:t>
                            </w:r>
                            <w:r w:rsidR="001111F0">
                              <w:rPr>
                                <w:rFonts w:ascii="Calibri" w:eastAsia="Times New Roman" w:hAnsi="Calibri" w:cs="Calibri"/>
                                <w:sz w:val="24"/>
                                <w:szCs w:val="24"/>
                                <w:lang w:eastAsia="en-GB"/>
                              </w:rPr>
                              <w:t>, and aside of answering the assignment question, the paper engages nicely with the content of the whole course.</w:t>
                            </w:r>
                          </w:p>
                          <w:p w:rsidR="0033644D" w:rsidRPr="0033644D"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The section on egalitarianism by reverse dominance</w:t>
                            </w:r>
                            <w:r w:rsidR="001111F0">
                              <w:rPr>
                                <w:rFonts w:ascii="Calibri" w:eastAsia="Times New Roman" w:hAnsi="Calibri" w:cs="Calibri"/>
                                <w:sz w:val="24"/>
                                <w:szCs w:val="24"/>
                                <w:lang w:eastAsia="en-GB"/>
                              </w:rPr>
                              <w:t xml:space="preserve"> was detailed and engaging. Good</w:t>
                            </w:r>
                            <w:r w:rsidRPr="0033644D">
                              <w:rPr>
                                <w:rFonts w:ascii="Calibri" w:eastAsia="Times New Roman" w:hAnsi="Calibri" w:cs="Calibri"/>
                                <w:sz w:val="24"/>
                                <w:szCs w:val="24"/>
                                <w:lang w:eastAsia="en-GB"/>
                              </w:rPr>
                              <w:t xml:space="preserve"> comparison of the gender roles and their relationship with equality </w:t>
                            </w:r>
                            <w:proofErr w:type="gramStart"/>
                            <w:r w:rsidRPr="0033644D">
                              <w:rPr>
                                <w:rFonts w:ascii="Calibri" w:eastAsia="Times New Roman" w:hAnsi="Calibri" w:cs="Calibri"/>
                                <w:sz w:val="24"/>
                                <w:szCs w:val="24"/>
                                <w:lang w:eastAsia="en-GB"/>
                              </w:rPr>
                              <w:t>among</w:t>
                            </w:r>
                            <w:proofErr w:type="gramEnd"/>
                            <w:r w:rsidRPr="0033644D">
                              <w:rPr>
                                <w:rFonts w:ascii="Calibri" w:eastAsia="Times New Roman" w:hAnsi="Calibri" w:cs="Calibri"/>
                                <w:sz w:val="24"/>
                                <w:szCs w:val="24"/>
                                <w:lang w:eastAsia="en-GB"/>
                              </w:rPr>
                              <w:t xml:space="preserve"> the </w:t>
                            </w:r>
                            <w:proofErr w:type="spellStart"/>
                            <w:r w:rsidRPr="0033644D">
                              <w:rPr>
                                <w:rFonts w:ascii="Calibri" w:eastAsia="Times New Roman" w:hAnsi="Calibri" w:cs="Calibri"/>
                                <w:sz w:val="24"/>
                                <w:szCs w:val="24"/>
                                <w:lang w:eastAsia="en-GB"/>
                              </w:rPr>
                              <w:t>Mbuti</w:t>
                            </w:r>
                            <w:proofErr w:type="spellEnd"/>
                            <w:r w:rsidRPr="0033644D">
                              <w:rPr>
                                <w:rFonts w:ascii="Calibri" w:eastAsia="Times New Roman" w:hAnsi="Calibri" w:cs="Calibri"/>
                                <w:sz w:val="24"/>
                                <w:szCs w:val="24"/>
                                <w:lang w:eastAsia="en-GB"/>
                              </w:rPr>
                              <w:t xml:space="preserve"> and the </w:t>
                            </w:r>
                            <w:proofErr w:type="spellStart"/>
                            <w:r w:rsidRPr="0033644D">
                              <w:rPr>
                                <w:rFonts w:ascii="Calibri" w:eastAsia="Times New Roman" w:hAnsi="Calibri" w:cs="Calibri"/>
                                <w:sz w:val="24"/>
                                <w:szCs w:val="24"/>
                                <w:lang w:eastAsia="en-GB"/>
                              </w:rPr>
                              <w:t>Sambia</w:t>
                            </w:r>
                            <w:proofErr w:type="spellEnd"/>
                            <w:r w:rsidRPr="0033644D">
                              <w:rPr>
                                <w:rFonts w:ascii="Calibri" w:eastAsia="Times New Roman" w:hAnsi="Calibri" w:cs="Calibri"/>
                                <w:sz w:val="24"/>
                                <w:szCs w:val="24"/>
                                <w:lang w:eastAsia="en-GB"/>
                              </w:rPr>
                              <w:t xml:space="preserve">. </w:t>
                            </w:r>
                          </w:p>
                          <w:p w:rsidR="0033644D" w:rsidRPr="00D4622A"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The section on discipline and dominance was highly original in its approach of evaluating dominance among pastoral societies, and its relationship with the concept</w:t>
                            </w:r>
                            <w:r w:rsidRPr="00D4622A">
                              <w:rPr>
                                <w:rFonts w:ascii="Calibri" w:eastAsia="Times New Roman" w:hAnsi="Calibri" w:cs="Calibri"/>
                                <w:sz w:val="24"/>
                                <w:szCs w:val="24"/>
                                <w:lang w:eastAsia="en-GB"/>
                              </w:rPr>
                              <w:t xml:space="preserve"> of ownership and patriarchy</w:t>
                            </w:r>
                            <w:r w:rsidRPr="0033644D">
                              <w:rPr>
                                <w:rFonts w:ascii="Calibri" w:eastAsia="Times New Roman" w:hAnsi="Calibri" w:cs="Calibri"/>
                                <w:sz w:val="24"/>
                                <w:szCs w:val="24"/>
                                <w:lang w:eastAsia="en-GB"/>
                              </w:rPr>
                              <w:t>.</w:t>
                            </w:r>
                            <w:r w:rsidR="00851A83" w:rsidRPr="00D4622A">
                              <w:rPr>
                                <w:rFonts w:ascii="Calibri" w:eastAsia="Times New Roman" w:hAnsi="Calibri" w:cs="Calibri"/>
                                <w:sz w:val="24"/>
                                <w:szCs w:val="24"/>
                                <w:lang w:eastAsia="en-GB"/>
                              </w:rPr>
                              <w:t xml:space="preserve"> The paper showed excellent independent thought.</w:t>
                            </w:r>
                          </w:p>
                          <w:p w:rsidR="0033644D" w:rsidRPr="0033644D"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Because the word count was</w:t>
                            </w:r>
                            <w:r w:rsidR="00461598">
                              <w:rPr>
                                <w:rFonts w:ascii="Calibri" w:eastAsia="Times New Roman" w:hAnsi="Calibri" w:cs="Calibri"/>
                                <w:sz w:val="24"/>
                                <w:szCs w:val="24"/>
                                <w:lang w:eastAsia="en-GB"/>
                              </w:rPr>
                              <w:t xml:space="preserve"> short, the mark was not higher (this could have been 76)</w:t>
                            </w:r>
                          </w:p>
                          <w:p w:rsidR="0033644D" w:rsidRPr="0033644D" w:rsidRDefault="0033644D" w:rsidP="0033644D">
                            <w:pPr>
                              <w:spacing w:line="256" w:lineRule="auto"/>
                              <w:rPr>
                                <w:rFonts w:ascii="Calibri" w:eastAsia="Times New Roman" w:hAnsi="Calibri" w:cs="Calibri"/>
                                <w:sz w:val="24"/>
                                <w:szCs w:val="24"/>
                                <w:lang w:eastAsia="en-GB"/>
                              </w:rPr>
                            </w:pPr>
                            <w:proofErr w:type="gramStart"/>
                            <w:r w:rsidRPr="0033644D">
                              <w:rPr>
                                <w:rFonts w:ascii="Calibri" w:eastAsia="Times New Roman" w:hAnsi="Calibri" w:cs="Calibri"/>
                                <w:sz w:val="24"/>
                                <w:szCs w:val="24"/>
                                <w:lang w:eastAsia="en-GB"/>
                              </w:rPr>
                              <w:t>Well</w:t>
                            </w:r>
                            <w:r w:rsidRPr="00D4622A">
                              <w:rPr>
                                <w:rFonts w:ascii="Calibri" w:eastAsia="Times New Roman" w:hAnsi="Calibri" w:cs="Calibri"/>
                                <w:sz w:val="24"/>
                                <w:szCs w:val="24"/>
                                <w:lang w:eastAsia="en-GB"/>
                              </w:rPr>
                              <w:t xml:space="preserve"> done for </w:t>
                            </w:r>
                            <w:r w:rsidR="00B777BA" w:rsidRPr="00D4622A">
                              <w:rPr>
                                <w:rFonts w:ascii="Calibri" w:eastAsia="Times New Roman" w:hAnsi="Calibri" w:cs="Calibri"/>
                                <w:sz w:val="24"/>
                                <w:szCs w:val="24"/>
                                <w:lang w:eastAsia="en-GB"/>
                              </w:rPr>
                              <w:t xml:space="preserve">writing </w:t>
                            </w:r>
                            <w:r w:rsidRPr="00D4622A">
                              <w:rPr>
                                <w:rFonts w:ascii="Calibri" w:eastAsia="Times New Roman" w:hAnsi="Calibri" w:cs="Calibri"/>
                                <w:sz w:val="24"/>
                                <w:szCs w:val="24"/>
                                <w:lang w:eastAsia="en-GB"/>
                              </w:rPr>
                              <w:t>wonderful assignments!</w:t>
                            </w:r>
                            <w:proofErr w:type="gramEnd"/>
                          </w:p>
                          <w:p w:rsidR="0033644D" w:rsidRDefault="0033644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0;width:342pt;height:353.25pt;z-index:251659264;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">
                <v:textbox>
                  <w:txbxContent>
                    <w:p w:rsidR="00C71483" w:rsidRDefault="00C71483" w:rsidP="0033644D">
                      <w:pPr>
                        <w:spacing w:line="256" w:lineRule="auto"/>
                        <w:rPr>
                          <w:rFonts w:ascii="Calibri" w:eastAsia="Times New Roman" w:hAnsi="Calibri" w:cs="Calibri"/>
                          <w:lang w:eastAsia="en-GB"/>
                        </w:rPr>
                      </w:pPr>
                    </w:p>
                    <w:p w:rsidR="00C71483" w:rsidRPr="00C71483" w:rsidRDefault="00541DF9" w:rsidP="0033644D">
                      <w:pPr>
                        <w:spacing w:line="256" w:lineRule="auto"/>
                        <w:rPr>
                          <w:rFonts w:ascii="Calibri" w:eastAsia="Times New Roman" w:hAnsi="Calibri" w:cs="Calibri"/>
                          <w:b/>
                          <w:sz w:val="28"/>
                          <w:szCs w:val="28"/>
                          <w:lang w:eastAsia="en-GB"/>
                        </w:rPr>
                      </w:pPr>
                      <w:r>
                        <w:rPr>
                          <w:rFonts w:ascii="Calibri" w:eastAsia="Times New Roman" w:hAnsi="Calibri" w:cs="Calibri"/>
                          <w:b/>
                          <w:sz w:val="28"/>
                          <w:szCs w:val="28"/>
                          <w:lang w:eastAsia="en-GB"/>
                        </w:rPr>
                        <w:t>Mark 73</w:t>
                      </w:r>
                    </w:p>
                    <w:p w:rsidR="0033644D" w:rsidRPr="0033644D"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 xml:space="preserve">This paper engages with the assignment question with a nicely written, clear and engaging way. The ethnographic details and arguments made </w:t>
                      </w:r>
                      <w:proofErr w:type="gramStart"/>
                      <w:r w:rsidRPr="0033644D">
                        <w:rPr>
                          <w:rFonts w:ascii="Calibri" w:eastAsia="Times New Roman" w:hAnsi="Calibri" w:cs="Calibri"/>
                          <w:sz w:val="24"/>
                          <w:szCs w:val="24"/>
                          <w:lang w:eastAsia="en-GB"/>
                        </w:rPr>
                        <w:t>are backed up</w:t>
                      </w:r>
                      <w:proofErr w:type="gramEnd"/>
                      <w:r w:rsidRPr="0033644D">
                        <w:rPr>
                          <w:rFonts w:ascii="Calibri" w:eastAsia="Times New Roman" w:hAnsi="Calibri" w:cs="Calibri"/>
                          <w:sz w:val="24"/>
                          <w:szCs w:val="24"/>
                          <w:lang w:eastAsia="en-GB"/>
                        </w:rPr>
                        <w:t xml:space="preserve"> with sound knowledge of theory covered during the last week</w:t>
                      </w:r>
                      <w:r w:rsidRPr="00D4622A">
                        <w:rPr>
                          <w:rFonts w:ascii="Calibri" w:eastAsia="Times New Roman" w:hAnsi="Calibri" w:cs="Calibri"/>
                          <w:sz w:val="24"/>
                          <w:szCs w:val="24"/>
                          <w:lang w:eastAsia="en-GB"/>
                        </w:rPr>
                        <w:t xml:space="preserve"> of the block</w:t>
                      </w:r>
                      <w:r w:rsidR="001111F0">
                        <w:rPr>
                          <w:rFonts w:ascii="Calibri" w:eastAsia="Times New Roman" w:hAnsi="Calibri" w:cs="Calibri"/>
                          <w:sz w:val="24"/>
                          <w:szCs w:val="24"/>
                          <w:lang w:eastAsia="en-GB"/>
                        </w:rPr>
                        <w:t>, and aside of answering the assignment question, the paper engages nicely with the content of the whole course.</w:t>
                      </w:r>
                    </w:p>
                    <w:p w:rsidR="0033644D" w:rsidRPr="0033644D"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The section on egalitarianism by reverse dominance</w:t>
                      </w:r>
                      <w:r w:rsidR="001111F0">
                        <w:rPr>
                          <w:rFonts w:ascii="Calibri" w:eastAsia="Times New Roman" w:hAnsi="Calibri" w:cs="Calibri"/>
                          <w:sz w:val="24"/>
                          <w:szCs w:val="24"/>
                          <w:lang w:eastAsia="en-GB"/>
                        </w:rPr>
                        <w:t xml:space="preserve"> was detailed and engaging. Good</w:t>
                      </w:r>
                      <w:r w:rsidRPr="0033644D">
                        <w:rPr>
                          <w:rFonts w:ascii="Calibri" w:eastAsia="Times New Roman" w:hAnsi="Calibri" w:cs="Calibri"/>
                          <w:sz w:val="24"/>
                          <w:szCs w:val="24"/>
                          <w:lang w:eastAsia="en-GB"/>
                        </w:rPr>
                        <w:t xml:space="preserve"> comparison of the gender roles and their relationship with equality </w:t>
                      </w:r>
                      <w:proofErr w:type="gramStart"/>
                      <w:r w:rsidRPr="0033644D">
                        <w:rPr>
                          <w:rFonts w:ascii="Calibri" w:eastAsia="Times New Roman" w:hAnsi="Calibri" w:cs="Calibri"/>
                          <w:sz w:val="24"/>
                          <w:szCs w:val="24"/>
                          <w:lang w:eastAsia="en-GB"/>
                        </w:rPr>
                        <w:t>among</w:t>
                      </w:r>
                      <w:proofErr w:type="gramEnd"/>
                      <w:r w:rsidRPr="0033644D">
                        <w:rPr>
                          <w:rFonts w:ascii="Calibri" w:eastAsia="Times New Roman" w:hAnsi="Calibri" w:cs="Calibri"/>
                          <w:sz w:val="24"/>
                          <w:szCs w:val="24"/>
                          <w:lang w:eastAsia="en-GB"/>
                        </w:rPr>
                        <w:t xml:space="preserve"> the </w:t>
                      </w:r>
                      <w:proofErr w:type="spellStart"/>
                      <w:r w:rsidRPr="0033644D">
                        <w:rPr>
                          <w:rFonts w:ascii="Calibri" w:eastAsia="Times New Roman" w:hAnsi="Calibri" w:cs="Calibri"/>
                          <w:sz w:val="24"/>
                          <w:szCs w:val="24"/>
                          <w:lang w:eastAsia="en-GB"/>
                        </w:rPr>
                        <w:t>Mbuti</w:t>
                      </w:r>
                      <w:proofErr w:type="spellEnd"/>
                      <w:r w:rsidRPr="0033644D">
                        <w:rPr>
                          <w:rFonts w:ascii="Calibri" w:eastAsia="Times New Roman" w:hAnsi="Calibri" w:cs="Calibri"/>
                          <w:sz w:val="24"/>
                          <w:szCs w:val="24"/>
                          <w:lang w:eastAsia="en-GB"/>
                        </w:rPr>
                        <w:t xml:space="preserve"> and the </w:t>
                      </w:r>
                      <w:proofErr w:type="spellStart"/>
                      <w:r w:rsidRPr="0033644D">
                        <w:rPr>
                          <w:rFonts w:ascii="Calibri" w:eastAsia="Times New Roman" w:hAnsi="Calibri" w:cs="Calibri"/>
                          <w:sz w:val="24"/>
                          <w:szCs w:val="24"/>
                          <w:lang w:eastAsia="en-GB"/>
                        </w:rPr>
                        <w:t>Sambia</w:t>
                      </w:r>
                      <w:proofErr w:type="spellEnd"/>
                      <w:r w:rsidRPr="0033644D">
                        <w:rPr>
                          <w:rFonts w:ascii="Calibri" w:eastAsia="Times New Roman" w:hAnsi="Calibri" w:cs="Calibri"/>
                          <w:sz w:val="24"/>
                          <w:szCs w:val="24"/>
                          <w:lang w:eastAsia="en-GB"/>
                        </w:rPr>
                        <w:t xml:space="preserve">. </w:t>
                      </w:r>
                    </w:p>
                    <w:p w:rsidR="0033644D" w:rsidRPr="00D4622A"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The section on discipline and dominance was highly original in its approach of evaluating dominance among pastoral societies, and its relationship with the concept</w:t>
                      </w:r>
                      <w:r w:rsidRPr="00D4622A">
                        <w:rPr>
                          <w:rFonts w:ascii="Calibri" w:eastAsia="Times New Roman" w:hAnsi="Calibri" w:cs="Calibri"/>
                          <w:sz w:val="24"/>
                          <w:szCs w:val="24"/>
                          <w:lang w:eastAsia="en-GB"/>
                        </w:rPr>
                        <w:t xml:space="preserve"> of ownership and patriarchy</w:t>
                      </w:r>
                      <w:r w:rsidRPr="0033644D">
                        <w:rPr>
                          <w:rFonts w:ascii="Calibri" w:eastAsia="Times New Roman" w:hAnsi="Calibri" w:cs="Calibri"/>
                          <w:sz w:val="24"/>
                          <w:szCs w:val="24"/>
                          <w:lang w:eastAsia="en-GB"/>
                        </w:rPr>
                        <w:t>.</w:t>
                      </w:r>
                      <w:r w:rsidR="00851A83" w:rsidRPr="00D4622A">
                        <w:rPr>
                          <w:rFonts w:ascii="Calibri" w:eastAsia="Times New Roman" w:hAnsi="Calibri" w:cs="Calibri"/>
                          <w:sz w:val="24"/>
                          <w:szCs w:val="24"/>
                          <w:lang w:eastAsia="en-GB"/>
                        </w:rPr>
                        <w:t xml:space="preserve"> The paper showed excellent independent thought.</w:t>
                      </w:r>
                    </w:p>
                    <w:p w:rsidR="0033644D" w:rsidRPr="0033644D" w:rsidRDefault="0033644D" w:rsidP="0033644D">
                      <w:pPr>
                        <w:spacing w:line="256" w:lineRule="auto"/>
                        <w:rPr>
                          <w:rFonts w:ascii="Calibri" w:eastAsia="Times New Roman" w:hAnsi="Calibri" w:cs="Calibri"/>
                          <w:sz w:val="24"/>
                          <w:szCs w:val="24"/>
                          <w:lang w:eastAsia="en-GB"/>
                        </w:rPr>
                      </w:pPr>
                      <w:r w:rsidRPr="0033644D">
                        <w:rPr>
                          <w:rFonts w:ascii="Calibri" w:eastAsia="Times New Roman" w:hAnsi="Calibri" w:cs="Calibri"/>
                          <w:sz w:val="24"/>
                          <w:szCs w:val="24"/>
                          <w:lang w:eastAsia="en-GB"/>
                        </w:rPr>
                        <w:t>Because the word count was</w:t>
                      </w:r>
                      <w:r w:rsidR="00461598">
                        <w:rPr>
                          <w:rFonts w:ascii="Calibri" w:eastAsia="Times New Roman" w:hAnsi="Calibri" w:cs="Calibri"/>
                          <w:sz w:val="24"/>
                          <w:szCs w:val="24"/>
                          <w:lang w:eastAsia="en-GB"/>
                        </w:rPr>
                        <w:t xml:space="preserve"> short, the mark was not higher (this could have been 76)</w:t>
                      </w:r>
                    </w:p>
                    <w:p w:rsidR="0033644D" w:rsidRPr="0033644D" w:rsidRDefault="0033644D" w:rsidP="0033644D">
                      <w:pPr>
                        <w:spacing w:line="256" w:lineRule="auto"/>
                        <w:rPr>
                          <w:rFonts w:ascii="Calibri" w:eastAsia="Times New Roman" w:hAnsi="Calibri" w:cs="Calibri"/>
                          <w:sz w:val="24"/>
                          <w:szCs w:val="24"/>
                          <w:lang w:eastAsia="en-GB"/>
                        </w:rPr>
                      </w:pPr>
                      <w:proofErr w:type="gramStart"/>
                      <w:r w:rsidRPr="0033644D">
                        <w:rPr>
                          <w:rFonts w:ascii="Calibri" w:eastAsia="Times New Roman" w:hAnsi="Calibri" w:cs="Calibri"/>
                          <w:sz w:val="24"/>
                          <w:szCs w:val="24"/>
                          <w:lang w:eastAsia="en-GB"/>
                        </w:rPr>
                        <w:t>Well</w:t>
                      </w:r>
                      <w:r w:rsidRPr="00D4622A">
                        <w:rPr>
                          <w:rFonts w:ascii="Calibri" w:eastAsia="Times New Roman" w:hAnsi="Calibri" w:cs="Calibri"/>
                          <w:sz w:val="24"/>
                          <w:szCs w:val="24"/>
                          <w:lang w:eastAsia="en-GB"/>
                        </w:rPr>
                        <w:t xml:space="preserve"> done for </w:t>
                      </w:r>
                      <w:r w:rsidR="00B777BA" w:rsidRPr="00D4622A">
                        <w:rPr>
                          <w:rFonts w:ascii="Calibri" w:eastAsia="Times New Roman" w:hAnsi="Calibri" w:cs="Calibri"/>
                          <w:sz w:val="24"/>
                          <w:szCs w:val="24"/>
                          <w:lang w:eastAsia="en-GB"/>
                        </w:rPr>
                        <w:t xml:space="preserve">writing </w:t>
                      </w:r>
                      <w:r w:rsidRPr="00D4622A">
                        <w:rPr>
                          <w:rFonts w:ascii="Calibri" w:eastAsia="Times New Roman" w:hAnsi="Calibri" w:cs="Calibri"/>
                          <w:sz w:val="24"/>
                          <w:szCs w:val="24"/>
                          <w:lang w:eastAsia="en-GB"/>
                        </w:rPr>
                        <w:t>wonderful assignments!</w:t>
                      </w:r>
                      <w:proofErr w:type="gramEnd"/>
                    </w:p>
                    <w:p w:rsidR="0033644D" w:rsidRDefault="0033644D"/>
                  </w:txbxContent>
                </v:textbox>
              </v:shape>
            </w:pict>
          </mc:Fallback>
        </mc:AlternateContent>
      </w: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C6488B" w:rsidRDefault="00C6488B" w:rsidP="003D3750">
      <w:pPr>
        <w:rPr>
          <w:rFonts w:ascii="Cambria" w:hAnsi="Cambria"/>
          <w:b/>
          <w:sz w:val="28"/>
          <w:u w:val="single"/>
        </w:rPr>
      </w:pPr>
    </w:p>
    <w:p w:rsidR="00B361E6" w:rsidRDefault="00B361E6" w:rsidP="003D3750">
      <w:pPr>
        <w:rPr>
          <w:rFonts w:ascii="Cambria" w:hAnsi="Cambria"/>
          <w:b/>
          <w:sz w:val="28"/>
          <w:u w:val="single"/>
        </w:rPr>
      </w:pPr>
    </w:p>
    <w:p w:rsidR="00C71483" w:rsidRDefault="00C71483" w:rsidP="003D3750">
      <w:pPr>
        <w:rPr>
          <w:rFonts w:ascii="Cambria" w:hAnsi="Cambria"/>
          <w:b/>
          <w:sz w:val="28"/>
          <w:u w:val="single"/>
        </w:rPr>
      </w:pPr>
    </w:p>
    <w:p w:rsidR="00B777BA" w:rsidRDefault="00B777BA" w:rsidP="003D3750">
      <w:pPr>
        <w:rPr>
          <w:rFonts w:ascii="Cambria" w:hAnsi="Cambria"/>
          <w:b/>
          <w:sz w:val="28"/>
          <w:u w:val="single"/>
        </w:rPr>
      </w:pPr>
    </w:p>
    <w:p w:rsidR="00D4622A" w:rsidRDefault="00D4622A" w:rsidP="003D3750">
      <w:pPr>
        <w:rPr>
          <w:rFonts w:ascii="Cambria" w:hAnsi="Cambria"/>
          <w:b/>
          <w:sz w:val="28"/>
          <w:u w:val="single"/>
        </w:rPr>
      </w:pPr>
    </w:p>
    <w:p w:rsidR="004A1E80" w:rsidRDefault="004A1E80" w:rsidP="003D3750">
      <w:pPr>
        <w:rPr>
          <w:rFonts w:ascii="Cambria" w:hAnsi="Cambria"/>
          <w:b/>
          <w:sz w:val="28"/>
          <w:u w:val="single"/>
        </w:rPr>
      </w:pPr>
    </w:p>
    <w:p w:rsidR="00E740AC" w:rsidRDefault="00E740AC" w:rsidP="003D3750">
      <w:pPr>
        <w:rPr>
          <w:rFonts w:ascii="Cambria" w:hAnsi="Cambria"/>
          <w:b/>
          <w:sz w:val="28"/>
          <w:u w:val="single"/>
        </w:rPr>
      </w:pPr>
    </w:p>
    <w:p w:rsidR="00E740AC" w:rsidRDefault="00E740AC" w:rsidP="003D3750">
      <w:pPr>
        <w:rPr>
          <w:rFonts w:ascii="Cambria" w:hAnsi="Cambria"/>
          <w:b/>
          <w:sz w:val="28"/>
          <w:u w:val="single"/>
        </w:rPr>
      </w:pPr>
    </w:p>
    <w:p w:rsidR="001D3504" w:rsidRPr="005509BC" w:rsidRDefault="001D3504" w:rsidP="003D3750">
      <w:pPr>
        <w:rPr>
          <w:rFonts w:ascii="Cambria" w:hAnsi="Cambria"/>
          <w:bCs/>
          <w:sz w:val="24"/>
        </w:rPr>
      </w:pPr>
      <w:bookmarkStart w:id="0" w:name="_GoBack"/>
      <w:bookmarkEnd w:id="0"/>
      <w:r w:rsidRPr="00BC7864">
        <w:rPr>
          <w:rFonts w:ascii="Cambria" w:hAnsi="Cambria"/>
          <w:b/>
          <w:sz w:val="28"/>
          <w:u w:val="single"/>
        </w:rPr>
        <w:t>Anthropology.</w:t>
      </w:r>
      <w:r w:rsidRPr="00BC7864">
        <w:rPr>
          <w:rFonts w:ascii="Cambria" w:hAnsi="Cambria"/>
          <w:b/>
          <w:sz w:val="28"/>
          <w:u w:val="single"/>
        </w:rPr>
        <w:br/>
      </w:r>
      <w:proofErr w:type="gramStart"/>
      <w:r w:rsidRPr="00BC7864">
        <w:rPr>
          <w:rFonts w:ascii="Cambria" w:hAnsi="Cambria"/>
          <w:b/>
          <w:sz w:val="28"/>
          <w:u w:val="single"/>
        </w:rPr>
        <w:t>People’s</w:t>
      </w:r>
      <w:proofErr w:type="gramEnd"/>
      <w:r w:rsidRPr="00BC7864">
        <w:rPr>
          <w:rFonts w:ascii="Cambria" w:hAnsi="Cambria"/>
          <w:b/>
          <w:sz w:val="28"/>
          <w:u w:val="single"/>
        </w:rPr>
        <w:t xml:space="preserve"> Worlds: Lives and Livelihoods.</w:t>
      </w:r>
      <w:r w:rsidRPr="00BC7864">
        <w:rPr>
          <w:rFonts w:ascii="Cambria" w:hAnsi="Cambria"/>
          <w:sz w:val="28"/>
        </w:rPr>
        <w:t xml:space="preserve">  </w:t>
      </w:r>
      <w:r>
        <w:rPr>
          <w:rFonts w:ascii="Cambria" w:hAnsi="Cambria"/>
          <w:sz w:val="28"/>
        </w:rPr>
        <w:br/>
      </w:r>
      <w:r>
        <w:rPr>
          <w:rFonts w:ascii="Cambria" w:hAnsi="Cambria"/>
          <w:sz w:val="28"/>
        </w:rPr>
        <w:br/>
      </w:r>
      <w:r>
        <w:rPr>
          <w:rFonts w:ascii="Cambria" w:hAnsi="Cambria"/>
          <w:sz w:val="24"/>
        </w:rPr>
        <w:t>‘In 1500 words,</w:t>
      </w:r>
      <w:r w:rsidRPr="001D3504">
        <w:rPr>
          <w:rFonts w:ascii="Cambria" w:hAnsi="Cambria"/>
          <w:bCs/>
          <w:sz w:val="24"/>
        </w:rPr>
        <w:t xml:space="preserve"> offer 4 different examples of how social groups maintain order. </w:t>
      </w:r>
      <w:r>
        <w:rPr>
          <w:rFonts w:ascii="Cambria" w:hAnsi="Cambria"/>
          <w:bCs/>
          <w:sz w:val="24"/>
        </w:rPr>
        <w:br/>
      </w:r>
      <w:r w:rsidRPr="001D3504">
        <w:rPr>
          <w:rFonts w:ascii="Cambria" w:hAnsi="Cambria"/>
          <w:bCs/>
          <w:sz w:val="24"/>
        </w:rPr>
        <w:t>Explain how these methods maintain social order.</w:t>
      </w:r>
      <w:r>
        <w:rPr>
          <w:rFonts w:ascii="Cambria" w:hAnsi="Cambria"/>
          <w:bCs/>
          <w:sz w:val="24"/>
        </w:rPr>
        <w:t>’</w:t>
      </w:r>
      <w:r>
        <w:rPr>
          <w:rFonts w:ascii="Cambria" w:hAnsi="Cambria"/>
          <w:bCs/>
          <w:sz w:val="24"/>
        </w:rPr>
        <w:br/>
      </w:r>
      <w:r w:rsidR="00A9776F">
        <w:rPr>
          <w:rFonts w:ascii="Cambria" w:hAnsi="Cambria"/>
          <w:bCs/>
          <w:sz w:val="24"/>
        </w:rPr>
        <w:br/>
      </w:r>
      <w:commentRangeStart w:id="1"/>
      <w:r w:rsidR="008B3475">
        <w:rPr>
          <w:rFonts w:ascii="Cambria" w:hAnsi="Cambria"/>
          <w:bCs/>
          <w:sz w:val="24"/>
        </w:rPr>
        <w:t>Autonomous hunter-gatherer, horticultural, pastoral and nomadic groups live all over the world, in-tune with their environment</w:t>
      </w:r>
      <w:r w:rsidR="00DF49BE">
        <w:rPr>
          <w:rFonts w:ascii="Cambria" w:hAnsi="Cambria"/>
          <w:bCs/>
          <w:sz w:val="24"/>
        </w:rPr>
        <w:t>s and free of government rule, p</w:t>
      </w:r>
      <w:r w:rsidR="008B3475">
        <w:rPr>
          <w:rFonts w:ascii="Cambria" w:hAnsi="Cambria"/>
          <w:bCs/>
          <w:sz w:val="24"/>
        </w:rPr>
        <w:t>redominantly sustaining themselves through natural means, p</w:t>
      </w:r>
      <w:r w:rsidR="00DF49BE">
        <w:rPr>
          <w:rFonts w:ascii="Cambria" w:hAnsi="Cambria"/>
          <w:bCs/>
          <w:sz w:val="24"/>
        </w:rPr>
        <w:t xml:space="preserve">assed down through generations. </w:t>
      </w:r>
      <w:r w:rsidR="00DF49BE">
        <w:rPr>
          <w:rFonts w:ascii="Cambria" w:hAnsi="Cambria"/>
          <w:bCs/>
          <w:sz w:val="24"/>
        </w:rPr>
        <w:br/>
        <w:t>H</w:t>
      </w:r>
      <w:r w:rsidR="008B3475">
        <w:rPr>
          <w:rFonts w:ascii="Cambria" w:hAnsi="Cambria"/>
          <w:bCs/>
          <w:sz w:val="24"/>
        </w:rPr>
        <w:t>ow are these groups with their varying cultures and worldviews, capable of maintaining social order?</w:t>
      </w:r>
      <w:commentRangeEnd w:id="1"/>
      <w:r w:rsidR="00C6488B">
        <w:rPr>
          <w:rStyle w:val="CommentReference"/>
        </w:rPr>
        <w:commentReference w:id="1"/>
      </w:r>
      <w:r w:rsidR="008B3475">
        <w:rPr>
          <w:rFonts w:ascii="Cambria" w:hAnsi="Cambria"/>
          <w:bCs/>
          <w:sz w:val="24"/>
        </w:rPr>
        <w:br/>
      </w:r>
      <w:r w:rsidR="008B3475">
        <w:rPr>
          <w:rFonts w:ascii="Cambria" w:hAnsi="Cambria"/>
          <w:bCs/>
          <w:sz w:val="24"/>
        </w:rPr>
        <w:br/>
      </w:r>
      <w:proofErr w:type="gramStart"/>
      <w:r w:rsidR="008B3475" w:rsidRPr="00DF49BE">
        <w:rPr>
          <w:rFonts w:ascii="Cambria" w:hAnsi="Cambria"/>
          <w:b/>
          <w:bCs/>
          <w:sz w:val="24"/>
          <w:u w:val="single"/>
        </w:rPr>
        <w:t>Egalitarian Societies.</w:t>
      </w:r>
      <w:proofErr w:type="gramEnd"/>
      <w:r w:rsidR="00894462" w:rsidRPr="004C2FB8">
        <w:rPr>
          <w:rFonts w:ascii="Cambria" w:hAnsi="Cambria"/>
          <w:b/>
          <w:bCs/>
          <w:sz w:val="24"/>
        </w:rPr>
        <w:t xml:space="preserve"> </w:t>
      </w:r>
      <w:r w:rsidR="00A9776F">
        <w:rPr>
          <w:rFonts w:ascii="Cambria" w:hAnsi="Cambria"/>
          <w:bCs/>
          <w:sz w:val="24"/>
        </w:rPr>
        <w:br/>
      </w:r>
      <w:r w:rsidR="005D202F">
        <w:rPr>
          <w:rFonts w:ascii="Cambria" w:hAnsi="Cambria"/>
          <w:bCs/>
          <w:sz w:val="24"/>
        </w:rPr>
        <w:br/>
      </w:r>
      <w:r w:rsidR="00CA31B2">
        <w:rPr>
          <w:rFonts w:ascii="Cambria" w:hAnsi="Cambria"/>
          <w:bCs/>
          <w:sz w:val="24"/>
        </w:rPr>
        <w:t xml:space="preserve">An egalitarian society is one in which social equality is nearest to fruition as is possible. </w:t>
      </w:r>
      <w:proofErr w:type="gramStart"/>
      <w:r w:rsidR="00A9776F">
        <w:rPr>
          <w:rFonts w:ascii="Cambria" w:hAnsi="Cambria"/>
          <w:bCs/>
          <w:sz w:val="24"/>
        </w:rPr>
        <w:lastRenderedPageBreak/>
        <w:t>Though</w:t>
      </w:r>
      <w:proofErr w:type="gramEnd"/>
      <w:r w:rsidR="00A9776F">
        <w:rPr>
          <w:rFonts w:ascii="Cambria" w:hAnsi="Cambria"/>
          <w:bCs/>
          <w:sz w:val="24"/>
        </w:rPr>
        <w:t xml:space="preserve"> the model of </w:t>
      </w:r>
      <w:commentRangeStart w:id="2"/>
      <w:r w:rsidR="00A9776F">
        <w:rPr>
          <w:rFonts w:ascii="Cambria" w:hAnsi="Cambria"/>
          <w:bCs/>
          <w:sz w:val="24"/>
        </w:rPr>
        <w:t xml:space="preserve">egalitarianism may vary depending on factors such as leadership, </w:t>
      </w:r>
      <w:r w:rsidR="002277B7">
        <w:rPr>
          <w:rFonts w:ascii="Cambria" w:hAnsi="Cambria"/>
          <w:bCs/>
          <w:sz w:val="24"/>
        </w:rPr>
        <w:t xml:space="preserve">(or lack of definitive leadership) </w:t>
      </w:r>
      <w:commentRangeEnd w:id="2"/>
      <w:r w:rsidR="00C6488B">
        <w:rPr>
          <w:rStyle w:val="CommentReference"/>
        </w:rPr>
        <w:commentReference w:id="2"/>
      </w:r>
      <w:r w:rsidR="00A9776F">
        <w:rPr>
          <w:rFonts w:ascii="Cambria" w:hAnsi="Cambria"/>
          <w:bCs/>
          <w:sz w:val="24"/>
        </w:rPr>
        <w:t xml:space="preserve">within such societies </w:t>
      </w:r>
      <w:r w:rsidR="00287DE7">
        <w:rPr>
          <w:rFonts w:ascii="Cambria" w:hAnsi="Cambria"/>
          <w:bCs/>
          <w:sz w:val="24"/>
        </w:rPr>
        <w:t>equalit</w:t>
      </w:r>
      <w:r w:rsidR="00A9776F">
        <w:rPr>
          <w:rFonts w:ascii="Cambria" w:hAnsi="Cambria"/>
          <w:bCs/>
          <w:sz w:val="24"/>
        </w:rPr>
        <w:t xml:space="preserve">y can be seen in a </w:t>
      </w:r>
      <w:r w:rsidR="00287DE7">
        <w:rPr>
          <w:rFonts w:ascii="Cambria" w:hAnsi="Cambria"/>
          <w:bCs/>
          <w:sz w:val="24"/>
        </w:rPr>
        <w:t xml:space="preserve">group’s power dynamics, subsequent </w:t>
      </w:r>
      <w:r w:rsidR="00287DE7" w:rsidRPr="008B3475">
        <w:rPr>
          <w:rFonts w:ascii="Cambria" w:hAnsi="Cambria"/>
          <w:bCs/>
          <w:sz w:val="24"/>
        </w:rPr>
        <w:t xml:space="preserve">structure, politics and behaviours. </w:t>
      </w:r>
      <w:r w:rsidR="00A9776F" w:rsidRPr="008B3475">
        <w:rPr>
          <w:rFonts w:ascii="Cambria" w:hAnsi="Cambria"/>
          <w:bCs/>
          <w:sz w:val="24"/>
        </w:rPr>
        <w:t>Boehm noted that Egalitarianism is ‘’in effect a hierarchy in which the weak combine forces to dominate the strong’’, resulting in balance</w:t>
      </w:r>
      <w:r w:rsidR="002277B7">
        <w:rPr>
          <w:rFonts w:ascii="Cambria" w:hAnsi="Cambria"/>
          <w:bCs/>
          <w:sz w:val="24"/>
        </w:rPr>
        <w:t>, or equality</w:t>
      </w:r>
      <w:r w:rsidR="00A9776F" w:rsidRPr="008B3475">
        <w:rPr>
          <w:rFonts w:ascii="Cambria" w:hAnsi="Cambria"/>
          <w:bCs/>
          <w:sz w:val="24"/>
        </w:rPr>
        <w:t xml:space="preserve">. </w:t>
      </w:r>
      <w:commentRangeStart w:id="3"/>
      <w:r w:rsidR="00CA31B2" w:rsidRPr="008B3475">
        <w:rPr>
          <w:rFonts w:ascii="Cambria" w:hAnsi="Cambria"/>
          <w:bCs/>
          <w:sz w:val="24"/>
        </w:rPr>
        <w:t xml:space="preserve">It </w:t>
      </w:r>
      <w:proofErr w:type="gramStart"/>
      <w:r w:rsidR="00CA31B2" w:rsidRPr="008B3475">
        <w:rPr>
          <w:rFonts w:ascii="Cambria" w:hAnsi="Cambria"/>
          <w:bCs/>
          <w:sz w:val="24"/>
        </w:rPr>
        <w:t>has been stated</w:t>
      </w:r>
      <w:proofErr w:type="gramEnd"/>
      <w:r w:rsidR="00CA31B2" w:rsidRPr="008B3475">
        <w:rPr>
          <w:rFonts w:ascii="Cambria" w:hAnsi="Cambria"/>
          <w:bCs/>
          <w:sz w:val="24"/>
        </w:rPr>
        <w:t xml:space="preserve"> that egalitarianism in societies is ‘’highly predictable wherever people live in small, locally autonomous social and economic groups…’’ </w:t>
      </w:r>
      <w:sdt>
        <w:sdtPr>
          <w:rPr>
            <w:rFonts w:ascii="Cambria" w:hAnsi="Cambria"/>
            <w:bCs/>
            <w:sz w:val="24"/>
          </w:rPr>
          <w:id w:val="-1685813060"/>
          <w:citation/>
        </w:sdtPr>
        <w:sdtEndPr/>
        <w:sdtContent>
          <w:r w:rsidR="00CA31B2" w:rsidRPr="008B3475">
            <w:rPr>
              <w:rFonts w:ascii="Cambria" w:hAnsi="Cambria"/>
              <w:bCs/>
              <w:sz w:val="24"/>
            </w:rPr>
            <w:fldChar w:fldCharType="begin"/>
          </w:r>
          <w:r w:rsidR="002277B7">
            <w:rPr>
              <w:rFonts w:ascii="Cambria" w:hAnsi="Cambria"/>
              <w:bCs/>
              <w:sz w:val="24"/>
            </w:rPr>
            <w:instrText xml:space="preserve">CITATION Chr99 \p 36 \l 2057 </w:instrText>
          </w:r>
          <w:r w:rsidR="00CA31B2" w:rsidRPr="008B3475">
            <w:rPr>
              <w:rFonts w:ascii="Cambria" w:hAnsi="Cambria"/>
              <w:bCs/>
              <w:sz w:val="24"/>
            </w:rPr>
            <w:fldChar w:fldCharType="separate"/>
          </w:r>
          <w:r w:rsidR="002277B7" w:rsidRPr="002277B7">
            <w:rPr>
              <w:rFonts w:ascii="Cambria" w:hAnsi="Cambria"/>
              <w:noProof/>
              <w:sz w:val="24"/>
            </w:rPr>
            <w:t>(Boehm, 1999, p. 36)</w:t>
          </w:r>
          <w:r w:rsidR="00CA31B2" w:rsidRPr="008B3475">
            <w:rPr>
              <w:rFonts w:ascii="Cambria" w:hAnsi="Cambria"/>
              <w:bCs/>
              <w:sz w:val="24"/>
            </w:rPr>
            <w:fldChar w:fldCharType="end"/>
          </w:r>
        </w:sdtContent>
      </w:sdt>
      <w:commentRangeEnd w:id="3"/>
      <w:r w:rsidR="00C6488B">
        <w:rPr>
          <w:rStyle w:val="CommentReference"/>
        </w:rPr>
        <w:commentReference w:id="3"/>
      </w:r>
      <w:r w:rsidR="002277B7">
        <w:rPr>
          <w:rFonts w:ascii="Cambria" w:hAnsi="Cambria"/>
          <w:bCs/>
          <w:sz w:val="24"/>
        </w:rPr>
        <w:t xml:space="preserve"> i</w:t>
      </w:r>
      <w:r w:rsidR="00287DE7" w:rsidRPr="008B3475">
        <w:rPr>
          <w:rFonts w:ascii="Cambria" w:hAnsi="Cambria"/>
          <w:bCs/>
          <w:sz w:val="24"/>
        </w:rPr>
        <w:t>t is perhaps for this reason that many of Africa’</w:t>
      </w:r>
      <w:r w:rsidR="00F218B1" w:rsidRPr="008B3475">
        <w:rPr>
          <w:rFonts w:ascii="Cambria" w:hAnsi="Cambria"/>
          <w:bCs/>
          <w:sz w:val="24"/>
        </w:rPr>
        <w:t xml:space="preserve">s indigenous hunter-gatherer groups, maintain social equality and </w:t>
      </w:r>
      <w:r w:rsidR="005509BC" w:rsidRPr="008B3475">
        <w:rPr>
          <w:rFonts w:ascii="Cambria" w:hAnsi="Cambria"/>
          <w:bCs/>
          <w:sz w:val="24"/>
        </w:rPr>
        <w:t xml:space="preserve">a </w:t>
      </w:r>
      <w:r w:rsidR="00F218B1" w:rsidRPr="008B3475">
        <w:rPr>
          <w:rFonts w:ascii="Cambria" w:hAnsi="Cambria"/>
          <w:bCs/>
          <w:sz w:val="24"/>
        </w:rPr>
        <w:t>balanced distribution of power</w:t>
      </w:r>
      <w:r w:rsidR="005509BC" w:rsidRPr="008B3475">
        <w:rPr>
          <w:rFonts w:ascii="Cambria" w:hAnsi="Cambria"/>
          <w:bCs/>
          <w:sz w:val="24"/>
        </w:rPr>
        <w:t xml:space="preserve"> within their societies. </w:t>
      </w:r>
      <w:r w:rsidR="00FB2031">
        <w:rPr>
          <w:rFonts w:ascii="Cambria" w:hAnsi="Cambria"/>
          <w:bCs/>
          <w:sz w:val="24"/>
        </w:rPr>
        <w:br/>
      </w:r>
      <w:r w:rsidR="00FB2031">
        <w:rPr>
          <w:rFonts w:ascii="Cambria" w:hAnsi="Cambria"/>
          <w:bCs/>
          <w:sz w:val="24"/>
        </w:rPr>
        <w:br/>
      </w:r>
      <w:r w:rsidR="005509BC" w:rsidRPr="008B3475">
        <w:rPr>
          <w:rFonts w:ascii="Cambria" w:hAnsi="Cambria"/>
          <w:bCs/>
          <w:sz w:val="24"/>
        </w:rPr>
        <w:t xml:space="preserve">One group that maintains such a balance is the </w:t>
      </w:r>
      <w:proofErr w:type="spellStart"/>
      <w:r w:rsidR="005509BC" w:rsidRPr="00DF49BE">
        <w:rPr>
          <w:rFonts w:ascii="Cambria" w:hAnsi="Cambria"/>
          <w:b/>
          <w:sz w:val="24"/>
        </w:rPr>
        <w:t>Mbuti</w:t>
      </w:r>
      <w:proofErr w:type="spellEnd"/>
      <w:r w:rsidR="005509BC" w:rsidRPr="00DF49BE">
        <w:rPr>
          <w:rFonts w:ascii="Cambria" w:hAnsi="Cambria"/>
          <w:b/>
          <w:sz w:val="24"/>
        </w:rPr>
        <w:t xml:space="preserve"> of the </w:t>
      </w:r>
      <w:proofErr w:type="spellStart"/>
      <w:r w:rsidR="005509BC" w:rsidRPr="00DF49BE">
        <w:rPr>
          <w:rFonts w:ascii="Cambria" w:hAnsi="Cambria"/>
          <w:b/>
          <w:sz w:val="24"/>
        </w:rPr>
        <w:t>Ituri</w:t>
      </w:r>
      <w:proofErr w:type="spellEnd"/>
      <w:r w:rsidR="005509BC" w:rsidRPr="00DF49BE">
        <w:rPr>
          <w:rFonts w:ascii="Cambria" w:hAnsi="Cambria"/>
          <w:b/>
          <w:sz w:val="24"/>
        </w:rPr>
        <w:t xml:space="preserve"> forest</w:t>
      </w:r>
      <w:r w:rsidR="005509BC" w:rsidRPr="008B3475">
        <w:rPr>
          <w:rFonts w:ascii="Cambria" w:hAnsi="Cambria"/>
          <w:bCs/>
          <w:sz w:val="24"/>
        </w:rPr>
        <w:t xml:space="preserve">, in the Congo region of Africa, who </w:t>
      </w:r>
      <w:r w:rsidR="008B3475" w:rsidRPr="008B3475">
        <w:rPr>
          <w:rFonts w:ascii="Cambria" w:hAnsi="Cambria"/>
          <w:bCs/>
          <w:sz w:val="24"/>
        </w:rPr>
        <w:t xml:space="preserve">live off the </w:t>
      </w:r>
      <w:r w:rsidR="00DF49BE" w:rsidRPr="008B3475">
        <w:rPr>
          <w:rFonts w:ascii="Cambria" w:hAnsi="Cambria"/>
          <w:bCs/>
          <w:sz w:val="24"/>
        </w:rPr>
        <w:t>forest, which</w:t>
      </w:r>
      <w:r w:rsidR="008B3475" w:rsidRPr="008B3475">
        <w:rPr>
          <w:rFonts w:ascii="Cambria" w:hAnsi="Cambria"/>
          <w:bCs/>
          <w:sz w:val="24"/>
        </w:rPr>
        <w:t xml:space="preserve"> they view in an animistic way, with the utmost respect for their generous </w:t>
      </w:r>
      <w:r w:rsidR="00DF49BE">
        <w:rPr>
          <w:rFonts w:ascii="Cambria" w:hAnsi="Cambria"/>
          <w:bCs/>
          <w:sz w:val="24"/>
        </w:rPr>
        <w:t>‘</w:t>
      </w:r>
      <w:r w:rsidR="008B3475" w:rsidRPr="008B3475">
        <w:rPr>
          <w:rFonts w:ascii="Cambria" w:hAnsi="Cambria"/>
          <w:bCs/>
          <w:sz w:val="24"/>
        </w:rPr>
        <w:t>mother and father</w:t>
      </w:r>
      <w:r w:rsidR="00DF49BE">
        <w:rPr>
          <w:rFonts w:ascii="Cambria" w:hAnsi="Cambria"/>
          <w:bCs/>
          <w:sz w:val="24"/>
        </w:rPr>
        <w:t>’</w:t>
      </w:r>
      <w:r w:rsidR="008B3475" w:rsidRPr="008B3475">
        <w:rPr>
          <w:rFonts w:ascii="Cambria" w:hAnsi="Cambria"/>
          <w:bCs/>
          <w:sz w:val="24"/>
        </w:rPr>
        <w:t xml:space="preserve"> figure. </w:t>
      </w:r>
      <w:sdt>
        <w:sdtPr>
          <w:rPr>
            <w:rFonts w:ascii="Cambria" w:hAnsi="Cambria"/>
            <w:bCs/>
            <w:sz w:val="24"/>
          </w:rPr>
          <w:id w:val="1344201771"/>
          <w:citation/>
        </w:sdtPr>
        <w:sdtEndPr/>
        <w:sdtContent>
          <w:r w:rsidR="008B3475" w:rsidRPr="008B3475">
            <w:rPr>
              <w:rFonts w:ascii="Cambria" w:hAnsi="Cambria"/>
              <w:bCs/>
              <w:sz w:val="24"/>
            </w:rPr>
            <w:fldChar w:fldCharType="begin"/>
          </w:r>
          <w:r w:rsidR="002277B7">
            <w:rPr>
              <w:rFonts w:ascii="Cambria" w:hAnsi="Cambria"/>
              <w:bCs/>
              <w:sz w:val="24"/>
            </w:rPr>
            <w:instrText xml:space="preserve">CITATION Col61 \l 2057 </w:instrText>
          </w:r>
          <w:r w:rsidR="008B3475" w:rsidRPr="008B3475">
            <w:rPr>
              <w:rFonts w:ascii="Cambria" w:hAnsi="Cambria"/>
              <w:bCs/>
              <w:sz w:val="24"/>
            </w:rPr>
            <w:fldChar w:fldCharType="separate"/>
          </w:r>
          <w:r w:rsidR="002277B7" w:rsidRPr="002277B7">
            <w:rPr>
              <w:rFonts w:ascii="Cambria" w:hAnsi="Cambria"/>
              <w:noProof/>
              <w:sz w:val="24"/>
            </w:rPr>
            <w:t>(Turnbull, 1961)</w:t>
          </w:r>
          <w:r w:rsidR="008B3475" w:rsidRPr="008B3475">
            <w:rPr>
              <w:rFonts w:ascii="Cambria" w:hAnsi="Cambria"/>
              <w:bCs/>
              <w:sz w:val="24"/>
            </w:rPr>
            <w:fldChar w:fldCharType="end"/>
          </w:r>
        </w:sdtContent>
      </w:sdt>
      <w:r w:rsidR="008B3475" w:rsidRPr="008B3475">
        <w:rPr>
          <w:rFonts w:ascii="Cambria" w:hAnsi="Cambria"/>
          <w:bCs/>
          <w:sz w:val="24"/>
        </w:rPr>
        <w:t xml:space="preserve"> </w:t>
      </w:r>
      <w:r w:rsidR="00DF49BE">
        <w:rPr>
          <w:rFonts w:ascii="Cambria" w:hAnsi="Cambria"/>
          <w:bCs/>
          <w:sz w:val="24"/>
        </w:rPr>
        <w:br/>
      </w:r>
      <w:r w:rsidR="00894462">
        <w:rPr>
          <w:rFonts w:ascii="Cambria" w:hAnsi="Cambria"/>
          <w:bCs/>
          <w:sz w:val="24"/>
        </w:rPr>
        <w:t xml:space="preserve">The </w:t>
      </w:r>
      <w:proofErr w:type="spellStart"/>
      <w:r w:rsidR="00894462">
        <w:rPr>
          <w:rFonts w:ascii="Cambria" w:hAnsi="Cambria"/>
          <w:bCs/>
          <w:sz w:val="24"/>
        </w:rPr>
        <w:t>Mbuti</w:t>
      </w:r>
      <w:proofErr w:type="spellEnd"/>
      <w:r w:rsidR="00894462">
        <w:rPr>
          <w:rFonts w:ascii="Cambria" w:hAnsi="Cambria"/>
          <w:bCs/>
          <w:sz w:val="24"/>
        </w:rPr>
        <w:t xml:space="preserve"> are able to live in harmony with the forest, utilizing what </w:t>
      </w:r>
      <w:proofErr w:type="gramStart"/>
      <w:r w:rsidR="00894462">
        <w:rPr>
          <w:rFonts w:ascii="Cambria" w:hAnsi="Cambria"/>
          <w:bCs/>
          <w:sz w:val="24"/>
        </w:rPr>
        <w:t>can be classified</w:t>
      </w:r>
      <w:proofErr w:type="gramEnd"/>
      <w:r w:rsidR="00894462">
        <w:rPr>
          <w:rFonts w:ascii="Cambria" w:hAnsi="Cambria"/>
          <w:bCs/>
          <w:sz w:val="24"/>
        </w:rPr>
        <w:t xml:space="preserve"> as immediate-return methods of survival. </w:t>
      </w:r>
      <w:sdt>
        <w:sdtPr>
          <w:rPr>
            <w:rFonts w:ascii="Cambria" w:hAnsi="Cambria"/>
            <w:bCs/>
            <w:sz w:val="24"/>
          </w:rPr>
          <w:id w:val="-1851247577"/>
          <w:citation/>
        </w:sdtPr>
        <w:sdtEndPr/>
        <w:sdtContent>
          <w:r w:rsidR="00894462">
            <w:rPr>
              <w:rFonts w:ascii="Cambria" w:hAnsi="Cambria"/>
              <w:bCs/>
              <w:sz w:val="24"/>
            </w:rPr>
            <w:fldChar w:fldCharType="begin"/>
          </w:r>
          <w:r w:rsidR="00894462">
            <w:rPr>
              <w:rFonts w:ascii="Cambria" w:hAnsi="Cambria"/>
              <w:bCs/>
              <w:sz w:val="24"/>
            </w:rPr>
            <w:instrText xml:space="preserve"> CITATION Jam82 \l 2057 </w:instrText>
          </w:r>
          <w:r w:rsidR="00894462">
            <w:rPr>
              <w:rFonts w:ascii="Cambria" w:hAnsi="Cambria"/>
              <w:bCs/>
              <w:sz w:val="24"/>
            </w:rPr>
            <w:fldChar w:fldCharType="separate"/>
          </w:r>
          <w:r w:rsidR="00894462" w:rsidRPr="00894462">
            <w:rPr>
              <w:rFonts w:ascii="Cambria" w:hAnsi="Cambria"/>
              <w:noProof/>
              <w:sz w:val="24"/>
            </w:rPr>
            <w:t>(Woodburn, 1982)</w:t>
          </w:r>
          <w:r w:rsidR="00894462">
            <w:rPr>
              <w:rFonts w:ascii="Cambria" w:hAnsi="Cambria"/>
              <w:bCs/>
              <w:sz w:val="24"/>
            </w:rPr>
            <w:fldChar w:fldCharType="end"/>
          </w:r>
        </w:sdtContent>
      </w:sdt>
      <w:r w:rsidR="004A2F73">
        <w:rPr>
          <w:rFonts w:ascii="Cambria" w:hAnsi="Cambria"/>
          <w:bCs/>
          <w:sz w:val="24"/>
        </w:rPr>
        <w:t xml:space="preserve"> </w:t>
      </w:r>
      <w:r w:rsidR="002277B7">
        <w:rPr>
          <w:rFonts w:ascii="Cambria" w:hAnsi="Cambria"/>
          <w:bCs/>
          <w:sz w:val="24"/>
        </w:rPr>
        <w:t xml:space="preserve">Socially, there is little division between the sexes amongst the </w:t>
      </w:r>
      <w:proofErr w:type="spellStart"/>
      <w:r w:rsidR="002277B7">
        <w:rPr>
          <w:rFonts w:ascii="Cambria" w:hAnsi="Cambria"/>
          <w:bCs/>
          <w:sz w:val="24"/>
        </w:rPr>
        <w:t>Mbuti</w:t>
      </w:r>
      <w:proofErr w:type="spellEnd"/>
      <w:r w:rsidR="002277B7">
        <w:rPr>
          <w:rFonts w:ascii="Cambria" w:hAnsi="Cambria"/>
          <w:bCs/>
          <w:sz w:val="24"/>
        </w:rPr>
        <w:t xml:space="preserve">, in contrast to other groups that maintain rigid boundaries between men and women, </w:t>
      </w:r>
      <w:r w:rsidR="004C2FB8">
        <w:rPr>
          <w:rFonts w:ascii="Cambria" w:hAnsi="Cambria"/>
          <w:bCs/>
          <w:sz w:val="24"/>
        </w:rPr>
        <w:t xml:space="preserve">(such as the </w:t>
      </w:r>
      <w:proofErr w:type="spellStart"/>
      <w:r w:rsidR="004C2FB8" w:rsidRPr="00DF49BE">
        <w:rPr>
          <w:rFonts w:ascii="Cambria" w:hAnsi="Cambria"/>
          <w:b/>
          <w:sz w:val="24"/>
        </w:rPr>
        <w:t>Sambia</w:t>
      </w:r>
      <w:proofErr w:type="spellEnd"/>
      <w:r w:rsidR="004C2FB8" w:rsidRPr="00DF49BE">
        <w:rPr>
          <w:rFonts w:ascii="Cambria" w:hAnsi="Cambria"/>
          <w:b/>
          <w:sz w:val="24"/>
        </w:rPr>
        <w:t xml:space="preserve"> of New Guinea</w:t>
      </w:r>
      <w:r w:rsidR="004C2FB8">
        <w:rPr>
          <w:rFonts w:ascii="Cambria" w:hAnsi="Cambria"/>
          <w:bCs/>
          <w:sz w:val="24"/>
        </w:rPr>
        <w:t xml:space="preserve">) </w:t>
      </w:r>
      <w:r w:rsidR="002277B7">
        <w:rPr>
          <w:rFonts w:ascii="Cambria" w:hAnsi="Cambria"/>
          <w:bCs/>
          <w:sz w:val="24"/>
        </w:rPr>
        <w:t xml:space="preserve">with both sexes being equally valued, </w:t>
      </w:r>
      <w:r w:rsidR="004A2F73">
        <w:rPr>
          <w:rFonts w:ascii="Cambria" w:hAnsi="Cambria"/>
          <w:bCs/>
          <w:sz w:val="24"/>
        </w:rPr>
        <w:t xml:space="preserve">despite men typically having greater authority </w:t>
      </w:r>
      <w:r w:rsidR="00DF49BE">
        <w:rPr>
          <w:rFonts w:ascii="Cambria" w:hAnsi="Cambria"/>
          <w:bCs/>
          <w:sz w:val="24"/>
        </w:rPr>
        <w:t>as heads of their families. These</w:t>
      </w:r>
      <w:r w:rsidR="004A2F73">
        <w:rPr>
          <w:rFonts w:ascii="Cambria" w:hAnsi="Cambria"/>
          <w:bCs/>
          <w:sz w:val="24"/>
        </w:rPr>
        <w:t xml:space="preserve"> </w:t>
      </w:r>
      <w:r w:rsidR="00DF49BE">
        <w:rPr>
          <w:rFonts w:ascii="Cambria" w:hAnsi="Cambria"/>
          <w:bCs/>
          <w:sz w:val="24"/>
        </w:rPr>
        <w:t xml:space="preserve">aspects of equality and balance </w:t>
      </w:r>
      <w:proofErr w:type="gramStart"/>
      <w:r w:rsidR="00DF49BE">
        <w:rPr>
          <w:rFonts w:ascii="Cambria" w:hAnsi="Cambria"/>
          <w:bCs/>
          <w:sz w:val="24"/>
        </w:rPr>
        <w:t>are</w:t>
      </w:r>
      <w:r w:rsidR="004A2F73">
        <w:rPr>
          <w:rFonts w:ascii="Cambria" w:hAnsi="Cambria"/>
          <w:bCs/>
          <w:sz w:val="24"/>
        </w:rPr>
        <w:t xml:space="preserve"> not always </w:t>
      </w:r>
      <w:r w:rsidR="00DF49BE">
        <w:rPr>
          <w:rFonts w:ascii="Cambria" w:hAnsi="Cambria"/>
          <w:bCs/>
          <w:sz w:val="24"/>
        </w:rPr>
        <w:t>seen</w:t>
      </w:r>
      <w:proofErr w:type="gramEnd"/>
      <w:r w:rsidR="00DF49BE">
        <w:rPr>
          <w:rFonts w:ascii="Cambria" w:hAnsi="Cambria"/>
          <w:bCs/>
          <w:sz w:val="24"/>
        </w:rPr>
        <w:t xml:space="preserve"> amongst autonomous groups, where division between the sexes and inequality can be prevalent.</w:t>
      </w:r>
      <w:r w:rsidR="004A2F73">
        <w:rPr>
          <w:rFonts w:ascii="Cambria" w:hAnsi="Cambria"/>
          <w:bCs/>
          <w:sz w:val="24"/>
        </w:rPr>
        <w:br/>
      </w:r>
      <w:r w:rsidR="004A2F73">
        <w:rPr>
          <w:rFonts w:ascii="Cambria" w:hAnsi="Cambria"/>
          <w:bCs/>
          <w:sz w:val="24"/>
        </w:rPr>
        <w:br/>
      </w:r>
      <w:commentRangeStart w:id="4"/>
      <w:r w:rsidR="004A2F73">
        <w:rPr>
          <w:rFonts w:ascii="Cambria" w:hAnsi="Cambria"/>
          <w:bCs/>
          <w:sz w:val="24"/>
        </w:rPr>
        <w:t xml:space="preserve">Egalitarian societies are able to maintain social order and therefore equality through a number of means, one of which is control of aggression. Within these societies, if an ‘’upstart’’ begins attempting to dominate others socially, through means of bullying or grandstanding, they are shut down by their peers who make it known that such behaviour is unacceptable. </w:t>
      </w:r>
      <w:sdt>
        <w:sdtPr>
          <w:rPr>
            <w:rFonts w:ascii="Cambria" w:hAnsi="Cambria"/>
            <w:bCs/>
            <w:sz w:val="24"/>
          </w:rPr>
          <w:id w:val="561755291"/>
          <w:citation/>
        </w:sdtPr>
        <w:sdtEndPr/>
        <w:sdtContent>
          <w:r w:rsidR="004A2F73">
            <w:rPr>
              <w:rFonts w:ascii="Cambria" w:hAnsi="Cambria"/>
              <w:bCs/>
              <w:sz w:val="24"/>
            </w:rPr>
            <w:fldChar w:fldCharType="begin"/>
          </w:r>
          <w:r w:rsidR="004A2F73">
            <w:rPr>
              <w:rFonts w:ascii="Cambria" w:hAnsi="Cambria"/>
              <w:bCs/>
              <w:sz w:val="24"/>
            </w:rPr>
            <w:instrText xml:space="preserve"> CITATION Chr99 \l 2057 </w:instrText>
          </w:r>
          <w:r w:rsidR="004A2F73">
            <w:rPr>
              <w:rFonts w:ascii="Cambria" w:hAnsi="Cambria"/>
              <w:bCs/>
              <w:sz w:val="24"/>
            </w:rPr>
            <w:fldChar w:fldCharType="separate"/>
          </w:r>
          <w:r w:rsidR="004A2F73" w:rsidRPr="004A2F73">
            <w:rPr>
              <w:rFonts w:ascii="Cambria" w:hAnsi="Cambria"/>
              <w:noProof/>
              <w:sz w:val="24"/>
            </w:rPr>
            <w:t>(Boehm, 1999)</w:t>
          </w:r>
          <w:r w:rsidR="004A2F73">
            <w:rPr>
              <w:rFonts w:ascii="Cambria" w:hAnsi="Cambria"/>
              <w:bCs/>
              <w:sz w:val="24"/>
            </w:rPr>
            <w:fldChar w:fldCharType="end"/>
          </w:r>
        </w:sdtContent>
      </w:sdt>
      <w:r w:rsidR="004A2F73">
        <w:rPr>
          <w:rFonts w:ascii="Cambria" w:hAnsi="Cambria"/>
          <w:bCs/>
          <w:sz w:val="24"/>
        </w:rPr>
        <w:t xml:space="preserve"> The social cues used to discourage from ‘upstarting’ may vary in subtlety, with ridicule being used as a potential method of discouragement</w:t>
      </w:r>
      <w:r w:rsidR="00AD24FB">
        <w:rPr>
          <w:rFonts w:ascii="Cambria" w:hAnsi="Cambria"/>
          <w:bCs/>
          <w:sz w:val="24"/>
        </w:rPr>
        <w:t xml:space="preserve">, as well as criticism and isolation. These methods maintain peace and social order, with ethnographers amongst these groups reporting that typically whilst there can be tension around issues such as sharing and such, no real conflict or aggression is present within these groups. </w:t>
      </w:r>
      <w:sdt>
        <w:sdtPr>
          <w:rPr>
            <w:rFonts w:ascii="Cambria" w:hAnsi="Cambria"/>
            <w:bCs/>
            <w:sz w:val="24"/>
          </w:rPr>
          <w:id w:val="-754051228"/>
          <w:citation/>
        </w:sdtPr>
        <w:sdtEndPr/>
        <w:sdtContent>
          <w:r w:rsidR="00AD24FB">
            <w:rPr>
              <w:rFonts w:ascii="Cambria" w:hAnsi="Cambria"/>
              <w:bCs/>
              <w:sz w:val="24"/>
            </w:rPr>
            <w:fldChar w:fldCharType="begin"/>
          </w:r>
          <w:r w:rsidR="00AD24FB">
            <w:rPr>
              <w:rFonts w:ascii="Cambria" w:hAnsi="Cambria"/>
              <w:bCs/>
              <w:sz w:val="24"/>
            </w:rPr>
            <w:instrText xml:space="preserve"> CITATION Chr99 \l 2057 </w:instrText>
          </w:r>
          <w:r w:rsidR="00AD24FB">
            <w:rPr>
              <w:rFonts w:ascii="Cambria" w:hAnsi="Cambria"/>
              <w:bCs/>
              <w:sz w:val="24"/>
            </w:rPr>
            <w:fldChar w:fldCharType="separate"/>
          </w:r>
          <w:r w:rsidR="00AD24FB" w:rsidRPr="00AD24FB">
            <w:rPr>
              <w:rFonts w:ascii="Cambria" w:hAnsi="Cambria"/>
              <w:noProof/>
              <w:sz w:val="24"/>
            </w:rPr>
            <w:t>(Boehm, 1999)</w:t>
          </w:r>
          <w:r w:rsidR="00AD24FB">
            <w:rPr>
              <w:rFonts w:ascii="Cambria" w:hAnsi="Cambria"/>
              <w:bCs/>
              <w:sz w:val="24"/>
            </w:rPr>
            <w:fldChar w:fldCharType="end"/>
          </w:r>
        </w:sdtContent>
      </w:sdt>
      <w:r w:rsidR="00AD24FB">
        <w:rPr>
          <w:rFonts w:ascii="Cambria" w:hAnsi="Cambria"/>
          <w:bCs/>
          <w:sz w:val="24"/>
        </w:rPr>
        <w:t xml:space="preserve"> </w:t>
      </w:r>
      <w:commentRangeEnd w:id="4"/>
      <w:r w:rsidR="00C6488B">
        <w:rPr>
          <w:rStyle w:val="CommentReference"/>
        </w:rPr>
        <w:commentReference w:id="4"/>
      </w:r>
      <w:r w:rsidR="004C2FB8">
        <w:rPr>
          <w:rFonts w:ascii="Cambria" w:hAnsi="Cambria"/>
          <w:bCs/>
          <w:sz w:val="24"/>
        </w:rPr>
        <w:br/>
      </w:r>
      <w:r w:rsidR="004C2FB8">
        <w:rPr>
          <w:rFonts w:ascii="Cambria" w:hAnsi="Cambria"/>
          <w:bCs/>
          <w:sz w:val="24"/>
        </w:rPr>
        <w:br/>
      </w:r>
      <w:r w:rsidR="00AD24FB">
        <w:rPr>
          <w:rFonts w:ascii="Cambria" w:hAnsi="Cambria"/>
          <w:bCs/>
          <w:sz w:val="24"/>
        </w:rPr>
        <w:t xml:space="preserve">Groups such as the </w:t>
      </w:r>
      <w:r w:rsidR="00AD24FB" w:rsidRPr="00DF49BE">
        <w:rPr>
          <w:rFonts w:ascii="Cambria" w:hAnsi="Cambria"/>
          <w:b/>
          <w:sz w:val="24"/>
        </w:rPr>
        <w:t>Kung foragers of the Kalahari Desert</w:t>
      </w:r>
      <w:r w:rsidR="00AD24FB">
        <w:rPr>
          <w:rFonts w:ascii="Cambria" w:hAnsi="Cambria"/>
          <w:bCs/>
          <w:sz w:val="24"/>
        </w:rPr>
        <w:t>, actively engage in ridiculing members hunting achievements, in order to encourage modesty and to prevent the hunter’s achievement increasing his perceived value above others in the group. This behaviour is carried out humorously and boisterously, and is anothe</w:t>
      </w:r>
      <w:r w:rsidR="004C2FB8">
        <w:rPr>
          <w:rFonts w:ascii="Cambria" w:hAnsi="Cambria"/>
          <w:bCs/>
          <w:sz w:val="24"/>
        </w:rPr>
        <w:t xml:space="preserve">r means of maintaining equality, discouraging ‘’upstarts’’ or uneven perceptions of worth within the group. </w:t>
      </w:r>
      <w:r w:rsidR="00AB4408">
        <w:rPr>
          <w:rFonts w:ascii="Cambria" w:hAnsi="Cambria"/>
          <w:bCs/>
          <w:sz w:val="24"/>
        </w:rPr>
        <w:br/>
      </w:r>
      <w:commentRangeStart w:id="5"/>
      <w:r w:rsidR="00AB4408">
        <w:rPr>
          <w:rFonts w:ascii="Cambria" w:hAnsi="Cambria"/>
          <w:bCs/>
          <w:sz w:val="24"/>
        </w:rPr>
        <w:br/>
        <w:t xml:space="preserve">Egalitarian groups often refrain from having positions such as ‘Chief’ or any distinct leader, as seen in Turnbull’s ‘The Forest People’ when he reflects upon the complicated nature of leadership amongst the </w:t>
      </w:r>
      <w:proofErr w:type="spellStart"/>
      <w:r w:rsidR="00AB4408">
        <w:rPr>
          <w:rFonts w:ascii="Cambria" w:hAnsi="Cambria"/>
          <w:bCs/>
          <w:sz w:val="24"/>
        </w:rPr>
        <w:t>Mbuti</w:t>
      </w:r>
      <w:proofErr w:type="spellEnd"/>
      <w:r w:rsidR="00AB4408">
        <w:rPr>
          <w:rFonts w:ascii="Cambria" w:hAnsi="Cambria"/>
          <w:bCs/>
          <w:sz w:val="24"/>
        </w:rPr>
        <w:t xml:space="preserve">, which he states is a topic </w:t>
      </w:r>
      <w:r w:rsidR="00DF49BE">
        <w:rPr>
          <w:rFonts w:ascii="Cambria" w:hAnsi="Cambria"/>
          <w:bCs/>
          <w:sz w:val="24"/>
        </w:rPr>
        <w:t xml:space="preserve">of discussion that is best avoided, both to prevent tension and confusion. </w:t>
      </w:r>
      <w:sdt>
        <w:sdtPr>
          <w:rPr>
            <w:rFonts w:ascii="Cambria" w:hAnsi="Cambria"/>
            <w:bCs/>
            <w:sz w:val="24"/>
          </w:rPr>
          <w:id w:val="-870294959"/>
          <w:citation/>
        </w:sdtPr>
        <w:sdtEndPr/>
        <w:sdtContent>
          <w:r w:rsidR="00DF49BE">
            <w:rPr>
              <w:rFonts w:ascii="Cambria" w:hAnsi="Cambria"/>
              <w:bCs/>
              <w:sz w:val="24"/>
            </w:rPr>
            <w:fldChar w:fldCharType="begin"/>
          </w:r>
          <w:r w:rsidR="00DF49BE">
            <w:rPr>
              <w:rFonts w:ascii="Cambria" w:hAnsi="Cambria"/>
              <w:bCs/>
              <w:sz w:val="24"/>
            </w:rPr>
            <w:instrText xml:space="preserve"> CITATION Col61 \l 2057 </w:instrText>
          </w:r>
          <w:r w:rsidR="00DF49BE">
            <w:rPr>
              <w:rFonts w:ascii="Cambria" w:hAnsi="Cambria"/>
              <w:bCs/>
              <w:sz w:val="24"/>
            </w:rPr>
            <w:fldChar w:fldCharType="separate"/>
          </w:r>
          <w:r w:rsidR="00DF49BE" w:rsidRPr="00DF49BE">
            <w:rPr>
              <w:rFonts w:ascii="Cambria" w:hAnsi="Cambria"/>
              <w:noProof/>
              <w:sz w:val="24"/>
            </w:rPr>
            <w:t>(Turnbull, 1961)</w:t>
          </w:r>
          <w:r w:rsidR="00DF49BE">
            <w:rPr>
              <w:rFonts w:ascii="Cambria" w:hAnsi="Cambria"/>
              <w:bCs/>
              <w:sz w:val="24"/>
            </w:rPr>
            <w:fldChar w:fldCharType="end"/>
          </w:r>
        </w:sdtContent>
      </w:sdt>
      <w:commentRangeEnd w:id="5"/>
      <w:r w:rsidR="00C6488B">
        <w:rPr>
          <w:rStyle w:val="CommentReference"/>
        </w:rPr>
        <w:commentReference w:id="5"/>
      </w:r>
      <w:r w:rsidR="004C2FB8">
        <w:rPr>
          <w:rFonts w:ascii="Cambria" w:hAnsi="Cambria"/>
          <w:bCs/>
          <w:sz w:val="24"/>
        </w:rPr>
        <w:br/>
      </w:r>
      <w:r w:rsidR="004C2FB8">
        <w:rPr>
          <w:rFonts w:ascii="Cambria" w:hAnsi="Cambria"/>
          <w:bCs/>
          <w:sz w:val="24"/>
        </w:rPr>
        <w:br/>
      </w:r>
      <w:proofErr w:type="gramStart"/>
      <w:r w:rsidR="004C2FB8" w:rsidRPr="00DF49BE">
        <w:rPr>
          <w:rFonts w:ascii="Cambria" w:hAnsi="Cambria"/>
          <w:b/>
          <w:bCs/>
          <w:sz w:val="24"/>
          <w:u w:val="single"/>
        </w:rPr>
        <w:t>Discipline and Dominance.</w:t>
      </w:r>
      <w:proofErr w:type="gramEnd"/>
      <w:r w:rsidR="004C2FB8">
        <w:rPr>
          <w:rFonts w:ascii="Cambria" w:hAnsi="Cambria"/>
          <w:b/>
          <w:bCs/>
          <w:sz w:val="24"/>
        </w:rPr>
        <w:t xml:space="preserve"> </w:t>
      </w:r>
      <w:r w:rsidR="004C2FB8">
        <w:rPr>
          <w:rFonts w:ascii="Cambria" w:hAnsi="Cambria"/>
          <w:b/>
          <w:bCs/>
          <w:sz w:val="24"/>
        </w:rPr>
        <w:br/>
      </w:r>
      <w:r w:rsidR="004C2FB8">
        <w:rPr>
          <w:rFonts w:ascii="Cambria" w:hAnsi="Cambria"/>
          <w:b/>
          <w:bCs/>
          <w:sz w:val="24"/>
        </w:rPr>
        <w:br/>
      </w:r>
      <w:commentRangeStart w:id="6"/>
      <w:r w:rsidR="004C2FB8">
        <w:rPr>
          <w:rFonts w:ascii="Cambria" w:hAnsi="Cambria"/>
          <w:bCs/>
          <w:sz w:val="24"/>
        </w:rPr>
        <w:lastRenderedPageBreak/>
        <w:t>While egalitarian groups strive to maintain balance in social structure and peacefully defuse aggression and power struggles</w:t>
      </w:r>
      <w:r w:rsidR="00AB4408">
        <w:rPr>
          <w:rFonts w:ascii="Cambria" w:hAnsi="Cambria"/>
          <w:bCs/>
          <w:sz w:val="24"/>
        </w:rPr>
        <w:t xml:space="preserve">, other autonomous groups display strong, often male-based leadership, with members competing for dominance in order to achieve these roles. </w:t>
      </w:r>
      <w:r w:rsidR="00DF49BE">
        <w:rPr>
          <w:rFonts w:ascii="Cambria" w:hAnsi="Cambria"/>
          <w:bCs/>
          <w:sz w:val="24"/>
        </w:rPr>
        <w:t xml:space="preserve">Attaining dominance in these groups may </w:t>
      </w:r>
      <w:r w:rsidR="00526327">
        <w:rPr>
          <w:rFonts w:ascii="Cambria" w:hAnsi="Cambria"/>
          <w:bCs/>
          <w:sz w:val="24"/>
        </w:rPr>
        <w:t>translate into the ownership</w:t>
      </w:r>
      <w:r w:rsidR="00DF49BE">
        <w:rPr>
          <w:rFonts w:ascii="Cambria" w:hAnsi="Cambria"/>
          <w:bCs/>
          <w:sz w:val="24"/>
        </w:rPr>
        <w:t xml:space="preserve"> of certain properties and rights. </w:t>
      </w:r>
      <w:commentRangeEnd w:id="6"/>
      <w:r w:rsidR="00B361E6">
        <w:rPr>
          <w:rStyle w:val="CommentReference"/>
        </w:rPr>
        <w:commentReference w:id="6"/>
      </w:r>
      <w:r w:rsidR="00DF49BE">
        <w:rPr>
          <w:rFonts w:ascii="Cambria" w:hAnsi="Cambria"/>
          <w:bCs/>
          <w:sz w:val="24"/>
        </w:rPr>
        <w:t xml:space="preserve">In the case of the Nilotic group, </w:t>
      </w:r>
      <w:commentRangeStart w:id="7"/>
      <w:r w:rsidR="00DF49BE" w:rsidRPr="00DF49BE">
        <w:rPr>
          <w:rFonts w:ascii="Cambria" w:hAnsi="Cambria"/>
          <w:b/>
          <w:sz w:val="24"/>
        </w:rPr>
        <w:t xml:space="preserve">the Nuer </w:t>
      </w:r>
      <w:r w:rsidR="00DF49BE" w:rsidRPr="00526327">
        <w:rPr>
          <w:rFonts w:ascii="Cambria" w:hAnsi="Cambria"/>
          <w:b/>
          <w:sz w:val="24"/>
        </w:rPr>
        <w:t>of South Sudan</w:t>
      </w:r>
      <w:r w:rsidR="00526327">
        <w:rPr>
          <w:rFonts w:ascii="Cambria" w:hAnsi="Cambria"/>
          <w:bCs/>
          <w:sz w:val="24"/>
        </w:rPr>
        <w:t xml:space="preserve">, power and authority is often determined by ownership of cattle, as the Nuer are a pastoralists and value their cattle above all else, viewing them as not only sacred but also as a means of currency. In the case of the </w:t>
      </w:r>
      <w:r w:rsidR="00526327" w:rsidRPr="00526327">
        <w:rPr>
          <w:rFonts w:ascii="Cambria" w:hAnsi="Cambria"/>
          <w:b/>
          <w:sz w:val="24"/>
        </w:rPr>
        <w:t>Yanomamo</w:t>
      </w:r>
      <w:r w:rsidR="00526327">
        <w:rPr>
          <w:rFonts w:ascii="Cambria" w:hAnsi="Cambria"/>
          <w:bCs/>
          <w:sz w:val="24"/>
        </w:rPr>
        <w:t xml:space="preserve"> </w:t>
      </w:r>
      <w:r w:rsidR="00526327" w:rsidRPr="00526327">
        <w:rPr>
          <w:rFonts w:ascii="Cambria" w:hAnsi="Cambria"/>
          <w:b/>
          <w:sz w:val="24"/>
        </w:rPr>
        <w:t>of the Amazon rainforest,</w:t>
      </w:r>
      <w:r w:rsidR="00526327">
        <w:rPr>
          <w:rFonts w:ascii="Cambria" w:hAnsi="Cambria"/>
          <w:bCs/>
          <w:sz w:val="24"/>
        </w:rPr>
        <w:t xml:space="preserve"> the matter of dominance and ownership may relate to the possession of wives, as women </w:t>
      </w:r>
      <w:proofErr w:type="gramStart"/>
      <w:r w:rsidR="00526327">
        <w:rPr>
          <w:rFonts w:ascii="Cambria" w:hAnsi="Cambria"/>
          <w:bCs/>
          <w:sz w:val="24"/>
        </w:rPr>
        <w:t>are viewed</w:t>
      </w:r>
      <w:proofErr w:type="gramEnd"/>
      <w:r w:rsidR="00526327">
        <w:rPr>
          <w:rFonts w:ascii="Cambria" w:hAnsi="Cambria"/>
          <w:bCs/>
          <w:sz w:val="24"/>
        </w:rPr>
        <w:t xml:space="preserve"> as a treasure to be raided, or possession to be owned. </w:t>
      </w:r>
      <w:commentRangeEnd w:id="7"/>
      <w:r w:rsidR="00B361E6">
        <w:rPr>
          <w:rStyle w:val="CommentReference"/>
        </w:rPr>
        <w:commentReference w:id="7"/>
      </w:r>
      <w:r w:rsidR="00526327">
        <w:rPr>
          <w:rFonts w:ascii="Cambria" w:hAnsi="Cambria"/>
          <w:bCs/>
          <w:sz w:val="24"/>
        </w:rPr>
        <w:t xml:space="preserve">These means of establishing power through ownership of property is almost the opposite to the philosophies of the </w:t>
      </w:r>
      <w:proofErr w:type="spellStart"/>
      <w:r w:rsidR="00526327">
        <w:rPr>
          <w:rFonts w:ascii="Cambria" w:hAnsi="Cambria"/>
          <w:bCs/>
          <w:sz w:val="24"/>
        </w:rPr>
        <w:t>Mbuti</w:t>
      </w:r>
      <w:proofErr w:type="spellEnd"/>
      <w:r w:rsidR="00526327">
        <w:rPr>
          <w:rFonts w:ascii="Cambria" w:hAnsi="Cambria"/>
          <w:bCs/>
          <w:sz w:val="24"/>
        </w:rPr>
        <w:t xml:space="preserve"> and Kung, and this contrast continues in other areas of social order and daily life. </w:t>
      </w:r>
      <w:r w:rsidR="00526327">
        <w:rPr>
          <w:rFonts w:ascii="Cambria" w:hAnsi="Cambria"/>
          <w:bCs/>
          <w:sz w:val="24"/>
        </w:rPr>
        <w:br/>
      </w:r>
      <w:r w:rsidR="00526327">
        <w:rPr>
          <w:rFonts w:ascii="Cambria" w:hAnsi="Cambria"/>
          <w:bCs/>
          <w:sz w:val="24"/>
        </w:rPr>
        <w:br/>
      </w:r>
      <w:r w:rsidR="00AB4408">
        <w:rPr>
          <w:rFonts w:ascii="Cambria" w:hAnsi="Cambria"/>
          <w:bCs/>
          <w:sz w:val="24"/>
        </w:rPr>
        <w:t xml:space="preserve">For example, in stark contrast to the </w:t>
      </w:r>
      <w:proofErr w:type="spellStart"/>
      <w:r w:rsidR="00AB4408">
        <w:rPr>
          <w:rFonts w:ascii="Cambria" w:hAnsi="Cambria"/>
          <w:bCs/>
          <w:sz w:val="24"/>
        </w:rPr>
        <w:t>Mbuti</w:t>
      </w:r>
      <w:proofErr w:type="spellEnd"/>
      <w:r w:rsidR="00D57E17">
        <w:rPr>
          <w:rFonts w:ascii="Cambria" w:hAnsi="Cambria"/>
          <w:bCs/>
          <w:sz w:val="24"/>
        </w:rPr>
        <w:t xml:space="preserve"> and other more egalitarian societies, the Yanomamo who are sometimes known as ‘the fierce people’, prize aggression, ferocity and dominance, encouraging such behaviour. </w:t>
      </w:r>
      <w:r w:rsidR="00B5795D">
        <w:rPr>
          <w:rFonts w:ascii="Cambria" w:hAnsi="Cambria"/>
          <w:bCs/>
          <w:sz w:val="24"/>
        </w:rPr>
        <w:t xml:space="preserve">Another </w:t>
      </w:r>
      <w:proofErr w:type="gramStart"/>
      <w:r w:rsidR="00526327">
        <w:rPr>
          <w:rFonts w:ascii="Cambria" w:hAnsi="Cambria"/>
          <w:bCs/>
          <w:sz w:val="24"/>
        </w:rPr>
        <w:t>way</w:t>
      </w:r>
      <w:proofErr w:type="gramEnd"/>
      <w:r w:rsidR="00B5795D">
        <w:rPr>
          <w:rFonts w:ascii="Cambria" w:hAnsi="Cambria"/>
          <w:bCs/>
          <w:sz w:val="24"/>
        </w:rPr>
        <w:t xml:space="preserve"> in which the Yanomamo differ from the </w:t>
      </w:r>
      <w:proofErr w:type="spellStart"/>
      <w:r w:rsidR="00B5795D">
        <w:rPr>
          <w:rFonts w:ascii="Cambria" w:hAnsi="Cambria"/>
          <w:bCs/>
          <w:sz w:val="24"/>
        </w:rPr>
        <w:t>Mbuti</w:t>
      </w:r>
      <w:proofErr w:type="spellEnd"/>
      <w:r w:rsidR="00B5795D">
        <w:rPr>
          <w:rFonts w:ascii="Cambria" w:hAnsi="Cambria"/>
          <w:bCs/>
          <w:sz w:val="24"/>
        </w:rPr>
        <w:t>, is in treatment of sex</w:t>
      </w:r>
      <w:r w:rsidR="00526327">
        <w:rPr>
          <w:rFonts w:ascii="Cambria" w:hAnsi="Cambria"/>
          <w:bCs/>
          <w:sz w:val="24"/>
        </w:rPr>
        <w:t xml:space="preserve"> and gender</w:t>
      </w:r>
      <w:r w:rsidR="00B5795D">
        <w:rPr>
          <w:rFonts w:ascii="Cambria" w:hAnsi="Cambria"/>
          <w:bCs/>
          <w:sz w:val="24"/>
        </w:rPr>
        <w:t>, with far more, and far stricter restrictions based on biological sex</w:t>
      </w:r>
      <w:r w:rsidR="00526327">
        <w:rPr>
          <w:rFonts w:ascii="Cambria" w:hAnsi="Cambria"/>
          <w:bCs/>
          <w:sz w:val="24"/>
        </w:rPr>
        <w:t xml:space="preserve"> and perceived masculinity and femininity</w:t>
      </w:r>
      <w:r w:rsidR="00B5795D">
        <w:rPr>
          <w:rFonts w:ascii="Cambria" w:hAnsi="Cambria"/>
          <w:bCs/>
          <w:sz w:val="24"/>
        </w:rPr>
        <w:t xml:space="preserve">. </w:t>
      </w:r>
      <w:r w:rsidR="00526327">
        <w:rPr>
          <w:rFonts w:ascii="Cambria" w:hAnsi="Cambria"/>
          <w:bCs/>
          <w:sz w:val="24"/>
        </w:rPr>
        <w:br/>
      </w:r>
      <w:r w:rsidR="00B5795D">
        <w:rPr>
          <w:rFonts w:ascii="Cambria" w:hAnsi="Cambria"/>
          <w:bCs/>
          <w:sz w:val="24"/>
        </w:rPr>
        <w:t xml:space="preserve">The Yanomamo’s society is ‘’decidedly masculine’’ </w:t>
      </w:r>
      <w:sdt>
        <w:sdtPr>
          <w:rPr>
            <w:rFonts w:ascii="Cambria" w:hAnsi="Cambria"/>
            <w:bCs/>
            <w:sz w:val="24"/>
          </w:rPr>
          <w:id w:val="-51159079"/>
          <w:citation/>
        </w:sdtPr>
        <w:sdtEndPr/>
        <w:sdtContent>
          <w:r w:rsidR="00B5795D">
            <w:rPr>
              <w:rFonts w:ascii="Cambria" w:hAnsi="Cambria"/>
              <w:bCs/>
              <w:sz w:val="24"/>
            </w:rPr>
            <w:fldChar w:fldCharType="begin"/>
          </w:r>
          <w:r w:rsidR="00B5795D">
            <w:rPr>
              <w:rFonts w:ascii="Cambria" w:hAnsi="Cambria"/>
              <w:bCs/>
              <w:sz w:val="24"/>
            </w:rPr>
            <w:instrText xml:space="preserve">CITATION Nap68 \p 111 \l 2057 </w:instrText>
          </w:r>
          <w:r w:rsidR="00B5795D">
            <w:rPr>
              <w:rFonts w:ascii="Cambria" w:hAnsi="Cambria"/>
              <w:bCs/>
              <w:sz w:val="24"/>
            </w:rPr>
            <w:fldChar w:fldCharType="separate"/>
          </w:r>
          <w:r w:rsidR="00B5795D" w:rsidRPr="00B5795D">
            <w:rPr>
              <w:rFonts w:ascii="Cambria" w:hAnsi="Cambria"/>
              <w:noProof/>
              <w:sz w:val="24"/>
            </w:rPr>
            <w:t>(Chagnon, 1968, p. 111)</w:t>
          </w:r>
          <w:r w:rsidR="00B5795D">
            <w:rPr>
              <w:rFonts w:ascii="Cambria" w:hAnsi="Cambria"/>
              <w:bCs/>
              <w:sz w:val="24"/>
            </w:rPr>
            <w:fldChar w:fldCharType="end"/>
          </w:r>
        </w:sdtContent>
      </w:sdt>
      <w:r w:rsidR="00B5795D">
        <w:rPr>
          <w:rFonts w:ascii="Cambria" w:hAnsi="Cambria"/>
          <w:bCs/>
          <w:sz w:val="24"/>
        </w:rPr>
        <w:t xml:space="preserve"> with women’s roles being very demanding and restrictive in comparison to the roles of men who arguably have far more freedom. For instance, women have no power in decision-making around marriage, as it is the responsibility and role of male kin and elders to decide for them. Women are also expected </w:t>
      </w:r>
      <w:r w:rsidR="00526327">
        <w:rPr>
          <w:rFonts w:ascii="Cambria" w:hAnsi="Cambria"/>
          <w:bCs/>
          <w:sz w:val="24"/>
        </w:rPr>
        <w:t>t</w:t>
      </w:r>
      <w:r w:rsidR="00B5795D">
        <w:rPr>
          <w:rFonts w:ascii="Cambria" w:hAnsi="Cambria"/>
          <w:bCs/>
          <w:sz w:val="24"/>
        </w:rPr>
        <w:t>o ‘’respond quickly t</w:t>
      </w:r>
      <w:r w:rsidR="00526327">
        <w:rPr>
          <w:rFonts w:ascii="Cambria" w:hAnsi="Cambria"/>
          <w:bCs/>
          <w:sz w:val="24"/>
        </w:rPr>
        <w:t>o the demands of their husbands</w:t>
      </w:r>
      <w:r w:rsidR="00B5795D">
        <w:rPr>
          <w:rFonts w:ascii="Cambria" w:hAnsi="Cambria"/>
          <w:bCs/>
          <w:sz w:val="24"/>
        </w:rPr>
        <w:t>’’</w:t>
      </w:r>
      <w:r w:rsidR="00526327">
        <w:rPr>
          <w:rFonts w:ascii="Cambria" w:hAnsi="Cambria"/>
          <w:bCs/>
          <w:sz w:val="24"/>
        </w:rPr>
        <w:t xml:space="preserve"> or else it is not unusual for them to receive beatings.</w:t>
      </w:r>
      <w:r w:rsidR="00B5795D">
        <w:rPr>
          <w:rFonts w:ascii="Cambria" w:hAnsi="Cambria"/>
          <w:bCs/>
          <w:sz w:val="24"/>
        </w:rPr>
        <w:t xml:space="preserve"> </w:t>
      </w:r>
      <w:sdt>
        <w:sdtPr>
          <w:rPr>
            <w:rFonts w:ascii="Cambria" w:hAnsi="Cambria"/>
            <w:bCs/>
            <w:sz w:val="24"/>
          </w:rPr>
          <w:id w:val="874272227"/>
          <w:citation/>
        </w:sdtPr>
        <w:sdtEndPr/>
        <w:sdtContent>
          <w:r w:rsidR="00B5795D">
            <w:rPr>
              <w:rFonts w:ascii="Cambria" w:hAnsi="Cambria"/>
              <w:bCs/>
              <w:sz w:val="24"/>
            </w:rPr>
            <w:fldChar w:fldCharType="begin"/>
          </w:r>
          <w:r w:rsidR="00B5795D">
            <w:rPr>
              <w:rFonts w:ascii="Cambria" w:hAnsi="Cambria"/>
              <w:bCs/>
              <w:sz w:val="24"/>
            </w:rPr>
            <w:instrText xml:space="preserve">CITATION Nap68 \p 112 \l 2057 </w:instrText>
          </w:r>
          <w:r w:rsidR="00B5795D">
            <w:rPr>
              <w:rFonts w:ascii="Cambria" w:hAnsi="Cambria"/>
              <w:bCs/>
              <w:sz w:val="24"/>
            </w:rPr>
            <w:fldChar w:fldCharType="separate"/>
          </w:r>
          <w:r w:rsidR="00B5795D" w:rsidRPr="00B5795D">
            <w:rPr>
              <w:rFonts w:ascii="Cambria" w:hAnsi="Cambria"/>
              <w:noProof/>
              <w:sz w:val="24"/>
            </w:rPr>
            <w:t>(Chagnon, 1968, p. 112)</w:t>
          </w:r>
          <w:r w:rsidR="00B5795D">
            <w:rPr>
              <w:rFonts w:ascii="Cambria" w:hAnsi="Cambria"/>
              <w:bCs/>
              <w:sz w:val="24"/>
            </w:rPr>
            <w:fldChar w:fldCharType="end"/>
          </w:r>
        </w:sdtContent>
      </w:sdt>
      <w:r w:rsidR="00B5795D">
        <w:rPr>
          <w:rFonts w:ascii="Cambria" w:hAnsi="Cambria"/>
          <w:bCs/>
          <w:sz w:val="24"/>
        </w:rPr>
        <w:t xml:space="preserve"> </w:t>
      </w:r>
      <w:r w:rsidR="00526327">
        <w:rPr>
          <w:rFonts w:ascii="Cambria" w:hAnsi="Cambria"/>
          <w:bCs/>
          <w:sz w:val="24"/>
        </w:rPr>
        <w:br/>
      </w:r>
      <w:r w:rsidR="00B5795D">
        <w:rPr>
          <w:rFonts w:ascii="Cambria" w:hAnsi="Cambria"/>
          <w:bCs/>
          <w:sz w:val="24"/>
        </w:rPr>
        <w:t xml:space="preserve">Men therefore have more power than women, making distribution of power unequal as opposed to equal.  </w:t>
      </w:r>
      <w:r w:rsidR="00B5795D">
        <w:rPr>
          <w:rFonts w:ascii="Cambria" w:hAnsi="Cambria"/>
          <w:bCs/>
          <w:sz w:val="24"/>
        </w:rPr>
        <w:br/>
      </w:r>
      <w:r w:rsidR="004C2FB8">
        <w:rPr>
          <w:rFonts w:ascii="Cambria" w:hAnsi="Cambria"/>
          <w:bCs/>
          <w:sz w:val="24"/>
        </w:rPr>
        <w:br/>
      </w:r>
      <w:r w:rsidR="005D202F">
        <w:rPr>
          <w:rFonts w:ascii="Cambria" w:hAnsi="Cambria"/>
          <w:bCs/>
          <w:sz w:val="24"/>
        </w:rPr>
        <w:br/>
      </w:r>
      <w:r w:rsidR="005D202F">
        <w:rPr>
          <w:rFonts w:ascii="Cambria" w:hAnsi="Cambria"/>
          <w:bCs/>
          <w:sz w:val="24"/>
        </w:rPr>
        <w:br/>
      </w:r>
      <w:r w:rsidR="00526327">
        <w:rPr>
          <w:rFonts w:ascii="Cambria" w:hAnsi="Cambria"/>
          <w:b/>
          <w:sz w:val="24"/>
          <w:u w:val="single"/>
        </w:rPr>
        <w:t>Conclusion.</w:t>
      </w:r>
      <w:r w:rsidR="00526327">
        <w:rPr>
          <w:rFonts w:ascii="Cambria" w:hAnsi="Cambria"/>
          <w:b/>
          <w:sz w:val="24"/>
          <w:u w:val="single"/>
        </w:rPr>
        <w:br/>
      </w:r>
      <w:r w:rsidR="00526327">
        <w:rPr>
          <w:rFonts w:ascii="Cambria" w:hAnsi="Cambria"/>
          <w:b/>
          <w:sz w:val="24"/>
          <w:u w:val="single"/>
        </w:rPr>
        <w:br/>
      </w:r>
      <w:r w:rsidR="00526327">
        <w:rPr>
          <w:rFonts w:ascii="Cambria" w:hAnsi="Cambria"/>
          <w:bCs/>
          <w:sz w:val="24"/>
        </w:rPr>
        <w:t>In conclusion, while it has been theorised that living in autonomous groups lends itself to egalitarian societies, with little importance place</w:t>
      </w:r>
      <w:r w:rsidR="003D3750">
        <w:rPr>
          <w:rFonts w:ascii="Cambria" w:hAnsi="Cambria"/>
          <w:bCs/>
          <w:sz w:val="24"/>
        </w:rPr>
        <w:t>d on</w:t>
      </w:r>
      <w:r w:rsidR="00526327">
        <w:rPr>
          <w:rFonts w:ascii="Cambria" w:hAnsi="Cambria"/>
          <w:bCs/>
          <w:sz w:val="24"/>
        </w:rPr>
        <w:t xml:space="preserve"> material possession, </w:t>
      </w:r>
      <w:r w:rsidR="003D3750">
        <w:rPr>
          <w:rFonts w:ascii="Cambria" w:hAnsi="Cambria"/>
          <w:bCs/>
          <w:sz w:val="24"/>
        </w:rPr>
        <w:t>some autonomous groups are evidence that this is not always the case.</w:t>
      </w:r>
      <w:commentRangeStart w:id="8"/>
      <w:r w:rsidR="003D3750">
        <w:rPr>
          <w:rFonts w:ascii="Cambria" w:hAnsi="Cambria"/>
          <w:bCs/>
          <w:sz w:val="24"/>
        </w:rPr>
        <w:t xml:space="preserve"> This is because possession such as cattle and ownership of wives and marriage rights become the prominent means and rewards of establishing dominance amongst many of these groups. </w:t>
      </w:r>
      <w:commentRangeEnd w:id="8"/>
      <w:r w:rsidR="00B361E6">
        <w:rPr>
          <w:rStyle w:val="CommentReference"/>
        </w:rPr>
        <w:commentReference w:id="8"/>
      </w:r>
      <w:r w:rsidR="003D3750">
        <w:rPr>
          <w:rFonts w:ascii="Cambria" w:hAnsi="Cambria"/>
          <w:bCs/>
          <w:sz w:val="24"/>
        </w:rPr>
        <w:t xml:space="preserve">Many of the groups are male-dominated, with men vying for power over one another. However, that is not to say that more peaceful, egalitarian societies do not exist amongst autonomous, nomadic groups around the world: groups such as the </w:t>
      </w:r>
      <w:proofErr w:type="spellStart"/>
      <w:r w:rsidR="003D3750">
        <w:rPr>
          <w:rFonts w:ascii="Cambria" w:hAnsi="Cambria"/>
          <w:bCs/>
          <w:sz w:val="24"/>
        </w:rPr>
        <w:t>Mbuti</w:t>
      </w:r>
      <w:proofErr w:type="spellEnd"/>
      <w:r w:rsidR="003D3750">
        <w:rPr>
          <w:rFonts w:ascii="Cambria" w:hAnsi="Cambria"/>
          <w:bCs/>
          <w:sz w:val="24"/>
        </w:rPr>
        <w:t xml:space="preserve"> and Kung are evidence of this. </w:t>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lastRenderedPageBreak/>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Cs/>
          <w:sz w:val="24"/>
        </w:rPr>
        <w:br/>
      </w:r>
      <w:r w:rsidR="003D3750">
        <w:rPr>
          <w:rFonts w:ascii="Cambria" w:hAnsi="Cambria"/>
          <w:b/>
          <w:sz w:val="28"/>
          <w:szCs w:val="24"/>
          <w:u w:val="single"/>
        </w:rPr>
        <w:t>Sources.</w:t>
      </w:r>
      <w:r w:rsidR="003D3750">
        <w:rPr>
          <w:rFonts w:ascii="Cambria" w:hAnsi="Cambria"/>
          <w:b/>
          <w:sz w:val="24"/>
          <w:u w:val="single"/>
        </w:rPr>
        <w:br/>
        <w:t>Books</w:t>
      </w:r>
      <w:proofErr w:type="gramStart"/>
      <w:r w:rsidR="003D3750">
        <w:rPr>
          <w:rFonts w:ascii="Cambria" w:hAnsi="Cambria"/>
          <w:b/>
          <w:sz w:val="24"/>
          <w:u w:val="single"/>
        </w:rPr>
        <w:t>:</w:t>
      </w:r>
      <w:proofErr w:type="gramEnd"/>
      <w:r w:rsidR="003D3750">
        <w:rPr>
          <w:rFonts w:ascii="Cambria" w:hAnsi="Cambria"/>
          <w:bCs/>
          <w:sz w:val="24"/>
        </w:rPr>
        <w:br/>
      </w:r>
      <w:r w:rsidR="003D3750">
        <w:rPr>
          <w:rFonts w:ascii="Cambria" w:hAnsi="Cambria"/>
          <w:bCs/>
          <w:sz w:val="24"/>
        </w:rPr>
        <w:br/>
      </w:r>
      <w:r w:rsidR="005D202F">
        <w:rPr>
          <w:rFonts w:ascii="Cambria" w:hAnsi="Cambria"/>
          <w:b/>
          <w:sz w:val="24"/>
        </w:rPr>
        <w:t xml:space="preserve">Boehm, C. </w:t>
      </w:r>
      <w:r w:rsidR="005D202F">
        <w:rPr>
          <w:rFonts w:ascii="Cambria" w:hAnsi="Cambria"/>
          <w:sz w:val="24"/>
        </w:rPr>
        <w:t xml:space="preserve">(1999) </w:t>
      </w:r>
      <w:r w:rsidR="005D202F">
        <w:rPr>
          <w:rFonts w:ascii="Cambria" w:hAnsi="Cambria"/>
          <w:i/>
          <w:sz w:val="24"/>
        </w:rPr>
        <w:t>‘Hierarchy in the Forest: The Evolution of Egalitarian Behaviour.’</w:t>
      </w:r>
      <w:r w:rsidR="008B3475">
        <w:rPr>
          <w:rFonts w:ascii="Cambria" w:hAnsi="Cambria"/>
          <w:i/>
          <w:sz w:val="24"/>
        </w:rPr>
        <w:br/>
      </w:r>
      <w:commentRangeStart w:id="9"/>
      <w:proofErr w:type="gramStart"/>
      <w:r w:rsidR="005D202F">
        <w:rPr>
          <w:rFonts w:ascii="Cambria" w:hAnsi="Cambria"/>
          <w:sz w:val="24"/>
        </w:rPr>
        <w:t>Pub</w:t>
      </w:r>
      <w:commentRangeEnd w:id="9"/>
      <w:r w:rsidR="0038272E">
        <w:rPr>
          <w:rStyle w:val="CommentReference"/>
        </w:rPr>
        <w:commentReference w:id="9"/>
      </w:r>
      <w:r w:rsidR="005D202F">
        <w:rPr>
          <w:rFonts w:ascii="Cambria" w:hAnsi="Cambria"/>
          <w:sz w:val="24"/>
        </w:rPr>
        <w:t>: Harvard University Press.</w:t>
      </w:r>
      <w:proofErr w:type="gramEnd"/>
      <w:r w:rsidR="005D202F">
        <w:rPr>
          <w:rFonts w:ascii="Cambria" w:hAnsi="Cambria"/>
          <w:sz w:val="24"/>
        </w:rPr>
        <w:br/>
      </w:r>
      <w:r w:rsidR="008B3475">
        <w:rPr>
          <w:rFonts w:ascii="Cambria" w:hAnsi="Cambria"/>
          <w:sz w:val="24"/>
        </w:rPr>
        <w:br/>
      </w:r>
      <w:r w:rsidR="008B3475">
        <w:rPr>
          <w:rFonts w:ascii="Cambria" w:hAnsi="Cambria"/>
          <w:b/>
          <w:sz w:val="24"/>
        </w:rPr>
        <w:t xml:space="preserve">Turnbull, C.M. </w:t>
      </w:r>
      <w:r w:rsidR="008B3475">
        <w:rPr>
          <w:rFonts w:ascii="Cambria" w:hAnsi="Cambria"/>
          <w:sz w:val="24"/>
        </w:rPr>
        <w:t xml:space="preserve">(1961) </w:t>
      </w:r>
      <w:r w:rsidR="008B3475">
        <w:rPr>
          <w:rFonts w:ascii="Cambria" w:hAnsi="Cambria"/>
          <w:i/>
          <w:sz w:val="24"/>
        </w:rPr>
        <w:t>‘The Forest People.’</w:t>
      </w:r>
      <w:r w:rsidR="008B3475">
        <w:rPr>
          <w:rFonts w:ascii="Cambria" w:hAnsi="Cambria"/>
          <w:i/>
          <w:sz w:val="24"/>
        </w:rPr>
        <w:br/>
      </w:r>
      <w:r w:rsidR="008B3475">
        <w:rPr>
          <w:rFonts w:ascii="Cambria" w:hAnsi="Cambria"/>
          <w:sz w:val="24"/>
        </w:rPr>
        <w:t>Pub: Simon and Schuster</w:t>
      </w:r>
      <w:r w:rsidR="00AB4408">
        <w:rPr>
          <w:rFonts w:ascii="Cambria" w:hAnsi="Cambria"/>
          <w:sz w:val="24"/>
        </w:rPr>
        <w:br/>
      </w:r>
      <w:r w:rsidR="00AB4408">
        <w:rPr>
          <w:rFonts w:ascii="Cambria" w:hAnsi="Cambria"/>
          <w:sz w:val="24"/>
        </w:rPr>
        <w:br/>
      </w:r>
      <w:proofErr w:type="spellStart"/>
      <w:r w:rsidR="00AB4408">
        <w:rPr>
          <w:rFonts w:ascii="Cambria" w:hAnsi="Cambria"/>
          <w:b/>
          <w:sz w:val="24"/>
        </w:rPr>
        <w:t>Chagnon</w:t>
      </w:r>
      <w:proofErr w:type="spellEnd"/>
      <w:r w:rsidR="00AB4408">
        <w:rPr>
          <w:rFonts w:ascii="Cambria" w:hAnsi="Cambria"/>
          <w:b/>
          <w:sz w:val="24"/>
        </w:rPr>
        <w:t xml:space="preserve">, N.A. </w:t>
      </w:r>
      <w:r w:rsidR="00D57E17" w:rsidRPr="00D57E17">
        <w:rPr>
          <w:rFonts w:ascii="Cambria" w:hAnsi="Cambria"/>
          <w:sz w:val="24"/>
        </w:rPr>
        <w:t>(1968)</w:t>
      </w:r>
      <w:r w:rsidR="00D57E17">
        <w:rPr>
          <w:rFonts w:ascii="Cambria" w:hAnsi="Cambria"/>
          <w:b/>
          <w:sz w:val="24"/>
        </w:rPr>
        <w:t xml:space="preserve"> </w:t>
      </w:r>
      <w:r w:rsidR="00AB4408">
        <w:rPr>
          <w:rFonts w:ascii="Cambria" w:hAnsi="Cambria"/>
          <w:i/>
          <w:sz w:val="24"/>
        </w:rPr>
        <w:t>‘Yanomamo: The Fierce People.’</w:t>
      </w:r>
      <w:r w:rsidR="008B3475">
        <w:rPr>
          <w:rFonts w:ascii="Cambria" w:hAnsi="Cambria"/>
          <w:sz w:val="24"/>
        </w:rPr>
        <w:br/>
      </w:r>
      <w:r w:rsidR="00D57E17">
        <w:rPr>
          <w:rFonts w:ascii="Cambria" w:hAnsi="Cambria"/>
          <w:sz w:val="24"/>
        </w:rPr>
        <w:t>Pub: Holt, Rinehart and Winston.</w:t>
      </w:r>
      <w:r w:rsidR="008B3475">
        <w:rPr>
          <w:rFonts w:ascii="Cambria" w:hAnsi="Cambria"/>
          <w:sz w:val="24"/>
        </w:rPr>
        <w:br/>
      </w:r>
      <w:r w:rsidR="008B3475">
        <w:rPr>
          <w:rFonts w:ascii="Cambria" w:hAnsi="Cambria"/>
          <w:sz w:val="24"/>
        </w:rPr>
        <w:br/>
      </w:r>
      <w:r w:rsidR="008B3475">
        <w:rPr>
          <w:rFonts w:ascii="Cambria" w:hAnsi="Cambria"/>
          <w:sz w:val="24"/>
        </w:rPr>
        <w:br/>
      </w:r>
      <w:r w:rsidR="003D3750">
        <w:rPr>
          <w:rFonts w:ascii="Cambria" w:hAnsi="Cambria"/>
          <w:b/>
          <w:bCs/>
          <w:sz w:val="24"/>
          <w:u w:val="single"/>
        </w:rPr>
        <w:lastRenderedPageBreak/>
        <w:t>Film</w:t>
      </w:r>
      <w:proofErr w:type="gramStart"/>
      <w:r w:rsidR="003D3750">
        <w:rPr>
          <w:rFonts w:ascii="Cambria" w:hAnsi="Cambria"/>
          <w:b/>
          <w:bCs/>
          <w:sz w:val="24"/>
          <w:u w:val="single"/>
        </w:rPr>
        <w:t>:</w:t>
      </w:r>
      <w:proofErr w:type="gramEnd"/>
      <w:r w:rsidR="003D3750">
        <w:rPr>
          <w:rFonts w:ascii="Cambria" w:hAnsi="Cambria"/>
          <w:b/>
          <w:bCs/>
          <w:sz w:val="24"/>
          <w:u w:val="single"/>
        </w:rPr>
        <w:br/>
      </w:r>
      <w:r w:rsidR="003D3750">
        <w:rPr>
          <w:rFonts w:ascii="Cambria" w:hAnsi="Cambria"/>
          <w:b/>
          <w:bCs/>
          <w:sz w:val="24"/>
          <w:u w:val="single"/>
        </w:rPr>
        <w:br/>
      </w:r>
      <w:r w:rsidR="003D3750" w:rsidRPr="003037A1">
        <w:rPr>
          <w:rStyle w:val="Hyperlink"/>
          <w:rFonts w:ascii="Cambria" w:hAnsi="Cambria"/>
          <w:b/>
          <w:color w:val="auto"/>
          <w:sz w:val="24"/>
          <w:u w:val="none"/>
        </w:rPr>
        <w:t>Duffy</w:t>
      </w:r>
      <w:r w:rsidR="003D3750" w:rsidRPr="003037A1">
        <w:rPr>
          <w:rFonts w:ascii="Cambria" w:hAnsi="Cambria"/>
          <w:b/>
          <w:sz w:val="24"/>
        </w:rPr>
        <w:t>, K.</w:t>
      </w:r>
      <w:r w:rsidR="003D3750">
        <w:rPr>
          <w:rFonts w:ascii="Cambria" w:hAnsi="Cambria"/>
          <w:b/>
          <w:sz w:val="24"/>
        </w:rPr>
        <w:t xml:space="preserve"> </w:t>
      </w:r>
      <w:r w:rsidR="003D3750">
        <w:rPr>
          <w:rFonts w:ascii="Cambria" w:hAnsi="Cambria"/>
          <w:sz w:val="24"/>
        </w:rPr>
        <w:t xml:space="preserve">(1975) </w:t>
      </w:r>
      <w:r w:rsidR="003D3750" w:rsidRPr="00973E43">
        <w:rPr>
          <w:rFonts w:ascii="Cambria" w:hAnsi="Cambria"/>
          <w:i/>
          <w:sz w:val="24"/>
        </w:rPr>
        <w:t>‘Pygmies of the Rain Forest.’</w:t>
      </w:r>
      <w:r w:rsidR="003D3750">
        <w:rPr>
          <w:rFonts w:ascii="Cambria" w:hAnsi="Cambria"/>
          <w:sz w:val="24"/>
        </w:rPr>
        <w:t xml:space="preserve"> </w:t>
      </w:r>
      <w:r w:rsidR="003D3750">
        <w:rPr>
          <w:rFonts w:ascii="Cambria" w:hAnsi="Cambria"/>
          <w:sz w:val="24"/>
        </w:rPr>
        <w:br/>
        <w:t>Pub: Kevin Duffy</w:t>
      </w:r>
      <w:r w:rsidR="003D3750">
        <w:rPr>
          <w:rFonts w:ascii="Cambria" w:hAnsi="Cambria"/>
          <w:sz w:val="24"/>
        </w:rPr>
        <w:br/>
        <w:t>Available at</w:t>
      </w:r>
      <w:proofErr w:type="gramStart"/>
      <w:r w:rsidR="003D3750">
        <w:rPr>
          <w:rFonts w:ascii="Cambria" w:hAnsi="Cambria"/>
          <w:sz w:val="24"/>
        </w:rPr>
        <w:t>:</w:t>
      </w:r>
      <w:proofErr w:type="gramEnd"/>
      <w:r w:rsidR="003D3750">
        <w:rPr>
          <w:rFonts w:ascii="Cambria" w:hAnsi="Cambria"/>
          <w:sz w:val="24"/>
        </w:rPr>
        <w:br/>
      </w:r>
      <w:hyperlink r:id="rId7" w:history="1">
        <w:r w:rsidR="003D3750" w:rsidRPr="00973E43">
          <w:rPr>
            <w:rStyle w:val="Hyperlink"/>
            <w:rFonts w:ascii="Cambria" w:hAnsi="Cambria"/>
          </w:rPr>
          <w:t>http://www.pyramidmedia.com/documentaries/pygmies-of-the-rain-forest-detail.html</w:t>
        </w:r>
      </w:hyperlink>
      <w:r w:rsidR="003D3750">
        <w:rPr>
          <w:rFonts w:ascii="Cambria" w:hAnsi="Cambria"/>
          <w:sz w:val="24"/>
        </w:rPr>
        <w:br/>
      </w:r>
      <w:r w:rsidR="003D3750">
        <w:rPr>
          <w:rFonts w:ascii="Cambria" w:hAnsi="Cambria"/>
          <w:sz w:val="24"/>
        </w:rPr>
        <w:br/>
      </w:r>
      <w:r w:rsidR="008B3475">
        <w:rPr>
          <w:rFonts w:ascii="Cambria" w:hAnsi="Cambria"/>
          <w:sz w:val="24"/>
        </w:rPr>
        <w:br/>
      </w:r>
      <w:r w:rsidR="008B3475">
        <w:rPr>
          <w:rFonts w:ascii="Cambria" w:hAnsi="Cambria"/>
          <w:sz w:val="24"/>
        </w:rPr>
        <w:br/>
      </w:r>
      <w:r w:rsidR="008B3475">
        <w:rPr>
          <w:rFonts w:ascii="Cambria" w:hAnsi="Cambria"/>
          <w:sz w:val="24"/>
        </w:rPr>
        <w:br/>
      </w:r>
      <w:r w:rsidR="005D202F">
        <w:rPr>
          <w:rFonts w:ascii="Cambria" w:hAnsi="Cambria"/>
          <w:sz w:val="24"/>
        </w:rPr>
        <w:br/>
      </w:r>
    </w:p>
    <w:sectPr w:rsidR="001D3504" w:rsidRPr="005509B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Jasmin" w:date="2019-11-28T14:05:00Z" w:initials="J">
    <w:p w:rsidR="00C6488B" w:rsidRDefault="00C6488B">
      <w:pPr>
        <w:pStyle w:val="CommentText"/>
      </w:pPr>
      <w:r>
        <w:rPr>
          <w:rStyle w:val="CommentReference"/>
        </w:rPr>
        <w:annotationRef/>
      </w:r>
      <w:r>
        <w:t>Nice introduction</w:t>
      </w:r>
    </w:p>
  </w:comment>
  <w:comment w:id="2" w:author="Jasmin" w:date="2019-11-28T14:07:00Z" w:initials="J">
    <w:p w:rsidR="00C6488B" w:rsidRDefault="00C6488B">
      <w:pPr>
        <w:pStyle w:val="CommentText"/>
      </w:pPr>
      <w:r>
        <w:rPr>
          <w:rStyle w:val="CommentReference"/>
        </w:rPr>
        <w:annotationRef/>
      </w:r>
      <w:proofErr w:type="gramStart"/>
      <w:r>
        <w:t>good</w:t>
      </w:r>
      <w:proofErr w:type="gramEnd"/>
    </w:p>
  </w:comment>
  <w:comment w:id="3" w:author="Jasmin" w:date="2019-11-28T14:07:00Z" w:initials="J">
    <w:p w:rsidR="00C6488B" w:rsidRDefault="00C6488B">
      <w:pPr>
        <w:pStyle w:val="CommentText"/>
      </w:pPr>
      <w:r>
        <w:rPr>
          <w:rStyle w:val="CommentReference"/>
        </w:rPr>
        <w:annotationRef/>
      </w:r>
      <w:proofErr w:type="gramStart"/>
      <w:r>
        <w:t>why</w:t>
      </w:r>
      <w:proofErr w:type="gramEnd"/>
      <w:r>
        <w:t xml:space="preserve"> is it predictable? </w:t>
      </w:r>
    </w:p>
  </w:comment>
  <w:comment w:id="4" w:author="Jasmin" w:date="2019-11-28T14:13:00Z" w:initials="J">
    <w:p w:rsidR="00C6488B" w:rsidRDefault="00C6488B">
      <w:pPr>
        <w:pStyle w:val="CommentText"/>
      </w:pPr>
      <w:r>
        <w:rPr>
          <w:rStyle w:val="CommentReference"/>
        </w:rPr>
        <w:annotationRef/>
      </w:r>
      <w:proofErr w:type="gramStart"/>
      <w:r>
        <w:t>excellent</w:t>
      </w:r>
      <w:proofErr w:type="gramEnd"/>
    </w:p>
  </w:comment>
  <w:comment w:id="5" w:author="Jasmin" w:date="2019-11-28T14:18:00Z" w:initials="J">
    <w:p w:rsidR="00C6488B" w:rsidRDefault="00C6488B">
      <w:pPr>
        <w:pStyle w:val="CommentText"/>
      </w:pPr>
      <w:r>
        <w:rPr>
          <w:rStyle w:val="CommentReference"/>
        </w:rPr>
        <w:annotationRef/>
      </w:r>
      <w:proofErr w:type="gramStart"/>
      <w:r>
        <w:t>maybe</w:t>
      </w:r>
      <w:proofErr w:type="gramEnd"/>
      <w:r>
        <w:t xml:space="preserve"> this section could have come slightly earlier.</w:t>
      </w:r>
    </w:p>
  </w:comment>
  <w:comment w:id="6" w:author="Jasmin" w:date="2019-11-28T14:21:00Z" w:initials="J">
    <w:p w:rsidR="00B361E6" w:rsidRDefault="00B361E6">
      <w:pPr>
        <w:pStyle w:val="CommentText"/>
      </w:pPr>
      <w:r>
        <w:rPr>
          <w:rStyle w:val="CommentReference"/>
        </w:rPr>
        <w:annotationRef/>
      </w:r>
      <w:r>
        <w:t>Excellent</w:t>
      </w:r>
    </w:p>
  </w:comment>
  <w:comment w:id="7" w:author="Jasmin" w:date="2019-11-28T14:24:00Z" w:initials="J">
    <w:p w:rsidR="00B361E6" w:rsidRDefault="00B361E6">
      <w:pPr>
        <w:pStyle w:val="CommentText"/>
      </w:pPr>
      <w:r>
        <w:rPr>
          <w:rStyle w:val="CommentReference"/>
        </w:rPr>
        <w:annotationRef/>
      </w:r>
      <w:r>
        <w:t>Good observation</w:t>
      </w:r>
    </w:p>
  </w:comment>
  <w:comment w:id="8" w:author="Jasmin" w:date="2019-11-28T14:29:00Z" w:initials="J">
    <w:p w:rsidR="00B361E6" w:rsidRDefault="00B361E6">
      <w:pPr>
        <w:pStyle w:val="CommentText"/>
      </w:pPr>
      <w:r>
        <w:rPr>
          <w:rStyle w:val="CommentReference"/>
        </w:rPr>
        <w:annotationRef/>
      </w:r>
      <w:proofErr w:type="gramStart"/>
      <w:r>
        <w:t>nice</w:t>
      </w:r>
      <w:proofErr w:type="gramEnd"/>
    </w:p>
  </w:comment>
  <w:comment w:id="9" w:author="Jasmin" w:date="2019-11-28T14:41:00Z" w:initials="J">
    <w:p w:rsidR="0038272E" w:rsidRDefault="0038272E">
      <w:pPr>
        <w:pStyle w:val="CommentText"/>
      </w:pPr>
      <w:r>
        <w:rPr>
          <w:rStyle w:val="CommentReference"/>
        </w:rPr>
        <w:annotationRef/>
      </w:r>
      <w:r>
        <w:t>Town/city</w:t>
      </w:r>
    </w:p>
  </w:comment>
</w:comment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0000000000000000000"/>
    <w:charset w:val="86"/>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3504"/>
    <w:rsid w:val="001111F0"/>
    <w:rsid w:val="00131F5E"/>
    <w:rsid w:val="001D3504"/>
    <w:rsid w:val="002277B7"/>
    <w:rsid w:val="00287DE7"/>
    <w:rsid w:val="0033644D"/>
    <w:rsid w:val="0038272E"/>
    <w:rsid w:val="003D3750"/>
    <w:rsid w:val="00461598"/>
    <w:rsid w:val="004A1E80"/>
    <w:rsid w:val="004A2F73"/>
    <w:rsid w:val="004C2FB8"/>
    <w:rsid w:val="00526327"/>
    <w:rsid w:val="00541DF9"/>
    <w:rsid w:val="005509BC"/>
    <w:rsid w:val="005D202F"/>
    <w:rsid w:val="00851A83"/>
    <w:rsid w:val="00894462"/>
    <w:rsid w:val="008B3475"/>
    <w:rsid w:val="009B1462"/>
    <w:rsid w:val="009E4E86"/>
    <w:rsid w:val="00A8760A"/>
    <w:rsid w:val="00A9776F"/>
    <w:rsid w:val="00AB4408"/>
    <w:rsid w:val="00AD24FB"/>
    <w:rsid w:val="00B32674"/>
    <w:rsid w:val="00B361E6"/>
    <w:rsid w:val="00B5795D"/>
    <w:rsid w:val="00B777BA"/>
    <w:rsid w:val="00BF5DBD"/>
    <w:rsid w:val="00C6488B"/>
    <w:rsid w:val="00C71483"/>
    <w:rsid w:val="00CA31B2"/>
    <w:rsid w:val="00CD744E"/>
    <w:rsid w:val="00D4622A"/>
    <w:rsid w:val="00D57E17"/>
    <w:rsid w:val="00DF49BE"/>
    <w:rsid w:val="00E740AC"/>
    <w:rsid w:val="00F218B1"/>
    <w:rsid w:val="00FB20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5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750"/>
    <w:rPr>
      <w:color w:val="0563C1" w:themeColor="hyperlink"/>
      <w:u w:val="single"/>
    </w:rPr>
  </w:style>
  <w:style w:type="paragraph" w:styleId="BalloonText">
    <w:name w:val="Balloon Text"/>
    <w:basedOn w:val="Normal"/>
    <w:link w:val="BalloonTextChar"/>
    <w:uiPriority w:val="99"/>
    <w:semiHidden/>
    <w:unhideWhenUsed/>
    <w:rsid w:val="00C648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88B"/>
    <w:rPr>
      <w:rFonts w:ascii="Tahoma" w:hAnsi="Tahoma" w:cs="Tahoma"/>
      <w:sz w:val="16"/>
      <w:szCs w:val="16"/>
    </w:rPr>
  </w:style>
  <w:style w:type="character" w:styleId="CommentReference">
    <w:name w:val="annotation reference"/>
    <w:basedOn w:val="DefaultParagraphFont"/>
    <w:uiPriority w:val="99"/>
    <w:semiHidden/>
    <w:unhideWhenUsed/>
    <w:rsid w:val="00C6488B"/>
    <w:rPr>
      <w:sz w:val="16"/>
      <w:szCs w:val="16"/>
    </w:rPr>
  </w:style>
  <w:style w:type="paragraph" w:styleId="CommentText">
    <w:name w:val="annotation text"/>
    <w:basedOn w:val="Normal"/>
    <w:link w:val="CommentTextChar"/>
    <w:uiPriority w:val="99"/>
    <w:semiHidden/>
    <w:unhideWhenUsed/>
    <w:rsid w:val="00C6488B"/>
    <w:pPr>
      <w:spacing w:line="240" w:lineRule="auto"/>
    </w:pPr>
    <w:rPr>
      <w:sz w:val="20"/>
      <w:szCs w:val="20"/>
    </w:rPr>
  </w:style>
  <w:style w:type="character" w:customStyle="1" w:styleId="CommentTextChar">
    <w:name w:val="Comment Text Char"/>
    <w:basedOn w:val="DefaultParagraphFont"/>
    <w:link w:val="CommentText"/>
    <w:uiPriority w:val="99"/>
    <w:semiHidden/>
    <w:rsid w:val="00C6488B"/>
    <w:rPr>
      <w:sz w:val="20"/>
      <w:szCs w:val="20"/>
    </w:rPr>
  </w:style>
  <w:style w:type="paragraph" w:styleId="CommentSubject">
    <w:name w:val="annotation subject"/>
    <w:basedOn w:val="CommentText"/>
    <w:next w:val="CommentText"/>
    <w:link w:val="CommentSubjectChar"/>
    <w:uiPriority w:val="99"/>
    <w:semiHidden/>
    <w:unhideWhenUsed/>
    <w:rsid w:val="00C6488B"/>
    <w:rPr>
      <w:b/>
      <w:bCs/>
    </w:rPr>
  </w:style>
  <w:style w:type="character" w:customStyle="1" w:styleId="CommentSubjectChar">
    <w:name w:val="Comment Subject Char"/>
    <w:basedOn w:val="CommentTextChar"/>
    <w:link w:val="CommentSubject"/>
    <w:uiPriority w:val="99"/>
    <w:semiHidden/>
    <w:rsid w:val="00C6488B"/>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5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3750"/>
    <w:rPr>
      <w:color w:val="0563C1" w:themeColor="hyperlink"/>
      <w:u w:val="single"/>
    </w:rPr>
  </w:style>
  <w:style w:type="paragraph" w:styleId="BalloonText">
    <w:name w:val="Balloon Text"/>
    <w:basedOn w:val="Normal"/>
    <w:link w:val="BalloonTextChar"/>
    <w:uiPriority w:val="99"/>
    <w:semiHidden/>
    <w:unhideWhenUsed/>
    <w:rsid w:val="00C648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88B"/>
    <w:rPr>
      <w:rFonts w:ascii="Tahoma" w:hAnsi="Tahoma" w:cs="Tahoma"/>
      <w:sz w:val="16"/>
      <w:szCs w:val="16"/>
    </w:rPr>
  </w:style>
  <w:style w:type="character" w:styleId="CommentReference">
    <w:name w:val="annotation reference"/>
    <w:basedOn w:val="DefaultParagraphFont"/>
    <w:uiPriority w:val="99"/>
    <w:semiHidden/>
    <w:unhideWhenUsed/>
    <w:rsid w:val="00C6488B"/>
    <w:rPr>
      <w:sz w:val="16"/>
      <w:szCs w:val="16"/>
    </w:rPr>
  </w:style>
  <w:style w:type="paragraph" w:styleId="CommentText">
    <w:name w:val="annotation text"/>
    <w:basedOn w:val="Normal"/>
    <w:link w:val="CommentTextChar"/>
    <w:uiPriority w:val="99"/>
    <w:semiHidden/>
    <w:unhideWhenUsed/>
    <w:rsid w:val="00C6488B"/>
    <w:pPr>
      <w:spacing w:line="240" w:lineRule="auto"/>
    </w:pPr>
    <w:rPr>
      <w:sz w:val="20"/>
      <w:szCs w:val="20"/>
    </w:rPr>
  </w:style>
  <w:style w:type="character" w:customStyle="1" w:styleId="CommentTextChar">
    <w:name w:val="Comment Text Char"/>
    <w:basedOn w:val="DefaultParagraphFont"/>
    <w:link w:val="CommentText"/>
    <w:uiPriority w:val="99"/>
    <w:semiHidden/>
    <w:rsid w:val="00C6488B"/>
    <w:rPr>
      <w:sz w:val="20"/>
      <w:szCs w:val="20"/>
    </w:rPr>
  </w:style>
  <w:style w:type="paragraph" w:styleId="CommentSubject">
    <w:name w:val="annotation subject"/>
    <w:basedOn w:val="CommentText"/>
    <w:next w:val="CommentText"/>
    <w:link w:val="CommentSubjectChar"/>
    <w:uiPriority w:val="99"/>
    <w:semiHidden/>
    <w:unhideWhenUsed/>
    <w:rsid w:val="00C6488B"/>
    <w:rPr>
      <w:b/>
      <w:bCs/>
    </w:rPr>
  </w:style>
  <w:style w:type="character" w:customStyle="1" w:styleId="CommentSubjectChar">
    <w:name w:val="Comment Subject Char"/>
    <w:basedOn w:val="CommentTextChar"/>
    <w:link w:val="CommentSubject"/>
    <w:uiPriority w:val="99"/>
    <w:semiHidden/>
    <w:rsid w:val="00C6488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6556371">
      <w:bodyDiv w:val="1"/>
      <w:marLeft w:val="0"/>
      <w:marRight w:val="0"/>
      <w:marTop w:val="0"/>
      <w:marBottom w:val="0"/>
      <w:divBdr>
        <w:top w:val="none" w:sz="0" w:space="0" w:color="auto"/>
        <w:left w:val="none" w:sz="0" w:space="0" w:color="auto"/>
        <w:bottom w:val="none" w:sz="0" w:space="0" w:color="auto"/>
        <w:right w:val="none" w:sz="0" w:space="0" w:color="auto"/>
      </w:divBdr>
    </w:div>
    <w:div w:id="240796689">
      <w:bodyDiv w:val="1"/>
      <w:marLeft w:val="0"/>
      <w:marRight w:val="0"/>
      <w:marTop w:val="0"/>
      <w:marBottom w:val="0"/>
      <w:divBdr>
        <w:top w:val="none" w:sz="0" w:space="0" w:color="auto"/>
        <w:left w:val="none" w:sz="0" w:space="0" w:color="auto"/>
        <w:bottom w:val="none" w:sz="0" w:space="0" w:color="auto"/>
        <w:right w:val="none" w:sz="0" w:space="0" w:color="auto"/>
      </w:divBdr>
    </w:div>
    <w:div w:id="263540979">
      <w:bodyDiv w:val="1"/>
      <w:marLeft w:val="0"/>
      <w:marRight w:val="0"/>
      <w:marTop w:val="0"/>
      <w:marBottom w:val="0"/>
      <w:divBdr>
        <w:top w:val="none" w:sz="0" w:space="0" w:color="auto"/>
        <w:left w:val="none" w:sz="0" w:space="0" w:color="auto"/>
        <w:bottom w:val="none" w:sz="0" w:space="0" w:color="auto"/>
        <w:right w:val="none" w:sz="0" w:space="0" w:color="auto"/>
      </w:divBdr>
    </w:div>
    <w:div w:id="309409649">
      <w:bodyDiv w:val="1"/>
      <w:marLeft w:val="0"/>
      <w:marRight w:val="0"/>
      <w:marTop w:val="0"/>
      <w:marBottom w:val="0"/>
      <w:divBdr>
        <w:top w:val="none" w:sz="0" w:space="0" w:color="auto"/>
        <w:left w:val="none" w:sz="0" w:space="0" w:color="auto"/>
        <w:bottom w:val="none" w:sz="0" w:space="0" w:color="auto"/>
        <w:right w:val="none" w:sz="0" w:space="0" w:color="auto"/>
      </w:divBdr>
    </w:div>
    <w:div w:id="408114063">
      <w:bodyDiv w:val="1"/>
      <w:marLeft w:val="0"/>
      <w:marRight w:val="0"/>
      <w:marTop w:val="0"/>
      <w:marBottom w:val="0"/>
      <w:divBdr>
        <w:top w:val="none" w:sz="0" w:space="0" w:color="auto"/>
        <w:left w:val="none" w:sz="0" w:space="0" w:color="auto"/>
        <w:bottom w:val="none" w:sz="0" w:space="0" w:color="auto"/>
        <w:right w:val="none" w:sz="0" w:space="0" w:color="auto"/>
      </w:divBdr>
    </w:div>
    <w:div w:id="480540536">
      <w:bodyDiv w:val="1"/>
      <w:marLeft w:val="0"/>
      <w:marRight w:val="0"/>
      <w:marTop w:val="0"/>
      <w:marBottom w:val="0"/>
      <w:divBdr>
        <w:top w:val="none" w:sz="0" w:space="0" w:color="auto"/>
        <w:left w:val="none" w:sz="0" w:space="0" w:color="auto"/>
        <w:bottom w:val="none" w:sz="0" w:space="0" w:color="auto"/>
        <w:right w:val="none" w:sz="0" w:space="0" w:color="auto"/>
      </w:divBdr>
    </w:div>
    <w:div w:id="694313020">
      <w:bodyDiv w:val="1"/>
      <w:marLeft w:val="0"/>
      <w:marRight w:val="0"/>
      <w:marTop w:val="0"/>
      <w:marBottom w:val="0"/>
      <w:divBdr>
        <w:top w:val="none" w:sz="0" w:space="0" w:color="auto"/>
        <w:left w:val="none" w:sz="0" w:space="0" w:color="auto"/>
        <w:bottom w:val="none" w:sz="0" w:space="0" w:color="auto"/>
        <w:right w:val="none" w:sz="0" w:space="0" w:color="auto"/>
      </w:divBdr>
    </w:div>
    <w:div w:id="731544460">
      <w:bodyDiv w:val="1"/>
      <w:marLeft w:val="0"/>
      <w:marRight w:val="0"/>
      <w:marTop w:val="0"/>
      <w:marBottom w:val="0"/>
      <w:divBdr>
        <w:top w:val="none" w:sz="0" w:space="0" w:color="auto"/>
        <w:left w:val="none" w:sz="0" w:space="0" w:color="auto"/>
        <w:bottom w:val="none" w:sz="0" w:space="0" w:color="auto"/>
        <w:right w:val="none" w:sz="0" w:space="0" w:color="auto"/>
      </w:divBdr>
    </w:div>
    <w:div w:id="795295549">
      <w:bodyDiv w:val="1"/>
      <w:marLeft w:val="0"/>
      <w:marRight w:val="0"/>
      <w:marTop w:val="0"/>
      <w:marBottom w:val="0"/>
      <w:divBdr>
        <w:top w:val="none" w:sz="0" w:space="0" w:color="auto"/>
        <w:left w:val="none" w:sz="0" w:space="0" w:color="auto"/>
        <w:bottom w:val="none" w:sz="0" w:space="0" w:color="auto"/>
        <w:right w:val="none" w:sz="0" w:space="0" w:color="auto"/>
      </w:divBdr>
    </w:div>
    <w:div w:id="882408521">
      <w:bodyDiv w:val="1"/>
      <w:marLeft w:val="0"/>
      <w:marRight w:val="0"/>
      <w:marTop w:val="0"/>
      <w:marBottom w:val="0"/>
      <w:divBdr>
        <w:top w:val="none" w:sz="0" w:space="0" w:color="auto"/>
        <w:left w:val="none" w:sz="0" w:space="0" w:color="auto"/>
        <w:bottom w:val="none" w:sz="0" w:space="0" w:color="auto"/>
        <w:right w:val="none" w:sz="0" w:space="0" w:color="auto"/>
      </w:divBdr>
    </w:div>
    <w:div w:id="1343701549">
      <w:bodyDiv w:val="1"/>
      <w:marLeft w:val="0"/>
      <w:marRight w:val="0"/>
      <w:marTop w:val="0"/>
      <w:marBottom w:val="0"/>
      <w:divBdr>
        <w:top w:val="none" w:sz="0" w:space="0" w:color="auto"/>
        <w:left w:val="none" w:sz="0" w:space="0" w:color="auto"/>
        <w:bottom w:val="none" w:sz="0" w:space="0" w:color="auto"/>
        <w:right w:val="none" w:sz="0" w:space="0" w:color="auto"/>
      </w:divBdr>
    </w:div>
    <w:div w:id="1377504589">
      <w:bodyDiv w:val="1"/>
      <w:marLeft w:val="0"/>
      <w:marRight w:val="0"/>
      <w:marTop w:val="0"/>
      <w:marBottom w:val="0"/>
      <w:divBdr>
        <w:top w:val="none" w:sz="0" w:space="0" w:color="auto"/>
        <w:left w:val="none" w:sz="0" w:space="0" w:color="auto"/>
        <w:bottom w:val="none" w:sz="0" w:space="0" w:color="auto"/>
        <w:right w:val="none" w:sz="0" w:space="0" w:color="auto"/>
      </w:divBdr>
    </w:div>
    <w:div w:id="1429035847">
      <w:bodyDiv w:val="1"/>
      <w:marLeft w:val="0"/>
      <w:marRight w:val="0"/>
      <w:marTop w:val="0"/>
      <w:marBottom w:val="0"/>
      <w:divBdr>
        <w:top w:val="none" w:sz="0" w:space="0" w:color="auto"/>
        <w:left w:val="none" w:sz="0" w:space="0" w:color="auto"/>
        <w:bottom w:val="none" w:sz="0" w:space="0" w:color="auto"/>
        <w:right w:val="none" w:sz="0" w:space="0" w:color="auto"/>
      </w:divBdr>
    </w:div>
    <w:div w:id="1539583008">
      <w:bodyDiv w:val="1"/>
      <w:marLeft w:val="0"/>
      <w:marRight w:val="0"/>
      <w:marTop w:val="0"/>
      <w:marBottom w:val="0"/>
      <w:divBdr>
        <w:top w:val="none" w:sz="0" w:space="0" w:color="auto"/>
        <w:left w:val="none" w:sz="0" w:space="0" w:color="auto"/>
        <w:bottom w:val="none" w:sz="0" w:space="0" w:color="auto"/>
        <w:right w:val="none" w:sz="0" w:space="0" w:color="auto"/>
      </w:divBdr>
    </w:div>
    <w:div w:id="202473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pyramidmedia.com/documentaries/pygmies-of-the-rain-forest-detail.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omments" Target="comment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Chr99</b:Tag>
    <b:SourceType>Book</b:SourceType>
    <b:Guid>{2956E735-D424-4F06-A30D-E1EBBF4D9117}</b:Guid>
    <b:Author>
      <b:Author>
        <b:NameList>
          <b:Person>
            <b:Last>Boehm</b:Last>
            <b:First>Christopher</b:First>
          </b:Person>
        </b:NameList>
      </b:Author>
    </b:Author>
    <b:Title>Hierarchy in the Forest: The Evolution of Egalitarian Behaviour</b:Title>
    <b:Year>1999</b:Year>
    <b:City>London</b:City>
    <b:Publisher>Harvard University Press</b:Publisher>
    <b:RefOrder>1</b:RefOrder>
  </b:Source>
  <b:Source>
    <b:Tag>Col61</b:Tag>
    <b:SourceType>Book</b:SourceType>
    <b:Guid>{AFFD3F0A-1A7F-4CD0-9CAC-015665E40168}</b:Guid>
    <b:Author>
      <b:Author>
        <b:NameList>
          <b:Person>
            <b:Last>Turnbull</b:Last>
            <b:First>Colin</b:First>
          </b:Person>
        </b:NameList>
      </b:Author>
    </b:Author>
    <b:Title>The Forest People</b:Title>
    <b:Year>1961</b:Year>
    <b:Publisher>Simon and Schuster</b:Publisher>
    <b:RefOrder>2</b:RefOrder>
  </b:Source>
  <b:Source>
    <b:Tag>Jam82</b:Tag>
    <b:SourceType>JournalArticle</b:SourceType>
    <b:Guid>{99A96117-7B84-4E60-9D41-94036EAC140C}</b:Guid>
    <b:Title>Egalitarian Societies</b:Title>
    <b:Year>1982</b:Year>
    <b:Author>
      <b:Author>
        <b:NameList>
          <b:Person>
            <b:Last>Woodburn</b:Last>
            <b:First>James</b:First>
          </b:Person>
        </b:NameList>
      </b:Author>
    </b:Author>
    <b:JournalName>Man</b:JournalName>
    <b:Volume>17</b:Volume>
    <b:Issue>3</b:Issue>
    <b:RefOrder>3</b:RefOrder>
  </b:Source>
  <b:Source>
    <b:Tag>Nap68</b:Tag>
    <b:SourceType>Book</b:SourceType>
    <b:Guid>{B7AB30FE-FAF5-4EB2-B1F2-100AFC23C7D4}</b:Guid>
    <b:Author>
      <b:Author>
        <b:NameList>
          <b:Person>
            <b:Last>Chagnon</b:Last>
            <b:First>Napoleon</b:First>
            <b:Middle>A.</b:Middle>
          </b:Person>
        </b:NameList>
      </b:Author>
    </b:Author>
    <b:Title>Yanomamo: The Fierce People</b:Title>
    <b:Year>1968</b:Year>
    <b:Publisher>Holt, Rinehart and Winston</b:Publisher>
    <b:RefOrder>4</b:RefOrder>
  </b:Source>
</b:Sources>
</file>

<file path=customXml/itemProps1.xml><?xml version="1.0" encoding="utf-8"?>
<ds:datastoreItem xmlns:ds="http://schemas.openxmlformats.org/officeDocument/2006/customXml" ds:itemID="{0F96305C-9A8F-4836-95C0-F00172117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1122</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dc:creator>
  <cp:lastModifiedBy>Jasmin</cp:lastModifiedBy>
  <cp:revision>2</cp:revision>
  <dcterms:created xsi:type="dcterms:W3CDTF">2019-11-28T12:53:00Z</dcterms:created>
  <dcterms:modified xsi:type="dcterms:W3CDTF">2019-11-28T12:53:00Z</dcterms:modified>
</cp:coreProperties>
</file>