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D4E28E" w14:textId="0504458B" w:rsidR="00B33CF9" w:rsidRDefault="00B33CF9" w:rsidP="00B33CF9"/>
    <w:p w14:paraId="746D41F0" w14:textId="22701040" w:rsidR="00EF7572" w:rsidRDefault="00E74D77" w:rsidP="00B33CF9">
      <w:r>
        <w:t>Kimberley Robinson 1707907.</w:t>
      </w:r>
      <w:r w:rsidR="0099766C">
        <w:t xml:space="preserve"> Assessment 1, for forensics.</w:t>
      </w:r>
    </w:p>
    <w:p w14:paraId="7D92BF9A" w14:textId="00908639" w:rsidR="00E2201D" w:rsidRDefault="352AFDC0" w:rsidP="00B33CF9">
      <w:r>
        <w:t>This essay will outline what is meant by continuity and integrity of evidence within the field of forensic examination of crime scenes. What will be demonstrated is the importance of the preservation of evidence and prevention of contamination whilst collecting material from areas of crime which will be later used in a court of law. Other precautions include the recording of a scene and the people moving within that area. As a testament of the importance of following these procedures, two case studies have been included. Both case studies are murders from the 90’s, Barry George was released after eight years from prison, on appeal because of a simple mistake which has probably worked to reinforce the code of practice of forensics. Eddie Gilfoyle wasn’t so lucky he completed his life sentence for murdering his wife. This essay shows the mistakes which the professionals made working around the case.</w:t>
      </w:r>
    </w:p>
    <w:p w14:paraId="24A0DA6D" w14:textId="36FAE7A3" w:rsidR="00F63F3C" w:rsidRDefault="570513BB" w:rsidP="00B33CF9">
      <w:r>
        <w:t xml:space="preserve">Forensics is the cross-examination of evidence; it could be described as a form of analysis. This examination can be verbal, in the form of interrogation or contact trace evidence. This is when two surfaces encounter another there is an exchange of material, there is a contamination of deposits left behind (Beaufort-Moore 2011 p21). The foundation of this science is based on the theory of </w:t>
      </w:r>
      <w:proofErr w:type="spellStart"/>
      <w:r>
        <w:t>Locard’s</w:t>
      </w:r>
      <w:proofErr w:type="spellEnd"/>
      <w:r>
        <w:t xml:space="preserve"> ‘Principle of Exchange’ </w:t>
      </w:r>
      <w:proofErr w:type="spellStart"/>
      <w:r>
        <w:t>Quiscunque</w:t>
      </w:r>
      <w:proofErr w:type="spellEnd"/>
      <w:r>
        <w:t xml:space="preserve"> Tactus </w:t>
      </w:r>
      <w:proofErr w:type="spellStart"/>
      <w:r>
        <w:t>Vestigia</w:t>
      </w:r>
      <w:proofErr w:type="spellEnd"/>
      <w:r>
        <w:t xml:space="preserve"> </w:t>
      </w:r>
      <w:proofErr w:type="spellStart"/>
      <w:r>
        <w:t>Legat</w:t>
      </w:r>
      <w:proofErr w:type="spellEnd"/>
      <w:r>
        <w:t>, meaning every contact leaves a trace (Beaufort-Moore 2011 p21). The forensic practice is the collecting of evidence, evaluating and accessing all types of substantiate and applying scientific procedures as well as the location, documentation and the protection of evidence (www. enfsi.eu 2019). Advancing technology in forensic sciences is used in criminal investigations around the world. It is this criminal evidence which must be presented to a court of law to support the criminal cases. Every step of gathering this evidence must be done with integrity and being aware of the consequences of contamination and cross contamination of evidence (Beaufort-Moore 2011). The material evidence is understood in law. In England and Wales this material is classified under the Criminal Procedure Investigation Act 1996 Code of Practice (</w:t>
      </w:r>
      <w:hyperlink r:id="rId5">
        <w:r w:rsidRPr="570513BB">
          <w:rPr>
            <w:rStyle w:val="Hyperlink"/>
          </w:rPr>
          <w:t>www.hse.gov.uk</w:t>
        </w:r>
      </w:hyperlink>
      <w:r w:rsidRPr="570513BB">
        <w:rPr>
          <w:rStyle w:val="Hyperlink"/>
        </w:rPr>
        <w:t xml:space="preserve"> 2003</w:t>
      </w:r>
      <w:r>
        <w:t>), and falls under part II of the Act (Beaufort-Moore 2011 p25) This Act covers a code of practice concerning material used in a criminal investigation, including objects, interviews, documents and emails or any evidence gathered in the duration of a criminal investigation (</w:t>
      </w:r>
      <w:hyperlink r:id="rId6">
        <w:r w:rsidRPr="570513BB">
          <w:rPr>
            <w:rStyle w:val="Hyperlink"/>
          </w:rPr>
          <w:t>www.hse.gov.uk</w:t>
        </w:r>
      </w:hyperlink>
      <w:r w:rsidRPr="570513BB">
        <w:rPr>
          <w:rStyle w:val="Hyperlink"/>
        </w:rPr>
        <w:t xml:space="preserve"> 2003</w:t>
      </w:r>
      <w:r>
        <w:t>) . The material gathered lies in a neutral position and is relevant in any event of strength and weakness regarding the prosecution or the defence positions in a court of law (</w:t>
      </w:r>
      <w:hyperlink r:id="rId7">
        <w:r w:rsidRPr="570513BB">
          <w:rPr>
            <w:rStyle w:val="Hyperlink"/>
          </w:rPr>
          <w:t>www.hse.go.uk</w:t>
        </w:r>
      </w:hyperlink>
      <w:r w:rsidRPr="570513BB">
        <w:rPr>
          <w:rStyle w:val="Hyperlink"/>
        </w:rPr>
        <w:t xml:space="preserve"> 2003</w:t>
      </w:r>
      <w:r>
        <w:t>).</w:t>
      </w:r>
      <w:bookmarkStart w:id="0" w:name="_Hlk27225580"/>
      <w:bookmarkStart w:id="1" w:name="_Hlk26969963"/>
      <w:bookmarkStart w:id="2" w:name="_Hlk26964622"/>
      <w:bookmarkEnd w:id="0"/>
      <w:bookmarkEnd w:id="1"/>
    </w:p>
    <w:p w14:paraId="08D0C4D2" w14:textId="0AB117C0" w:rsidR="001704E1" w:rsidRDefault="570513BB" w:rsidP="00B33CF9">
      <w:r>
        <w:t>The conditions written in the Police and Criminal Evidence Act 1984 (PACE) give power to take control of items, if the item in question is believed to have been connected to the investigated crime in question. This can include property, persons and children who have run away from local authority care (PACE 1984 section 18, 1.a). A search warrant will grant the power to search and remove stolen property, drugs, firearms and evidence of serious offences, also police can seize these items without a warrant (PACE 1984 section 18, 2.).</w:t>
      </w:r>
    </w:p>
    <w:p w14:paraId="755414E2" w14:textId="6CF21913" w:rsidR="00A90274" w:rsidRDefault="570513BB" w:rsidP="00B33CF9">
      <w:r>
        <w:t xml:space="preserve">It is in the interest of investigators to realise there are at least two scenes of crime under examination and that number </w:t>
      </w:r>
      <w:bookmarkStart w:id="3" w:name="_GoBack"/>
      <w:r>
        <w:t>rises</w:t>
      </w:r>
      <w:bookmarkEnd w:id="3"/>
      <w:r>
        <w:t xml:space="preserve"> where the victim or offender has utilised any other area within the crime reported. It is important to keep the evidence from all scenes separate to avoid transfer of contamination (Beaufort-Moore 2011 p26). As well as officers questioning the victim and the suspect both areas of evidence must not contaminate each other. It is ideal if a separate officer questions the victim and a separate officer questions the accused, and this is the same for police vehicles transporting separate persons involved with the case and separated rooms used for questioning (Beaufort-Moore 2011 p26).  What must be displayed by the investigators is the </w:t>
      </w:r>
      <w:r>
        <w:lastRenderedPageBreak/>
        <w:t>continuity and integrity of evidence, a continuous written record of the movement of evidence from the crime scene, all the way through the investigation, to the storage and when it is used in a court of law (Beaufort-Moore 2011). All packaging containing potential exhibits must show that it is sealed and has not been tampered with, and correct labelling must be fixed.</w:t>
      </w:r>
      <w:bookmarkStart w:id="4" w:name="_Hlk27380626"/>
      <w:bookmarkEnd w:id="4"/>
    </w:p>
    <w:p w14:paraId="087F836A" w14:textId="20099A17" w:rsidR="00A90274" w:rsidRDefault="00A90274" w:rsidP="00B33CF9">
      <w:r>
        <w:t>Labelling guidelines</w:t>
      </w:r>
    </w:p>
    <w:p w14:paraId="498528D8" w14:textId="688FA22A" w:rsidR="00A90274" w:rsidRPr="00281A8E" w:rsidRDefault="007830EA" w:rsidP="00A90274">
      <w:pPr>
        <w:pStyle w:val="ListParagraph"/>
        <w:numPr>
          <w:ilvl w:val="0"/>
          <w:numId w:val="1"/>
        </w:numPr>
        <w:rPr>
          <w:i/>
          <w:iCs/>
        </w:rPr>
      </w:pPr>
      <w:r>
        <w:rPr>
          <w:i/>
          <w:iCs/>
        </w:rPr>
        <w:t>‘</w:t>
      </w:r>
      <w:r w:rsidR="00A90274" w:rsidRPr="00281A8E">
        <w:rPr>
          <w:i/>
          <w:iCs/>
        </w:rPr>
        <w:t>A reference mark or number.</w:t>
      </w:r>
    </w:p>
    <w:p w14:paraId="1F3D553B" w14:textId="7A1318C2" w:rsidR="00A90274" w:rsidRPr="00281A8E" w:rsidRDefault="00A90274" w:rsidP="00A90274">
      <w:pPr>
        <w:pStyle w:val="ListParagraph"/>
        <w:numPr>
          <w:ilvl w:val="0"/>
          <w:numId w:val="1"/>
        </w:numPr>
        <w:rPr>
          <w:i/>
          <w:iCs/>
        </w:rPr>
      </w:pPr>
      <w:r w:rsidRPr="00281A8E">
        <w:rPr>
          <w:i/>
          <w:iCs/>
        </w:rPr>
        <w:t xml:space="preserve">Name of person and organisation such as pathology department or police department, or </w:t>
      </w:r>
      <w:r w:rsidR="00281A8E" w:rsidRPr="00281A8E">
        <w:rPr>
          <w:i/>
          <w:iCs/>
        </w:rPr>
        <w:t>whoever</w:t>
      </w:r>
      <w:r w:rsidRPr="00281A8E">
        <w:rPr>
          <w:i/>
          <w:iCs/>
        </w:rPr>
        <w:t xml:space="preserve"> was responsible for collecting the material.</w:t>
      </w:r>
    </w:p>
    <w:p w14:paraId="45CA43F9" w14:textId="1399E464" w:rsidR="00A90274" w:rsidRPr="00281A8E" w:rsidRDefault="00A90274" w:rsidP="00A90274">
      <w:pPr>
        <w:pStyle w:val="ListParagraph"/>
        <w:numPr>
          <w:ilvl w:val="0"/>
          <w:numId w:val="1"/>
        </w:numPr>
        <w:rPr>
          <w:i/>
          <w:iCs/>
        </w:rPr>
      </w:pPr>
      <w:r w:rsidRPr="00281A8E">
        <w:rPr>
          <w:i/>
          <w:iCs/>
        </w:rPr>
        <w:t>A truthful description of the material contained.</w:t>
      </w:r>
    </w:p>
    <w:p w14:paraId="11DB9710" w14:textId="4486E2F3" w:rsidR="00A90274" w:rsidRPr="00281A8E" w:rsidRDefault="00A90274" w:rsidP="00A90274">
      <w:pPr>
        <w:pStyle w:val="ListParagraph"/>
        <w:numPr>
          <w:ilvl w:val="0"/>
          <w:numId w:val="1"/>
        </w:numPr>
        <w:rPr>
          <w:i/>
          <w:iCs/>
        </w:rPr>
      </w:pPr>
      <w:r w:rsidRPr="00281A8E">
        <w:rPr>
          <w:i/>
          <w:iCs/>
        </w:rPr>
        <w:t>Date the material was seized</w:t>
      </w:r>
    </w:p>
    <w:p w14:paraId="05BD526E" w14:textId="3058586C" w:rsidR="00A90274" w:rsidRDefault="00A90274" w:rsidP="00A90274">
      <w:pPr>
        <w:pStyle w:val="ListParagraph"/>
        <w:numPr>
          <w:ilvl w:val="0"/>
          <w:numId w:val="1"/>
        </w:numPr>
      </w:pPr>
      <w:r w:rsidRPr="00281A8E">
        <w:rPr>
          <w:i/>
          <w:iCs/>
        </w:rPr>
        <w:t xml:space="preserve">Protective wear must have been worn </w:t>
      </w:r>
      <w:r w:rsidR="00CE56DB" w:rsidRPr="00281A8E">
        <w:rPr>
          <w:i/>
          <w:iCs/>
        </w:rPr>
        <w:t>throughout</w:t>
      </w:r>
      <w:r w:rsidRPr="00281A8E">
        <w:rPr>
          <w:i/>
          <w:iCs/>
        </w:rPr>
        <w:t xml:space="preserve"> the recovery and </w:t>
      </w:r>
      <w:r w:rsidR="00CE56DB" w:rsidRPr="00281A8E">
        <w:rPr>
          <w:i/>
          <w:iCs/>
        </w:rPr>
        <w:t>storing</w:t>
      </w:r>
      <w:r w:rsidRPr="00281A8E">
        <w:rPr>
          <w:i/>
          <w:iCs/>
        </w:rPr>
        <w:t xml:space="preserve"> process</w:t>
      </w:r>
      <w:r w:rsidR="007830EA">
        <w:rPr>
          <w:i/>
          <w:iCs/>
        </w:rPr>
        <w:t>’</w:t>
      </w:r>
      <w:r w:rsidR="00CE56DB" w:rsidRPr="00281A8E">
        <w:rPr>
          <w:i/>
          <w:iCs/>
        </w:rPr>
        <w:t xml:space="preserve"> </w:t>
      </w:r>
      <w:r w:rsidR="00CE56DB">
        <w:t>(</w:t>
      </w:r>
      <w:hyperlink r:id="rId8" w:history="1">
        <w:r w:rsidR="00CE56DB" w:rsidRPr="00914377">
          <w:rPr>
            <w:rStyle w:val="Hyperlink"/>
          </w:rPr>
          <w:t>www.Ensfi.eu</w:t>
        </w:r>
      </w:hyperlink>
      <w:r w:rsidR="00CE56DB">
        <w:t xml:space="preserve"> </w:t>
      </w:r>
      <w:r w:rsidR="007830EA" w:rsidRPr="00EC41E6">
        <w:rPr>
          <w:i/>
          <w:iCs/>
        </w:rPr>
        <w:t>scenes of crimes best practice manual</w:t>
      </w:r>
      <w:r w:rsidR="007830EA">
        <w:t xml:space="preserve"> </w:t>
      </w:r>
      <w:r w:rsidR="00CE56DB">
        <w:t>2019)</w:t>
      </w:r>
      <w:r w:rsidR="00EC41E6">
        <w:t>.</w:t>
      </w:r>
    </w:p>
    <w:p w14:paraId="0C372EF8" w14:textId="77777777" w:rsidR="00A90274" w:rsidRDefault="00A90274" w:rsidP="00B33CF9"/>
    <w:p w14:paraId="1C3E404F" w14:textId="2E97B73A" w:rsidR="00697519" w:rsidRDefault="570513BB" w:rsidP="00B33CF9">
      <w:r>
        <w:t xml:space="preserve"> If bags or containers need to be opened for inspection, then this can only be done in regulated conditions such as a laboratory examination (</w:t>
      </w:r>
      <w:hyperlink r:id="rId9">
        <w:r w:rsidRPr="570513BB">
          <w:rPr>
            <w:rStyle w:val="Hyperlink"/>
          </w:rPr>
          <w:t>www.Enfli.eu</w:t>
        </w:r>
      </w:hyperlink>
      <w:r>
        <w:t xml:space="preserve"> 2019). All investigators must wear the proper professional clothing to avoid contamination. The crime scene must be cordoned off and every person must be recorded in a Scene Log usually by an appointed police officer on the location (Beaufort-Moore 2011). It is also important to acknowledge that the crime scene must be protected at the earliest available opportunity. This should be the immediate concern regarding the possible risk of losing any material after the incident, movement and contamination of evidence </w:t>
      </w:r>
      <w:hyperlink r:id="rId10">
        <w:r w:rsidRPr="570513BB">
          <w:rPr>
            <w:rStyle w:val="Hyperlink"/>
          </w:rPr>
          <w:t>www.Enfli.eu</w:t>
        </w:r>
      </w:hyperlink>
      <w:r>
        <w:t xml:space="preserve"> 2019).  As soon as the incident is reported it is of the up most importance that the crime scene is protected from contamination for forensic evidence. The first officer on the scene of the reported crime has a responsibility to ensure the crime scene is protected to maximum effect to provide the crime scene examiners the best opportunity to collect uncontaminated evidence which can be possibly used in a court of law (</w:t>
      </w:r>
      <w:hyperlink r:id="rId11">
        <w:r w:rsidRPr="570513BB">
          <w:rPr>
            <w:rStyle w:val="Hyperlink"/>
          </w:rPr>
          <w:t>www.Enfli.eu</w:t>
        </w:r>
      </w:hyperlink>
      <w:r>
        <w:t xml:space="preserve"> 2019). </w:t>
      </w:r>
    </w:p>
    <w:p w14:paraId="3BD03C89" w14:textId="0365FC0F" w:rsidR="009D3D67" w:rsidRDefault="570513BB" w:rsidP="00B33CF9">
      <w:r>
        <w:t xml:space="preserve">What can happen if the above requirements are not applied within the discipline of forensic science? How negligence of evidence by today’s standards </w:t>
      </w:r>
      <w:r w:rsidR="00537DDE">
        <w:t>effect</w:t>
      </w:r>
      <w:r>
        <w:t xml:space="preserve"> the justice system and people lives.</w:t>
      </w:r>
    </w:p>
    <w:p w14:paraId="026BE419" w14:textId="2483C30B" w:rsidR="009D3D67" w:rsidRPr="009D3D67" w:rsidRDefault="009D3D67" w:rsidP="00B33CF9">
      <w:pPr>
        <w:rPr>
          <w:b/>
          <w:bCs/>
        </w:rPr>
      </w:pPr>
      <w:r w:rsidRPr="009D3D67">
        <w:rPr>
          <w:b/>
          <w:bCs/>
        </w:rPr>
        <w:t>Case Study</w:t>
      </w:r>
    </w:p>
    <w:p w14:paraId="1F3614D1" w14:textId="2C21ED24" w:rsidR="009D3D67" w:rsidRDefault="00A10045" w:rsidP="00B33CF9">
      <w:r>
        <w:t>Barry George.</w:t>
      </w:r>
    </w:p>
    <w:p w14:paraId="04A76DEF" w14:textId="014C60DC" w:rsidR="00B85B91" w:rsidRDefault="00131426" w:rsidP="00B33CF9">
      <w:r>
        <w:t>On 6</w:t>
      </w:r>
      <w:r w:rsidRPr="00131426">
        <w:rPr>
          <w:vertAlign w:val="superscript"/>
        </w:rPr>
        <w:t>th</w:t>
      </w:r>
      <w:r>
        <w:t xml:space="preserve"> April 1999, Jill Dando a </w:t>
      </w:r>
      <w:r w:rsidR="00F925DB">
        <w:t>t</w:t>
      </w:r>
      <w:r>
        <w:t xml:space="preserve">elevision </w:t>
      </w:r>
      <w:r w:rsidR="00815CFD">
        <w:t>broadcaster</w:t>
      </w:r>
      <w:r>
        <w:t xml:space="preserve"> was shot dead outside her home in Fulham</w:t>
      </w:r>
      <w:r w:rsidR="00F925DB">
        <w:t>,</w:t>
      </w:r>
      <w:r>
        <w:t xml:space="preserve"> London. </w:t>
      </w:r>
      <w:r w:rsidR="00B85B91">
        <w:t xml:space="preserve"> The </w:t>
      </w:r>
      <w:r w:rsidR="00815CFD">
        <w:t>incident</w:t>
      </w:r>
      <w:r w:rsidR="00B85B91">
        <w:t xml:space="preserve"> </w:t>
      </w:r>
      <w:r w:rsidR="00815CFD">
        <w:t>occurred</w:t>
      </w:r>
      <w:r w:rsidR="00B85B91">
        <w:t xml:space="preserve"> when Jill was returning home into Gowan Avenue at 11.30 am.</w:t>
      </w:r>
      <w:r w:rsidR="00F925DB">
        <w:t xml:space="preserve"> (</w:t>
      </w:r>
      <w:r>
        <w:t xml:space="preserve"> </w:t>
      </w:r>
      <w:hyperlink r:id="rId12" w:history="1">
        <w:r w:rsidR="00F925DB" w:rsidRPr="002F4D63">
          <w:rPr>
            <w:rStyle w:val="Hyperlink"/>
          </w:rPr>
          <w:t>www.bailii.org</w:t>
        </w:r>
      </w:hyperlink>
      <w:r w:rsidR="00815CFD">
        <w:t xml:space="preserve"> 2007</w:t>
      </w:r>
      <w:r w:rsidR="00F925DB">
        <w:t>).</w:t>
      </w:r>
      <w:r w:rsidR="00B85B91">
        <w:t xml:space="preserve"> As part of the forensic investigation it was con</w:t>
      </w:r>
      <w:r w:rsidR="00D255DB">
        <w:t>firmed</w:t>
      </w:r>
      <w:r w:rsidR="00B85B91">
        <w:t xml:space="preserve"> that Jill Dando</w:t>
      </w:r>
      <w:r w:rsidR="00D255DB">
        <w:t>’s death was caused by a</w:t>
      </w:r>
      <w:r w:rsidR="00B85B91">
        <w:t xml:space="preserve"> shot in the head</w:t>
      </w:r>
      <w:r w:rsidR="00D255DB">
        <w:t>, and the evidence showed the gun was pressed against her head when the trigger was pulled (</w:t>
      </w:r>
      <w:hyperlink r:id="rId13" w:history="1">
        <w:r w:rsidR="00D255DB" w:rsidRPr="002F4D63">
          <w:rPr>
            <w:rStyle w:val="Hyperlink"/>
          </w:rPr>
          <w:t>www.bailii.org</w:t>
        </w:r>
      </w:hyperlink>
      <w:r w:rsidR="00815CFD">
        <w:t xml:space="preserve"> 2007</w:t>
      </w:r>
      <w:r w:rsidR="00D255DB">
        <w:t>). The gun was identified as a 9mm from the cartridges of a gun which were found at the crime scene. Along with this evidence was firearm residue discharge in the cartridge case found and the same</w:t>
      </w:r>
      <w:r w:rsidR="00815CFD">
        <w:t xml:space="preserve"> evidence was found in Jill Dando’s hair( </w:t>
      </w:r>
      <w:hyperlink r:id="rId14" w:history="1">
        <w:r w:rsidR="00815CFD" w:rsidRPr="002F4D63">
          <w:rPr>
            <w:rStyle w:val="Hyperlink"/>
          </w:rPr>
          <w:t>www.bailii.org</w:t>
        </w:r>
      </w:hyperlink>
      <w:r w:rsidR="00815CFD">
        <w:t xml:space="preserve"> 2007).</w:t>
      </w:r>
    </w:p>
    <w:p w14:paraId="4DBFDE53" w14:textId="481BFF8C" w:rsidR="00131426" w:rsidRDefault="570513BB" w:rsidP="00B33CF9">
      <w:r>
        <w:t>Barry George amongst other ‘men’ were under suspicion of murdering Jill Dando, and over a year later on April the 17</w:t>
      </w:r>
      <w:r w:rsidRPr="570513BB">
        <w:rPr>
          <w:vertAlign w:val="superscript"/>
        </w:rPr>
        <w:t>th</w:t>
      </w:r>
      <w:r>
        <w:t xml:space="preserve"> 2000, Barry George’s flat was examined (</w:t>
      </w:r>
      <w:hyperlink r:id="rId15">
        <w:r w:rsidRPr="570513BB">
          <w:rPr>
            <w:rStyle w:val="Hyperlink"/>
          </w:rPr>
          <w:t>www.bailii.org</w:t>
        </w:r>
      </w:hyperlink>
      <w:r>
        <w:t xml:space="preserve"> 2007). This was done on the legal grounds set with the 1984 PACE Act section18. In this examination they came across a coat which was hanging on a door in Barry George’s flat, the officers took this coat away to be examined by senior forensics officer, Mr Robin Keely. (</w:t>
      </w:r>
      <w:hyperlink r:id="rId16">
        <w:r w:rsidRPr="570513BB">
          <w:rPr>
            <w:rStyle w:val="Hyperlink"/>
          </w:rPr>
          <w:t>www.bailii.org</w:t>
        </w:r>
      </w:hyperlink>
      <w:r>
        <w:t xml:space="preserve"> 2007). After this examination, it was declared that 11.5 microns, which was the size of a hundredth of a millimetre of firearm </w:t>
      </w:r>
      <w:r>
        <w:lastRenderedPageBreak/>
        <w:t>discharge residue was found in Barry George</w:t>
      </w:r>
      <w:r w:rsidR="00537DDE">
        <w:t>’</w:t>
      </w:r>
      <w:r>
        <w:t>s left hand pocket of his coat, and that small element matched the same firearm discharge residue as in Jill Dando’s hair (Fenton 2013 p280).</w:t>
      </w:r>
    </w:p>
    <w:p w14:paraId="2ED4A043" w14:textId="745F1CFC" w:rsidR="00ED0785" w:rsidRDefault="570513BB" w:rsidP="00B33CF9">
      <w:r>
        <w:t>It is written in the appeal notes that Barry George was arrested on 25</w:t>
      </w:r>
      <w:r w:rsidRPr="570513BB">
        <w:rPr>
          <w:vertAlign w:val="superscript"/>
        </w:rPr>
        <w:t>th</w:t>
      </w:r>
      <w:r>
        <w:t xml:space="preserve"> May 2000, and at the trial there were four entries of evidence which could connect Barry to the scene of murder, first there was an identification that Barry George was seen at the crime scene four hours before Jill’s murder. Also, Barry had changed his story and lied repeatedly during his interviews. He attempted to create a false alibi at the time Jill was murdered. And the fourth piece of evidence was the bit of gunpowder residue which was found in Barry George’s pocket (</w:t>
      </w:r>
      <w:hyperlink r:id="rId17">
        <w:r w:rsidRPr="570513BB">
          <w:rPr>
            <w:rStyle w:val="Hyperlink"/>
          </w:rPr>
          <w:t>www.bailii.org</w:t>
        </w:r>
      </w:hyperlink>
      <w:r>
        <w:t xml:space="preserve"> 2007). After 32 hours of debate, Barry George was convicted of murdering Jill Dando and was to be sent to prison for life. </w:t>
      </w:r>
      <w:bookmarkStart w:id="5" w:name="_Hlk27289937"/>
      <w:bookmarkEnd w:id="5"/>
    </w:p>
    <w:p w14:paraId="434E8932" w14:textId="120F265E" w:rsidR="00496F72" w:rsidRDefault="570513BB" w:rsidP="00B33CF9">
      <w:r>
        <w:t xml:space="preserve">However, he was able to make a successful appeal after spending 8 years in prison this was on the grounds of the jacket owned by Barry George that was seized by police was not bagged and sealed as expected by forensic investigators which then could have been subjected to contamination from other sources (www.bailii.org 2007). </w:t>
      </w:r>
    </w:p>
    <w:p w14:paraId="5D5D22C9" w14:textId="7CEE4B3F" w:rsidR="00134A03" w:rsidRDefault="570513BB" w:rsidP="00B33CF9">
      <w:r>
        <w:t>At the appeal the argument surrounded the evidence of the FDR, it was shown that this particle of explosive formed the crucial element of the evidence which led to Barry Georges conviction (Fenton 2013 p275). MR Keeley and Dr Renshaw were the prosecution witnesses which suggested it was not uncommon for only one particle of firearm residue to be found and the prosecution expert Dr Lloyd challenged this as to where this particle came from. Dr Lloyd pointed out that the bit of evidence had got into the pocket of Barry George</w:t>
      </w:r>
      <w:r w:rsidR="00537DDE">
        <w:t>’</w:t>
      </w:r>
      <w:r>
        <w:t>s coat from contamination, as a result of inadequate police methods of retrieving the coat from Barry’s flat (Fenton 2013 p280). What was also pointed out even if the fragment of evidence was in the coat pocket it could have been there before Jill Dando had been shot (Fenton 2013).</w:t>
      </w:r>
      <w:bookmarkStart w:id="6" w:name="_Hlk27291516"/>
      <w:bookmarkEnd w:id="6"/>
    </w:p>
    <w:p w14:paraId="3C7A9A02" w14:textId="45016CB3" w:rsidR="00496F72" w:rsidRDefault="00F56C15" w:rsidP="00B33CF9">
      <w:r>
        <w:t xml:space="preserve"> </w:t>
      </w:r>
    </w:p>
    <w:p w14:paraId="62B3D5D5" w14:textId="18155F8A" w:rsidR="00496F72" w:rsidRDefault="00496F72" w:rsidP="00B33CF9">
      <w:pPr>
        <w:rPr>
          <w:b/>
          <w:bCs/>
        </w:rPr>
      </w:pPr>
      <w:r w:rsidRPr="00496F72">
        <w:rPr>
          <w:b/>
          <w:bCs/>
        </w:rPr>
        <w:t>Case study</w:t>
      </w:r>
      <w:r w:rsidR="00537DDE">
        <w:rPr>
          <w:b/>
          <w:bCs/>
        </w:rPr>
        <w:t>.</w:t>
      </w:r>
    </w:p>
    <w:p w14:paraId="33F39FD9" w14:textId="5FD3E59F" w:rsidR="00E17317" w:rsidRDefault="00A10045" w:rsidP="00B33CF9">
      <w:r>
        <w:t>Eddie G</w:t>
      </w:r>
      <w:r w:rsidR="00E17317">
        <w:t>ilfoyle.</w:t>
      </w:r>
    </w:p>
    <w:p w14:paraId="5F1CDE27" w14:textId="6BA87914" w:rsidR="00E17317" w:rsidRDefault="570513BB" w:rsidP="00B33CF9">
      <w:r>
        <w:t>This case is going back a bit further in time to 1992, A Mr Eddie Gilfoyle was accused of killing his 8 ½ month pregnant wife. And was charged with her murder</w:t>
      </w:r>
      <w:r w:rsidR="006E58CC">
        <w:t xml:space="preserve">, </w:t>
      </w:r>
      <w:r>
        <w:t xml:space="preserve">but he had always claimed he was innocent (Samuels 2018). Eddie </w:t>
      </w:r>
      <w:r w:rsidR="006E58CC">
        <w:t>s</w:t>
      </w:r>
      <w:r>
        <w:t>erved a life sentence of 18 years in prison (Samuels 1918).</w:t>
      </w:r>
    </w:p>
    <w:p w14:paraId="4ED123EA" w14:textId="15C6F66E" w:rsidR="00762522" w:rsidRDefault="570513BB" w:rsidP="00B33CF9">
      <w:r>
        <w:t>Paula Gilfoyle was found hanging in the garage of the home in which she occupied with her husband Eddie Gilfoyle (Samuels 2018). There was a suicide note at the scene which after forensic examination confirmed that the note was written by Paula herself (www4wardever.uk. 2009). and there was no sign of struggle although there were two marks on her neck (Samuel’s 2018) Eddie claimed he was at work at the time of her death, and came home at 4.30 to take Paula shopping, this is when he claimed he saw the suicide note and took it to his parents’ house (Canter 2013)  although neighbours said they saw Eddie at home at 5.30. A postman also said Eddie had signed for a parcel at the same time the neighbours saw Eddie (Canter 2013). The hypothesis which was suggested by family and friends was Eddie had forced or tricked his wife into killing herself by suicide (Samuels 2018).</w:t>
      </w:r>
      <w:bookmarkStart w:id="7" w:name="_Hlk27401253"/>
      <w:bookmarkEnd w:id="7"/>
    </w:p>
    <w:p w14:paraId="270A5E85" w14:textId="49C663D2" w:rsidR="006171AF" w:rsidRDefault="570513BB" w:rsidP="006E58CC">
      <w:r>
        <w:t>There is a web page which has been set up in the support of Eddie Gilfoyle</w:t>
      </w:r>
      <w:r w:rsidR="00537DDE">
        <w:t>’s</w:t>
      </w:r>
      <w:r>
        <w:t xml:space="preserve"> innocence, which notes all the mistakes the police made from the moment they found Paula. The first person to see Paula hanging was an off duty police sergeant who was related to Eddie’s father, he asked for back up and searched the premises, Paul Caddick was the man that Eddie’s father contacted, he searched the premises and came upon the garage. He opened the door and saw Paula hanging and left her there </w:t>
      </w:r>
      <w:r>
        <w:lastRenderedPageBreak/>
        <w:t>and closed the door (</w:t>
      </w:r>
      <w:hyperlink r:id="rId18">
        <w:r w:rsidRPr="570513BB">
          <w:rPr>
            <w:rStyle w:val="Hyperlink"/>
          </w:rPr>
          <w:t>www.bailii.org</w:t>
        </w:r>
      </w:hyperlink>
      <w:r>
        <w:t xml:space="preserve"> 2017 ). No Photographs were taken of the body while it hung there or when it was cut </w:t>
      </w:r>
      <w:r w:rsidR="006E58CC">
        <w:t xml:space="preserve">down. The </w:t>
      </w:r>
      <w:r>
        <w:t xml:space="preserve">scene of crime officer was told by a PC Jones that no photographs were required. The Coroner’s Officer was told much the same and was told his services weren’t required. At this point it was already evident that the conclusion for Paula’s </w:t>
      </w:r>
      <w:r w:rsidR="006E58CC">
        <w:t>d</w:t>
      </w:r>
      <w:r>
        <w:t>eath was suicide (Samuels 2018). This all sounds rather muddled by today’s standards as the coroner’s job is to determine the cause of death under these circumstance (Beaufort-Moore 201 p11), not any other member of the police. It is usual for a doctor to attend the body and it is then up to the doctor to notify the coroner if the death was unnatural (Beaufort-Moore 2011) as in this case study. Although at first the police suspected suicide it wasn’t long before they changed their minds w</w:t>
      </w:r>
      <w:r w:rsidR="006E58CC">
        <w:t>h</w:t>
      </w:r>
      <w:r>
        <w:t>ether this was from public hype is not known, but there was a lot of it (www4wardever.uk. 2009). The police change</w:t>
      </w:r>
      <w:r w:rsidR="006E58CC">
        <w:t>d</w:t>
      </w:r>
      <w:r>
        <w:t xml:space="preserve"> the decision on suicide and decided it was murder, and focused on evidence which would have proved this, and overlooked the evidence for suicide (Samuels 2018). What proceeded this was another rope which was found in the drawer of the crime scene, but apparently was not there on first inspection by PC Cartwright, there was a suggestion that this rope was the practice rope (Samuels 2018). The hypothesis that was created was that Eddie had tricked Paula into hanging herself as she was of sound mind and looking forward to her birth of her baby. So, the prosecution relied on the possibility that no woman could think of killing her unborn baby. Other mistakes like a doctor saying Paula wouldn’t have been able to climb the step ladder and another female police officer, who was pregnant tried to undertake what Paula had done and stretched up above her head to wrap a rope around a beam to see if she could imitate Paula’s death. Both trials failed this </w:t>
      </w:r>
      <w:proofErr w:type="gramStart"/>
      <w:r>
        <w:t>attempt</w:t>
      </w:r>
      <w:proofErr w:type="gramEnd"/>
      <w:r>
        <w:t xml:space="preserve"> so it was used in court as evidence. This was wrong evidence on here say of an opinion, not sound evidence (Samuels 2018).  </w:t>
      </w:r>
      <w:bookmarkStart w:id="8" w:name="_Hlk27401765"/>
      <w:bookmarkEnd w:id="8"/>
    </w:p>
    <w:p w14:paraId="42764779" w14:textId="2D5018D2" w:rsidR="00602FD4" w:rsidRPr="00602FD4" w:rsidRDefault="00602FD4" w:rsidP="00A116C0">
      <w:pPr>
        <w:rPr>
          <w:b/>
          <w:bCs/>
        </w:rPr>
      </w:pPr>
      <w:r w:rsidRPr="00602FD4">
        <w:rPr>
          <w:b/>
          <w:bCs/>
        </w:rPr>
        <w:t>Discussion</w:t>
      </w:r>
    </w:p>
    <w:p w14:paraId="198A4F0B" w14:textId="1F933615" w:rsidR="006171AF" w:rsidRDefault="570513BB" w:rsidP="00A116C0">
      <w:r>
        <w:t>In terms of discussion on continuity and integrity of forensic science into the set standards of today, in comparison to the procedures which were in effect in the not so distant past. It is plain to see the recording of forensic evidence and professionalism has thankfully improved over the years. In terms of the Barry George case, and the evidence which was found a year later. Although the FDR residue which was found doesn’t deteriorate (www.bailii.org 2007). But there is reason to suggest that coat could of be cleaned in the 12 months from the murder, which if the coat was inspected sooner this could have given more evidence to work with. However, in terms of continuity the lack of focus on the need to protect the coat in by bagging the item in the proper manner and then taking the coat to a sterile lab for inspection, not taken to a police room which could incur contamination (Beaufort-Moore 2011). Obviously, officers who arrived at the scene made the right choice and tried to save Jill Dando, but in doing so all footprints of the attacker would have been destroyed. As an extra thought if there was a sticky kneeling mat the same made as for lifting prints quickly place</w:t>
      </w:r>
      <w:r w:rsidR="006E58CC">
        <w:t>d</w:t>
      </w:r>
      <w:r>
        <w:t xml:space="preserve"> down next to and around the victim as officers approached </w:t>
      </w:r>
      <w:r w:rsidR="006E58CC">
        <w:t>the scene, this</w:t>
      </w:r>
      <w:r>
        <w:t xml:space="preserve"> could give a larger chance of gathering evidence.</w:t>
      </w:r>
      <w:bookmarkStart w:id="9" w:name="_Hlk27400213"/>
      <w:bookmarkEnd w:id="9"/>
    </w:p>
    <w:p w14:paraId="33068C87" w14:textId="34E3858D" w:rsidR="00F56C15" w:rsidRDefault="570513BB" w:rsidP="00F56C15">
      <w:r>
        <w:t xml:space="preserve">As for finding Paula’s last moments before her death, </w:t>
      </w:r>
      <w:r w:rsidR="006E58CC">
        <w:t>these</w:t>
      </w:r>
      <w:r>
        <w:t>, are probably are lost forever. If the code of practice was adopted as today’s police and crime scene investigators there could be a more stable representation of accounts before the crime happened. The first people to arrive at the crime scene and the first repose of the first police officer is to:</w:t>
      </w:r>
      <w:bookmarkEnd w:id="2"/>
    </w:p>
    <w:p w14:paraId="1D49D3AA" w14:textId="428D8C28" w:rsidR="00F56C15" w:rsidRPr="00F55E6A" w:rsidRDefault="00F56C15" w:rsidP="00F56C15">
      <w:pPr>
        <w:rPr>
          <w:i/>
          <w:iCs/>
        </w:rPr>
      </w:pPr>
      <w:r>
        <w:t>•</w:t>
      </w:r>
      <w:r>
        <w:tab/>
      </w:r>
      <w:r w:rsidR="007830EA">
        <w:t>‘</w:t>
      </w:r>
      <w:r w:rsidRPr="00F55E6A">
        <w:rPr>
          <w:i/>
          <w:iCs/>
        </w:rPr>
        <w:t>Preserve life</w:t>
      </w:r>
    </w:p>
    <w:p w14:paraId="3449D236" w14:textId="77777777" w:rsidR="00F56C15" w:rsidRPr="00F55E6A" w:rsidRDefault="00F56C15" w:rsidP="00F56C15">
      <w:pPr>
        <w:rPr>
          <w:i/>
          <w:iCs/>
        </w:rPr>
      </w:pPr>
      <w:r w:rsidRPr="00F55E6A">
        <w:rPr>
          <w:i/>
          <w:iCs/>
        </w:rPr>
        <w:t>•</w:t>
      </w:r>
      <w:r w:rsidRPr="00F55E6A">
        <w:rPr>
          <w:i/>
          <w:iCs/>
        </w:rPr>
        <w:tab/>
        <w:t>Preserve scenes</w:t>
      </w:r>
    </w:p>
    <w:p w14:paraId="0F1236F7" w14:textId="77777777" w:rsidR="00F56C15" w:rsidRPr="00F55E6A" w:rsidRDefault="00F56C15" w:rsidP="00F56C15">
      <w:pPr>
        <w:rPr>
          <w:i/>
          <w:iCs/>
        </w:rPr>
      </w:pPr>
      <w:r w:rsidRPr="00F55E6A">
        <w:rPr>
          <w:i/>
          <w:iCs/>
        </w:rPr>
        <w:t>•</w:t>
      </w:r>
      <w:r w:rsidRPr="00F55E6A">
        <w:rPr>
          <w:i/>
          <w:iCs/>
        </w:rPr>
        <w:tab/>
        <w:t>To secure evidence</w:t>
      </w:r>
    </w:p>
    <w:p w14:paraId="48D350EF" w14:textId="77777777" w:rsidR="00F56C15" w:rsidRPr="00F55E6A" w:rsidRDefault="00F56C15" w:rsidP="00F56C15">
      <w:pPr>
        <w:rPr>
          <w:i/>
          <w:iCs/>
        </w:rPr>
      </w:pPr>
      <w:r w:rsidRPr="00F55E6A">
        <w:rPr>
          <w:i/>
          <w:iCs/>
        </w:rPr>
        <w:lastRenderedPageBreak/>
        <w:t>•</w:t>
      </w:r>
      <w:r w:rsidRPr="00F55E6A">
        <w:rPr>
          <w:i/>
          <w:iCs/>
        </w:rPr>
        <w:tab/>
        <w:t>To identify victims or victims</w:t>
      </w:r>
    </w:p>
    <w:p w14:paraId="061AD1FB" w14:textId="5A6EC52D" w:rsidR="00E2201D" w:rsidRDefault="00F56C15" w:rsidP="00F56C15">
      <w:r w:rsidRPr="00F55E6A">
        <w:rPr>
          <w:i/>
          <w:iCs/>
        </w:rPr>
        <w:t>•</w:t>
      </w:r>
      <w:r w:rsidRPr="00F55E6A">
        <w:rPr>
          <w:i/>
          <w:iCs/>
        </w:rPr>
        <w:tab/>
        <w:t>To identify witness or witnesses</w:t>
      </w:r>
      <w:r w:rsidR="007830EA">
        <w:rPr>
          <w:i/>
          <w:iCs/>
        </w:rPr>
        <w:t>’</w:t>
      </w:r>
      <w:r w:rsidR="00F55E6A">
        <w:t xml:space="preserve">              </w:t>
      </w:r>
    </w:p>
    <w:p w14:paraId="155E0E61" w14:textId="576C5FCD" w:rsidR="00EF7572" w:rsidRDefault="00F55E6A" w:rsidP="00F56C15">
      <w:r>
        <w:t xml:space="preserve"> </w:t>
      </w:r>
      <w:r w:rsidR="00F56C15">
        <w:t xml:space="preserve"> (</w:t>
      </w:r>
      <w:r w:rsidR="007830EA" w:rsidRPr="007830EA">
        <w:rPr>
          <w:i/>
          <w:iCs/>
        </w:rPr>
        <w:t>Crime scene management and evidence recovery</w:t>
      </w:r>
      <w:r w:rsidR="007830EA">
        <w:t xml:space="preserve">, </w:t>
      </w:r>
      <w:r w:rsidRPr="00F55E6A">
        <w:t>Beaufort-Moore</w:t>
      </w:r>
      <w:r>
        <w:t xml:space="preserve"> </w:t>
      </w:r>
      <w:r w:rsidR="00F56C15">
        <w:t>2011 p 26/27).</w:t>
      </w:r>
    </w:p>
    <w:p w14:paraId="0345DABD" w14:textId="7F6FB733" w:rsidR="006227FD" w:rsidRDefault="570513BB" w:rsidP="00F56C15">
      <w:r>
        <w:t>What can be confirmed in this essay is the importance of continuity and integrity of evidence. What can be observed is that the procedures of dealing with evidence at crime scenes have improved and are possibly improving all the time and will continue to do so with the aid of more technologies. These examples have been expressed in the case studies presented. It can be noticed that lessons have been learnt with the loss of lives, and there is an offer of hope that the lessons learnt will save lives and bring justice to others. It could be possible</w:t>
      </w:r>
      <w:r w:rsidR="006E58CC">
        <w:t xml:space="preserve"> that</w:t>
      </w:r>
      <w:r>
        <w:t xml:space="preserve"> the men in question </w:t>
      </w:r>
      <w:proofErr w:type="gramStart"/>
      <w:r>
        <w:t>have to</w:t>
      </w:r>
      <w:proofErr w:type="gramEnd"/>
      <w:r>
        <w:t xml:space="preserve"> endure with the guilt every day of their lives, with very little sleep, in the dread that more evidence will creep out of the shadows to tell the truth. One thing is unmistakable as both suspects have received a lot of media coverage in the past, let’s hope they have received the amount they need and don’t kill again if they possibly could. One of these men has spent a lifetime waiting to be released to continue his campaign of innocence, and even if that innocence is not noticed or ever will be, the important thing is the story is told. Professionalism and experience can grow to enhance the ability to collect evidence from crime scenes, to apprehend criminals and to protect the community on the streets.     </w:t>
      </w:r>
    </w:p>
    <w:p w14:paraId="44F1F854" w14:textId="77777777" w:rsidR="00AC7BA7" w:rsidRDefault="00AC7BA7" w:rsidP="00B33CF9"/>
    <w:p w14:paraId="77ED9799" w14:textId="60DD519B" w:rsidR="009C74E9" w:rsidRPr="00537DDE" w:rsidRDefault="009C74E9" w:rsidP="00B33CF9">
      <w:pPr>
        <w:rPr>
          <w:b/>
          <w:bCs/>
        </w:rPr>
      </w:pPr>
      <w:r w:rsidRPr="00537DDE">
        <w:rPr>
          <w:b/>
          <w:bCs/>
        </w:rPr>
        <w:t>References.</w:t>
      </w:r>
    </w:p>
    <w:p w14:paraId="2AB003C1" w14:textId="7CDAEFE8" w:rsidR="009C74E9" w:rsidRDefault="007417D8" w:rsidP="00B33CF9">
      <w:r w:rsidRPr="007417D8">
        <w:t xml:space="preserve">Beaufort-Moore, </w:t>
      </w:r>
      <w:r w:rsidR="00BC75B2" w:rsidRPr="007417D8">
        <w:t>D.</w:t>
      </w:r>
      <w:r w:rsidR="00BC75B2">
        <w:t xml:space="preserve"> (</w:t>
      </w:r>
      <w:r w:rsidRPr="007417D8">
        <w:t>2011</w:t>
      </w:r>
      <w:r w:rsidR="00BC75B2">
        <w:t>)</w:t>
      </w:r>
      <w:r w:rsidRPr="007417D8">
        <w:rPr>
          <w:i/>
          <w:iCs/>
        </w:rPr>
        <w:t>. Crime Scene Management and Evidence Recovery</w:t>
      </w:r>
      <w:r w:rsidRPr="007417D8">
        <w:t>. 2nd ed. Oxford: Oxford University Press.</w:t>
      </w:r>
    </w:p>
    <w:p w14:paraId="7632869F" w14:textId="2E9E92E1" w:rsidR="00AD5018" w:rsidRDefault="00AD5018" w:rsidP="00B33CF9">
      <w:r w:rsidRPr="00AD5018">
        <w:t xml:space="preserve">Best Practice manuals. </w:t>
      </w:r>
      <w:r>
        <w:t>(</w:t>
      </w:r>
      <w:r w:rsidRPr="00AD5018">
        <w:t>2019</w:t>
      </w:r>
      <w:r>
        <w:t>)</w:t>
      </w:r>
      <w:r w:rsidRPr="00AD5018">
        <w:t>. ENFSI. [ONLINE] Available at: http://enfsi.eu/documents/best-practice-manuals/. [Accessed 11 December 2019]</w:t>
      </w:r>
    </w:p>
    <w:p w14:paraId="1475A073" w14:textId="29CE2BE1" w:rsidR="0025401D" w:rsidRDefault="0025401D" w:rsidP="00B33CF9">
      <w:r w:rsidRPr="0025401D">
        <w:t>Canter, D. (2013). Suicide or murder? Implicit narratives in the Eddie Gilfoyle case. Forensic Psychologists Casebook: Psychological profiling and criminal investigation, p.315.</w:t>
      </w:r>
    </w:p>
    <w:p w14:paraId="65761DC5" w14:textId="29B7AF60" w:rsidR="0025401D" w:rsidRDefault="0025401D" w:rsidP="00B33CF9">
      <w:r w:rsidRPr="0025401D">
        <w:t>Continuity. (2019). HSE. [ONLINE] Available at: https://www.hse.gov.uk/enforce/enforcementguide/court/physical-continuity.htm. [Accessed 11 December 2019].</w:t>
      </w:r>
    </w:p>
    <w:p w14:paraId="1D9C18D7" w14:textId="41703461" w:rsidR="0034028E" w:rsidRDefault="0034028E" w:rsidP="00B33CF9">
      <w:r w:rsidRPr="0034028E">
        <w:t>England and Wales Court of Appeal</w:t>
      </w:r>
      <w:r w:rsidR="003B3308">
        <w:t>.</w:t>
      </w:r>
      <w:r w:rsidRPr="0034028E">
        <w:t xml:space="preserve"> (Civil Division) Decisions. </w:t>
      </w:r>
      <w:r>
        <w:t>(</w:t>
      </w:r>
      <w:r w:rsidRPr="0034028E">
        <w:t>2007</w:t>
      </w:r>
      <w:r>
        <w:t>)</w:t>
      </w:r>
      <w:r w:rsidRPr="0034028E">
        <w:t>. Barry George, a summary of the result of the appeal. [ONLINE] Available at: http://www.bailii.org/ew/cases/EWCA/Civ/2007/2722.html. [Accessed 14 December 2019].</w:t>
      </w:r>
    </w:p>
    <w:p w14:paraId="089644D5" w14:textId="2D1F06D5" w:rsidR="00CC0AE0" w:rsidRDefault="00CC0AE0" w:rsidP="00B33CF9">
      <w:r w:rsidRPr="00CC0AE0">
        <w:t>England and Wales High Court (Administrative Court) Decisions. 2017. (On the application of NORMAN EDWARD GILFOYLE) Claimant -and- CRIMINAL CASES REVIEW COMMISSION Defendant. [ONLINE] Available at: http://www.bailii.org/cgi-bin/format.cgi?doc=/ew/cases/EWHC/Admin/2017/3008.html&amp;query=(Eddie)+AND+(Gilfoyle). [Accessed 17 December 2019].</w:t>
      </w:r>
    </w:p>
    <w:p w14:paraId="143E5139" w14:textId="3A4352FC" w:rsidR="00744334" w:rsidRDefault="00744334" w:rsidP="00B33CF9">
      <w:r w:rsidRPr="00744334">
        <w:t>Fenton, N.</w:t>
      </w:r>
      <w:r w:rsidR="003B3308">
        <w:t xml:space="preserve"> (</w:t>
      </w:r>
      <w:r w:rsidR="003B3308" w:rsidRPr="00744334">
        <w:t>2013</w:t>
      </w:r>
      <w:r w:rsidR="003B3308">
        <w:t>)</w:t>
      </w:r>
      <w:r w:rsidRPr="00744334">
        <w:t xml:space="preserve">. </w:t>
      </w:r>
      <w:r w:rsidRPr="003B3308">
        <w:rPr>
          <w:i/>
          <w:iCs/>
        </w:rPr>
        <w:t>When '</w:t>
      </w:r>
      <w:r w:rsidR="003B3308" w:rsidRPr="003B3308">
        <w:rPr>
          <w:i/>
          <w:iCs/>
        </w:rPr>
        <w:t>n</w:t>
      </w:r>
      <w:r w:rsidRPr="003B3308">
        <w:rPr>
          <w:i/>
          <w:iCs/>
        </w:rPr>
        <w:t xml:space="preserve">eutral’ </w:t>
      </w:r>
      <w:r w:rsidR="003B3308" w:rsidRPr="003B3308">
        <w:rPr>
          <w:i/>
          <w:iCs/>
        </w:rPr>
        <w:t>e</w:t>
      </w:r>
      <w:r w:rsidRPr="003B3308">
        <w:rPr>
          <w:i/>
          <w:iCs/>
        </w:rPr>
        <w:t>vidence still has a probative value (with implications from the Barry George case)</w:t>
      </w:r>
      <w:r w:rsidRPr="00744334">
        <w:t>. Science and Justice, 54, 274-278.</w:t>
      </w:r>
    </w:p>
    <w:p w14:paraId="43D36BE2" w14:textId="38801008" w:rsidR="0067106A" w:rsidRDefault="0067106A" w:rsidP="00B33CF9">
      <w:r w:rsidRPr="0067106A">
        <w:t>Samuels, A.</w:t>
      </w:r>
      <w:r>
        <w:t xml:space="preserve"> (</w:t>
      </w:r>
      <w:r w:rsidRPr="0067106A">
        <w:t>2018</w:t>
      </w:r>
      <w:r>
        <w:t>)</w:t>
      </w:r>
      <w:r w:rsidRPr="0067106A">
        <w:t xml:space="preserve">. </w:t>
      </w:r>
      <w:r w:rsidRPr="0067106A">
        <w:rPr>
          <w:i/>
          <w:iCs/>
        </w:rPr>
        <w:t>Gilfoyle: A miscarriage of justice?</w:t>
      </w:r>
      <w:r w:rsidRPr="0067106A">
        <w:t xml:space="preserve"> Medicine, Science and the Law, 58(4), pp.265-267.</w:t>
      </w:r>
    </w:p>
    <w:p w14:paraId="0B1411B6" w14:textId="70E075A0" w:rsidR="001B649E" w:rsidRDefault="00C65988" w:rsidP="00B33CF9">
      <w:bookmarkStart w:id="10" w:name="_Hlk27299530"/>
      <w:r w:rsidRPr="00C65988">
        <w:lastRenderedPageBreak/>
        <w:t>4wardever.uk.</w:t>
      </w:r>
      <w:r>
        <w:t xml:space="preserve"> (</w:t>
      </w:r>
      <w:r w:rsidRPr="00C65988">
        <w:t>2009</w:t>
      </w:r>
      <w:r>
        <w:t>)</w:t>
      </w:r>
      <w:r w:rsidRPr="00C65988">
        <w:rPr>
          <w:i/>
          <w:iCs/>
        </w:rPr>
        <w:t xml:space="preserve">. </w:t>
      </w:r>
      <w:bookmarkEnd w:id="10"/>
      <w:r w:rsidRPr="00C65988">
        <w:rPr>
          <w:i/>
          <w:iCs/>
        </w:rPr>
        <w:t>Eddie Gilfoyle</w:t>
      </w:r>
      <w:r w:rsidRPr="00C65988">
        <w:t>. [ONLINE] Available at: https://4wardeveruk.org/cases/adult-cases-uk/miscarraiges/eddie-gilfoyle/. [Accessed 15 December 2019].</w:t>
      </w:r>
    </w:p>
    <w:p w14:paraId="3BE3554B" w14:textId="0FAEAF8C" w:rsidR="009C74E9" w:rsidRDefault="003846C7" w:rsidP="00B33CF9">
      <w:r>
        <w:t xml:space="preserve">Legislation Department (1984) </w:t>
      </w:r>
      <w:r w:rsidRPr="003846C7">
        <w:rPr>
          <w:i/>
          <w:iCs/>
        </w:rPr>
        <w:t>Police and Criminal Justice Act, Code B</w:t>
      </w:r>
      <w:r>
        <w:rPr>
          <w:i/>
          <w:iCs/>
        </w:rPr>
        <w:t>: Revised code of practice for searches of premises by police officers and the seizure of property found by police officers on persons or premises</w:t>
      </w:r>
      <w:r w:rsidRPr="003846C7">
        <w:t xml:space="preserve">. Available at: </w:t>
      </w:r>
      <w:hyperlink r:id="rId19" w:history="1">
        <w:r w:rsidRPr="00C056F3">
          <w:rPr>
            <w:rStyle w:val="Hyperlink"/>
          </w:rPr>
          <w:t>https://www.justice-ni.gov.uk/publications/pace-code-b-searches-premises-by-police-officers-and-seizure-property-found-by-police</w:t>
        </w:r>
      </w:hyperlink>
      <w:r>
        <w:t xml:space="preserve"> (Accessed 26 November 2019).</w:t>
      </w:r>
    </w:p>
    <w:p w14:paraId="3B915531" w14:textId="29AD6340" w:rsidR="0008400D" w:rsidRDefault="0008400D" w:rsidP="00B33CF9"/>
    <w:p w14:paraId="7BC55009" w14:textId="186BA2F8" w:rsidR="00134A03" w:rsidRPr="00134A03" w:rsidRDefault="00134A03" w:rsidP="00B33CF9">
      <w:pPr>
        <w:rPr>
          <w:b/>
          <w:bCs/>
        </w:rPr>
      </w:pPr>
      <w:r w:rsidRPr="00134A03">
        <w:rPr>
          <w:b/>
          <w:bCs/>
        </w:rPr>
        <w:t>Reading list.</w:t>
      </w:r>
    </w:p>
    <w:p w14:paraId="3B6ACFA6" w14:textId="5D9FAFFB" w:rsidR="003846C7" w:rsidRDefault="00282242" w:rsidP="00B33CF9">
      <w:r w:rsidRPr="009C74E9">
        <w:t>Legislation.gov.uk.</w:t>
      </w:r>
      <w:r>
        <w:t xml:space="preserve"> (</w:t>
      </w:r>
      <w:r w:rsidR="009C74E9" w:rsidRPr="009C74E9">
        <w:t>2019</w:t>
      </w:r>
      <w:r>
        <w:t>)</w:t>
      </w:r>
      <w:r w:rsidR="009C74E9" w:rsidRPr="009C74E9">
        <w:t>. Criminal Justice Act. [ONLINE] Available at: http://www.legislation.gov.uk/ukpga/2003/44/contents</w:t>
      </w:r>
      <w:r w:rsidR="003846C7">
        <w:t>.</w:t>
      </w:r>
      <w:r w:rsidR="009C74E9" w:rsidRPr="009C74E9">
        <w:t xml:space="preserve"> [Accessed 8 December 2019].</w:t>
      </w:r>
    </w:p>
    <w:p w14:paraId="6B07AC2E" w14:textId="2D7E49AE" w:rsidR="0025401D" w:rsidRDefault="0025401D" w:rsidP="00B33CF9">
      <w:r w:rsidRPr="0025401D">
        <w:t>Legislation.gov.uk. (2019). criminal procedures and Investigations act. [ONLINE] Available at: https://www.legislation.gov.uk/ukpga/1996/25/section/21A. [Accessed 11 December 2019]</w:t>
      </w:r>
      <w:r w:rsidR="00537DDE">
        <w:t>.</w:t>
      </w:r>
    </w:p>
    <w:p w14:paraId="4900FDA0" w14:textId="2E2A5F4F" w:rsidR="009C74E9" w:rsidRDefault="00282242" w:rsidP="00B33CF9">
      <w:r w:rsidRPr="009C74E9">
        <w:t>Legislation.gov.uk.</w:t>
      </w:r>
      <w:r>
        <w:t xml:space="preserve"> (20</w:t>
      </w:r>
      <w:r w:rsidR="009C74E9" w:rsidRPr="009C74E9">
        <w:t>19. Police and Criminal Evidence Act 1984. [ONLINE] Available at: https://www.legislation.gov.uk/ukpga/1984/60. [Accessed 8 December 2019].</w:t>
      </w:r>
    </w:p>
    <w:p w14:paraId="4869FA1C" w14:textId="0142D91E" w:rsidR="007417D8" w:rsidRDefault="007417D8" w:rsidP="00B33CF9">
      <w:r w:rsidRPr="007417D8">
        <w:t xml:space="preserve">Legislation.gov.uk. </w:t>
      </w:r>
      <w:r w:rsidR="00282242">
        <w:t>(</w:t>
      </w:r>
      <w:r w:rsidRPr="007417D8">
        <w:t>2019</w:t>
      </w:r>
      <w:r w:rsidR="00282242">
        <w:t>)</w:t>
      </w:r>
      <w:r w:rsidRPr="007417D8">
        <w:t>. Human Tissue Act 2004. [ONLINE] Available at: http://www.legislation.gov.uk/ukpga/2004/30/contents. [Accessed 8 December 2019].</w:t>
      </w:r>
    </w:p>
    <w:p w14:paraId="1CB8C607" w14:textId="77777777" w:rsidR="009C74E9" w:rsidRDefault="009C74E9" w:rsidP="00B33CF9"/>
    <w:sectPr w:rsidR="009C74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4B6644"/>
    <w:multiLevelType w:val="hybridMultilevel"/>
    <w:tmpl w:val="07385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D42922"/>
    <w:multiLevelType w:val="hybridMultilevel"/>
    <w:tmpl w:val="59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33CF9"/>
    <w:rsid w:val="000026EA"/>
    <w:rsid w:val="00004254"/>
    <w:rsid w:val="00004E2C"/>
    <w:rsid w:val="00016233"/>
    <w:rsid w:val="000163B8"/>
    <w:rsid w:val="000211AE"/>
    <w:rsid w:val="0004696F"/>
    <w:rsid w:val="000524EF"/>
    <w:rsid w:val="000563D8"/>
    <w:rsid w:val="0008400D"/>
    <w:rsid w:val="000B078E"/>
    <w:rsid w:val="000B4D8D"/>
    <w:rsid w:val="000C0C78"/>
    <w:rsid w:val="000D0941"/>
    <w:rsid w:val="000F48A7"/>
    <w:rsid w:val="001016B6"/>
    <w:rsid w:val="00103173"/>
    <w:rsid w:val="00131426"/>
    <w:rsid w:val="00134A03"/>
    <w:rsid w:val="00144D5F"/>
    <w:rsid w:val="00150052"/>
    <w:rsid w:val="001704E1"/>
    <w:rsid w:val="0018215D"/>
    <w:rsid w:val="00182AEE"/>
    <w:rsid w:val="00190C87"/>
    <w:rsid w:val="001A5FF5"/>
    <w:rsid w:val="001B3A4C"/>
    <w:rsid w:val="001B5054"/>
    <w:rsid w:val="001B649E"/>
    <w:rsid w:val="0025401D"/>
    <w:rsid w:val="00281A8E"/>
    <w:rsid w:val="00282242"/>
    <w:rsid w:val="00284E3F"/>
    <w:rsid w:val="002A6EFE"/>
    <w:rsid w:val="002C0A38"/>
    <w:rsid w:val="002C22A4"/>
    <w:rsid w:val="002D2A1E"/>
    <w:rsid w:val="002E3751"/>
    <w:rsid w:val="002F1D8C"/>
    <w:rsid w:val="002F6BEB"/>
    <w:rsid w:val="0030248E"/>
    <w:rsid w:val="00320555"/>
    <w:rsid w:val="003226F9"/>
    <w:rsid w:val="0032294D"/>
    <w:rsid w:val="0033333E"/>
    <w:rsid w:val="00335E7C"/>
    <w:rsid w:val="0034028E"/>
    <w:rsid w:val="00343652"/>
    <w:rsid w:val="003846C7"/>
    <w:rsid w:val="00390356"/>
    <w:rsid w:val="00397438"/>
    <w:rsid w:val="003B3308"/>
    <w:rsid w:val="003D005E"/>
    <w:rsid w:val="003D72F6"/>
    <w:rsid w:val="00413B5C"/>
    <w:rsid w:val="004147C4"/>
    <w:rsid w:val="00424088"/>
    <w:rsid w:val="0044578E"/>
    <w:rsid w:val="00464B4D"/>
    <w:rsid w:val="00466B33"/>
    <w:rsid w:val="00471280"/>
    <w:rsid w:val="00496F72"/>
    <w:rsid w:val="004A4671"/>
    <w:rsid w:val="004B7886"/>
    <w:rsid w:val="00504687"/>
    <w:rsid w:val="00516E9A"/>
    <w:rsid w:val="00537DDE"/>
    <w:rsid w:val="005439D9"/>
    <w:rsid w:val="00573AA9"/>
    <w:rsid w:val="00577992"/>
    <w:rsid w:val="00583178"/>
    <w:rsid w:val="005B5280"/>
    <w:rsid w:val="00602FD4"/>
    <w:rsid w:val="006038E3"/>
    <w:rsid w:val="006171AF"/>
    <w:rsid w:val="006227FD"/>
    <w:rsid w:val="00643B32"/>
    <w:rsid w:val="00655FE2"/>
    <w:rsid w:val="0067106A"/>
    <w:rsid w:val="00695596"/>
    <w:rsid w:val="00697519"/>
    <w:rsid w:val="006A1522"/>
    <w:rsid w:val="006E58CC"/>
    <w:rsid w:val="006E5EB3"/>
    <w:rsid w:val="006E72BD"/>
    <w:rsid w:val="00705F7B"/>
    <w:rsid w:val="007143C0"/>
    <w:rsid w:val="007417D8"/>
    <w:rsid w:val="00744334"/>
    <w:rsid w:val="00746D7B"/>
    <w:rsid w:val="00762522"/>
    <w:rsid w:val="00770AF2"/>
    <w:rsid w:val="0078213E"/>
    <w:rsid w:val="007830EA"/>
    <w:rsid w:val="007955FC"/>
    <w:rsid w:val="007B0688"/>
    <w:rsid w:val="007B0F41"/>
    <w:rsid w:val="007D7B5F"/>
    <w:rsid w:val="007F0B1A"/>
    <w:rsid w:val="007F155F"/>
    <w:rsid w:val="00804D7F"/>
    <w:rsid w:val="00813544"/>
    <w:rsid w:val="00815CFD"/>
    <w:rsid w:val="0082524B"/>
    <w:rsid w:val="0085555D"/>
    <w:rsid w:val="00860B61"/>
    <w:rsid w:val="008C20E9"/>
    <w:rsid w:val="008D0218"/>
    <w:rsid w:val="008D2132"/>
    <w:rsid w:val="008D6551"/>
    <w:rsid w:val="008E66ED"/>
    <w:rsid w:val="008F5455"/>
    <w:rsid w:val="009239B6"/>
    <w:rsid w:val="009248CE"/>
    <w:rsid w:val="00932B65"/>
    <w:rsid w:val="009711A6"/>
    <w:rsid w:val="009765FD"/>
    <w:rsid w:val="0099213C"/>
    <w:rsid w:val="0099636A"/>
    <w:rsid w:val="0099766C"/>
    <w:rsid w:val="009A6AC0"/>
    <w:rsid w:val="009C022C"/>
    <w:rsid w:val="009C74E9"/>
    <w:rsid w:val="009D3D67"/>
    <w:rsid w:val="00A05FC4"/>
    <w:rsid w:val="00A10045"/>
    <w:rsid w:val="00A116C0"/>
    <w:rsid w:val="00A17AA7"/>
    <w:rsid w:val="00A2392A"/>
    <w:rsid w:val="00A420E3"/>
    <w:rsid w:val="00A53181"/>
    <w:rsid w:val="00A64069"/>
    <w:rsid w:val="00A702AA"/>
    <w:rsid w:val="00A90274"/>
    <w:rsid w:val="00AA2BE8"/>
    <w:rsid w:val="00AA7573"/>
    <w:rsid w:val="00AB2330"/>
    <w:rsid w:val="00AC7BA7"/>
    <w:rsid w:val="00AD5018"/>
    <w:rsid w:val="00B33CF9"/>
    <w:rsid w:val="00B53EA3"/>
    <w:rsid w:val="00B55D45"/>
    <w:rsid w:val="00B85B91"/>
    <w:rsid w:val="00B93B05"/>
    <w:rsid w:val="00BA121A"/>
    <w:rsid w:val="00BC402D"/>
    <w:rsid w:val="00BC75B2"/>
    <w:rsid w:val="00BF7500"/>
    <w:rsid w:val="00C330B6"/>
    <w:rsid w:val="00C36B46"/>
    <w:rsid w:val="00C64518"/>
    <w:rsid w:val="00C65988"/>
    <w:rsid w:val="00C76134"/>
    <w:rsid w:val="00C85742"/>
    <w:rsid w:val="00C97B21"/>
    <w:rsid w:val="00CA0D67"/>
    <w:rsid w:val="00CB5CD1"/>
    <w:rsid w:val="00CC0AE0"/>
    <w:rsid w:val="00CE56DB"/>
    <w:rsid w:val="00CF222D"/>
    <w:rsid w:val="00D229B5"/>
    <w:rsid w:val="00D255DB"/>
    <w:rsid w:val="00D532BB"/>
    <w:rsid w:val="00D904F0"/>
    <w:rsid w:val="00D940A4"/>
    <w:rsid w:val="00DA471B"/>
    <w:rsid w:val="00DE167D"/>
    <w:rsid w:val="00DF61F8"/>
    <w:rsid w:val="00DF62D3"/>
    <w:rsid w:val="00E01BCE"/>
    <w:rsid w:val="00E04AF2"/>
    <w:rsid w:val="00E06D5B"/>
    <w:rsid w:val="00E15568"/>
    <w:rsid w:val="00E17317"/>
    <w:rsid w:val="00E2201D"/>
    <w:rsid w:val="00E36A0F"/>
    <w:rsid w:val="00E53C99"/>
    <w:rsid w:val="00E74D77"/>
    <w:rsid w:val="00E849ED"/>
    <w:rsid w:val="00E92EE4"/>
    <w:rsid w:val="00E950C0"/>
    <w:rsid w:val="00EB276E"/>
    <w:rsid w:val="00EC41E6"/>
    <w:rsid w:val="00ED0785"/>
    <w:rsid w:val="00ED189B"/>
    <w:rsid w:val="00ED39B2"/>
    <w:rsid w:val="00ED52C8"/>
    <w:rsid w:val="00ED66A6"/>
    <w:rsid w:val="00EE288D"/>
    <w:rsid w:val="00EE51ED"/>
    <w:rsid w:val="00EF7572"/>
    <w:rsid w:val="00F008B7"/>
    <w:rsid w:val="00F30D79"/>
    <w:rsid w:val="00F46610"/>
    <w:rsid w:val="00F517EF"/>
    <w:rsid w:val="00F53DE7"/>
    <w:rsid w:val="00F55E6A"/>
    <w:rsid w:val="00F56C15"/>
    <w:rsid w:val="00F63F3C"/>
    <w:rsid w:val="00F84104"/>
    <w:rsid w:val="00F91CDF"/>
    <w:rsid w:val="00F925DB"/>
    <w:rsid w:val="00FA1B2C"/>
    <w:rsid w:val="00FF076B"/>
    <w:rsid w:val="00FF3B82"/>
    <w:rsid w:val="352AFDC0"/>
    <w:rsid w:val="57051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11552"/>
  <w15:docId w15:val="{573DE3F0-E5AF-4231-82FF-F93AAA1AE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46C7"/>
    <w:rPr>
      <w:color w:val="0563C1" w:themeColor="hyperlink"/>
      <w:u w:val="single"/>
    </w:rPr>
  </w:style>
  <w:style w:type="character" w:customStyle="1" w:styleId="UnresolvedMention1">
    <w:name w:val="Unresolved Mention1"/>
    <w:basedOn w:val="DefaultParagraphFont"/>
    <w:uiPriority w:val="99"/>
    <w:semiHidden/>
    <w:unhideWhenUsed/>
    <w:rsid w:val="003846C7"/>
    <w:rPr>
      <w:color w:val="605E5C"/>
      <w:shd w:val="clear" w:color="auto" w:fill="E1DFDD"/>
    </w:rPr>
  </w:style>
  <w:style w:type="paragraph" w:styleId="ListParagraph">
    <w:name w:val="List Paragraph"/>
    <w:basedOn w:val="Normal"/>
    <w:uiPriority w:val="34"/>
    <w:qFormat/>
    <w:rsid w:val="00A90274"/>
    <w:pPr>
      <w:ind w:left="720"/>
      <w:contextualSpacing/>
    </w:pPr>
  </w:style>
  <w:style w:type="character" w:styleId="FollowedHyperlink">
    <w:name w:val="FollowedHyperlink"/>
    <w:basedOn w:val="DefaultParagraphFont"/>
    <w:uiPriority w:val="99"/>
    <w:semiHidden/>
    <w:unhideWhenUsed/>
    <w:rsid w:val="00C76134"/>
    <w:rPr>
      <w:color w:val="954F72" w:themeColor="followedHyperlink"/>
      <w:u w:val="single"/>
    </w:rPr>
  </w:style>
  <w:style w:type="character" w:styleId="CommentReference">
    <w:name w:val="annotation reference"/>
    <w:basedOn w:val="DefaultParagraphFont"/>
    <w:uiPriority w:val="99"/>
    <w:semiHidden/>
    <w:unhideWhenUsed/>
    <w:rsid w:val="0032294D"/>
    <w:rPr>
      <w:sz w:val="16"/>
      <w:szCs w:val="16"/>
    </w:rPr>
  </w:style>
  <w:style w:type="paragraph" w:styleId="CommentText">
    <w:name w:val="annotation text"/>
    <w:basedOn w:val="Normal"/>
    <w:link w:val="CommentTextChar"/>
    <w:uiPriority w:val="99"/>
    <w:semiHidden/>
    <w:unhideWhenUsed/>
    <w:rsid w:val="0032294D"/>
    <w:pPr>
      <w:spacing w:line="240" w:lineRule="auto"/>
    </w:pPr>
    <w:rPr>
      <w:sz w:val="20"/>
      <w:szCs w:val="20"/>
    </w:rPr>
  </w:style>
  <w:style w:type="character" w:customStyle="1" w:styleId="CommentTextChar">
    <w:name w:val="Comment Text Char"/>
    <w:basedOn w:val="DefaultParagraphFont"/>
    <w:link w:val="CommentText"/>
    <w:uiPriority w:val="99"/>
    <w:semiHidden/>
    <w:rsid w:val="0032294D"/>
    <w:rPr>
      <w:sz w:val="20"/>
      <w:szCs w:val="20"/>
    </w:rPr>
  </w:style>
  <w:style w:type="paragraph" w:styleId="CommentSubject">
    <w:name w:val="annotation subject"/>
    <w:basedOn w:val="CommentText"/>
    <w:next w:val="CommentText"/>
    <w:link w:val="CommentSubjectChar"/>
    <w:uiPriority w:val="99"/>
    <w:semiHidden/>
    <w:unhideWhenUsed/>
    <w:rsid w:val="0032294D"/>
    <w:rPr>
      <w:b/>
      <w:bCs/>
    </w:rPr>
  </w:style>
  <w:style w:type="character" w:customStyle="1" w:styleId="CommentSubjectChar">
    <w:name w:val="Comment Subject Char"/>
    <w:basedOn w:val="CommentTextChar"/>
    <w:link w:val="CommentSubject"/>
    <w:uiPriority w:val="99"/>
    <w:semiHidden/>
    <w:rsid w:val="0032294D"/>
    <w:rPr>
      <w:b/>
      <w:bCs/>
      <w:sz w:val="20"/>
      <w:szCs w:val="20"/>
    </w:rPr>
  </w:style>
  <w:style w:type="paragraph" w:styleId="BalloonText">
    <w:name w:val="Balloon Text"/>
    <w:basedOn w:val="Normal"/>
    <w:link w:val="BalloonTextChar"/>
    <w:uiPriority w:val="99"/>
    <w:semiHidden/>
    <w:unhideWhenUsed/>
    <w:rsid w:val="003229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29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sfi.eu" TargetMode="External"/><Relationship Id="rId13" Type="http://schemas.openxmlformats.org/officeDocument/2006/relationships/hyperlink" Target="http://www.bailii.org" TargetMode="External"/><Relationship Id="rId18" Type="http://schemas.openxmlformats.org/officeDocument/2006/relationships/hyperlink" Target="http://www.bailii.or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hse.go.uk" TargetMode="External"/><Relationship Id="rId12" Type="http://schemas.openxmlformats.org/officeDocument/2006/relationships/hyperlink" Target="http://www.bailii.org" TargetMode="External"/><Relationship Id="rId17" Type="http://schemas.openxmlformats.org/officeDocument/2006/relationships/hyperlink" Target="http://www.bailii.org" TargetMode="External"/><Relationship Id="rId2" Type="http://schemas.openxmlformats.org/officeDocument/2006/relationships/styles" Target="styles.xml"/><Relationship Id="rId16" Type="http://schemas.openxmlformats.org/officeDocument/2006/relationships/hyperlink" Target="http://www.bailii.or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hse.gov.uk" TargetMode="External"/><Relationship Id="rId11" Type="http://schemas.openxmlformats.org/officeDocument/2006/relationships/hyperlink" Target="http://www.Enfli.eu" TargetMode="External"/><Relationship Id="rId5" Type="http://schemas.openxmlformats.org/officeDocument/2006/relationships/hyperlink" Target="http://www.hse.gov.uk" TargetMode="External"/><Relationship Id="rId15" Type="http://schemas.openxmlformats.org/officeDocument/2006/relationships/hyperlink" Target="http://www.bailii.org" TargetMode="External"/><Relationship Id="rId10" Type="http://schemas.openxmlformats.org/officeDocument/2006/relationships/hyperlink" Target="http://www.Enfli.eu" TargetMode="External"/><Relationship Id="rId19" Type="http://schemas.openxmlformats.org/officeDocument/2006/relationships/hyperlink" Target="https://www.justice-ni.gov.uk/publications/pace-code-b-searches-premises-by-police-officers-and-seizure-property-found-by-police" TargetMode="External"/><Relationship Id="rId4" Type="http://schemas.openxmlformats.org/officeDocument/2006/relationships/webSettings" Target="webSettings.xml"/><Relationship Id="rId9" Type="http://schemas.openxmlformats.org/officeDocument/2006/relationships/hyperlink" Target="http://www.Enfli.eu" TargetMode="External"/><Relationship Id="rId14" Type="http://schemas.openxmlformats.org/officeDocument/2006/relationships/hyperlink" Target="http://www.baili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2957</Words>
  <Characters>16861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Kimberley Robinson</dc:creator>
  <cp:lastModifiedBy>Kimberley Robinson</cp:lastModifiedBy>
  <cp:revision>2</cp:revision>
  <dcterms:created xsi:type="dcterms:W3CDTF">2019-12-27T08:16:00Z</dcterms:created>
  <dcterms:modified xsi:type="dcterms:W3CDTF">2019-12-27T08:16:00Z</dcterms:modified>
</cp:coreProperties>
</file>