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1C5A7" w14:textId="77777777" w:rsidR="00517B15" w:rsidRPr="00517B15" w:rsidRDefault="00517B15" w:rsidP="00517B15">
      <w:pPr>
        <w:rPr>
          <w:rFonts w:cs="Arial"/>
          <w:szCs w:val="24"/>
        </w:rPr>
      </w:pPr>
      <w:r w:rsidRPr="00517B15">
        <w:rPr>
          <w:rFonts w:cs="Arial"/>
          <w:noProof/>
          <w:szCs w:val="24"/>
          <w:lang w:eastAsia="en-GB"/>
        </w:rPr>
        <w:drawing>
          <wp:inline distT="0" distB="0" distL="0" distR="0" wp14:anchorId="55A81E0F" wp14:editId="2D960DFA">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41022" cy="757811"/>
                    </a:xfrm>
                    <a:prstGeom prst="rect">
                      <a:avLst/>
                    </a:prstGeom>
                    <a:noFill/>
                    <a:ln>
                      <a:noFill/>
                    </a:ln>
                  </pic:spPr>
                </pic:pic>
              </a:graphicData>
            </a:graphic>
          </wp:inline>
        </w:drawing>
      </w:r>
    </w:p>
    <w:tbl>
      <w:tblPr>
        <w:tblW w:w="0" w:type="auto"/>
        <w:tblBorders>
          <w:top w:val="single" w:sz="6" w:space="0" w:color="000009"/>
          <w:left w:val="single" w:sz="6" w:space="0" w:color="000009"/>
          <w:bottom w:val="single" w:sz="6" w:space="0" w:color="000009"/>
          <w:right w:val="single" w:sz="6" w:space="0" w:color="000009"/>
          <w:insideH w:val="single" w:sz="6" w:space="0" w:color="000009"/>
          <w:insideV w:val="single" w:sz="6" w:space="0" w:color="000009"/>
        </w:tblBorders>
        <w:tblCellMar>
          <w:left w:w="0" w:type="dxa"/>
          <w:right w:w="0" w:type="dxa"/>
        </w:tblCellMar>
        <w:tblLook w:val="01E0" w:firstRow="1" w:lastRow="1" w:firstColumn="1" w:lastColumn="1" w:noHBand="0" w:noVBand="0"/>
      </w:tblPr>
      <w:tblGrid>
        <w:gridCol w:w="1534"/>
        <w:gridCol w:w="2714"/>
        <w:gridCol w:w="2853"/>
        <w:gridCol w:w="1915"/>
      </w:tblGrid>
      <w:tr w:rsidR="00517B15" w:rsidRPr="00517B15" w14:paraId="6D82D70F" w14:textId="77777777" w:rsidTr="0064248F">
        <w:trPr>
          <w:trHeight w:val="771"/>
        </w:trPr>
        <w:tc>
          <w:tcPr>
            <w:tcW w:w="0" w:type="auto"/>
            <w:tcBorders>
              <w:left w:val="single" w:sz="4" w:space="0" w:color="000009"/>
              <w:right w:val="single" w:sz="4" w:space="0" w:color="000009"/>
            </w:tcBorders>
          </w:tcPr>
          <w:p w14:paraId="7F188D60" w14:textId="77777777" w:rsidR="00517B15" w:rsidRPr="00517B15" w:rsidRDefault="00517B15" w:rsidP="00517B15">
            <w:pPr>
              <w:rPr>
                <w:rFonts w:cs="Arial"/>
                <w:szCs w:val="24"/>
              </w:rPr>
            </w:pPr>
            <w:r w:rsidRPr="00517B15">
              <w:rPr>
                <w:rFonts w:cs="Arial"/>
                <w:szCs w:val="24"/>
              </w:rPr>
              <w:t>Student name:</w:t>
            </w:r>
          </w:p>
        </w:tc>
        <w:tc>
          <w:tcPr>
            <w:tcW w:w="2714" w:type="dxa"/>
            <w:tcBorders>
              <w:left w:val="single" w:sz="4" w:space="0" w:color="000009"/>
              <w:right w:val="single" w:sz="4" w:space="0" w:color="000009"/>
            </w:tcBorders>
          </w:tcPr>
          <w:p w14:paraId="6BF4A9DD" w14:textId="77777777" w:rsidR="00517B15" w:rsidRPr="00517B15" w:rsidRDefault="00517B15" w:rsidP="00517B15">
            <w:pPr>
              <w:rPr>
                <w:rFonts w:cs="Arial"/>
                <w:szCs w:val="24"/>
              </w:rPr>
            </w:pPr>
            <w:r w:rsidRPr="00517B15">
              <w:rPr>
                <w:rFonts w:cs="Arial"/>
                <w:szCs w:val="24"/>
              </w:rPr>
              <w:t>Basem Issam Elhersh</w:t>
            </w:r>
          </w:p>
        </w:tc>
        <w:tc>
          <w:tcPr>
            <w:tcW w:w="2853" w:type="dxa"/>
            <w:tcBorders>
              <w:top w:val="single" w:sz="12" w:space="0" w:color="000000"/>
              <w:left w:val="single" w:sz="4" w:space="0" w:color="000009"/>
              <w:right w:val="single" w:sz="4" w:space="0" w:color="000009"/>
            </w:tcBorders>
          </w:tcPr>
          <w:p w14:paraId="24256538" w14:textId="77777777" w:rsidR="00517B15" w:rsidRPr="00517B15" w:rsidRDefault="00517B15" w:rsidP="00517B15">
            <w:pPr>
              <w:rPr>
                <w:rFonts w:cs="Arial"/>
                <w:szCs w:val="24"/>
              </w:rPr>
            </w:pPr>
            <w:r w:rsidRPr="00517B15">
              <w:rPr>
                <w:rFonts w:cs="Arial"/>
                <w:szCs w:val="24"/>
              </w:rPr>
              <w:t>Student ID number:</w:t>
            </w:r>
          </w:p>
        </w:tc>
        <w:tc>
          <w:tcPr>
            <w:tcW w:w="1915" w:type="dxa"/>
            <w:tcBorders>
              <w:left w:val="single" w:sz="4" w:space="0" w:color="000009"/>
              <w:right w:val="single" w:sz="4" w:space="0" w:color="000009"/>
            </w:tcBorders>
          </w:tcPr>
          <w:p w14:paraId="49A8D868" w14:textId="77777777" w:rsidR="00517B15" w:rsidRPr="00517B15" w:rsidRDefault="00517B15" w:rsidP="00517B15">
            <w:pPr>
              <w:rPr>
                <w:rFonts w:cs="Arial"/>
                <w:szCs w:val="24"/>
              </w:rPr>
            </w:pPr>
            <w:r w:rsidRPr="00517B15">
              <w:rPr>
                <w:rFonts w:cs="Arial"/>
                <w:szCs w:val="24"/>
              </w:rPr>
              <w:t xml:space="preserve"> 2234245</w:t>
            </w:r>
          </w:p>
        </w:tc>
      </w:tr>
      <w:tr w:rsidR="00517B15" w:rsidRPr="00517B15" w14:paraId="41DE9CC4" w14:textId="77777777" w:rsidTr="0064248F">
        <w:trPr>
          <w:trHeight w:val="531"/>
        </w:trPr>
        <w:tc>
          <w:tcPr>
            <w:tcW w:w="0" w:type="auto"/>
            <w:tcBorders>
              <w:left w:val="single" w:sz="4" w:space="0" w:color="000009"/>
              <w:right w:val="single" w:sz="4" w:space="0" w:color="000009"/>
            </w:tcBorders>
          </w:tcPr>
          <w:p w14:paraId="4F814D04" w14:textId="77777777" w:rsidR="00517B15" w:rsidRPr="00517B15" w:rsidRDefault="00517B15" w:rsidP="00517B15">
            <w:pPr>
              <w:rPr>
                <w:rFonts w:cs="Arial"/>
                <w:szCs w:val="24"/>
              </w:rPr>
            </w:pPr>
            <w:r w:rsidRPr="00517B15">
              <w:rPr>
                <w:rFonts w:cs="Arial"/>
                <w:szCs w:val="24"/>
              </w:rPr>
              <w:t>Programme:</w:t>
            </w:r>
          </w:p>
        </w:tc>
        <w:tc>
          <w:tcPr>
            <w:tcW w:w="0" w:type="auto"/>
            <w:gridSpan w:val="3"/>
            <w:tcBorders>
              <w:left w:val="single" w:sz="4" w:space="0" w:color="000009"/>
              <w:right w:val="single" w:sz="4" w:space="0" w:color="000009"/>
            </w:tcBorders>
          </w:tcPr>
          <w:p w14:paraId="2E7461F4" w14:textId="77777777" w:rsidR="00517B15" w:rsidRPr="00517B15" w:rsidRDefault="00517B15" w:rsidP="00517B15">
            <w:pPr>
              <w:rPr>
                <w:rFonts w:cs="Arial"/>
                <w:szCs w:val="24"/>
              </w:rPr>
            </w:pPr>
            <w:r w:rsidRPr="00517B15">
              <w:rPr>
                <w:rFonts w:cs="Arial"/>
                <w:szCs w:val="24"/>
              </w:rPr>
              <w:t>International Hotel Management</w:t>
            </w:r>
          </w:p>
        </w:tc>
      </w:tr>
      <w:tr w:rsidR="00517B15" w:rsidRPr="00517B15" w14:paraId="091ECC03" w14:textId="77777777" w:rsidTr="0064248F">
        <w:trPr>
          <w:trHeight w:val="525"/>
        </w:trPr>
        <w:tc>
          <w:tcPr>
            <w:tcW w:w="0" w:type="auto"/>
            <w:tcBorders>
              <w:left w:val="single" w:sz="4" w:space="0" w:color="000009"/>
              <w:right w:val="single" w:sz="4" w:space="0" w:color="000009"/>
            </w:tcBorders>
          </w:tcPr>
          <w:p w14:paraId="1430DDDA" w14:textId="77777777" w:rsidR="00517B15" w:rsidRPr="00517B15" w:rsidRDefault="00517B15" w:rsidP="00517B15">
            <w:pPr>
              <w:rPr>
                <w:rFonts w:cs="Arial"/>
                <w:szCs w:val="24"/>
              </w:rPr>
            </w:pPr>
            <w:r w:rsidRPr="00517B15">
              <w:rPr>
                <w:rFonts w:cs="Arial"/>
                <w:szCs w:val="24"/>
              </w:rPr>
              <w:t>Module:</w:t>
            </w:r>
          </w:p>
        </w:tc>
        <w:tc>
          <w:tcPr>
            <w:tcW w:w="0" w:type="auto"/>
            <w:gridSpan w:val="3"/>
            <w:tcBorders>
              <w:left w:val="single" w:sz="4" w:space="0" w:color="000009"/>
              <w:bottom w:val="single" w:sz="12" w:space="0" w:color="000000"/>
              <w:right w:val="single" w:sz="4" w:space="0" w:color="000009"/>
            </w:tcBorders>
          </w:tcPr>
          <w:p w14:paraId="31BBB516" w14:textId="77777777" w:rsidR="00517B15" w:rsidRPr="00517B15" w:rsidRDefault="00517B15" w:rsidP="00517B15">
            <w:pPr>
              <w:rPr>
                <w:rFonts w:cs="Arial"/>
                <w:szCs w:val="24"/>
              </w:rPr>
            </w:pPr>
            <w:r w:rsidRPr="00517B15">
              <w:rPr>
                <w:rFonts w:cs="Arial"/>
                <w:szCs w:val="24"/>
              </w:rPr>
              <w:t>Hospitality and Guest Services</w:t>
            </w:r>
          </w:p>
        </w:tc>
      </w:tr>
      <w:tr w:rsidR="00517B15" w:rsidRPr="00517B15" w14:paraId="2989CD74" w14:textId="77777777" w:rsidTr="0064248F">
        <w:trPr>
          <w:trHeight w:val="1341"/>
        </w:trPr>
        <w:tc>
          <w:tcPr>
            <w:tcW w:w="0" w:type="auto"/>
            <w:tcBorders>
              <w:left w:val="single" w:sz="4" w:space="0" w:color="000009"/>
              <w:right w:val="single" w:sz="4" w:space="0" w:color="000009"/>
            </w:tcBorders>
          </w:tcPr>
          <w:p w14:paraId="7D853959" w14:textId="77777777" w:rsidR="00517B15" w:rsidRPr="00517B15" w:rsidRDefault="00517B15" w:rsidP="00517B15">
            <w:pPr>
              <w:rPr>
                <w:rFonts w:cs="Arial"/>
                <w:szCs w:val="24"/>
              </w:rPr>
            </w:pPr>
            <w:r w:rsidRPr="00517B15">
              <w:rPr>
                <w:rFonts w:cs="Arial"/>
                <w:szCs w:val="24"/>
              </w:rPr>
              <w:t>Module code:</w:t>
            </w:r>
          </w:p>
        </w:tc>
        <w:tc>
          <w:tcPr>
            <w:tcW w:w="2714" w:type="dxa"/>
            <w:tcBorders>
              <w:left w:val="single" w:sz="4" w:space="0" w:color="000009"/>
              <w:right w:val="single" w:sz="4" w:space="0" w:color="000009"/>
            </w:tcBorders>
          </w:tcPr>
          <w:p w14:paraId="7AF5F640" w14:textId="77777777" w:rsidR="00517B15" w:rsidRPr="00517B15" w:rsidRDefault="00517B15" w:rsidP="00517B15">
            <w:pPr>
              <w:rPr>
                <w:rFonts w:cs="Arial"/>
                <w:szCs w:val="24"/>
              </w:rPr>
            </w:pPr>
            <w:r w:rsidRPr="00517B15">
              <w:rPr>
                <w:rFonts w:cs="Arial"/>
                <w:szCs w:val="24"/>
              </w:rPr>
              <w:t>BMIH4003</w:t>
            </w:r>
          </w:p>
        </w:tc>
        <w:tc>
          <w:tcPr>
            <w:tcW w:w="2853" w:type="dxa"/>
            <w:tcBorders>
              <w:top w:val="single" w:sz="12" w:space="0" w:color="000000"/>
              <w:left w:val="single" w:sz="4" w:space="0" w:color="000009"/>
              <w:bottom w:val="single" w:sz="12" w:space="0" w:color="000000"/>
              <w:right w:val="single" w:sz="4" w:space="0" w:color="000009"/>
            </w:tcBorders>
          </w:tcPr>
          <w:p w14:paraId="48F4FD3F" w14:textId="77777777" w:rsidR="00517B15" w:rsidRPr="00517B15" w:rsidRDefault="00517B15" w:rsidP="00517B15">
            <w:pPr>
              <w:rPr>
                <w:rFonts w:cs="Arial"/>
                <w:szCs w:val="24"/>
              </w:rPr>
            </w:pPr>
            <w:r w:rsidRPr="00517B15">
              <w:rPr>
                <w:rFonts w:cs="Arial"/>
                <w:szCs w:val="24"/>
              </w:rPr>
              <w:t>Contribution to Overall Module Assessment (%)</w:t>
            </w:r>
          </w:p>
        </w:tc>
        <w:tc>
          <w:tcPr>
            <w:tcW w:w="1915" w:type="dxa"/>
            <w:tcBorders>
              <w:left w:val="single" w:sz="4" w:space="0" w:color="000009"/>
              <w:right w:val="single" w:sz="4" w:space="0" w:color="000009"/>
            </w:tcBorders>
          </w:tcPr>
          <w:p w14:paraId="79A4276F" w14:textId="77777777" w:rsidR="00517B15" w:rsidRPr="00517B15" w:rsidRDefault="00517B15" w:rsidP="00517B15">
            <w:pPr>
              <w:rPr>
                <w:rFonts w:cs="Arial"/>
                <w:szCs w:val="24"/>
              </w:rPr>
            </w:pPr>
            <w:r w:rsidRPr="00517B15">
              <w:rPr>
                <w:rFonts w:cs="Arial"/>
                <w:szCs w:val="24"/>
              </w:rPr>
              <w:t>50 %</w:t>
            </w:r>
          </w:p>
        </w:tc>
      </w:tr>
      <w:tr w:rsidR="00517B15" w:rsidRPr="00517B15" w14:paraId="22209017" w14:textId="77777777" w:rsidTr="0064248F">
        <w:trPr>
          <w:trHeight w:val="1659"/>
        </w:trPr>
        <w:tc>
          <w:tcPr>
            <w:tcW w:w="0" w:type="auto"/>
            <w:tcBorders>
              <w:left w:val="single" w:sz="4" w:space="0" w:color="000009"/>
              <w:right w:val="single" w:sz="4" w:space="0" w:color="000009"/>
            </w:tcBorders>
          </w:tcPr>
          <w:p w14:paraId="269BA5FF" w14:textId="77777777" w:rsidR="00517B15" w:rsidRPr="00517B15" w:rsidRDefault="00517B15" w:rsidP="00517B15">
            <w:pPr>
              <w:rPr>
                <w:rFonts w:cs="Arial"/>
                <w:szCs w:val="24"/>
              </w:rPr>
            </w:pPr>
            <w:r w:rsidRPr="00517B15">
              <w:rPr>
                <w:rFonts w:cs="Arial"/>
                <w:szCs w:val="24"/>
              </w:rPr>
              <w:t>Lecturers:</w:t>
            </w:r>
          </w:p>
        </w:tc>
        <w:tc>
          <w:tcPr>
            <w:tcW w:w="2714" w:type="dxa"/>
            <w:tcBorders>
              <w:left w:val="single" w:sz="4" w:space="0" w:color="000009"/>
              <w:right w:val="single" w:sz="4" w:space="0" w:color="000009"/>
            </w:tcBorders>
          </w:tcPr>
          <w:p w14:paraId="61F53AD0" w14:textId="77777777" w:rsidR="00517B15" w:rsidRPr="00517B15" w:rsidRDefault="00517B15" w:rsidP="00517B15">
            <w:pPr>
              <w:rPr>
                <w:rFonts w:cs="Arial"/>
                <w:szCs w:val="24"/>
              </w:rPr>
            </w:pPr>
            <w:r w:rsidRPr="00517B15">
              <w:rPr>
                <w:rFonts w:cs="Arial"/>
                <w:szCs w:val="24"/>
              </w:rPr>
              <w:t xml:space="preserve">Luciana </w:t>
            </w:r>
            <w:proofErr w:type="spellStart"/>
            <w:r w:rsidRPr="00517B15">
              <w:rPr>
                <w:rFonts w:cs="Arial"/>
                <w:szCs w:val="24"/>
              </w:rPr>
              <w:t>Suardi</w:t>
            </w:r>
            <w:proofErr w:type="spellEnd"/>
          </w:p>
        </w:tc>
        <w:tc>
          <w:tcPr>
            <w:tcW w:w="2853" w:type="dxa"/>
            <w:tcBorders>
              <w:top w:val="single" w:sz="12" w:space="0" w:color="000000"/>
              <w:left w:val="single" w:sz="4" w:space="0" w:color="000009"/>
              <w:right w:val="single" w:sz="4" w:space="0" w:color="000009"/>
            </w:tcBorders>
          </w:tcPr>
          <w:p w14:paraId="17DE33F4" w14:textId="77777777" w:rsidR="00517B15" w:rsidRPr="00517B15" w:rsidRDefault="00517B15" w:rsidP="00517B15">
            <w:pPr>
              <w:rPr>
                <w:rFonts w:cs="Arial"/>
                <w:szCs w:val="24"/>
              </w:rPr>
            </w:pPr>
            <w:r w:rsidRPr="00517B15">
              <w:rPr>
                <w:rFonts w:cs="Arial"/>
                <w:szCs w:val="24"/>
              </w:rPr>
              <w:t>Internal Verifier:</w:t>
            </w:r>
          </w:p>
        </w:tc>
        <w:tc>
          <w:tcPr>
            <w:tcW w:w="1915" w:type="dxa"/>
            <w:tcBorders>
              <w:left w:val="single" w:sz="4" w:space="0" w:color="000009"/>
              <w:right w:val="single" w:sz="4" w:space="0" w:color="000009"/>
            </w:tcBorders>
          </w:tcPr>
          <w:p w14:paraId="427BCAD1" w14:textId="77777777" w:rsidR="00517B15" w:rsidRPr="00517B15" w:rsidRDefault="00517B15" w:rsidP="00517B15">
            <w:pPr>
              <w:rPr>
                <w:rFonts w:cs="Arial"/>
                <w:szCs w:val="24"/>
              </w:rPr>
            </w:pPr>
            <w:r w:rsidRPr="00517B15">
              <w:rPr>
                <w:rFonts w:cs="Arial"/>
                <w:szCs w:val="24"/>
              </w:rPr>
              <w:t xml:space="preserve">Ffion </w:t>
            </w:r>
            <w:proofErr w:type="spellStart"/>
            <w:r w:rsidRPr="00517B15">
              <w:rPr>
                <w:rFonts w:cs="Arial"/>
                <w:szCs w:val="24"/>
              </w:rPr>
              <w:t>Cumberpatch</w:t>
            </w:r>
            <w:proofErr w:type="spellEnd"/>
          </w:p>
        </w:tc>
      </w:tr>
      <w:tr w:rsidR="00517B15" w:rsidRPr="00517B15" w14:paraId="0F413B1A" w14:textId="77777777" w:rsidTr="0064248F">
        <w:trPr>
          <w:trHeight w:val="2012"/>
        </w:trPr>
        <w:tc>
          <w:tcPr>
            <w:tcW w:w="0" w:type="auto"/>
            <w:tcBorders>
              <w:left w:val="single" w:sz="4" w:space="0" w:color="000009"/>
              <w:right w:val="single" w:sz="4" w:space="0" w:color="000009"/>
            </w:tcBorders>
          </w:tcPr>
          <w:p w14:paraId="564485DD" w14:textId="77777777" w:rsidR="00517B15" w:rsidRPr="00517B15" w:rsidRDefault="00517B15" w:rsidP="00517B15">
            <w:pPr>
              <w:rPr>
                <w:rFonts w:cs="Arial"/>
                <w:szCs w:val="24"/>
              </w:rPr>
            </w:pPr>
            <w:r w:rsidRPr="00517B15">
              <w:rPr>
                <w:rFonts w:cs="Arial"/>
                <w:szCs w:val="24"/>
              </w:rPr>
              <w:t>Assignment Title:</w:t>
            </w:r>
          </w:p>
        </w:tc>
        <w:tc>
          <w:tcPr>
            <w:tcW w:w="2714" w:type="dxa"/>
            <w:tcBorders>
              <w:left w:val="single" w:sz="4" w:space="0" w:color="000009"/>
              <w:right w:val="single" w:sz="4" w:space="0" w:color="000009"/>
            </w:tcBorders>
          </w:tcPr>
          <w:p w14:paraId="1DD06261" w14:textId="77777777" w:rsidR="00517B15" w:rsidRPr="00517B15" w:rsidRDefault="00517B15" w:rsidP="00517B15">
            <w:pPr>
              <w:rPr>
                <w:rFonts w:cs="Arial"/>
                <w:szCs w:val="24"/>
              </w:rPr>
            </w:pPr>
            <w:r w:rsidRPr="00517B15">
              <w:rPr>
                <w:rFonts w:cs="Arial"/>
                <w:szCs w:val="24"/>
              </w:rPr>
              <w:t xml:space="preserve">Assessment 2: Report </w:t>
            </w:r>
            <w:proofErr w:type="spellStart"/>
            <w:r w:rsidRPr="00517B15">
              <w:rPr>
                <w:rFonts w:cs="Arial"/>
                <w:szCs w:val="24"/>
              </w:rPr>
              <w:t>Report</w:t>
            </w:r>
            <w:proofErr w:type="spellEnd"/>
            <w:r w:rsidRPr="00517B15">
              <w:rPr>
                <w:rFonts w:cs="Arial"/>
                <w:szCs w:val="24"/>
              </w:rPr>
              <w:t xml:space="preserve"> title:</w:t>
            </w:r>
          </w:p>
          <w:p w14:paraId="5E5AD6B6" w14:textId="77777777" w:rsidR="00517B15" w:rsidRPr="00517B15" w:rsidRDefault="00517B15" w:rsidP="00517B15">
            <w:pPr>
              <w:rPr>
                <w:rFonts w:cs="Arial"/>
                <w:szCs w:val="24"/>
              </w:rPr>
            </w:pPr>
            <w:r w:rsidRPr="00517B15">
              <w:rPr>
                <w:rFonts w:cs="Arial"/>
                <w:szCs w:val="24"/>
              </w:rPr>
              <w:t>Hotel standards, Reputation</w:t>
            </w:r>
          </w:p>
          <w:p w14:paraId="5DEBFC27" w14:textId="77777777" w:rsidR="00517B15" w:rsidRPr="00517B15" w:rsidRDefault="00517B15" w:rsidP="00517B15">
            <w:pPr>
              <w:rPr>
                <w:rFonts w:cs="Arial"/>
                <w:szCs w:val="24"/>
              </w:rPr>
            </w:pPr>
            <w:r w:rsidRPr="00517B15">
              <w:rPr>
                <w:rFonts w:cs="Arial"/>
                <w:szCs w:val="24"/>
              </w:rPr>
              <w:t>management and Service Culture</w:t>
            </w:r>
          </w:p>
        </w:tc>
        <w:tc>
          <w:tcPr>
            <w:tcW w:w="2853" w:type="dxa"/>
            <w:tcBorders>
              <w:left w:val="single" w:sz="4" w:space="0" w:color="000009"/>
              <w:right w:val="single" w:sz="4" w:space="0" w:color="000009"/>
            </w:tcBorders>
          </w:tcPr>
          <w:p w14:paraId="41353D8F" w14:textId="77777777" w:rsidR="00517B15" w:rsidRPr="00517B15" w:rsidRDefault="00517B15" w:rsidP="00517B15">
            <w:pPr>
              <w:rPr>
                <w:rFonts w:cs="Arial"/>
                <w:szCs w:val="24"/>
              </w:rPr>
            </w:pPr>
            <w:r w:rsidRPr="00517B15">
              <w:rPr>
                <w:rFonts w:cs="Arial"/>
                <w:szCs w:val="24"/>
              </w:rPr>
              <w:t>Word</w:t>
            </w:r>
            <w:r w:rsidRPr="00517B15">
              <w:rPr>
                <w:rFonts w:cs="Arial"/>
                <w:szCs w:val="24"/>
              </w:rPr>
              <w:tab/>
            </w:r>
            <w:r w:rsidRPr="00517B15">
              <w:rPr>
                <w:rFonts w:cs="Arial"/>
                <w:szCs w:val="24"/>
              </w:rPr>
              <w:tab/>
              <w:t>count (or equivalent):</w:t>
            </w:r>
          </w:p>
        </w:tc>
        <w:tc>
          <w:tcPr>
            <w:tcW w:w="1915" w:type="dxa"/>
            <w:tcBorders>
              <w:left w:val="single" w:sz="4" w:space="0" w:color="000009"/>
              <w:right w:val="single" w:sz="4" w:space="0" w:color="000009"/>
            </w:tcBorders>
          </w:tcPr>
          <w:p w14:paraId="3287652D" w14:textId="77777777" w:rsidR="00517B15" w:rsidRPr="00517B15" w:rsidRDefault="00517B15" w:rsidP="00517B15">
            <w:pPr>
              <w:rPr>
                <w:rFonts w:cs="Arial"/>
                <w:szCs w:val="24"/>
              </w:rPr>
            </w:pPr>
            <w:r w:rsidRPr="00517B15">
              <w:rPr>
                <w:rFonts w:cs="Arial"/>
                <w:szCs w:val="24"/>
              </w:rPr>
              <w:t>1500 words</w:t>
            </w:r>
          </w:p>
        </w:tc>
      </w:tr>
    </w:tbl>
    <w:p w14:paraId="5485206C" w14:textId="77777777" w:rsidR="00517B15" w:rsidRPr="00517B15" w:rsidRDefault="00517B15" w:rsidP="00517B15">
      <w:pPr>
        <w:rPr>
          <w:rFonts w:cs="Arial"/>
          <w:szCs w:val="24"/>
        </w:rPr>
      </w:pPr>
    </w:p>
    <w:p w14:paraId="1239B01F" w14:textId="77777777" w:rsidR="00517B15" w:rsidRPr="00517B15" w:rsidRDefault="00517B15" w:rsidP="00517B15">
      <w:pPr>
        <w:rPr>
          <w:rFonts w:cs="Arial"/>
          <w:szCs w:val="24"/>
        </w:rPr>
      </w:pPr>
    </w:p>
    <w:p w14:paraId="4A26436B" w14:textId="77777777" w:rsidR="00517B15" w:rsidRPr="00517B15" w:rsidRDefault="00517B15" w:rsidP="00517B15">
      <w:pPr>
        <w:rPr>
          <w:rFonts w:cs="Arial"/>
          <w:szCs w:val="24"/>
        </w:rPr>
      </w:pPr>
    </w:p>
    <w:p w14:paraId="38F53584" w14:textId="77777777" w:rsidR="00517B15" w:rsidRPr="00517B15" w:rsidRDefault="00517B15" w:rsidP="00517B15">
      <w:pPr>
        <w:rPr>
          <w:rFonts w:cs="Arial"/>
          <w:szCs w:val="24"/>
        </w:rPr>
      </w:pPr>
    </w:p>
    <w:p w14:paraId="3212D408" w14:textId="77777777" w:rsidR="00517B15" w:rsidRPr="00517B15" w:rsidRDefault="00517B15" w:rsidP="00517B15">
      <w:pPr>
        <w:rPr>
          <w:rFonts w:cs="Arial"/>
          <w:szCs w:val="24"/>
        </w:rPr>
      </w:pPr>
    </w:p>
    <w:p w14:paraId="175D10E6" w14:textId="77777777" w:rsidR="00517B15" w:rsidRPr="00517B15" w:rsidRDefault="00517B15" w:rsidP="00517B15">
      <w:pPr>
        <w:rPr>
          <w:rFonts w:cs="Arial"/>
          <w:szCs w:val="24"/>
        </w:rPr>
      </w:pPr>
    </w:p>
    <w:p w14:paraId="685E00CC" w14:textId="77777777" w:rsidR="00517B15" w:rsidRPr="00517B15" w:rsidRDefault="00517B15" w:rsidP="00517B15">
      <w:pPr>
        <w:rPr>
          <w:rFonts w:cs="Arial"/>
          <w:szCs w:val="24"/>
        </w:rPr>
      </w:pPr>
    </w:p>
    <w:p w14:paraId="7951899E" w14:textId="77777777" w:rsidR="00517B15" w:rsidRPr="00517B15" w:rsidRDefault="00517B15" w:rsidP="00517B15">
      <w:pPr>
        <w:rPr>
          <w:rFonts w:cs="Arial"/>
          <w:szCs w:val="24"/>
        </w:rPr>
      </w:pPr>
    </w:p>
    <w:p w14:paraId="481967BC" w14:textId="77777777" w:rsidR="00517B15" w:rsidRPr="00517B15" w:rsidRDefault="00517B15" w:rsidP="00517B15">
      <w:pPr>
        <w:pStyle w:val="Heading1"/>
        <w:rPr>
          <w:rFonts w:cs="Arial"/>
          <w:sz w:val="24"/>
          <w:szCs w:val="24"/>
        </w:rPr>
      </w:pPr>
      <w:bookmarkStart w:id="0" w:name="_Toc137136283"/>
      <w:r w:rsidRPr="00517B15">
        <w:rPr>
          <w:rFonts w:cs="Arial"/>
          <w:sz w:val="24"/>
          <w:szCs w:val="24"/>
        </w:rPr>
        <w:t>Executive Summary</w:t>
      </w:r>
      <w:bookmarkEnd w:id="0"/>
      <w:r w:rsidRPr="00517B15">
        <w:rPr>
          <w:rFonts w:cs="Arial"/>
          <w:sz w:val="24"/>
          <w:szCs w:val="24"/>
        </w:rPr>
        <w:t xml:space="preserve"> </w:t>
      </w:r>
    </w:p>
    <w:p w14:paraId="11AD8286" w14:textId="77777777" w:rsidR="00517B15" w:rsidRPr="00517B15" w:rsidRDefault="00517B15" w:rsidP="00517B15">
      <w:pPr>
        <w:rPr>
          <w:rFonts w:cs="Arial"/>
          <w:szCs w:val="24"/>
        </w:rPr>
      </w:pPr>
      <w:r w:rsidRPr="00517B15">
        <w:rPr>
          <w:rFonts w:cs="Arial"/>
          <w:szCs w:val="24"/>
        </w:rPr>
        <w:t>This task discusses the standards of hotels, the management of their reputations, and the culture of service. The researcher used samples from the UK hotel industry, along with statistics and case studies, to investigate brand consistency standards, management of guest reviews, and service culture. It was stated that future market trends should focus on being sustainable, individualised, and technologically integrated. Overcoming alternative accommodations and empowering staff were both topics that were discussed. These suggestions can assist hotels in adjusting to shifting market conditions, enhancing their reputations, and providing superior services to their customers to ensure long-term success.</w:t>
      </w:r>
    </w:p>
    <w:p w14:paraId="4874FF62" w14:textId="77777777" w:rsidR="00517B15" w:rsidRPr="00517B15" w:rsidRDefault="00517B15" w:rsidP="00517B15">
      <w:pPr>
        <w:rPr>
          <w:rFonts w:cs="Arial"/>
          <w:szCs w:val="24"/>
        </w:rPr>
      </w:pPr>
      <w:r w:rsidRPr="00517B15">
        <w:rPr>
          <w:rFonts w:cs="Arial"/>
          <w:szCs w:val="24"/>
        </w:rPr>
        <w:br w:type="page"/>
      </w:r>
    </w:p>
    <w:sdt>
      <w:sdtPr>
        <w:rPr>
          <w:rFonts w:ascii="Arial" w:eastAsiaTheme="minorHAnsi" w:hAnsi="Arial" w:cs="Arial"/>
          <w:color w:val="auto"/>
          <w:sz w:val="24"/>
          <w:szCs w:val="24"/>
          <w:lang w:val="en-GB"/>
        </w:rPr>
        <w:id w:val="10342759"/>
        <w:docPartObj>
          <w:docPartGallery w:val="Table of Contents"/>
          <w:docPartUnique/>
        </w:docPartObj>
      </w:sdtPr>
      <w:sdtEndPr>
        <w:rPr>
          <w:b/>
          <w:bCs/>
          <w:noProof/>
        </w:rPr>
      </w:sdtEndPr>
      <w:sdtContent>
        <w:p w14:paraId="4B762EFD" w14:textId="77777777" w:rsidR="00517B15" w:rsidRPr="00517B15" w:rsidRDefault="00517B15" w:rsidP="00517B15">
          <w:pPr>
            <w:pStyle w:val="TOCHeading"/>
            <w:spacing w:line="360" w:lineRule="auto"/>
            <w:jc w:val="both"/>
            <w:rPr>
              <w:rFonts w:ascii="Arial" w:hAnsi="Arial" w:cs="Arial"/>
              <w:sz w:val="24"/>
              <w:szCs w:val="24"/>
            </w:rPr>
          </w:pPr>
          <w:r w:rsidRPr="00517B15">
            <w:rPr>
              <w:rFonts w:ascii="Arial" w:hAnsi="Arial" w:cs="Arial"/>
              <w:sz w:val="24"/>
              <w:szCs w:val="24"/>
            </w:rPr>
            <w:t>Table of Contents</w:t>
          </w:r>
        </w:p>
        <w:p w14:paraId="0FF57854" w14:textId="77777777" w:rsidR="00517B15" w:rsidRPr="00517B15" w:rsidRDefault="00517B15" w:rsidP="00517B15">
          <w:pPr>
            <w:pStyle w:val="TOC1"/>
            <w:tabs>
              <w:tab w:val="right" w:leader="dot" w:pos="9016"/>
            </w:tabs>
            <w:rPr>
              <w:rFonts w:cs="Arial"/>
              <w:noProof/>
              <w:szCs w:val="24"/>
            </w:rPr>
          </w:pPr>
          <w:r w:rsidRPr="00517B15">
            <w:rPr>
              <w:rFonts w:cs="Arial"/>
              <w:szCs w:val="24"/>
            </w:rPr>
            <w:fldChar w:fldCharType="begin"/>
          </w:r>
          <w:r w:rsidRPr="00517B15">
            <w:rPr>
              <w:rFonts w:cs="Arial"/>
              <w:szCs w:val="24"/>
            </w:rPr>
            <w:instrText xml:space="preserve"> TOC \o "1-3" \h \z \u </w:instrText>
          </w:r>
          <w:r w:rsidRPr="00517B15">
            <w:rPr>
              <w:rFonts w:cs="Arial"/>
              <w:szCs w:val="24"/>
            </w:rPr>
            <w:fldChar w:fldCharType="separate"/>
          </w:r>
          <w:hyperlink w:anchor="_Toc137136283" w:history="1">
            <w:r w:rsidRPr="00517B15">
              <w:rPr>
                <w:rStyle w:val="Hyperlink"/>
                <w:rFonts w:cs="Arial"/>
                <w:noProof/>
                <w:szCs w:val="24"/>
              </w:rPr>
              <w:t>Executive Summary</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_Toc137136283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2</w:t>
            </w:r>
            <w:r w:rsidRPr="00517B15">
              <w:rPr>
                <w:rFonts w:cs="Arial"/>
                <w:noProof/>
                <w:webHidden/>
                <w:szCs w:val="24"/>
              </w:rPr>
              <w:fldChar w:fldCharType="end"/>
            </w:r>
          </w:hyperlink>
        </w:p>
        <w:p w14:paraId="5715EEE1" w14:textId="77777777" w:rsidR="00517B15" w:rsidRPr="00517B15" w:rsidRDefault="00517B15" w:rsidP="00517B15">
          <w:pPr>
            <w:pStyle w:val="TOC1"/>
            <w:tabs>
              <w:tab w:val="right" w:leader="dot" w:pos="9016"/>
            </w:tabs>
            <w:rPr>
              <w:rFonts w:cs="Arial"/>
              <w:noProof/>
              <w:szCs w:val="24"/>
            </w:rPr>
          </w:pPr>
          <w:hyperlink w:anchor="_Toc137136284" w:history="1">
            <w:r w:rsidRPr="00517B15">
              <w:rPr>
                <w:rStyle w:val="Hyperlink"/>
                <w:rFonts w:cs="Arial"/>
                <w:noProof/>
                <w:szCs w:val="24"/>
              </w:rPr>
              <w:t>Introduction</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_Toc137136284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4</w:t>
            </w:r>
            <w:r w:rsidRPr="00517B15">
              <w:rPr>
                <w:rFonts w:cs="Arial"/>
                <w:noProof/>
                <w:webHidden/>
                <w:szCs w:val="24"/>
              </w:rPr>
              <w:fldChar w:fldCharType="end"/>
            </w:r>
          </w:hyperlink>
        </w:p>
        <w:p w14:paraId="7F7A08B3" w14:textId="77777777" w:rsidR="00517B15" w:rsidRPr="00517B15" w:rsidRDefault="00517B15" w:rsidP="00517B15">
          <w:pPr>
            <w:pStyle w:val="TOC1"/>
            <w:tabs>
              <w:tab w:val="right" w:leader="dot" w:pos="9016"/>
            </w:tabs>
            <w:rPr>
              <w:rFonts w:cs="Arial"/>
              <w:noProof/>
              <w:szCs w:val="24"/>
            </w:rPr>
          </w:pPr>
          <w:hyperlink w:anchor="_Toc137136285" w:history="1">
            <w:r w:rsidRPr="00517B15">
              <w:rPr>
                <w:rStyle w:val="Hyperlink"/>
                <w:rFonts w:cs="Arial"/>
                <w:noProof/>
                <w:szCs w:val="24"/>
              </w:rPr>
              <w:t>Hotels standards</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_Toc137136285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5</w:t>
            </w:r>
            <w:r w:rsidRPr="00517B15">
              <w:rPr>
                <w:rFonts w:cs="Arial"/>
                <w:noProof/>
                <w:webHidden/>
                <w:szCs w:val="24"/>
              </w:rPr>
              <w:fldChar w:fldCharType="end"/>
            </w:r>
          </w:hyperlink>
        </w:p>
        <w:p w14:paraId="07ACA880" w14:textId="77777777" w:rsidR="00517B15" w:rsidRPr="00517B15" w:rsidRDefault="00517B15" w:rsidP="00517B15">
          <w:pPr>
            <w:pStyle w:val="TOC2"/>
            <w:tabs>
              <w:tab w:val="right" w:leader="dot" w:pos="9016"/>
            </w:tabs>
            <w:rPr>
              <w:rFonts w:cs="Arial"/>
              <w:noProof/>
              <w:szCs w:val="24"/>
            </w:rPr>
          </w:pPr>
          <w:hyperlink w:anchor="_Toc137136286" w:history="1">
            <w:r w:rsidRPr="00517B15">
              <w:rPr>
                <w:rStyle w:val="Hyperlink"/>
                <w:rFonts w:cs="Arial"/>
                <w:noProof/>
                <w:szCs w:val="24"/>
              </w:rPr>
              <w:t>Purpose of brand consistency standards</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_Toc137136286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5</w:t>
            </w:r>
            <w:r w:rsidRPr="00517B15">
              <w:rPr>
                <w:rFonts w:cs="Arial"/>
                <w:noProof/>
                <w:webHidden/>
                <w:szCs w:val="24"/>
              </w:rPr>
              <w:fldChar w:fldCharType="end"/>
            </w:r>
          </w:hyperlink>
        </w:p>
        <w:p w14:paraId="05C8F884" w14:textId="77777777" w:rsidR="00517B15" w:rsidRPr="00517B15" w:rsidRDefault="00517B15" w:rsidP="00517B15">
          <w:pPr>
            <w:pStyle w:val="TOC2"/>
            <w:tabs>
              <w:tab w:val="right" w:leader="dot" w:pos="9016"/>
            </w:tabs>
            <w:rPr>
              <w:rFonts w:cs="Arial"/>
              <w:noProof/>
              <w:szCs w:val="24"/>
            </w:rPr>
          </w:pPr>
          <w:hyperlink w:anchor="_Toc137136287" w:history="1">
            <w:r w:rsidRPr="00517B15">
              <w:rPr>
                <w:rStyle w:val="Hyperlink"/>
                <w:rFonts w:cs="Arial"/>
                <w:noProof/>
                <w:szCs w:val="24"/>
              </w:rPr>
              <w:t>The use of the same standards</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_Toc137136287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5</w:t>
            </w:r>
            <w:r w:rsidRPr="00517B15">
              <w:rPr>
                <w:rFonts w:cs="Arial"/>
                <w:noProof/>
                <w:webHidden/>
                <w:szCs w:val="24"/>
              </w:rPr>
              <w:fldChar w:fldCharType="end"/>
            </w:r>
          </w:hyperlink>
        </w:p>
        <w:p w14:paraId="09F29468" w14:textId="77777777" w:rsidR="00517B15" w:rsidRPr="00517B15" w:rsidRDefault="00517B15" w:rsidP="00517B15">
          <w:pPr>
            <w:pStyle w:val="TOC1"/>
            <w:tabs>
              <w:tab w:val="right" w:leader="dot" w:pos="9016"/>
            </w:tabs>
            <w:rPr>
              <w:rFonts w:cs="Arial"/>
              <w:noProof/>
              <w:szCs w:val="24"/>
            </w:rPr>
          </w:pPr>
          <w:hyperlink w:anchor="_Toc137136288" w:history="1">
            <w:r w:rsidRPr="00517B15">
              <w:rPr>
                <w:rStyle w:val="Hyperlink"/>
                <w:rFonts w:cs="Arial"/>
                <w:noProof/>
                <w:szCs w:val="24"/>
              </w:rPr>
              <w:t>Reputation Management</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_Toc137136288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6</w:t>
            </w:r>
            <w:r w:rsidRPr="00517B15">
              <w:rPr>
                <w:rFonts w:cs="Arial"/>
                <w:noProof/>
                <w:webHidden/>
                <w:szCs w:val="24"/>
              </w:rPr>
              <w:fldChar w:fldCharType="end"/>
            </w:r>
          </w:hyperlink>
        </w:p>
        <w:p w14:paraId="3A3412F4" w14:textId="77777777" w:rsidR="00517B15" w:rsidRPr="00517B15" w:rsidRDefault="00517B15" w:rsidP="00517B15">
          <w:pPr>
            <w:pStyle w:val="TOC1"/>
            <w:tabs>
              <w:tab w:val="right" w:leader="dot" w:pos="9016"/>
            </w:tabs>
            <w:rPr>
              <w:rFonts w:cs="Arial"/>
              <w:noProof/>
              <w:szCs w:val="24"/>
            </w:rPr>
          </w:pPr>
          <w:hyperlink w:anchor="_Toc137136289" w:history="1">
            <w:r w:rsidRPr="00517B15">
              <w:rPr>
                <w:rStyle w:val="Hyperlink"/>
                <w:rFonts w:cs="Arial"/>
                <w:noProof/>
                <w:szCs w:val="24"/>
              </w:rPr>
              <w:t>Service culture</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_Toc137136289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8</w:t>
            </w:r>
            <w:r w:rsidRPr="00517B15">
              <w:rPr>
                <w:rFonts w:cs="Arial"/>
                <w:noProof/>
                <w:webHidden/>
                <w:szCs w:val="24"/>
              </w:rPr>
              <w:fldChar w:fldCharType="end"/>
            </w:r>
          </w:hyperlink>
        </w:p>
        <w:p w14:paraId="7AC7E4D1" w14:textId="77777777" w:rsidR="00517B15" w:rsidRPr="00517B15" w:rsidRDefault="00517B15" w:rsidP="00517B15">
          <w:pPr>
            <w:pStyle w:val="TOC2"/>
            <w:tabs>
              <w:tab w:val="right" w:leader="dot" w:pos="9016"/>
            </w:tabs>
            <w:rPr>
              <w:rFonts w:cs="Arial"/>
              <w:noProof/>
              <w:szCs w:val="24"/>
            </w:rPr>
          </w:pPr>
          <w:hyperlink w:anchor="_Toc137136290" w:history="1">
            <w:r w:rsidRPr="00517B15">
              <w:rPr>
                <w:rStyle w:val="Hyperlink"/>
                <w:rFonts w:cs="Arial"/>
                <w:noProof/>
                <w:szCs w:val="24"/>
              </w:rPr>
              <w:t>Service culture</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_Toc137136290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8</w:t>
            </w:r>
            <w:r w:rsidRPr="00517B15">
              <w:rPr>
                <w:rFonts w:cs="Arial"/>
                <w:noProof/>
                <w:webHidden/>
                <w:szCs w:val="24"/>
              </w:rPr>
              <w:fldChar w:fldCharType="end"/>
            </w:r>
          </w:hyperlink>
        </w:p>
        <w:p w14:paraId="61A21F62" w14:textId="77777777" w:rsidR="00517B15" w:rsidRPr="00517B15" w:rsidRDefault="00517B15" w:rsidP="00517B15">
          <w:pPr>
            <w:pStyle w:val="TOC2"/>
            <w:tabs>
              <w:tab w:val="right" w:leader="dot" w:pos="9016"/>
            </w:tabs>
            <w:rPr>
              <w:rFonts w:cs="Arial"/>
              <w:noProof/>
              <w:szCs w:val="24"/>
            </w:rPr>
          </w:pPr>
          <w:hyperlink w:anchor="_Toc137136291" w:history="1">
            <w:r w:rsidRPr="00517B15">
              <w:rPr>
                <w:rStyle w:val="Hyperlink"/>
                <w:rFonts w:cs="Arial"/>
                <w:noProof/>
                <w:szCs w:val="24"/>
              </w:rPr>
              <w:t>The difference</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_Toc137136291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8</w:t>
            </w:r>
            <w:r w:rsidRPr="00517B15">
              <w:rPr>
                <w:rFonts w:cs="Arial"/>
                <w:noProof/>
                <w:webHidden/>
                <w:szCs w:val="24"/>
              </w:rPr>
              <w:fldChar w:fldCharType="end"/>
            </w:r>
          </w:hyperlink>
        </w:p>
        <w:p w14:paraId="239ADD60" w14:textId="77777777" w:rsidR="00517B15" w:rsidRPr="00517B15" w:rsidRDefault="00517B15" w:rsidP="00517B15">
          <w:pPr>
            <w:pStyle w:val="TOC2"/>
            <w:tabs>
              <w:tab w:val="right" w:leader="dot" w:pos="9016"/>
            </w:tabs>
            <w:rPr>
              <w:rFonts w:cs="Arial"/>
              <w:noProof/>
              <w:szCs w:val="24"/>
            </w:rPr>
          </w:pPr>
          <w:hyperlink w:anchor="_Toc137136292" w:history="1">
            <w:r w:rsidRPr="00517B15">
              <w:rPr>
                <w:rStyle w:val="Hyperlink"/>
                <w:rFonts w:cs="Arial"/>
                <w:noProof/>
                <w:szCs w:val="24"/>
              </w:rPr>
              <w:t>Importance</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_Toc137136292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8</w:t>
            </w:r>
            <w:r w:rsidRPr="00517B15">
              <w:rPr>
                <w:rFonts w:cs="Arial"/>
                <w:noProof/>
                <w:webHidden/>
                <w:szCs w:val="24"/>
              </w:rPr>
              <w:fldChar w:fldCharType="end"/>
            </w:r>
          </w:hyperlink>
        </w:p>
        <w:p w14:paraId="072B7F80" w14:textId="77777777" w:rsidR="00517B15" w:rsidRPr="00517B15" w:rsidRDefault="00517B15" w:rsidP="00517B15">
          <w:pPr>
            <w:pStyle w:val="TOC1"/>
            <w:tabs>
              <w:tab w:val="right" w:leader="dot" w:pos="9016"/>
            </w:tabs>
            <w:rPr>
              <w:rFonts w:cs="Arial"/>
              <w:noProof/>
              <w:szCs w:val="24"/>
            </w:rPr>
          </w:pPr>
          <w:hyperlink w:anchor="_Toc137136293" w:history="1">
            <w:r w:rsidRPr="00517B15">
              <w:rPr>
                <w:rStyle w:val="Hyperlink"/>
                <w:rFonts w:cs="Arial"/>
                <w:noProof/>
                <w:szCs w:val="24"/>
              </w:rPr>
              <w:t>Recommendations</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_Toc137136293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10</w:t>
            </w:r>
            <w:r w:rsidRPr="00517B15">
              <w:rPr>
                <w:rFonts w:cs="Arial"/>
                <w:noProof/>
                <w:webHidden/>
                <w:szCs w:val="24"/>
              </w:rPr>
              <w:fldChar w:fldCharType="end"/>
            </w:r>
          </w:hyperlink>
        </w:p>
        <w:p w14:paraId="2AC6F9E3" w14:textId="77777777" w:rsidR="00517B15" w:rsidRPr="00517B15" w:rsidRDefault="00517B15" w:rsidP="00517B15">
          <w:pPr>
            <w:pStyle w:val="TOC1"/>
            <w:tabs>
              <w:tab w:val="right" w:leader="dot" w:pos="9016"/>
            </w:tabs>
            <w:rPr>
              <w:rFonts w:cs="Arial"/>
              <w:noProof/>
              <w:szCs w:val="24"/>
            </w:rPr>
          </w:pPr>
          <w:hyperlink w:anchor="_Toc137136294" w:history="1">
            <w:r w:rsidRPr="00517B15">
              <w:rPr>
                <w:rStyle w:val="Hyperlink"/>
                <w:rFonts w:cs="Arial"/>
                <w:noProof/>
                <w:szCs w:val="24"/>
              </w:rPr>
              <w:t>Conclusion</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_Toc137136294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12</w:t>
            </w:r>
            <w:r w:rsidRPr="00517B15">
              <w:rPr>
                <w:rFonts w:cs="Arial"/>
                <w:noProof/>
                <w:webHidden/>
                <w:szCs w:val="24"/>
              </w:rPr>
              <w:fldChar w:fldCharType="end"/>
            </w:r>
          </w:hyperlink>
        </w:p>
        <w:p w14:paraId="2E6D4FA2" w14:textId="77777777" w:rsidR="00517B15" w:rsidRPr="00517B15" w:rsidRDefault="00517B15" w:rsidP="00517B15">
          <w:pPr>
            <w:pStyle w:val="TOC1"/>
            <w:tabs>
              <w:tab w:val="right" w:leader="dot" w:pos="9016"/>
            </w:tabs>
            <w:rPr>
              <w:rFonts w:cs="Arial"/>
              <w:noProof/>
              <w:szCs w:val="24"/>
            </w:rPr>
          </w:pPr>
          <w:hyperlink w:anchor="_Toc137136295" w:history="1">
            <w:r w:rsidRPr="00517B15">
              <w:rPr>
                <w:rStyle w:val="Hyperlink"/>
                <w:rFonts w:cs="Arial"/>
                <w:noProof/>
                <w:szCs w:val="24"/>
              </w:rPr>
              <w:t>References</w:t>
            </w:r>
            <w:r w:rsidRPr="00517B15">
              <w:rPr>
                <w:rFonts w:cs="Arial"/>
                <w:noProof/>
                <w:webHidden/>
                <w:szCs w:val="24"/>
              </w:rPr>
              <w:tab/>
            </w:r>
            <w:r w:rsidRPr="00517B15">
              <w:rPr>
                <w:rFonts w:cs="Arial"/>
                <w:noProof/>
                <w:webHidden/>
                <w:szCs w:val="24"/>
              </w:rPr>
              <w:fldChar w:fldCharType="begin"/>
            </w:r>
            <w:r w:rsidRPr="00517B15">
              <w:rPr>
                <w:rFonts w:cs="Arial"/>
                <w:noProof/>
                <w:webHidden/>
                <w:szCs w:val="24"/>
              </w:rPr>
              <w:instrText xml:space="preserve"> PAGEREF _Toc137136295 \h </w:instrText>
            </w:r>
            <w:r w:rsidRPr="00517B15">
              <w:rPr>
                <w:rFonts w:cs="Arial"/>
                <w:noProof/>
                <w:webHidden/>
                <w:szCs w:val="24"/>
              </w:rPr>
            </w:r>
            <w:r w:rsidRPr="00517B15">
              <w:rPr>
                <w:rFonts w:cs="Arial"/>
                <w:noProof/>
                <w:webHidden/>
                <w:szCs w:val="24"/>
              </w:rPr>
              <w:fldChar w:fldCharType="separate"/>
            </w:r>
            <w:r w:rsidRPr="00517B15">
              <w:rPr>
                <w:rFonts w:cs="Arial"/>
                <w:noProof/>
                <w:webHidden/>
                <w:szCs w:val="24"/>
              </w:rPr>
              <w:t>13</w:t>
            </w:r>
            <w:r w:rsidRPr="00517B15">
              <w:rPr>
                <w:rFonts w:cs="Arial"/>
                <w:noProof/>
                <w:webHidden/>
                <w:szCs w:val="24"/>
              </w:rPr>
              <w:fldChar w:fldCharType="end"/>
            </w:r>
          </w:hyperlink>
        </w:p>
        <w:p w14:paraId="3294CF59" w14:textId="77777777" w:rsidR="00517B15" w:rsidRPr="00517B15" w:rsidRDefault="00517B15" w:rsidP="00517B15">
          <w:pPr>
            <w:rPr>
              <w:rFonts w:cs="Arial"/>
              <w:szCs w:val="24"/>
            </w:rPr>
          </w:pPr>
          <w:r w:rsidRPr="00517B15">
            <w:rPr>
              <w:rFonts w:cs="Arial"/>
              <w:b/>
              <w:bCs/>
              <w:noProof/>
              <w:szCs w:val="24"/>
            </w:rPr>
            <w:fldChar w:fldCharType="end"/>
          </w:r>
        </w:p>
      </w:sdtContent>
    </w:sdt>
    <w:p w14:paraId="11E3467A" w14:textId="77777777" w:rsidR="00517B15" w:rsidRPr="00517B15" w:rsidRDefault="00517B15" w:rsidP="00517B15">
      <w:pPr>
        <w:rPr>
          <w:rFonts w:cs="Arial"/>
          <w:szCs w:val="24"/>
        </w:rPr>
      </w:pPr>
      <w:r w:rsidRPr="00517B15">
        <w:rPr>
          <w:rFonts w:cs="Arial"/>
          <w:szCs w:val="24"/>
        </w:rPr>
        <w:br w:type="page"/>
      </w:r>
    </w:p>
    <w:p w14:paraId="57137230" w14:textId="77777777" w:rsidR="00517B15" w:rsidRPr="00517B15" w:rsidRDefault="00517B15" w:rsidP="00517B15">
      <w:pPr>
        <w:pStyle w:val="Heading1"/>
        <w:rPr>
          <w:rFonts w:cs="Arial"/>
          <w:sz w:val="24"/>
          <w:szCs w:val="24"/>
        </w:rPr>
      </w:pPr>
      <w:bookmarkStart w:id="1" w:name="_Toc137136284"/>
      <w:r w:rsidRPr="00517B15">
        <w:rPr>
          <w:rFonts w:cs="Arial"/>
          <w:sz w:val="24"/>
          <w:szCs w:val="24"/>
        </w:rPr>
        <w:lastRenderedPageBreak/>
        <w:t>Introduction</w:t>
      </w:r>
      <w:bookmarkEnd w:id="1"/>
    </w:p>
    <w:p w14:paraId="20107A4D" w14:textId="77777777" w:rsidR="00517B15" w:rsidRPr="00517B15" w:rsidRDefault="00517B15" w:rsidP="00517B15">
      <w:pPr>
        <w:rPr>
          <w:rFonts w:cs="Arial"/>
          <w:szCs w:val="24"/>
        </w:rPr>
      </w:pPr>
      <w:r w:rsidRPr="00517B15">
        <w:rPr>
          <w:rFonts w:cs="Arial"/>
          <w:szCs w:val="24"/>
        </w:rPr>
        <w:t>This issue focuses on discussing topics related to hospitality, including hotel standards, reputation management, and service culture. We are going to gain an understanding of the requirements for maintaining brand consistency, reputation management, and service culture through the examination of examples, statistics, and case studies drawn from the hospitality industry in the United Kingdom. To provide in-depth insight together with direction and advice for the sector that can be put into practice. In this study, we investigate the potential and difficulties that lie ahead for the hotel business in the UK.</w:t>
      </w:r>
    </w:p>
    <w:p w14:paraId="33308DCD" w14:textId="77777777" w:rsidR="00517B15" w:rsidRPr="00517B15" w:rsidRDefault="00517B15" w:rsidP="00517B15">
      <w:pPr>
        <w:rPr>
          <w:rFonts w:cs="Arial"/>
          <w:szCs w:val="24"/>
        </w:rPr>
      </w:pPr>
    </w:p>
    <w:p w14:paraId="68BCC34B" w14:textId="77777777" w:rsidR="00517B15" w:rsidRPr="00517B15" w:rsidRDefault="00517B15" w:rsidP="00517B15">
      <w:pPr>
        <w:rPr>
          <w:rFonts w:cs="Arial"/>
          <w:szCs w:val="24"/>
        </w:rPr>
      </w:pPr>
    </w:p>
    <w:p w14:paraId="2C9CFB93" w14:textId="77777777" w:rsidR="00517B15" w:rsidRPr="00517B15" w:rsidRDefault="00517B15" w:rsidP="00517B15">
      <w:pPr>
        <w:rPr>
          <w:rFonts w:cs="Arial"/>
          <w:szCs w:val="24"/>
        </w:rPr>
      </w:pPr>
    </w:p>
    <w:p w14:paraId="1D6BFC63" w14:textId="77777777" w:rsidR="00517B15" w:rsidRPr="00517B15" w:rsidRDefault="00517B15" w:rsidP="00517B15">
      <w:pPr>
        <w:rPr>
          <w:rFonts w:cs="Arial"/>
          <w:szCs w:val="24"/>
        </w:rPr>
      </w:pPr>
    </w:p>
    <w:p w14:paraId="52BE2E77" w14:textId="77777777" w:rsidR="00517B15" w:rsidRPr="00517B15" w:rsidRDefault="00517B15" w:rsidP="00517B15">
      <w:pPr>
        <w:rPr>
          <w:rFonts w:cs="Arial"/>
          <w:szCs w:val="24"/>
        </w:rPr>
      </w:pPr>
    </w:p>
    <w:p w14:paraId="65097687" w14:textId="77777777" w:rsidR="00517B15" w:rsidRPr="00517B15" w:rsidRDefault="00517B15" w:rsidP="00517B15">
      <w:pPr>
        <w:rPr>
          <w:rFonts w:cs="Arial"/>
          <w:szCs w:val="24"/>
        </w:rPr>
      </w:pPr>
    </w:p>
    <w:p w14:paraId="3714F714" w14:textId="77777777" w:rsidR="00517B15" w:rsidRPr="00517B15" w:rsidRDefault="00517B15" w:rsidP="00517B15">
      <w:pPr>
        <w:rPr>
          <w:rFonts w:cs="Arial"/>
          <w:szCs w:val="24"/>
        </w:rPr>
      </w:pPr>
    </w:p>
    <w:p w14:paraId="3A579288" w14:textId="77777777" w:rsidR="00517B15" w:rsidRPr="00517B15" w:rsidRDefault="00517B15" w:rsidP="00517B15">
      <w:pPr>
        <w:rPr>
          <w:rFonts w:cs="Arial"/>
          <w:szCs w:val="24"/>
        </w:rPr>
      </w:pPr>
    </w:p>
    <w:p w14:paraId="4C9D4432" w14:textId="77777777" w:rsidR="00517B15" w:rsidRPr="00517B15" w:rsidRDefault="00517B15" w:rsidP="00517B15">
      <w:pPr>
        <w:rPr>
          <w:rFonts w:cs="Arial"/>
          <w:szCs w:val="24"/>
        </w:rPr>
      </w:pPr>
    </w:p>
    <w:p w14:paraId="484E155E" w14:textId="77777777" w:rsidR="00517B15" w:rsidRPr="00517B15" w:rsidRDefault="00517B15" w:rsidP="00517B15">
      <w:pPr>
        <w:rPr>
          <w:rFonts w:cs="Arial"/>
          <w:szCs w:val="24"/>
        </w:rPr>
      </w:pPr>
    </w:p>
    <w:p w14:paraId="7696A3DE" w14:textId="77777777" w:rsidR="00517B15" w:rsidRPr="00517B15" w:rsidRDefault="00517B15" w:rsidP="00517B15">
      <w:pPr>
        <w:rPr>
          <w:rFonts w:cs="Arial"/>
          <w:szCs w:val="24"/>
        </w:rPr>
      </w:pPr>
    </w:p>
    <w:p w14:paraId="0C196AFF" w14:textId="77777777" w:rsidR="00517B15" w:rsidRPr="00517B15" w:rsidRDefault="00517B15" w:rsidP="00517B15">
      <w:pPr>
        <w:rPr>
          <w:rFonts w:cs="Arial"/>
          <w:szCs w:val="24"/>
        </w:rPr>
      </w:pPr>
    </w:p>
    <w:p w14:paraId="462A691E" w14:textId="77777777" w:rsidR="00517B15" w:rsidRPr="00517B15" w:rsidRDefault="00517B15" w:rsidP="00517B15">
      <w:pPr>
        <w:rPr>
          <w:rFonts w:cs="Arial"/>
          <w:szCs w:val="24"/>
        </w:rPr>
      </w:pPr>
    </w:p>
    <w:p w14:paraId="640F6B61" w14:textId="77777777" w:rsidR="00517B15" w:rsidRPr="00517B15" w:rsidRDefault="00517B15" w:rsidP="00517B15">
      <w:pPr>
        <w:rPr>
          <w:rFonts w:cs="Arial"/>
          <w:szCs w:val="24"/>
        </w:rPr>
      </w:pPr>
    </w:p>
    <w:p w14:paraId="3E974D04" w14:textId="77777777" w:rsidR="00517B15" w:rsidRPr="00517B15" w:rsidRDefault="00517B15" w:rsidP="00517B15">
      <w:pPr>
        <w:rPr>
          <w:rFonts w:cs="Arial"/>
          <w:szCs w:val="24"/>
        </w:rPr>
      </w:pPr>
    </w:p>
    <w:p w14:paraId="4D72780E" w14:textId="77777777" w:rsidR="00517B15" w:rsidRPr="00517B15" w:rsidRDefault="00517B15" w:rsidP="00517B15">
      <w:pPr>
        <w:rPr>
          <w:rFonts w:cs="Arial"/>
          <w:szCs w:val="24"/>
        </w:rPr>
      </w:pPr>
    </w:p>
    <w:p w14:paraId="3B74969D" w14:textId="77777777" w:rsidR="00517B15" w:rsidRPr="00517B15" w:rsidRDefault="00517B15" w:rsidP="00517B15">
      <w:pPr>
        <w:rPr>
          <w:rFonts w:cs="Arial"/>
          <w:szCs w:val="24"/>
        </w:rPr>
      </w:pPr>
    </w:p>
    <w:p w14:paraId="02C2E399" w14:textId="77777777" w:rsidR="00517B15" w:rsidRPr="00517B15" w:rsidRDefault="00517B15" w:rsidP="00517B15">
      <w:pPr>
        <w:pStyle w:val="Heading1"/>
        <w:rPr>
          <w:rFonts w:cs="Arial"/>
          <w:sz w:val="24"/>
          <w:szCs w:val="24"/>
        </w:rPr>
      </w:pPr>
      <w:bookmarkStart w:id="2" w:name="_Toc137136285"/>
      <w:r w:rsidRPr="00517B15">
        <w:rPr>
          <w:rFonts w:cs="Arial"/>
          <w:sz w:val="24"/>
          <w:szCs w:val="24"/>
        </w:rPr>
        <w:lastRenderedPageBreak/>
        <w:t>Hotels standards</w:t>
      </w:r>
      <w:bookmarkEnd w:id="2"/>
      <w:r w:rsidRPr="00517B15">
        <w:rPr>
          <w:rFonts w:cs="Arial"/>
          <w:sz w:val="24"/>
          <w:szCs w:val="24"/>
        </w:rPr>
        <w:t xml:space="preserve"> </w:t>
      </w:r>
    </w:p>
    <w:p w14:paraId="09A220E7" w14:textId="77777777" w:rsidR="00517B15" w:rsidRPr="00517B15" w:rsidRDefault="00517B15" w:rsidP="00517B15">
      <w:pPr>
        <w:pStyle w:val="Heading2"/>
        <w:rPr>
          <w:rFonts w:cs="Arial"/>
          <w:sz w:val="24"/>
          <w:szCs w:val="24"/>
        </w:rPr>
      </w:pPr>
      <w:bookmarkStart w:id="3" w:name="_Toc137136286"/>
      <w:r w:rsidRPr="00517B15">
        <w:rPr>
          <w:rFonts w:cs="Arial"/>
          <w:sz w:val="24"/>
          <w:szCs w:val="24"/>
        </w:rPr>
        <w:t>Purpose of brand consistency standards</w:t>
      </w:r>
      <w:bookmarkEnd w:id="3"/>
    </w:p>
    <w:p w14:paraId="2BD4F9DD" w14:textId="77777777" w:rsidR="00517B15" w:rsidRPr="00517B15" w:rsidRDefault="00517B15" w:rsidP="00517B15">
      <w:pPr>
        <w:rPr>
          <w:rFonts w:cs="Arial"/>
          <w:szCs w:val="24"/>
        </w:rPr>
      </w:pPr>
      <w:r w:rsidRPr="00517B15">
        <w:rPr>
          <w:rFonts w:cs="Arial"/>
          <w:szCs w:val="24"/>
        </w:rPr>
        <w:t>Hotel chain brand consistency requirements offer a consistent and unified visitor experience across facilities (</w:t>
      </w:r>
      <w:proofErr w:type="spellStart"/>
      <w:r w:rsidRPr="00517B15">
        <w:rPr>
          <w:rFonts w:cs="Arial"/>
          <w:szCs w:val="24"/>
        </w:rPr>
        <w:t>Sarhan</w:t>
      </w:r>
      <w:proofErr w:type="spellEnd"/>
      <w:r w:rsidRPr="00517B15">
        <w:rPr>
          <w:rFonts w:cs="Arial"/>
          <w:szCs w:val="24"/>
        </w:rPr>
        <w:t xml:space="preserve"> et al., 2020). Hotels can develop brand loyalty by standardising their practices and offering quality that is uniform throughout. Premier Inn, a hotel chain in the United Kingdom, demonstrates brand consistency. The room layouts, amenities, and levels of service at each of Premier Inn's over 800 properties across the country are consistent (</w:t>
      </w:r>
      <w:proofErr w:type="spellStart"/>
      <w:r w:rsidRPr="00517B15">
        <w:rPr>
          <w:rFonts w:cs="Arial"/>
          <w:szCs w:val="24"/>
        </w:rPr>
        <w:t>Hewagama</w:t>
      </w:r>
      <w:proofErr w:type="spellEnd"/>
      <w:r w:rsidRPr="00517B15">
        <w:rPr>
          <w:rFonts w:cs="Arial"/>
          <w:szCs w:val="24"/>
        </w:rPr>
        <w:t xml:space="preserve"> et al., 2019). Included in the package are standardised room layouts, comfy beds, and a primary focus on rest. The application of these brand consistency guidelines guarantees that guests will enjoy the same experience at every Premier Inn location. According to the data, maintaining the continuity of a hotel brand's identity is also vital. According to Hameed, Nisar and Wu (2021), hotel visitors who have consistent experiences are more likely to recommend the brand. A hotel's reputation and number of bookings can both benefit from favourable reviews.</w:t>
      </w:r>
    </w:p>
    <w:p w14:paraId="248269BF" w14:textId="77777777" w:rsidR="00517B15" w:rsidRPr="00517B15" w:rsidRDefault="00517B15" w:rsidP="00517B15">
      <w:pPr>
        <w:pStyle w:val="Heading2"/>
        <w:rPr>
          <w:rFonts w:cs="Arial"/>
          <w:sz w:val="24"/>
          <w:szCs w:val="24"/>
        </w:rPr>
      </w:pPr>
      <w:bookmarkStart w:id="4" w:name="_Toc137136287"/>
      <w:r w:rsidRPr="00517B15">
        <w:rPr>
          <w:rFonts w:cs="Arial"/>
          <w:sz w:val="24"/>
          <w:szCs w:val="24"/>
        </w:rPr>
        <w:t>The use of the same standards</w:t>
      </w:r>
      <w:bookmarkEnd w:id="4"/>
      <w:r w:rsidRPr="00517B15">
        <w:rPr>
          <w:rFonts w:cs="Arial"/>
          <w:sz w:val="24"/>
          <w:szCs w:val="24"/>
        </w:rPr>
        <w:t xml:space="preserve"> </w:t>
      </w:r>
    </w:p>
    <w:p w14:paraId="3A1F8025" w14:textId="77777777" w:rsidR="00517B15" w:rsidRPr="00517B15" w:rsidRDefault="00517B15" w:rsidP="00517B15">
      <w:pPr>
        <w:rPr>
          <w:rFonts w:cs="Arial"/>
          <w:szCs w:val="24"/>
        </w:rPr>
      </w:pPr>
      <w:r w:rsidRPr="00517B15">
        <w:rPr>
          <w:rFonts w:cs="Arial"/>
          <w:szCs w:val="24"/>
        </w:rPr>
        <w:t xml:space="preserve">However, the quality of hotels varies greatly. Chain hotels, which invest significantly in maintaining brand consistency, may adhere to a different set of rules than independent and boutique hotels (Wood, 2015). The customised service, one-of-a-kind design, and distinct ambience that independent hotels are known for. For example, a stay at London's </w:t>
      </w:r>
      <w:proofErr w:type="spellStart"/>
      <w:r w:rsidRPr="00517B15">
        <w:rPr>
          <w:rFonts w:cs="Arial"/>
          <w:szCs w:val="24"/>
        </w:rPr>
        <w:t>Zetter</w:t>
      </w:r>
      <w:proofErr w:type="spellEnd"/>
      <w:r w:rsidRPr="00517B15">
        <w:rPr>
          <w:rFonts w:cs="Arial"/>
          <w:szCs w:val="24"/>
        </w:rPr>
        <w:t xml:space="preserve"> Townhouse, which features a unique and eclectic décor, is sure to be one to remember. Hotel standards shift to accommodate different customers' interests and to add variety to the hospitality industry (</w:t>
      </w:r>
      <w:proofErr w:type="spellStart"/>
      <w:r w:rsidRPr="00517B15">
        <w:rPr>
          <w:rFonts w:cs="Arial"/>
          <w:szCs w:val="24"/>
        </w:rPr>
        <w:t>Heppell</w:t>
      </w:r>
      <w:proofErr w:type="spellEnd"/>
      <w:r w:rsidRPr="00517B15">
        <w:rPr>
          <w:rFonts w:cs="Arial"/>
          <w:szCs w:val="24"/>
        </w:rPr>
        <w:t>, 2015). Some customers enjoy the consistency and familiarity of chain hotels, while others are more partial to the uniqueness and customised service offered by independent hotels. Therefore, while maintaining brand consistency standards is essential for chain hotels, allowing for standards to vary amongst different types of hotels ensures that the company can cater to a wide variety of client preferences.</w:t>
      </w:r>
    </w:p>
    <w:p w14:paraId="6583CCAA" w14:textId="77777777" w:rsidR="00517B15" w:rsidRPr="00517B15" w:rsidRDefault="00517B15" w:rsidP="00517B15">
      <w:pPr>
        <w:rPr>
          <w:rFonts w:cs="Arial"/>
          <w:szCs w:val="24"/>
        </w:rPr>
      </w:pPr>
    </w:p>
    <w:p w14:paraId="0C4F875A" w14:textId="77777777" w:rsidR="00517B15" w:rsidRPr="00517B15" w:rsidRDefault="00517B15" w:rsidP="00517B15">
      <w:pPr>
        <w:rPr>
          <w:rFonts w:cs="Arial"/>
          <w:szCs w:val="24"/>
        </w:rPr>
      </w:pPr>
    </w:p>
    <w:p w14:paraId="62084941" w14:textId="77777777" w:rsidR="00517B15" w:rsidRPr="00517B15" w:rsidRDefault="00517B15" w:rsidP="00517B15">
      <w:pPr>
        <w:rPr>
          <w:rFonts w:cs="Arial"/>
          <w:szCs w:val="24"/>
        </w:rPr>
      </w:pPr>
    </w:p>
    <w:p w14:paraId="72EF4057" w14:textId="77777777" w:rsidR="00517B15" w:rsidRPr="00517B15" w:rsidRDefault="00517B15" w:rsidP="00517B15">
      <w:pPr>
        <w:pStyle w:val="Heading1"/>
        <w:rPr>
          <w:rFonts w:cs="Arial"/>
          <w:sz w:val="24"/>
          <w:szCs w:val="24"/>
        </w:rPr>
      </w:pPr>
      <w:bookmarkStart w:id="5" w:name="_Toc137136288"/>
      <w:r w:rsidRPr="00517B15">
        <w:rPr>
          <w:rFonts w:cs="Arial"/>
          <w:sz w:val="24"/>
          <w:szCs w:val="24"/>
        </w:rPr>
        <w:lastRenderedPageBreak/>
        <w:t>Reputation Management</w:t>
      </w:r>
      <w:bookmarkEnd w:id="5"/>
    </w:p>
    <w:p w14:paraId="5F8441DD" w14:textId="77777777" w:rsidR="00517B15" w:rsidRPr="00517B15" w:rsidRDefault="00517B15" w:rsidP="00517B15">
      <w:pPr>
        <w:rPr>
          <w:rFonts w:cs="Arial"/>
          <w:szCs w:val="24"/>
        </w:rPr>
      </w:pPr>
      <w:r w:rsidRPr="00517B15">
        <w:rPr>
          <w:rFonts w:cs="Arial"/>
          <w:szCs w:val="24"/>
        </w:rPr>
        <w:t>Hotels may better manage their reputations with the support of proactive guest interaction, prompt problem resolution, and a positive web presence. Keep an eye on and reply to reviews posted on TripAdvisor and Google Reviews (Walker, 2013). Quickly reacting to guest feedback is one way for hotels to demonstrate their commitment to ensuring the satisfaction of their guests while also resolving any issues that may arise. There is a team at The Ritz London that reads feedback from guests and takes care of any problems that may arise.</w:t>
      </w:r>
    </w:p>
    <w:p w14:paraId="6FDFA9A7" w14:textId="77777777" w:rsidR="00517B15" w:rsidRPr="00517B15" w:rsidRDefault="00517B15" w:rsidP="00517B15">
      <w:pPr>
        <w:rPr>
          <w:rFonts w:cs="Arial"/>
          <w:szCs w:val="24"/>
        </w:rPr>
      </w:pPr>
      <w:r w:rsidRPr="00517B15">
        <w:rPr>
          <w:rFonts w:cs="Arial"/>
          <w:noProof/>
          <w:szCs w:val="24"/>
          <w:lang w:eastAsia="en-GB"/>
        </w:rPr>
        <w:drawing>
          <wp:inline distT="0" distB="0" distL="0" distR="0" wp14:anchorId="70A2F234" wp14:editId="3632B28C">
            <wp:extent cx="3952875" cy="2657475"/>
            <wp:effectExtent l="0" t="0" r="9525" b="0"/>
            <wp:docPr id="1" name="Picture 1" descr="What Is Hotel Online Reputation Management? - RoomKeyP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Hotel Online Reputation Management? - RoomKeyPM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52875" cy="2657475"/>
                    </a:xfrm>
                    <a:prstGeom prst="rect">
                      <a:avLst/>
                    </a:prstGeom>
                    <a:noFill/>
                    <a:ln>
                      <a:noFill/>
                    </a:ln>
                  </pic:spPr>
                </pic:pic>
              </a:graphicData>
            </a:graphic>
          </wp:inline>
        </w:drawing>
      </w:r>
    </w:p>
    <w:p w14:paraId="727C5ADC" w14:textId="77777777" w:rsidR="00517B15" w:rsidRPr="00517B15" w:rsidRDefault="00517B15" w:rsidP="00517B15">
      <w:pPr>
        <w:rPr>
          <w:rFonts w:cs="Arial"/>
          <w:szCs w:val="24"/>
        </w:rPr>
      </w:pPr>
      <w:r w:rsidRPr="00517B15">
        <w:rPr>
          <w:rFonts w:cs="Arial"/>
          <w:szCs w:val="24"/>
        </w:rPr>
        <w:t xml:space="preserve">Figure: reputation management </w:t>
      </w:r>
    </w:p>
    <w:p w14:paraId="27B6990B" w14:textId="77777777" w:rsidR="00517B15" w:rsidRPr="00517B15" w:rsidRDefault="00517B15" w:rsidP="00517B15">
      <w:pPr>
        <w:rPr>
          <w:rFonts w:cs="Arial"/>
          <w:szCs w:val="24"/>
        </w:rPr>
      </w:pPr>
      <w:r w:rsidRPr="00517B15">
        <w:rPr>
          <w:rFonts w:cs="Arial"/>
          <w:szCs w:val="24"/>
        </w:rPr>
        <w:t>Source: (Walker, 2013)</w:t>
      </w:r>
    </w:p>
    <w:p w14:paraId="2319FCDC" w14:textId="77777777" w:rsidR="00517B15" w:rsidRPr="00517B15" w:rsidRDefault="00517B15" w:rsidP="00517B15">
      <w:pPr>
        <w:rPr>
          <w:rFonts w:cs="Arial"/>
          <w:szCs w:val="24"/>
        </w:rPr>
      </w:pPr>
      <w:r w:rsidRPr="00517B15">
        <w:rPr>
          <w:rFonts w:cs="Arial"/>
          <w:szCs w:val="24"/>
        </w:rPr>
        <w:t xml:space="preserve">Reviews written by guests of a hotel are </w:t>
      </w:r>
      <w:proofErr w:type="gramStart"/>
      <w:r w:rsidRPr="00517B15">
        <w:rPr>
          <w:rFonts w:cs="Arial"/>
          <w:szCs w:val="24"/>
        </w:rPr>
        <w:t>really important</w:t>
      </w:r>
      <w:proofErr w:type="gramEnd"/>
      <w:r w:rsidRPr="00517B15">
        <w:rPr>
          <w:rFonts w:cs="Arial"/>
          <w:szCs w:val="24"/>
        </w:rPr>
        <w:t>. According to research conducted by Latif, Pérez and Sahibzada (2020), 93 percent of people who travel throughout the world value reading online hotel reviews. Bookings from guests and income both increase when they read positive evaluations. Hotels can get an advantage over their competitors by actively managing guest reviews and keeping a high average rating. This will also attract guests.</w:t>
      </w:r>
    </w:p>
    <w:p w14:paraId="370650CD" w14:textId="77777777" w:rsidR="00517B15" w:rsidRPr="00517B15" w:rsidRDefault="00517B15" w:rsidP="00517B15">
      <w:pPr>
        <w:rPr>
          <w:rFonts w:cs="Arial"/>
          <w:szCs w:val="24"/>
        </w:rPr>
      </w:pPr>
      <w:r w:rsidRPr="00517B15">
        <w:rPr>
          <w:rFonts w:cs="Arial"/>
          <w:szCs w:val="24"/>
        </w:rPr>
        <w:t>However, unfavourable reviews can be detrimental to a hotel's bottom line. According to research conducted by Ko, Chan and Wong (2019), a reduction in review rating of just one star might result in a loss of 11% of income. A hotel's credibility can take a hit when clients read reviews that are critical of the establishment (</w:t>
      </w:r>
      <w:proofErr w:type="spellStart"/>
      <w:r w:rsidRPr="00517B15">
        <w:rPr>
          <w:rFonts w:cs="Arial"/>
          <w:szCs w:val="24"/>
        </w:rPr>
        <w:t>Samatovich</w:t>
      </w:r>
      <w:proofErr w:type="spellEnd"/>
      <w:r w:rsidRPr="00517B15">
        <w:rPr>
          <w:rFonts w:cs="Arial"/>
          <w:szCs w:val="24"/>
        </w:rPr>
        <w:t xml:space="preserve">, 2021). </w:t>
      </w:r>
      <w:r w:rsidRPr="00517B15">
        <w:rPr>
          <w:rFonts w:cs="Arial"/>
          <w:szCs w:val="24"/>
        </w:rPr>
        <w:lastRenderedPageBreak/>
        <w:t>Following a series of negative complaints regarding the hotel's cleanliness and service, the reservations and reputation of a premium hotel in the UK declined.</w:t>
      </w:r>
    </w:p>
    <w:p w14:paraId="085689E4" w14:textId="77777777" w:rsidR="00517B15" w:rsidRPr="00517B15" w:rsidRDefault="00517B15" w:rsidP="00517B15">
      <w:pPr>
        <w:rPr>
          <w:rFonts w:cs="Arial"/>
          <w:szCs w:val="24"/>
        </w:rPr>
      </w:pPr>
      <w:r w:rsidRPr="00517B15">
        <w:rPr>
          <w:rFonts w:cs="Arial"/>
          <w:szCs w:val="24"/>
        </w:rPr>
        <w:t xml:space="preserve">The number of bookings is impacted when there are negative reviews. Customers who have not yet booked at the hotel are influenced by online reviews, as is the hotel's ranking on review networks. Hotels are required to respond to negative evaluations, address customer complaints, and take steps to prevent future incidents (Horner and </w:t>
      </w:r>
      <w:proofErr w:type="spellStart"/>
      <w:r w:rsidRPr="00517B15">
        <w:rPr>
          <w:rFonts w:cs="Arial"/>
          <w:szCs w:val="24"/>
        </w:rPr>
        <w:t>Swarbrooke</w:t>
      </w:r>
      <w:proofErr w:type="spellEnd"/>
      <w:r w:rsidRPr="00517B15">
        <w:rPr>
          <w:rFonts w:cs="Arial"/>
          <w:szCs w:val="24"/>
        </w:rPr>
        <w:t>, 2011). By doing so, hotels have a better chance of reducing the number of negative reviews they receive, restoring the faith of their guests, and protecting their brand.</w:t>
      </w:r>
    </w:p>
    <w:p w14:paraId="7AF492E4" w14:textId="77777777" w:rsidR="00517B15" w:rsidRPr="00517B15" w:rsidRDefault="00517B15" w:rsidP="00517B15">
      <w:pPr>
        <w:rPr>
          <w:rFonts w:cs="Arial"/>
          <w:szCs w:val="24"/>
        </w:rPr>
      </w:pPr>
      <w:r w:rsidRPr="00517B15">
        <w:rPr>
          <w:rFonts w:cs="Arial"/>
          <w:szCs w:val="24"/>
        </w:rPr>
        <w:t>Overall, managing a hotel's reputation entails regularly monitoring and responding to guest reviews, capitalising on positive feedback, and addressing negative ones as soon as they are posted. Hotels that actively manage their guests' experiences online have a better chance of enhancing their brands, drawing in more clients, and remaining competitive.</w:t>
      </w:r>
    </w:p>
    <w:p w14:paraId="13B43555" w14:textId="77777777" w:rsidR="00517B15" w:rsidRPr="00517B15" w:rsidRDefault="00517B15" w:rsidP="00517B15">
      <w:pPr>
        <w:rPr>
          <w:rFonts w:cs="Arial"/>
          <w:szCs w:val="24"/>
        </w:rPr>
      </w:pPr>
    </w:p>
    <w:p w14:paraId="036EC524" w14:textId="77777777" w:rsidR="00517B15" w:rsidRPr="00517B15" w:rsidRDefault="00517B15" w:rsidP="00517B15">
      <w:pPr>
        <w:rPr>
          <w:rFonts w:cs="Arial"/>
          <w:szCs w:val="24"/>
        </w:rPr>
      </w:pPr>
    </w:p>
    <w:p w14:paraId="4B8D9F97" w14:textId="77777777" w:rsidR="00517B15" w:rsidRPr="00517B15" w:rsidRDefault="00517B15" w:rsidP="00517B15">
      <w:pPr>
        <w:rPr>
          <w:rFonts w:cs="Arial"/>
          <w:szCs w:val="24"/>
        </w:rPr>
      </w:pPr>
    </w:p>
    <w:p w14:paraId="13302F76" w14:textId="77777777" w:rsidR="00517B15" w:rsidRPr="00517B15" w:rsidRDefault="00517B15" w:rsidP="00517B15">
      <w:pPr>
        <w:rPr>
          <w:rFonts w:cs="Arial"/>
          <w:szCs w:val="24"/>
        </w:rPr>
      </w:pPr>
    </w:p>
    <w:p w14:paraId="3A997FE9" w14:textId="77777777" w:rsidR="00517B15" w:rsidRPr="00517B15" w:rsidRDefault="00517B15" w:rsidP="00517B15">
      <w:pPr>
        <w:rPr>
          <w:rFonts w:cs="Arial"/>
          <w:szCs w:val="24"/>
        </w:rPr>
      </w:pPr>
    </w:p>
    <w:p w14:paraId="2DCCD068" w14:textId="77777777" w:rsidR="00517B15" w:rsidRPr="00517B15" w:rsidRDefault="00517B15" w:rsidP="00517B15">
      <w:pPr>
        <w:rPr>
          <w:rFonts w:cs="Arial"/>
          <w:szCs w:val="24"/>
        </w:rPr>
      </w:pPr>
    </w:p>
    <w:p w14:paraId="2563F98E" w14:textId="77777777" w:rsidR="00517B15" w:rsidRPr="00517B15" w:rsidRDefault="00517B15" w:rsidP="00517B15">
      <w:pPr>
        <w:rPr>
          <w:rFonts w:cs="Arial"/>
          <w:szCs w:val="24"/>
        </w:rPr>
      </w:pPr>
    </w:p>
    <w:p w14:paraId="076972EA" w14:textId="77777777" w:rsidR="00517B15" w:rsidRPr="00517B15" w:rsidRDefault="00517B15" w:rsidP="00517B15">
      <w:pPr>
        <w:rPr>
          <w:rFonts w:cs="Arial"/>
          <w:szCs w:val="24"/>
        </w:rPr>
      </w:pPr>
    </w:p>
    <w:p w14:paraId="736A2291" w14:textId="77777777" w:rsidR="00517B15" w:rsidRPr="00517B15" w:rsidRDefault="00517B15" w:rsidP="00517B15">
      <w:pPr>
        <w:rPr>
          <w:rFonts w:cs="Arial"/>
          <w:szCs w:val="24"/>
        </w:rPr>
      </w:pPr>
    </w:p>
    <w:p w14:paraId="49BD1148" w14:textId="77777777" w:rsidR="00517B15" w:rsidRPr="00517B15" w:rsidRDefault="00517B15" w:rsidP="00517B15">
      <w:pPr>
        <w:rPr>
          <w:rFonts w:cs="Arial"/>
          <w:szCs w:val="24"/>
        </w:rPr>
      </w:pPr>
    </w:p>
    <w:p w14:paraId="754CD3B1" w14:textId="77777777" w:rsidR="00517B15" w:rsidRPr="00517B15" w:rsidRDefault="00517B15" w:rsidP="00517B15">
      <w:pPr>
        <w:rPr>
          <w:rFonts w:cs="Arial"/>
          <w:szCs w:val="24"/>
        </w:rPr>
      </w:pPr>
    </w:p>
    <w:p w14:paraId="1F6213A8" w14:textId="77777777" w:rsidR="00517B15" w:rsidRPr="00517B15" w:rsidRDefault="00517B15" w:rsidP="00517B15">
      <w:pPr>
        <w:rPr>
          <w:rFonts w:cs="Arial"/>
          <w:szCs w:val="24"/>
        </w:rPr>
      </w:pPr>
    </w:p>
    <w:p w14:paraId="1098CC4E" w14:textId="77777777" w:rsidR="00517B15" w:rsidRPr="00517B15" w:rsidRDefault="00517B15" w:rsidP="00517B15">
      <w:pPr>
        <w:rPr>
          <w:rFonts w:cs="Arial"/>
          <w:szCs w:val="24"/>
        </w:rPr>
      </w:pPr>
    </w:p>
    <w:p w14:paraId="50E28F9F" w14:textId="77777777" w:rsidR="00517B15" w:rsidRPr="00517B15" w:rsidRDefault="00517B15" w:rsidP="00517B15">
      <w:pPr>
        <w:pStyle w:val="Heading1"/>
        <w:rPr>
          <w:rFonts w:cs="Arial"/>
          <w:sz w:val="24"/>
          <w:szCs w:val="24"/>
        </w:rPr>
      </w:pPr>
      <w:bookmarkStart w:id="6" w:name="_Toc137136289"/>
      <w:r w:rsidRPr="00517B15">
        <w:rPr>
          <w:rFonts w:cs="Arial"/>
          <w:sz w:val="24"/>
          <w:szCs w:val="24"/>
        </w:rPr>
        <w:lastRenderedPageBreak/>
        <w:t>Service culture</w:t>
      </w:r>
      <w:bookmarkEnd w:id="6"/>
      <w:r w:rsidRPr="00517B15">
        <w:rPr>
          <w:rFonts w:cs="Arial"/>
          <w:sz w:val="24"/>
          <w:szCs w:val="24"/>
        </w:rPr>
        <w:t xml:space="preserve"> </w:t>
      </w:r>
    </w:p>
    <w:p w14:paraId="1EACA4F3" w14:textId="77777777" w:rsidR="00517B15" w:rsidRPr="00517B15" w:rsidRDefault="00517B15" w:rsidP="00517B15">
      <w:pPr>
        <w:pStyle w:val="Heading2"/>
        <w:rPr>
          <w:rFonts w:cs="Arial"/>
          <w:sz w:val="24"/>
          <w:szCs w:val="24"/>
        </w:rPr>
      </w:pPr>
      <w:bookmarkStart w:id="7" w:name="_Toc137136290"/>
      <w:r w:rsidRPr="00517B15">
        <w:rPr>
          <w:rFonts w:cs="Arial"/>
          <w:sz w:val="24"/>
          <w:szCs w:val="24"/>
        </w:rPr>
        <w:t>Service culture</w:t>
      </w:r>
      <w:bookmarkEnd w:id="7"/>
      <w:r w:rsidRPr="00517B15">
        <w:rPr>
          <w:rFonts w:cs="Arial"/>
          <w:sz w:val="24"/>
          <w:szCs w:val="24"/>
        </w:rPr>
        <w:t xml:space="preserve"> </w:t>
      </w:r>
    </w:p>
    <w:p w14:paraId="6040BE1D" w14:textId="77777777" w:rsidR="00517B15" w:rsidRPr="00517B15" w:rsidRDefault="00517B15" w:rsidP="00517B15">
      <w:pPr>
        <w:rPr>
          <w:rFonts w:cs="Arial"/>
          <w:szCs w:val="24"/>
        </w:rPr>
      </w:pPr>
      <w:r w:rsidRPr="00517B15">
        <w:rPr>
          <w:rFonts w:cs="Arial"/>
          <w:szCs w:val="24"/>
        </w:rPr>
        <w:t>The beliefs, attitudes, and behaviours that influence client interactions are part of the hotel service culture. It combines the general philosophy of the hotel employees towards first-rate guest experiences and exceptional customer service (</w:t>
      </w:r>
      <w:proofErr w:type="spellStart"/>
      <w:r w:rsidRPr="00517B15">
        <w:rPr>
          <w:rFonts w:cs="Arial"/>
          <w:szCs w:val="24"/>
        </w:rPr>
        <w:t>Vallen</w:t>
      </w:r>
      <w:proofErr w:type="spellEnd"/>
      <w:r w:rsidRPr="00517B15">
        <w:rPr>
          <w:rFonts w:cs="Arial"/>
          <w:szCs w:val="24"/>
        </w:rPr>
        <w:t xml:space="preserve"> and </w:t>
      </w:r>
      <w:proofErr w:type="spellStart"/>
      <w:r w:rsidRPr="00517B15">
        <w:rPr>
          <w:rFonts w:cs="Arial"/>
          <w:szCs w:val="24"/>
        </w:rPr>
        <w:t>Vallen</w:t>
      </w:r>
      <w:proofErr w:type="spellEnd"/>
      <w:r w:rsidRPr="00517B15">
        <w:rPr>
          <w:rFonts w:cs="Arial"/>
          <w:szCs w:val="24"/>
        </w:rPr>
        <w:t>, 2014). A hotel with a focus on services is The Savoy in London. The Savoy prides itself on its customer service and attention to detail. Staff members receive training to anticipate client needs, provide individualised service, and go above and beyond. The operations of the hotel are characterised by a service-oriented culture (</w:t>
      </w:r>
      <w:proofErr w:type="spellStart"/>
      <w:r w:rsidRPr="00517B15">
        <w:rPr>
          <w:rFonts w:cs="Arial"/>
          <w:szCs w:val="24"/>
        </w:rPr>
        <w:t>Tesone</w:t>
      </w:r>
      <w:proofErr w:type="spellEnd"/>
      <w:r w:rsidRPr="00517B15">
        <w:rPr>
          <w:rFonts w:cs="Arial"/>
          <w:szCs w:val="24"/>
        </w:rPr>
        <w:t>, 2014). While corporate culture establishes the values, norms, and behaviours of an organisation, service culture focuses on providing excellent customer service. While corporate culture encompasses several departments and activities, service culture concentrates on the happiness of the customer.</w:t>
      </w:r>
    </w:p>
    <w:p w14:paraId="2ECA5573" w14:textId="77777777" w:rsidR="00517B15" w:rsidRPr="00517B15" w:rsidRDefault="00517B15" w:rsidP="00517B15">
      <w:pPr>
        <w:pStyle w:val="Heading2"/>
        <w:rPr>
          <w:rFonts w:cs="Arial"/>
          <w:sz w:val="24"/>
          <w:szCs w:val="24"/>
        </w:rPr>
      </w:pPr>
      <w:bookmarkStart w:id="8" w:name="_Toc137136291"/>
      <w:r w:rsidRPr="00517B15">
        <w:rPr>
          <w:rFonts w:cs="Arial"/>
          <w:sz w:val="24"/>
          <w:szCs w:val="24"/>
        </w:rPr>
        <w:t>The difference</w:t>
      </w:r>
      <w:bookmarkEnd w:id="8"/>
      <w:r w:rsidRPr="00517B15">
        <w:rPr>
          <w:rFonts w:cs="Arial"/>
          <w:sz w:val="24"/>
          <w:szCs w:val="24"/>
        </w:rPr>
        <w:t xml:space="preserve"> </w:t>
      </w:r>
    </w:p>
    <w:p w14:paraId="233CDA5F" w14:textId="77777777" w:rsidR="00517B15" w:rsidRPr="00517B15" w:rsidRDefault="00517B15" w:rsidP="00517B15">
      <w:pPr>
        <w:rPr>
          <w:rFonts w:cs="Arial"/>
          <w:szCs w:val="24"/>
        </w:rPr>
      </w:pPr>
      <w:r w:rsidRPr="00517B15">
        <w:rPr>
          <w:rFonts w:cs="Arial"/>
          <w:szCs w:val="24"/>
        </w:rPr>
        <w:t xml:space="preserve">The culture of hotel service is vital. Service can set a hotel apart and foster repeat business. A good service culture, empowered employees, and engaged hotels have been linked to better financial results, according to </w:t>
      </w:r>
      <w:proofErr w:type="spellStart"/>
      <w:r w:rsidRPr="00517B15">
        <w:rPr>
          <w:rFonts w:cs="Arial"/>
          <w:szCs w:val="24"/>
        </w:rPr>
        <w:t>O’gorman</w:t>
      </w:r>
      <w:proofErr w:type="spellEnd"/>
      <w:r w:rsidRPr="00517B15">
        <w:rPr>
          <w:rFonts w:cs="Arial"/>
          <w:szCs w:val="24"/>
        </w:rPr>
        <w:t xml:space="preserve"> and Cousins (2010). The service of The Ritz-Carlton is renowned. According to the hotel chain's motto, "We are ladies and gentlemen serving ladies and gentlemen," they are committed to providing exceptional and individualised service. This service culture is the foundation of The Ritz-Carlton's reputation and brand loyalty. </w:t>
      </w:r>
    </w:p>
    <w:p w14:paraId="70922DD3" w14:textId="77777777" w:rsidR="00517B15" w:rsidRPr="00517B15" w:rsidRDefault="00517B15" w:rsidP="00517B15">
      <w:pPr>
        <w:pStyle w:val="Heading2"/>
        <w:rPr>
          <w:rFonts w:cs="Arial"/>
          <w:sz w:val="24"/>
          <w:szCs w:val="24"/>
        </w:rPr>
      </w:pPr>
      <w:bookmarkStart w:id="9" w:name="_Toc137136292"/>
      <w:r w:rsidRPr="00517B15">
        <w:rPr>
          <w:rFonts w:cs="Arial"/>
          <w:sz w:val="24"/>
          <w:szCs w:val="24"/>
        </w:rPr>
        <w:t>Importance</w:t>
      </w:r>
      <w:bookmarkEnd w:id="9"/>
      <w:r w:rsidRPr="00517B15">
        <w:rPr>
          <w:rFonts w:cs="Arial"/>
          <w:sz w:val="24"/>
          <w:szCs w:val="24"/>
        </w:rPr>
        <w:t xml:space="preserve"> </w:t>
      </w:r>
    </w:p>
    <w:p w14:paraId="32F4E426" w14:textId="77777777" w:rsidR="00517B15" w:rsidRPr="00517B15" w:rsidRDefault="00517B15" w:rsidP="00517B15">
      <w:pPr>
        <w:rPr>
          <w:rFonts w:cs="Arial"/>
          <w:szCs w:val="24"/>
        </w:rPr>
      </w:pPr>
      <w:r w:rsidRPr="00517B15">
        <w:rPr>
          <w:rFonts w:cs="Arial"/>
          <w:szCs w:val="24"/>
        </w:rPr>
        <w:t>Customers want more from hotels than just a bed, thus the service culture is crucial. They seek individualised, memorable service. Every guest encounter, from check-in to check-out and beyond, will reflect the hotel's dedication to providing the best experience thanks to a strong service culture (</w:t>
      </w:r>
      <w:proofErr w:type="spellStart"/>
      <w:r w:rsidRPr="00517B15">
        <w:rPr>
          <w:rFonts w:cs="Arial"/>
          <w:szCs w:val="24"/>
        </w:rPr>
        <w:t>O’fallon</w:t>
      </w:r>
      <w:proofErr w:type="spellEnd"/>
      <w:r w:rsidRPr="00517B15">
        <w:rPr>
          <w:rFonts w:cs="Arial"/>
          <w:szCs w:val="24"/>
        </w:rPr>
        <w:t xml:space="preserve"> and Rutherford, 2010). Social media and online reviews can damage a hotel's reputation by disseminating information about client experiences and service quality. The reputation of the hotel and the choices of prospective guests can be impacted by a single-guest experience. Hotels must therefore have a strong service culture to meet and surpass tourist expectations, increase guest contentment, generate positive evaluations, and foster lifelong client loyalty (Johnston, Clark and </w:t>
      </w:r>
      <w:proofErr w:type="spellStart"/>
      <w:r w:rsidRPr="00517B15">
        <w:rPr>
          <w:rFonts w:cs="Arial"/>
          <w:szCs w:val="24"/>
        </w:rPr>
        <w:t>Shulver</w:t>
      </w:r>
      <w:proofErr w:type="spellEnd"/>
      <w:r w:rsidRPr="00517B15">
        <w:rPr>
          <w:rFonts w:cs="Arial"/>
          <w:szCs w:val="24"/>
        </w:rPr>
        <w:t>, 2012). It enhances the hotel's reputation, increases revenue, and helps it stand out in a cutthroat industry.</w:t>
      </w:r>
    </w:p>
    <w:p w14:paraId="77E1603D" w14:textId="77777777" w:rsidR="00517B15" w:rsidRPr="00517B15" w:rsidRDefault="00517B15" w:rsidP="00517B15">
      <w:pPr>
        <w:rPr>
          <w:rFonts w:cs="Arial"/>
          <w:szCs w:val="24"/>
        </w:rPr>
      </w:pPr>
    </w:p>
    <w:p w14:paraId="1C360D95" w14:textId="77777777" w:rsidR="00517B15" w:rsidRPr="00517B15" w:rsidRDefault="00517B15" w:rsidP="00517B15">
      <w:pPr>
        <w:rPr>
          <w:rFonts w:cs="Arial"/>
          <w:szCs w:val="24"/>
        </w:rPr>
      </w:pPr>
    </w:p>
    <w:p w14:paraId="60B3C5B3" w14:textId="77777777" w:rsidR="00517B15" w:rsidRPr="00517B15" w:rsidRDefault="00517B15" w:rsidP="00517B15">
      <w:pPr>
        <w:rPr>
          <w:rFonts w:cs="Arial"/>
          <w:szCs w:val="24"/>
        </w:rPr>
      </w:pPr>
    </w:p>
    <w:p w14:paraId="6BB4432F" w14:textId="77777777" w:rsidR="00517B15" w:rsidRPr="00517B15" w:rsidRDefault="00517B15" w:rsidP="00517B15">
      <w:pPr>
        <w:rPr>
          <w:rFonts w:cs="Arial"/>
          <w:szCs w:val="24"/>
        </w:rPr>
      </w:pPr>
    </w:p>
    <w:p w14:paraId="7D825622" w14:textId="77777777" w:rsidR="00517B15" w:rsidRPr="00517B15" w:rsidRDefault="00517B15" w:rsidP="00517B15">
      <w:pPr>
        <w:rPr>
          <w:rFonts w:cs="Arial"/>
          <w:szCs w:val="24"/>
        </w:rPr>
      </w:pPr>
    </w:p>
    <w:p w14:paraId="0C2F647E" w14:textId="77777777" w:rsidR="00517B15" w:rsidRPr="00517B15" w:rsidRDefault="00517B15" w:rsidP="00517B15">
      <w:pPr>
        <w:rPr>
          <w:rFonts w:cs="Arial"/>
          <w:szCs w:val="24"/>
        </w:rPr>
      </w:pPr>
    </w:p>
    <w:p w14:paraId="112EFF48" w14:textId="77777777" w:rsidR="00517B15" w:rsidRPr="00517B15" w:rsidRDefault="00517B15" w:rsidP="00517B15">
      <w:pPr>
        <w:rPr>
          <w:rFonts w:cs="Arial"/>
          <w:szCs w:val="24"/>
        </w:rPr>
      </w:pPr>
    </w:p>
    <w:p w14:paraId="530427E6" w14:textId="77777777" w:rsidR="00517B15" w:rsidRPr="00517B15" w:rsidRDefault="00517B15" w:rsidP="00517B15">
      <w:pPr>
        <w:rPr>
          <w:rFonts w:cs="Arial"/>
          <w:szCs w:val="24"/>
        </w:rPr>
      </w:pPr>
    </w:p>
    <w:p w14:paraId="617B8BFA" w14:textId="77777777" w:rsidR="00517B15" w:rsidRPr="00517B15" w:rsidRDefault="00517B15" w:rsidP="00517B15">
      <w:pPr>
        <w:rPr>
          <w:rFonts w:cs="Arial"/>
          <w:szCs w:val="24"/>
        </w:rPr>
      </w:pPr>
    </w:p>
    <w:p w14:paraId="5BB5E576" w14:textId="77777777" w:rsidR="00517B15" w:rsidRPr="00517B15" w:rsidRDefault="00517B15" w:rsidP="00517B15">
      <w:pPr>
        <w:rPr>
          <w:rFonts w:cs="Arial"/>
          <w:szCs w:val="24"/>
        </w:rPr>
      </w:pPr>
    </w:p>
    <w:p w14:paraId="6C30D26E" w14:textId="77777777" w:rsidR="00517B15" w:rsidRPr="00517B15" w:rsidRDefault="00517B15" w:rsidP="00517B15">
      <w:pPr>
        <w:rPr>
          <w:rFonts w:cs="Arial"/>
          <w:szCs w:val="24"/>
        </w:rPr>
      </w:pPr>
    </w:p>
    <w:p w14:paraId="2805BBC0" w14:textId="77777777" w:rsidR="00517B15" w:rsidRPr="00517B15" w:rsidRDefault="00517B15" w:rsidP="00517B15">
      <w:pPr>
        <w:rPr>
          <w:rFonts w:cs="Arial"/>
          <w:szCs w:val="24"/>
        </w:rPr>
      </w:pPr>
    </w:p>
    <w:p w14:paraId="7F007CE7" w14:textId="77777777" w:rsidR="00517B15" w:rsidRPr="00517B15" w:rsidRDefault="00517B15" w:rsidP="00517B15">
      <w:pPr>
        <w:rPr>
          <w:rFonts w:cs="Arial"/>
          <w:szCs w:val="24"/>
        </w:rPr>
      </w:pPr>
    </w:p>
    <w:p w14:paraId="50C4A70C" w14:textId="77777777" w:rsidR="00517B15" w:rsidRPr="00517B15" w:rsidRDefault="00517B15" w:rsidP="00517B15">
      <w:pPr>
        <w:rPr>
          <w:rFonts w:cs="Arial"/>
          <w:szCs w:val="24"/>
        </w:rPr>
      </w:pPr>
    </w:p>
    <w:p w14:paraId="23495E63" w14:textId="77777777" w:rsidR="00517B15" w:rsidRPr="00517B15" w:rsidRDefault="00517B15" w:rsidP="00517B15">
      <w:pPr>
        <w:rPr>
          <w:rFonts w:cs="Arial"/>
          <w:szCs w:val="24"/>
        </w:rPr>
      </w:pPr>
    </w:p>
    <w:p w14:paraId="50B6CC70" w14:textId="77777777" w:rsidR="00517B15" w:rsidRPr="00517B15" w:rsidRDefault="00517B15" w:rsidP="00517B15">
      <w:pPr>
        <w:rPr>
          <w:rFonts w:cs="Arial"/>
          <w:szCs w:val="24"/>
        </w:rPr>
      </w:pPr>
    </w:p>
    <w:p w14:paraId="0FCDC1AD" w14:textId="77777777" w:rsidR="00517B15" w:rsidRPr="00517B15" w:rsidRDefault="00517B15" w:rsidP="00517B15">
      <w:pPr>
        <w:rPr>
          <w:rFonts w:cs="Arial"/>
          <w:szCs w:val="24"/>
        </w:rPr>
      </w:pPr>
    </w:p>
    <w:p w14:paraId="638BCD48" w14:textId="77777777" w:rsidR="00517B15" w:rsidRPr="00517B15" w:rsidRDefault="00517B15" w:rsidP="00517B15">
      <w:pPr>
        <w:rPr>
          <w:rFonts w:cs="Arial"/>
          <w:szCs w:val="24"/>
        </w:rPr>
      </w:pPr>
    </w:p>
    <w:p w14:paraId="054F2F48" w14:textId="77777777" w:rsidR="00517B15" w:rsidRPr="00517B15" w:rsidRDefault="00517B15" w:rsidP="00517B15">
      <w:pPr>
        <w:rPr>
          <w:rFonts w:cs="Arial"/>
          <w:szCs w:val="24"/>
        </w:rPr>
      </w:pPr>
    </w:p>
    <w:p w14:paraId="49D594C1" w14:textId="77777777" w:rsidR="00517B15" w:rsidRPr="00517B15" w:rsidRDefault="00517B15" w:rsidP="00517B15">
      <w:pPr>
        <w:rPr>
          <w:rFonts w:cs="Arial"/>
          <w:szCs w:val="24"/>
        </w:rPr>
      </w:pPr>
    </w:p>
    <w:p w14:paraId="21B8816A" w14:textId="77777777" w:rsidR="00517B15" w:rsidRPr="00517B15" w:rsidRDefault="00517B15" w:rsidP="00517B15">
      <w:pPr>
        <w:rPr>
          <w:rFonts w:cs="Arial"/>
          <w:szCs w:val="24"/>
        </w:rPr>
      </w:pPr>
    </w:p>
    <w:p w14:paraId="3E49760E" w14:textId="77777777" w:rsidR="00517B15" w:rsidRPr="00517B15" w:rsidRDefault="00517B15" w:rsidP="00517B15">
      <w:pPr>
        <w:rPr>
          <w:rFonts w:cs="Arial"/>
          <w:szCs w:val="24"/>
        </w:rPr>
      </w:pPr>
    </w:p>
    <w:p w14:paraId="2342D9EB" w14:textId="77777777" w:rsidR="00517B15" w:rsidRPr="00517B15" w:rsidRDefault="00517B15" w:rsidP="00517B15">
      <w:pPr>
        <w:rPr>
          <w:rFonts w:cs="Arial"/>
          <w:szCs w:val="24"/>
        </w:rPr>
      </w:pPr>
    </w:p>
    <w:p w14:paraId="56AED640" w14:textId="77777777" w:rsidR="00517B15" w:rsidRPr="00517B15" w:rsidRDefault="00517B15" w:rsidP="00517B15">
      <w:pPr>
        <w:pStyle w:val="Heading1"/>
        <w:rPr>
          <w:rFonts w:cs="Arial"/>
          <w:sz w:val="24"/>
          <w:szCs w:val="24"/>
        </w:rPr>
      </w:pPr>
      <w:bookmarkStart w:id="10" w:name="_Toc137136293"/>
      <w:r w:rsidRPr="00517B15">
        <w:rPr>
          <w:rFonts w:cs="Arial"/>
          <w:sz w:val="24"/>
          <w:szCs w:val="24"/>
        </w:rPr>
        <w:lastRenderedPageBreak/>
        <w:t>Recommendations</w:t>
      </w:r>
      <w:bookmarkEnd w:id="10"/>
      <w:r w:rsidRPr="00517B15">
        <w:rPr>
          <w:rFonts w:cs="Arial"/>
          <w:sz w:val="24"/>
          <w:szCs w:val="24"/>
        </w:rPr>
        <w:t xml:space="preserve"> </w:t>
      </w:r>
    </w:p>
    <w:p w14:paraId="0C5E32D7" w14:textId="77777777" w:rsidR="00517B15" w:rsidRPr="00517B15" w:rsidRDefault="00517B15" w:rsidP="00517B15">
      <w:pPr>
        <w:rPr>
          <w:rFonts w:cs="Arial"/>
          <w:szCs w:val="24"/>
        </w:rPr>
      </w:pPr>
      <w:r w:rsidRPr="00517B15">
        <w:rPr>
          <w:rFonts w:cs="Arial"/>
          <w:b/>
          <w:szCs w:val="24"/>
        </w:rPr>
        <w:t>Embrace market trends:</w:t>
      </w:r>
      <w:r w:rsidRPr="00517B15">
        <w:rPr>
          <w:rFonts w:cs="Arial"/>
          <w:szCs w:val="24"/>
        </w:rPr>
        <w:t xml:space="preserve"> Follow market trends to draw customers, according to advice number one. Hotel sector trends include customization, technology, and sustainability. Hotels can lessen trash, save energy, and benefit the neighbourhood (Horner and </w:t>
      </w:r>
      <w:proofErr w:type="spellStart"/>
      <w:r w:rsidRPr="00517B15">
        <w:rPr>
          <w:rFonts w:cs="Arial"/>
          <w:szCs w:val="24"/>
        </w:rPr>
        <w:t>Swarbrooke</w:t>
      </w:r>
      <w:proofErr w:type="spellEnd"/>
      <w:r w:rsidRPr="00517B15">
        <w:rPr>
          <w:rFonts w:cs="Arial"/>
          <w:szCs w:val="24"/>
        </w:rPr>
        <w:t>, 2011). A memorable stay can be created by tailoring services to visitor preferences. Keyless access, mobile check-in, and data-driven recommendations can all enhance the visitor experience.</w:t>
      </w:r>
    </w:p>
    <w:p w14:paraId="14D11090" w14:textId="77777777" w:rsidR="00517B15" w:rsidRPr="00517B15" w:rsidRDefault="00517B15" w:rsidP="00517B15">
      <w:pPr>
        <w:rPr>
          <w:rFonts w:cs="Arial"/>
          <w:szCs w:val="24"/>
        </w:rPr>
      </w:pPr>
      <w:r w:rsidRPr="00517B15">
        <w:rPr>
          <w:rFonts w:cs="Arial"/>
          <w:b/>
          <w:szCs w:val="24"/>
        </w:rPr>
        <w:t>Overcoming challenges:</w:t>
      </w:r>
      <w:r w:rsidRPr="00517B15">
        <w:rPr>
          <w:rFonts w:cs="Arial"/>
          <w:szCs w:val="24"/>
        </w:rPr>
        <w:t xml:space="preserve"> Competition from Airbnb is a significant problem for hotels. To get over this problem, hotels should provide distinctive, immersive experiences that cannot be matched by home-sharing (</w:t>
      </w:r>
      <w:proofErr w:type="spellStart"/>
      <w:r w:rsidRPr="00517B15">
        <w:rPr>
          <w:rFonts w:cs="Arial"/>
          <w:szCs w:val="24"/>
        </w:rPr>
        <w:t>Heppell</w:t>
      </w:r>
      <w:proofErr w:type="spellEnd"/>
      <w:r w:rsidRPr="00517B15">
        <w:rPr>
          <w:rFonts w:cs="Arial"/>
          <w:szCs w:val="24"/>
        </w:rPr>
        <w:t>, 2015). You can get an advantage by designing personalised local experiences with nearby businesses and utilising the hotel's knowledge and resources. Hotels can improve pricing and customise services with the use of revenue management systems and customer relationship management solutions.</w:t>
      </w:r>
    </w:p>
    <w:p w14:paraId="33752F77" w14:textId="77777777" w:rsidR="00517B15" w:rsidRPr="00517B15" w:rsidRDefault="00517B15" w:rsidP="00517B15">
      <w:pPr>
        <w:rPr>
          <w:rFonts w:cs="Arial"/>
          <w:szCs w:val="24"/>
        </w:rPr>
      </w:pPr>
      <w:r w:rsidRPr="00517B15">
        <w:rPr>
          <w:rFonts w:cs="Arial"/>
          <w:b/>
          <w:szCs w:val="24"/>
        </w:rPr>
        <w:t xml:space="preserve">Foster employee empowerment: </w:t>
      </w:r>
      <w:r w:rsidRPr="00517B15">
        <w:rPr>
          <w:rFonts w:cs="Arial"/>
          <w:szCs w:val="24"/>
        </w:rPr>
        <w:t>Employee empowerment is essential for service excellence and a positive service culture. Hotel employees should receive thorough training to excel in their positions. Staff morale and motivation are increased when given autonomy, decision-making authority, and rewards for excellent service (</w:t>
      </w:r>
      <w:proofErr w:type="spellStart"/>
      <w:r w:rsidRPr="00517B15">
        <w:rPr>
          <w:rFonts w:cs="Arial"/>
          <w:szCs w:val="24"/>
        </w:rPr>
        <w:t>Tesone</w:t>
      </w:r>
      <w:proofErr w:type="spellEnd"/>
      <w:r w:rsidRPr="00517B15">
        <w:rPr>
          <w:rFonts w:cs="Arial"/>
          <w:szCs w:val="24"/>
        </w:rPr>
        <w:t>, 2014). Employee retention can be increased by promoting open communication, teamwork, and ongoing learning in the workplace. Better service is provided by employees who are empowered and engaged, which boosts customer satisfaction and favourable reviews.</w:t>
      </w:r>
    </w:p>
    <w:p w14:paraId="31AAC930" w14:textId="77777777" w:rsidR="00517B15" w:rsidRPr="00517B15" w:rsidRDefault="00517B15" w:rsidP="00517B15">
      <w:pPr>
        <w:rPr>
          <w:rFonts w:cs="Arial"/>
          <w:szCs w:val="24"/>
        </w:rPr>
      </w:pPr>
      <w:r w:rsidRPr="00517B15">
        <w:rPr>
          <w:rFonts w:cs="Arial"/>
          <w:noProof/>
          <w:szCs w:val="24"/>
          <w:lang w:eastAsia="en-GB"/>
        </w:rPr>
        <w:drawing>
          <wp:inline distT="0" distB="0" distL="0" distR="0" wp14:anchorId="51F86FDD" wp14:editId="42E8444E">
            <wp:extent cx="4092575" cy="1647737"/>
            <wp:effectExtent l="0" t="0" r="3175" b="0"/>
            <wp:docPr id="3" name="Picture 3" descr="Sustainability | Free Full-Text | Impacts of Employee Empowerment and  Organizational Commitment on Workforce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ility | Free Full-Text | Impacts of Employee Empowerment and  Organizational Commitment on Workforce Sustainabilit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05226" cy="1652831"/>
                    </a:xfrm>
                    <a:prstGeom prst="rect">
                      <a:avLst/>
                    </a:prstGeom>
                    <a:noFill/>
                    <a:ln>
                      <a:noFill/>
                    </a:ln>
                  </pic:spPr>
                </pic:pic>
              </a:graphicData>
            </a:graphic>
          </wp:inline>
        </w:drawing>
      </w:r>
    </w:p>
    <w:p w14:paraId="7FF511EC" w14:textId="77777777" w:rsidR="00517B15" w:rsidRPr="00517B15" w:rsidRDefault="00517B15" w:rsidP="00517B15">
      <w:pPr>
        <w:rPr>
          <w:rFonts w:cs="Arial"/>
          <w:szCs w:val="24"/>
        </w:rPr>
      </w:pPr>
      <w:r w:rsidRPr="00517B15">
        <w:rPr>
          <w:rFonts w:cs="Arial"/>
          <w:szCs w:val="24"/>
        </w:rPr>
        <w:t xml:space="preserve">Figure: Employee empowerment </w:t>
      </w:r>
    </w:p>
    <w:p w14:paraId="77BD829E" w14:textId="77777777" w:rsidR="00517B15" w:rsidRPr="00517B15" w:rsidRDefault="00517B15" w:rsidP="00517B15">
      <w:pPr>
        <w:rPr>
          <w:rFonts w:cs="Arial"/>
          <w:szCs w:val="24"/>
        </w:rPr>
      </w:pPr>
      <w:r w:rsidRPr="00517B15">
        <w:rPr>
          <w:rFonts w:cs="Arial"/>
          <w:szCs w:val="24"/>
        </w:rPr>
        <w:t>Source: (</w:t>
      </w:r>
      <w:proofErr w:type="spellStart"/>
      <w:r w:rsidRPr="00517B15">
        <w:rPr>
          <w:rFonts w:cs="Arial"/>
          <w:szCs w:val="24"/>
        </w:rPr>
        <w:t>Tesone</w:t>
      </w:r>
      <w:proofErr w:type="spellEnd"/>
      <w:r w:rsidRPr="00517B15">
        <w:rPr>
          <w:rFonts w:cs="Arial"/>
          <w:szCs w:val="24"/>
        </w:rPr>
        <w:t xml:space="preserve">, 2014) </w:t>
      </w:r>
    </w:p>
    <w:p w14:paraId="3C48D937" w14:textId="77777777" w:rsidR="00517B15" w:rsidRPr="00517B15" w:rsidRDefault="00517B15" w:rsidP="00517B15">
      <w:pPr>
        <w:rPr>
          <w:rFonts w:cs="Arial"/>
          <w:szCs w:val="24"/>
        </w:rPr>
      </w:pPr>
      <w:r w:rsidRPr="00517B15">
        <w:rPr>
          <w:rFonts w:cs="Arial"/>
          <w:szCs w:val="24"/>
        </w:rPr>
        <w:lastRenderedPageBreak/>
        <w:t>By embracing market trends, overcoming obstacles, and empowering staff, hotels may adjust to industry changes, differentiate themselves, and offer wonderful guest experiences. This advice can aid hotels in surviving in a sector that is altering.</w:t>
      </w:r>
    </w:p>
    <w:p w14:paraId="51C1E986" w14:textId="77777777" w:rsidR="00517B15" w:rsidRPr="00517B15" w:rsidRDefault="00517B15" w:rsidP="00517B15">
      <w:pPr>
        <w:rPr>
          <w:rFonts w:cs="Arial"/>
          <w:szCs w:val="24"/>
        </w:rPr>
      </w:pPr>
    </w:p>
    <w:p w14:paraId="17288BA7" w14:textId="77777777" w:rsidR="00517B15" w:rsidRPr="00517B15" w:rsidRDefault="00517B15" w:rsidP="00517B15">
      <w:pPr>
        <w:rPr>
          <w:rFonts w:cs="Arial"/>
          <w:szCs w:val="24"/>
        </w:rPr>
      </w:pPr>
    </w:p>
    <w:p w14:paraId="09825492" w14:textId="77777777" w:rsidR="00517B15" w:rsidRPr="00517B15" w:rsidRDefault="00517B15" w:rsidP="00517B15">
      <w:pPr>
        <w:rPr>
          <w:rFonts w:cs="Arial"/>
          <w:szCs w:val="24"/>
        </w:rPr>
      </w:pPr>
    </w:p>
    <w:p w14:paraId="67F322C7" w14:textId="77777777" w:rsidR="00517B15" w:rsidRPr="00517B15" w:rsidRDefault="00517B15" w:rsidP="00517B15">
      <w:pPr>
        <w:rPr>
          <w:rFonts w:cs="Arial"/>
          <w:szCs w:val="24"/>
        </w:rPr>
      </w:pPr>
    </w:p>
    <w:p w14:paraId="758A1FE8" w14:textId="77777777" w:rsidR="00517B15" w:rsidRPr="00517B15" w:rsidRDefault="00517B15" w:rsidP="00517B15">
      <w:pPr>
        <w:rPr>
          <w:rFonts w:cs="Arial"/>
          <w:szCs w:val="24"/>
        </w:rPr>
      </w:pPr>
    </w:p>
    <w:p w14:paraId="4EF6EB89" w14:textId="77777777" w:rsidR="00517B15" w:rsidRPr="00517B15" w:rsidRDefault="00517B15" w:rsidP="00517B15">
      <w:pPr>
        <w:rPr>
          <w:rFonts w:cs="Arial"/>
          <w:szCs w:val="24"/>
        </w:rPr>
      </w:pPr>
    </w:p>
    <w:p w14:paraId="71B6C21B" w14:textId="77777777" w:rsidR="00517B15" w:rsidRPr="00517B15" w:rsidRDefault="00517B15" w:rsidP="00517B15">
      <w:pPr>
        <w:rPr>
          <w:rFonts w:cs="Arial"/>
          <w:szCs w:val="24"/>
        </w:rPr>
      </w:pPr>
    </w:p>
    <w:p w14:paraId="0B416FC3" w14:textId="77777777" w:rsidR="00517B15" w:rsidRPr="00517B15" w:rsidRDefault="00517B15" w:rsidP="00517B15">
      <w:pPr>
        <w:rPr>
          <w:rFonts w:cs="Arial"/>
          <w:szCs w:val="24"/>
        </w:rPr>
      </w:pPr>
    </w:p>
    <w:p w14:paraId="68693952" w14:textId="77777777" w:rsidR="00517B15" w:rsidRPr="00517B15" w:rsidRDefault="00517B15" w:rsidP="00517B15">
      <w:pPr>
        <w:rPr>
          <w:rFonts w:cs="Arial"/>
          <w:szCs w:val="24"/>
        </w:rPr>
      </w:pPr>
    </w:p>
    <w:p w14:paraId="27C8E272" w14:textId="77777777" w:rsidR="00517B15" w:rsidRPr="00517B15" w:rsidRDefault="00517B15" w:rsidP="00517B15">
      <w:pPr>
        <w:rPr>
          <w:rFonts w:cs="Arial"/>
          <w:szCs w:val="24"/>
        </w:rPr>
      </w:pPr>
    </w:p>
    <w:p w14:paraId="60A3F937" w14:textId="77777777" w:rsidR="00517B15" w:rsidRPr="00517B15" w:rsidRDefault="00517B15" w:rsidP="00517B15">
      <w:pPr>
        <w:rPr>
          <w:rFonts w:cs="Arial"/>
          <w:szCs w:val="24"/>
        </w:rPr>
      </w:pPr>
    </w:p>
    <w:p w14:paraId="0D9CAFF7" w14:textId="77777777" w:rsidR="00517B15" w:rsidRPr="00517B15" w:rsidRDefault="00517B15" w:rsidP="00517B15">
      <w:pPr>
        <w:rPr>
          <w:rFonts w:cs="Arial"/>
          <w:szCs w:val="24"/>
        </w:rPr>
      </w:pPr>
    </w:p>
    <w:p w14:paraId="4F17494E" w14:textId="77777777" w:rsidR="00517B15" w:rsidRPr="00517B15" w:rsidRDefault="00517B15" w:rsidP="00517B15">
      <w:pPr>
        <w:rPr>
          <w:rFonts w:cs="Arial"/>
          <w:szCs w:val="24"/>
        </w:rPr>
      </w:pPr>
    </w:p>
    <w:p w14:paraId="4B64267A" w14:textId="77777777" w:rsidR="00517B15" w:rsidRPr="00517B15" w:rsidRDefault="00517B15" w:rsidP="00517B15">
      <w:pPr>
        <w:rPr>
          <w:rFonts w:cs="Arial"/>
          <w:szCs w:val="24"/>
        </w:rPr>
      </w:pPr>
    </w:p>
    <w:p w14:paraId="5C24FACC" w14:textId="77777777" w:rsidR="00517B15" w:rsidRPr="00517B15" w:rsidRDefault="00517B15" w:rsidP="00517B15">
      <w:pPr>
        <w:rPr>
          <w:rFonts w:cs="Arial"/>
          <w:szCs w:val="24"/>
        </w:rPr>
      </w:pPr>
    </w:p>
    <w:p w14:paraId="11B65435" w14:textId="77777777" w:rsidR="00517B15" w:rsidRPr="00517B15" w:rsidRDefault="00517B15" w:rsidP="00517B15">
      <w:pPr>
        <w:rPr>
          <w:rFonts w:cs="Arial"/>
          <w:szCs w:val="24"/>
        </w:rPr>
      </w:pPr>
    </w:p>
    <w:p w14:paraId="1AC91E8B" w14:textId="77777777" w:rsidR="00517B15" w:rsidRPr="00517B15" w:rsidRDefault="00517B15" w:rsidP="00517B15">
      <w:pPr>
        <w:rPr>
          <w:rFonts w:cs="Arial"/>
          <w:szCs w:val="24"/>
        </w:rPr>
      </w:pPr>
    </w:p>
    <w:p w14:paraId="30A57132" w14:textId="77777777" w:rsidR="00517B15" w:rsidRPr="00517B15" w:rsidRDefault="00517B15" w:rsidP="00517B15">
      <w:pPr>
        <w:rPr>
          <w:rFonts w:cs="Arial"/>
          <w:szCs w:val="24"/>
        </w:rPr>
      </w:pPr>
    </w:p>
    <w:p w14:paraId="55F45591" w14:textId="77777777" w:rsidR="00517B15" w:rsidRPr="00517B15" w:rsidRDefault="00517B15" w:rsidP="00517B15">
      <w:pPr>
        <w:rPr>
          <w:rFonts w:cs="Arial"/>
          <w:szCs w:val="24"/>
        </w:rPr>
      </w:pPr>
    </w:p>
    <w:p w14:paraId="198383AE" w14:textId="77777777" w:rsidR="00517B15" w:rsidRPr="00517B15" w:rsidRDefault="00517B15" w:rsidP="00517B15">
      <w:pPr>
        <w:rPr>
          <w:rFonts w:cs="Arial"/>
          <w:szCs w:val="24"/>
        </w:rPr>
      </w:pPr>
    </w:p>
    <w:p w14:paraId="655F622E" w14:textId="77777777" w:rsidR="00517B15" w:rsidRPr="00517B15" w:rsidRDefault="00517B15" w:rsidP="00517B15">
      <w:pPr>
        <w:rPr>
          <w:rFonts w:cs="Arial"/>
          <w:szCs w:val="24"/>
        </w:rPr>
      </w:pPr>
    </w:p>
    <w:p w14:paraId="174672DA" w14:textId="77777777" w:rsidR="00517B15" w:rsidRPr="00517B15" w:rsidRDefault="00517B15" w:rsidP="00517B15">
      <w:pPr>
        <w:rPr>
          <w:rFonts w:cs="Arial"/>
          <w:szCs w:val="24"/>
        </w:rPr>
      </w:pPr>
    </w:p>
    <w:p w14:paraId="04B0DD81" w14:textId="77777777" w:rsidR="00517B15" w:rsidRPr="00517B15" w:rsidRDefault="00517B15" w:rsidP="00517B15">
      <w:pPr>
        <w:pStyle w:val="Heading1"/>
        <w:rPr>
          <w:rFonts w:cs="Arial"/>
          <w:sz w:val="24"/>
          <w:szCs w:val="24"/>
        </w:rPr>
      </w:pPr>
      <w:bookmarkStart w:id="11" w:name="_Toc137136294"/>
      <w:r w:rsidRPr="00517B15">
        <w:rPr>
          <w:rFonts w:cs="Arial"/>
          <w:sz w:val="24"/>
          <w:szCs w:val="24"/>
        </w:rPr>
        <w:lastRenderedPageBreak/>
        <w:t>Conclusion</w:t>
      </w:r>
      <w:bookmarkEnd w:id="11"/>
      <w:r w:rsidRPr="00517B15">
        <w:rPr>
          <w:rFonts w:cs="Arial"/>
          <w:sz w:val="24"/>
          <w:szCs w:val="24"/>
        </w:rPr>
        <w:t xml:space="preserve"> </w:t>
      </w:r>
    </w:p>
    <w:p w14:paraId="102E5C35" w14:textId="77777777" w:rsidR="00517B15" w:rsidRPr="00517B15" w:rsidRDefault="00517B15" w:rsidP="00517B15">
      <w:pPr>
        <w:rPr>
          <w:rFonts w:cs="Arial"/>
          <w:szCs w:val="24"/>
        </w:rPr>
      </w:pPr>
      <w:r w:rsidRPr="00517B15">
        <w:rPr>
          <w:rFonts w:cs="Arial"/>
          <w:szCs w:val="24"/>
        </w:rPr>
        <w:t>Hospitality is fraught with challenges and opportunities. Consistency in branding, reputation management, and service culture is necessary for success. Having a consistent brand helps hotels gain customers' confidence, loyalty, and good word of mouth. The popularity of a hotel can increase via reputation management, which includes reacting to customer reviews. Great guest experiences are delivered by a strong service culture, which raises customer happiness and loyalty. By embracing market trends, overcoming obstacles, and empowering staff, hotels may adjust to industry changes and create unique experiences. With these strategies, hotels can thrive in a cutthroat market.</w:t>
      </w:r>
    </w:p>
    <w:p w14:paraId="5D941586" w14:textId="77777777" w:rsidR="00517B15" w:rsidRPr="00517B15" w:rsidRDefault="00517B15" w:rsidP="00517B15">
      <w:pPr>
        <w:rPr>
          <w:rFonts w:cs="Arial"/>
          <w:szCs w:val="24"/>
        </w:rPr>
      </w:pPr>
    </w:p>
    <w:p w14:paraId="150A9F55" w14:textId="77777777" w:rsidR="00517B15" w:rsidRPr="00517B15" w:rsidRDefault="00517B15" w:rsidP="00517B15">
      <w:pPr>
        <w:rPr>
          <w:rFonts w:cs="Arial"/>
          <w:szCs w:val="24"/>
        </w:rPr>
      </w:pPr>
    </w:p>
    <w:p w14:paraId="538F37B3" w14:textId="77777777" w:rsidR="00517B15" w:rsidRPr="00517B15" w:rsidRDefault="00517B15" w:rsidP="00517B15">
      <w:pPr>
        <w:rPr>
          <w:rFonts w:cs="Arial"/>
          <w:szCs w:val="24"/>
        </w:rPr>
      </w:pPr>
    </w:p>
    <w:p w14:paraId="3858B43B" w14:textId="77777777" w:rsidR="00517B15" w:rsidRPr="00517B15" w:rsidRDefault="00517B15" w:rsidP="00517B15">
      <w:pPr>
        <w:rPr>
          <w:rFonts w:cs="Arial"/>
          <w:szCs w:val="24"/>
        </w:rPr>
      </w:pPr>
    </w:p>
    <w:p w14:paraId="3E070BFB" w14:textId="77777777" w:rsidR="00517B15" w:rsidRPr="00517B15" w:rsidRDefault="00517B15" w:rsidP="00517B15">
      <w:pPr>
        <w:rPr>
          <w:rFonts w:cs="Arial"/>
          <w:szCs w:val="24"/>
        </w:rPr>
      </w:pPr>
    </w:p>
    <w:p w14:paraId="2F638024" w14:textId="77777777" w:rsidR="00517B15" w:rsidRPr="00517B15" w:rsidRDefault="00517B15" w:rsidP="00517B15">
      <w:pPr>
        <w:rPr>
          <w:rFonts w:cs="Arial"/>
          <w:szCs w:val="24"/>
        </w:rPr>
      </w:pPr>
    </w:p>
    <w:p w14:paraId="1737A465" w14:textId="77777777" w:rsidR="00517B15" w:rsidRPr="00517B15" w:rsidRDefault="00517B15" w:rsidP="00517B15">
      <w:pPr>
        <w:rPr>
          <w:rFonts w:cs="Arial"/>
          <w:szCs w:val="24"/>
        </w:rPr>
      </w:pPr>
    </w:p>
    <w:p w14:paraId="4CAA7CD3" w14:textId="77777777" w:rsidR="00517B15" w:rsidRPr="00517B15" w:rsidRDefault="00517B15" w:rsidP="00517B15">
      <w:pPr>
        <w:rPr>
          <w:rFonts w:cs="Arial"/>
          <w:szCs w:val="24"/>
        </w:rPr>
      </w:pPr>
    </w:p>
    <w:p w14:paraId="43838517" w14:textId="77777777" w:rsidR="00517B15" w:rsidRPr="00517B15" w:rsidRDefault="00517B15" w:rsidP="00517B15">
      <w:pPr>
        <w:rPr>
          <w:rFonts w:cs="Arial"/>
          <w:szCs w:val="24"/>
        </w:rPr>
      </w:pPr>
    </w:p>
    <w:p w14:paraId="2795A66A" w14:textId="77777777" w:rsidR="00517B15" w:rsidRPr="00517B15" w:rsidRDefault="00517B15" w:rsidP="00517B15">
      <w:pPr>
        <w:rPr>
          <w:rFonts w:cs="Arial"/>
          <w:szCs w:val="24"/>
        </w:rPr>
      </w:pPr>
    </w:p>
    <w:p w14:paraId="331DE8EE" w14:textId="77777777" w:rsidR="00517B15" w:rsidRPr="00517B15" w:rsidRDefault="00517B15" w:rsidP="00517B15">
      <w:pPr>
        <w:rPr>
          <w:rFonts w:cs="Arial"/>
          <w:szCs w:val="24"/>
        </w:rPr>
      </w:pPr>
    </w:p>
    <w:p w14:paraId="1D7DC3B0" w14:textId="77777777" w:rsidR="00517B15" w:rsidRPr="00517B15" w:rsidRDefault="00517B15" w:rsidP="00517B15">
      <w:pPr>
        <w:rPr>
          <w:rFonts w:cs="Arial"/>
          <w:szCs w:val="24"/>
        </w:rPr>
      </w:pPr>
    </w:p>
    <w:p w14:paraId="7CC8E683" w14:textId="77777777" w:rsidR="00517B15" w:rsidRPr="00517B15" w:rsidRDefault="00517B15" w:rsidP="00517B15">
      <w:pPr>
        <w:rPr>
          <w:rFonts w:cs="Arial"/>
          <w:szCs w:val="24"/>
        </w:rPr>
      </w:pPr>
    </w:p>
    <w:p w14:paraId="42403CE8" w14:textId="77777777" w:rsidR="00517B15" w:rsidRPr="00517B15" w:rsidRDefault="00517B15" w:rsidP="00517B15">
      <w:pPr>
        <w:rPr>
          <w:rFonts w:cs="Arial"/>
          <w:szCs w:val="24"/>
        </w:rPr>
      </w:pPr>
    </w:p>
    <w:p w14:paraId="356D59F0" w14:textId="77777777" w:rsidR="00517B15" w:rsidRPr="00517B15" w:rsidRDefault="00517B15" w:rsidP="00517B15">
      <w:pPr>
        <w:rPr>
          <w:rFonts w:cs="Arial"/>
          <w:szCs w:val="24"/>
        </w:rPr>
      </w:pPr>
    </w:p>
    <w:p w14:paraId="3F2014DE" w14:textId="77777777" w:rsidR="00517B15" w:rsidRPr="00517B15" w:rsidRDefault="00517B15" w:rsidP="00517B15">
      <w:pPr>
        <w:rPr>
          <w:rFonts w:cs="Arial"/>
          <w:szCs w:val="24"/>
        </w:rPr>
      </w:pPr>
    </w:p>
    <w:p w14:paraId="4CCD69D4" w14:textId="77777777" w:rsidR="00517B15" w:rsidRPr="00517B15" w:rsidRDefault="00517B15" w:rsidP="00517B15">
      <w:pPr>
        <w:rPr>
          <w:rFonts w:cs="Arial"/>
          <w:szCs w:val="24"/>
        </w:rPr>
      </w:pPr>
    </w:p>
    <w:p w14:paraId="7F61DA68" w14:textId="77777777" w:rsidR="00517B15" w:rsidRPr="00517B15" w:rsidRDefault="00517B15" w:rsidP="00517B15">
      <w:pPr>
        <w:pStyle w:val="Heading1"/>
        <w:rPr>
          <w:rFonts w:cs="Arial"/>
          <w:sz w:val="24"/>
          <w:szCs w:val="24"/>
        </w:rPr>
      </w:pPr>
      <w:bookmarkStart w:id="12" w:name="_Toc137136295"/>
      <w:r w:rsidRPr="00517B15">
        <w:rPr>
          <w:rFonts w:cs="Arial"/>
          <w:sz w:val="24"/>
          <w:szCs w:val="24"/>
        </w:rPr>
        <w:lastRenderedPageBreak/>
        <w:t>References</w:t>
      </w:r>
      <w:bookmarkEnd w:id="12"/>
    </w:p>
    <w:p w14:paraId="6804B34D"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Hameed, W.U., Nisar, Q.A. and Wu, H.-C. (2021). Relationships between external knowledge, internal innovation, firms’ open innovation performance, service innovation and business performance in the Pakistani hotel industry. </w:t>
      </w:r>
      <w:r w:rsidRPr="00517B15">
        <w:rPr>
          <w:rFonts w:cs="Arial"/>
          <w:i/>
          <w:iCs/>
        </w:rPr>
        <w:t>International Journal of Hospitality Management</w:t>
      </w:r>
      <w:r w:rsidRPr="00517B15">
        <w:rPr>
          <w:rFonts w:cs="Arial"/>
        </w:rPr>
        <w:t xml:space="preserve">, 92, p.102745. </w:t>
      </w:r>
      <w:proofErr w:type="spellStart"/>
      <w:proofErr w:type="gramStart"/>
      <w:r w:rsidRPr="00517B15">
        <w:rPr>
          <w:rFonts w:cs="Arial"/>
        </w:rPr>
        <w:t>doi:https</w:t>
      </w:r>
      <w:proofErr w:type="spellEnd"/>
      <w:r w:rsidRPr="00517B15">
        <w:rPr>
          <w:rFonts w:cs="Arial"/>
        </w:rPr>
        <w:t>://doi.org/10.1016/j.ijhm.2020.102745</w:t>
      </w:r>
      <w:proofErr w:type="gramEnd"/>
      <w:r w:rsidRPr="00517B15">
        <w:rPr>
          <w:rFonts w:cs="Arial"/>
        </w:rPr>
        <w:t>.</w:t>
      </w:r>
    </w:p>
    <w:p w14:paraId="175F83FE"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Heppell</w:t>
      </w:r>
      <w:proofErr w:type="spellEnd"/>
      <w:r w:rsidRPr="00517B15">
        <w:rPr>
          <w:rFonts w:cs="Arial"/>
        </w:rPr>
        <w:t xml:space="preserve">, M. (2015). </w:t>
      </w:r>
      <w:r w:rsidRPr="00517B15">
        <w:rPr>
          <w:rFonts w:cs="Arial"/>
          <w:i/>
          <w:iCs/>
        </w:rPr>
        <w:t xml:space="preserve">5 Star </w:t>
      </w:r>
      <w:proofErr w:type="gramStart"/>
      <w:r w:rsidRPr="00517B15">
        <w:rPr>
          <w:rFonts w:cs="Arial"/>
          <w:i/>
          <w:iCs/>
        </w:rPr>
        <w:t>Service :</w:t>
      </w:r>
      <w:proofErr w:type="gramEnd"/>
      <w:r w:rsidRPr="00517B15">
        <w:rPr>
          <w:rFonts w:cs="Arial"/>
          <w:i/>
          <w:iCs/>
        </w:rPr>
        <w:t xml:space="preserve"> How To Deliver Exceptional Customer Service</w:t>
      </w:r>
      <w:r w:rsidRPr="00517B15">
        <w:rPr>
          <w:rFonts w:cs="Arial"/>
        </w:rPr>
        <w:t>. Boston: Pearson.</w:t>
      </w:r>
    </w:p>
    <w:p w14:paraId="465753C8"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Hewagama</w:t>
      </w:r>
      <w:proofErr w:type="spellEnd"/>
      <w:r w:rsidRPr="00517B15">
        <w:rPr>
          <w:rFonts w:cs="Arial"/>
        </w:rPr>
        <w:t xml:space="preserve">, G., Boxall, P., Cheung, G. and Hutchison, A. (2019). Service recovery through empowerment? HRM, employee performance and job satisfaction in hotels. </w:t>
      </w:r>
      <w:r w:rsidRPr="00517B15">
        <w:rPr>
          <w:rFonts w:cs="Arial"/>
          <w:i/>
          <w:iCs/>
        </w:rPr>
        <w:t>International Journal of Hospitality Management</w:t>
      </w:r>
      <w:r w:rsidRPr="00517B15">
        <w:rPr>
          <w:rFonts w:cs="Arial"/>
        </w:rPr>
        <w:t xml:space="preserve">, 81, pp.73–82. </w:t>
      </w:r>
      <w:proofErr w:type="spellStart"/>
      <w:proofErr w:type="gramStart"/>
      <w:r w:rsidRPr="00517B15">
        <w:rPr>
          <w:rFonts w:cs="Arial"/>
        </w:rPr>
        <w:t>doi:https</w:t>
      </w:r>
      <w:proofErr w:type="spellEnd"/>
      <w:r w:rsidRPr="00517B15">
        <w:rPr>
          <w:rFonts w:cs="Arial"/>
        </w:rPr>
        <w:t>://doi.org/10.1016/j.ijhm.2019.03.006</w:t>
      </w:r>
      <w:proofErr w:type="gramEnd"/>
      <w:r w:rsidRPr="00517B15">
        <w:rPr>
          <w:rFonts w:cs="Arial"/>
        </w:rPr>
        <w:t>.</w:t>
      </w:r>
    </w:p>
    <w:p w14:paraId="1F35F574"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Horner, S. and </w:t>
      </w:r>
      <w:proofErr w:type="spellStart"/>
      <w:r w:rsidRPr="00517B15">
        <w:rPr>
          <w:rFonts w:cs="Arial"/>
        </w:rPr>
        <w:t>Swarbrooke</w:t>
      </w:r>
      <w:proofErr w:type="spellEnd"/>
      <w:r w:rsidRPr="00517B15">
        <w:rPr>
          <w:rFonts w:cs="Arial"/>
        </w:rPr>
        <w:t xml:space="preserve">, J. (2011). </w:t>
      </w:r>
      <w:r w:rsidRPr="00517B15">
        <w:rPr>
          <w:rFonts w:cs="Arial"/>
          <w:i/>
          <w:iCs/>
        </w:rPr>
        <w:t>Consumer Behaviour in Tourism</w:t>
      </w:r>
      <w:r w:rsidRPr="00517B15">
        <w:rPr>
          <w:rFonts w:cs="Arial"/>
        </w:rPr>
        <w:t>. Routledge.</w:t>
      </w:r>
    </w:p>
    <w:p w14:paraId="741615CA"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Johnston, R., Clark, G. and </w:t>
      </w:r>
      <w:proofErr w:type="spellStart"/>
      <w:r w:rsidRPr="00517B15">
        <w:rPr>
          <w:rFonts w:cs="Arial"/>
        </w:rPr>
        <w:t>Shulver</w:t>
      </w:r>
      <w:proofErr w:type="spellEnd"/>
      <w:r w:rsidRPr="00517B15">
        <w:rPr>
          <w:rFonts w:cs="Arial"/>
        </w:rPr>
        <w:t xml:space="preserve">, M. (2012). </w:t>
      </w:r>
      <w:r w:rsidRPr="00517B15">
        <w:rPr>
          <w:rFonts w:cs="Arial"/>
          <w:i/>
          <w:iCs/>
        </w:rPr>
        <w:t xml:space="preserve">Service operations </w:t>
      </w:r>
      <w:proofErr w:type="gramStart"/>
      <w:r w:rsidRPr="00517B15">
        <w:rPr>
          <w:rFonts w:cs="Arial"/>
          <w:i/>
          <w:iCs/>
        </w:rPr>
        <w:t>management :</w:t>
      </w:r>
      <w:proofErr w:type="gramEnd"/>
      <w:r w:rsidRPr="00517B15">
        <w:rPr>
          <w:rFonts w:cs="Arial"/>
          <w:i/>
          <w:iCs/>
        </w:rPr>
        <w:t xml:space="preserve"> improving service delivery</w:t>
      </w:r>
      <w:r w:rsidRPr="00517B15">
        <w:rPr>
          <w:rFonts w:cs="Arial"/>
        </w:rPr>
        <w:t>. 5th ed. Harlow: Pearson.</w:t>
      </w:r>
    </w:p>
    <w:p w14:paraId="0E4EDE7F"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Ko, A., Chan, A. and Wong, S.C.K. (2019). A scale development study of CSR: hotel employees’ perceptions. </w:t>
      </w:r>
      <w:r w:rsidRPr="00517B15">
        <w:rPr>
          <w:rFonts w:cs="Arial"/>
          <w:i/>
          <w:iCs/>
        </w:rPr>
        <w:t>International Journal of Contemporary Hospitality Management</w:t>
      </w:r>
      <w:r w:rsidRPr="00517B15">
        <w:rPr>
          <w:rFonts w:cs="Arial"/>
        </w:rPr>
        <w:t xml:space="preserve">, 31(4), pp.1857–1884. </w:t>
      </w:r>
      <w:proofErr w:type="spellStart"/>
      <w:proofErr w:type="gramStart"/>
      <w:r w:rsidRPr="00517B15">
        <w:rPr>
          <w:rFonts w:cs="Arial"/>
        </w:rPr>
        <w:t>doi:https</w:t>
      </w:r>
      <w:proofErr w:type="spellEnd"/>
      <w:r w:rsidRPr="00517B15">
        <w:rPr>
          <w:rFonts w:cs="Arial"/>
        </w:rPr>
        <w:t>://doi.org/10.1108/ijchm-09-2017-0560</w:t>
      </w:r>
      <w:proofErr w:type="gramEnd"/>
      <w:r w:rsidRPr="00517B15">
        <w:rPr>
          <w:rFonts w:cs="Arial"/>
        </w:rPr>
        <w:t>.</w:t>
      </w:r>
    </w:p>
    <w:p w14:paraId="02BA6836"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Latif, K.F., Pérez, A. and Sahibzada, U.F. (2020). Corporate social responsibility (CSR) and customer loyalty in the hotel industry: A cross-country study. </w:t>
      </w:r>
      <w:r w:rsidRPr="00517B15">
        <w:rPr>
          <w:rFonts w:cs="Arial"/>
          <w:i/>
          <w:iCs/>
        </w:rPr>
        <w:t>International Journal of Hospitality Management</w:t>
      </w:r>
      <w:r w:rsidRPr="00517B15">
        <w:rPr>
          <w:rFonts w:cs="Arial"/>
        </w:rPr>
        <w:t xml:space="preserve">, 89, p.102565. </w:t>
      </w:r>
      <w:proofErr w:type="spellStart"/>
      <w:proofErr w:type="gramStart"/>
      <w:r w:rsidRPr="00517B15">
        <w:rPr>
          <w:rFonts w:cs="Arial"/>
        </w:rPr>
        <w:t>doi:https</w:t>
      </w:r>
      <w:proofErr w:type="spellEnd"/>
      <w:r w:rsidRPr="00517B15">
        <w:rPr>
          <w:rFonts w:cs="Arial"/>
        </w:rPr>
        <w:t>://doi.org/10.1016/j.ijhm.2020.102565</w:t>
      </w:r>
      <w:proofErr w:type="gramEnd"/>
      <w:r w:rsidRPr="00517B15">
        <w:rPr>
          <w:rFonts w:cs="Arial"/>
        </w:rPr>
        <w:t>.</w:t>
      </w:r>
    </w:p>
    <w:p w14:paraId="443C8A54"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O’fallon</w:t>
      </w:r>
      <w:proofErr w:type="spellEnd"/>
      <w:r w:rsidRPr="00517B15">
        <w:rPr>
          <w:rFonts w:cs="Arial"/>
        </w:rPr>
        <w:t xml:space="preserve">, M.J. and Rutherford, D.G. (2010). </w:t>
      </w:r>
      <w:r w:rsidRPr="00517B15">
        <w:rPr>
          <w:rFonts w:cs="Arial"/>
          <w:i/>
          <w:iCs/>
        </w:rPr>
        <w:t>Hotel management and operations</w:t>
      </w:r>
      <w:r w:rsidRPr="00517B15">
        <w:rPr>
          <w:rFonts w:cs="Arial"/>
        </w:rPr>
        <w:t>. 5th ed. Hoboken, N.J.: Wiley.</w:t>
      </w:r>
    </w:p>
    <w:p w14:paraId="61938086"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O’gorman</w:t>
      </w:r>
      <w:proofErr w:type="spellEnd"/>
      <w:r w:rsidRPr="00517B15">
        <w:rPr>
          <w:rFonts w:cs="Arial"/>
        </w:rPr>
        <w:t xml:space="preserve">, K.D. and Cousins, J.A. (2010). </w:t>
      </w:r>
      <w:r w:rsidRPr="00517B15">
        <w:rPr>
          <w:rFonts w:cs="Arial"/>
          <w:i/>
          <w:iCs/>
        </w:rPr>
        <w:t>The origins of hospitality and tourism</w:t>
      </w:r>
      <w:r w:rsidRPr="00517B15">
        <w:rPr>
          <w:rFonts w:cs="Arial"/>
        </w:rPr>
        <w:t>. Oxford: Goodfellow Publishers Ltd.</w:t>
      </w:r>
    </w:p>
    <w:p w14:paraId="72B67483"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Sarhan</w:t>
      </w:r>
      <w:proofErr w:type="spellEnd"/>
      <w:r w:rsidRPr="00517B15">
        <w:rPr>
          <w:rFonts w:cs="Arial"/>
        </w:rPr>
        <w:t xml:space="preserve">, N., </w:t>
      </w:r>
      <w:proofErr w:type="spellStart"/>
      <w:r w:rsidRPr="00517B15">
        <w:rPr>
          <w:rFonts w:cs="Arial"/>
        </w:rPr>
        <w:t>Harb</w:t>
      </w:r>
      <w:proofErr w:type="spellEnd"/>
      <w:r w:rsidRPr="00517B15">
        <w:rPr>
          <w:rFonts w:cs="Arial"/>
        </w:rPr>
        <w:t xml:space="preserve">, A., </w:t>
      </w:r>
      <w:proofErr w:type="spellStart"/>
      <w:r w:rsidRPr="00517B15">
        <w:rPr>
          <w:rFonts w:cs="Arial"/>
        </w:rPr>
        <w:t>Shrafat</w:t>
      </w:r>
      <w:proofErr w:type="spellEnd"/>
      <w:r w:rsidRPr="00517B15">
        <w:rPr>
          <w:rFonts w:cs="Arial"/>
        </w:rPr>
        <w:t xml:space="preserve">, F. and </w:t>
      </w:r>
      <w:proofErr w:type="spellStart"/>
      <w:r w:rsidRPr="00517B15">
        <w:rPr>
          <w:rFonts w:cs="Arial"/>
        </w:rPr>
        <w:t>Alhusban</w:t>
      </w:r>
      <w:proofErr w:type="spellEnd"/>
      <w:r w:rsidRPr="00517B15">
        <w:rPr>
          <w:rFonts w:cs="Arial"/>
        </w:rPr>
        <w:t xml:space="preserve">, M. (2020). The effect of organizational culture on the organizational commitment: Evidence from hotel industry. </w:t>
      </w:r>
      <w:r w:rsidRPr="00517B15">
        <w:rPr>
          <w:rFonts w:cs="Arial"/>
          <w:i/>
          <w:iCs/>
        </w:rPr>
        <w:t xml:space="preserve">Management </w:t>
      </w:r>
      <w:r w:rsidRPr="00517B15">
        <w:rPr>
          <w:rFonts w:cs="Arial"/>
          <w:i/>
          <w:iCs/>
        </w:rPr>
        <w:lastRenderedPageBreak/>
        <w:t>Science Letters</w:t>
      </w:r>
      <w:r w:rsidRPr="00517B15">
        <w:rPr>
          <w:rFonts w:cs="Arial"/>
        </w:rPr>
        <w:t xml:space="preserve">, [online] 10(1), pp.183–196. Available at: </w:t>
      </w:r>
      <w:hyperlink r:id="rId7" w:history="1">
        <w:r w:rsidRPr="00517B15">
          <w:rPr>
            <w:rStyle w:val="Hyperlink"/>
            <w:rFonts w:cs="Arial"/>
          </w:rPr>
          <w:t>http://growingscience.com/beta/msl/3400-the-effect-of-organizational-culture-on-the-organizational-commitment-evidence-from-hotel-industry.html</w:t>
        </w:r>
      </w:hyperlink>
      <w:r w:rsidRPr="00517B15">
        <w:rPr>
          <w:rFonts w:cs="Arial"/>
        </w:rPr>
        <w:t>.</w:t>
      </w:r>
    </w:p>
    <w:p w14:paraId="5CA0ABA4" w14:textId="77777777" w:rsidR="00517B15" w:rsidRPr="00517B15" w:rsidRDefault="00517B15" w:rsidP="00517B15">
      <w:pPr>
        <w:rPr>
          <w:rFonts w:cs="Arial"/>
          <w:szCs w:val="24"/>
          <w:lang w:eastAsia="en-GB"/>
        </w:rPr>
      </w:pPr>
      <w:proofErr w:type="spellStart"/>
      <w:r w:rsidRPr="00517B15">
        <w:rPr>
          <w:rFonts w:cs="Arial"/>
          <w:szCs w:val="24"/>
          <w:lang w:eastAsia="en-GB"/>
        </w:rPr>
        <w:t>Samatovich</w:t>
      </w:r>
      <w:proofErr w:type="spellEnd"/>
      <w:r w:rsidRPr="00517B15">
        <w:rPr>
          <w:rFonts w:cs="Arial"/>
          <w:szCs w:val="24"/>
          <w:lang w:eastAsia="en-GB"/>
        </w:rPr>
        <w:t xml:space="preserve">, R. (2021). Importance of Marketing in Tourism and Hotel Industry. </w:t>
      </w:r>
      <w:r w:rsidRPr="00517B15">
        <w:rPr>
          <w:rFonts w:cs="Arial"/>
          <w:i/>
          <w:iCs/>
          <w:szCs w:val="24"/>
          <w:lang w:eastAsia="en-GB"/>
        </w:rPr>
        <w:t xml:space="preserve">Technology, and Organizational </w:t>
      </w:r>
      <w:proofErr w:type="spellStart"/>
      <w:r w:rsidRPr="00517B15">
        <w:rPr>
          <w:rFonts w:cs="Arial"/>
          <w:i/>
          <w:iCs/>
          <w:szCs w:val="24"/>
          <w:lang w:eastAsia="en-GB"/>
        </w:rPr>
        <w:t>Behavior</w:t>
      </w:r>
      <w:proofErr w:type="spellEnd"/>
      <w:r w:rsidRPr="00517B15">
        <w:rPr>
          <w:rFonts w:cs="Arial"/>
          <w:i/>
          <w:iCs/>
          <w:szCs w:val="24"/>
          <w:lang w:eastAsia="en-GB"/>
        </w:rPr>
        <w:t xml:space="preserve"> (IJBTOB)</w:t>
      </w:r>
      <w:r w:rsidRPr="00517B15">
        <w:rPr>
          <w:rFonts w:cs="Arial"/>
          <w:szCs w:val="24"/>
          <w:lang w:eastAsia="en-GB"/>
        </w:rPr>
        <w:t>, [online] 01(02), pp.2775–4936. Available at: https://uniwork.buxdu.uz/resurs/14385_1_73E7F5C60EB2CD17D4FEAC306D74BA8D8D7DE414.pdf.</w:t>
      </w:r>
    </w:p>
    <w:p w14:paraId="1AE59BB5"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Tesone</w:t>
      </w:r>
      <w:proofErr w:type="spellEnd"/>
      <w:r w:rsidRPr="00517B15">
        <w:rPr>
          <w:rFonts w:cs="Arial"/>
        </w:rPr>
        <w:t xml:space="preserve">, D.V. (2014). </w:t>
      </w:r>
      <w:r w:rsidRPr="00517B15">
        <w:rPr>
          <w:rFonts w:cs="Arial"/>
          <w:i/>
          <w:iCs/>
        </w:rPr>
        <w:t>Principles of Management for the Hospitality Industry</w:t>
      </w:r>
      <w:r w:rsidRPr="00517B15">
        <w:rPr>
          <w:rFonts w:cs="Arial"/>
        </w:rPr>
        <w:t>. Routledge.</w:t>
      </w:r>
    </w:p>
    <w:p w14:paraId="75931C28" w14:textId="77777777" w:rsidR="00517B15" w:rsidRPr="00517B15" w:rsidRDefault="00517B15" w:rsidP="00517B15">
      <w:pPr>
        <w:pStyle w:val="NormalWeb"/>
        <w:spacing w:before="0" w:beforeAutospacing="0" w:after="240" w:afterAutospacing="0" w:line="360" w:lineRule="auto"/>
        <w:jc w:val="both"/>
        <w:rPr>
          <w:rFonts w:cs="Arial"/>
        </w:rPr>
      </w:pPr>
      <w:proofErr w:type="spellStart"/>
      <w:r w:rsidRPr="00517B15">
        <w:rPr>
          <w:rFonts w:cs="Arial"/>
        </w:rPr>
        <w:t>Vallen</w:t>
      </w:r>
      <w:proofErr w:type="spellEnd"/>
      <w:r w:rsidRPr="00517B15">
        <w:rPr>
          <w:rFonts w:cs="Arial"/>
        </w:rPr>
        <w:t xml:space="preserve">, G.K. and </w:t>
      </w:r>
      <w:proofErr w:type="spellStart"/>
      <w:r w:rsidRPr="00517B15">
        <w:rPr>
          <w:rFonts w:cs="Arial"/>
        </w:rPr>
        <w:t>Vallen</w:t>
      </w:r>
      <w:proofErr w:type="spellEnd"/>
      <w:r w:rsidRPr="00517B15">
        <w:rPr>
          <w:rFonts w:cs="Arial"/>
        </w:rPr>
        <w:t xml:space="preserve">, J.J. (2014). </w:t>
      </w:r>
      <w:r w:rsidRPr="00517B15">
        <w:rPr>
          <w:rFonts w:cs="Arial"/>
          <w:i/>
          <w:iCs/>
        </w:rPr>
        <w:t>Check-in check-</w:t>
      </w:r>
      <w:proofErr w:type="gramStart"/>
      <w:r w:rsidRPr="00517B15">
        <w:rPr>
          <w:rFonts w:cs="Arial"/>
          <w:i/>
          <w:iCs/>
        </w:rPr>
        <w:t>out :</w:t>
      </w:r>
      <w:proofErr w:type="gramEnd"/>
      <w:r w:rsidRPr="00517B15">
        <w:rPr>
          <w:rFonts w:cs="Arial"/>
          <w:i/>
          <w:iCs/>
        </w:rPr>
        <w:t xml:space="preserve"> managing hotel operations</w:t>
      </w:r>
      <w:r w:rsidRPr="00517B15">
        <w:rPr>
          <w:rFonts w:cs="Arial"/>
        </w:rPr>
        <w:t>. Upper Saddle River, N.J.: Pearson/Prentice Hall.</w:t>
      </w:r>
    </w:p>
    <w:p w14:paraId="27AC2D95"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Walker, J.R. (2013). </w:t>
      </w:r>
      <w:r w:rsidRPr="00517B15">
        <w:rPr>
          <w:rFonts w:cs="Arial"/>
          <w:i/>
          <w:iCs/>
        </w:rPr>
        <w:t>Introduction to hospitality management</w:t>
      </w:r>
      <w:r w:rsidRPr="00517B15">
        <w:rPr>
          <w:rFonts w:cs="Arial"/>
        </w:rPr>
        <w:t>. Boston: Pearson.</w:t>
      </w:r>
    </w:p>
    <w:p w14:paraId="135D7B22" w14:textId="77777777" w:rsidR="00517B15" w:rsidRPr="00517B15" w:rsidRDefault="00517B15" w:rsidP="00517B15">
      <w:pPr>
        <w:pStyle w:val="NormalWeb"/>
        <w:spacing w:before="0" w:beforeAutospacing="0" w:after="240" w:afterAutospacing="0" w:line="360" w:lineRule="auto"/>
        <w:jc w:val="both"/>
        <w:rPr>
          <w:rFonts w:cs="Arial"/>
        </w:rPr>
      </w:pPr>
      <w:r w:rsidRPr="00517B15">
        <w:rPr>
          <w:rFonts w:cs="Arial"/>
        </w:rPr>
        <w:t xml:space="preserve">Wood, R.C. (2015). </w:t>
      </w:r>
      <w:r w:rsidRPr="00517B15">
        <w:rPr>
          <w:rFonts w:cs="Arial"/>
          <w:i/>
          <w:iCs/>
        </w:rPr>
        <w:t>Hospitality Management</w:t>
      </w:r>
      <w:r w:rsidRPr="00517B15">
        <w:rPr>
          <w:rFonts w:cs="Arial"/>
        </w:rPr>
        <w:t>. London: SAGE.</w:t>
      </w:r>
    </w:p>
    <w:p w14:paraId="04497E34" w14:textId="77777777" w:rsidR="00517B15" w:rsidRPr="00517B15" w:rsidRDefault="00517B15" w:rsidP="00517B15">
      <w:pPr>
        <w:rPr>
          <w:rFonts w:cs="Arial"/>
          <w:szCs w:val="24"/>
        </w:rPr>
      </w:pPr>
    </w:p>
    <w:p w14:paraId="127B42DF" w14:textId="77777777" w:rsidR="00517B15" w:rsidRPr="00517B15" w:rsidRDefault="00517B15" w:rsidP="00517B15">
      <w:pPr>
        <w:rPr>
          <w:rFonts w:cs="Arial"/>
          <w:szCs w:val="24"/>
        </w:rPr>
      </w:pPr>
    </w:p>
    <w:p w14:paraId="1DC11E69" w14:textId="77777777" w:rsidR="00517B15" w:rsidRPr="00517B15" w:rsidRDefault="00517B15" w:rsidP="00517B15">
      <w:pPr>
        <w:rPr>
          <w:rFonts w:cs="Arial"/>
          <w:szCs w:val="24"/>
        </w:rPr>
      </w:pPr>
    </w:p>
    <w:p w14:paraId="14B85ADE" w14:textId="77777777" w:rsidR="00517B15" w:rsidRPr="00517B15" w:rsidRDefault="00517B15" w:rsidP="00517B15">
      <w:pPr>
        <w:rPr>
          <w:rFonts w:cs="Arial"/>
          <w:szCs w:val="24"/>
        </w:rPr>
      </w:pPr>
    </w:p>
    <w:p w14:paraId="7F82BD61" w14:textId="77777777" w:rsidR="00517B15" w:rsidRPr="00517B15" w:rsidRDefault="00517B15" w:rsidP="00517B15">
      <w:pPr>
        <w:rPr>
          <w:rFonts w:cs="Arial"/>
          <w:szCs w:val="24"/>
        </w:rPr>
      </w:pPr>
      <w:r w:rsidRPr="00517B15">
        <w:rPr>
          <w:rFonts w:cs="Arial"/>
          <w:szCs w:val="24"/>
        </w:rPr>
        <w:t xml:space="preserve">  </w:t>
      </w:r>
    </w:p>
    <w:p w14:paraId="4D4AB4ED" w14:textId="77777777" w:rsidR="00EE14E1" w:rsidRPr="00517B15" w:rsidRDefault="00EE14E1" w:rsidP="00517B15">
      <w:pPr>
        <w:rPr>
          <w:rFonts w:cs="Arial"/>
          <w:szCs w:val="24"/>
        </w:rPr>
      </w:pPr>
    </w:p>
    <w:sectPr w:rsidR="00EE14E1" w:rsidRPr="00517B15">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074593"/>
      <w:docPartObj>
        <w:docPartGallery w:val="Page Numbers (Bottom of Page)"/>
        <w:docPartUnique/>
      </w:docPartObj>
    </w:sdtPr>
    <w:sdtEndPr>
      <w:rPr>
        <w:noProof/>
      </w:rPr>
    </w:sdtEndPr>
    <w:sdtContent>
      <w:p w14:paraId="63914810" w14:textId="77777777" w:rsidR="00486FB2" w:rsidRDefault="00000000">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14:paraId="578684F3" w14:textId="77777777" w:rsidR="00486FB2"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B15"/>
    <w:rsid w:val="00517B15"/>
    <w:rsid w:val="006C2122"/>
    <w:rsid w:val="009B09F8"/>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D1487"/>
  <w15:chartTrackingRefBased/>
  <w15:docId w15:val="{0779D86E-58DC-4258-B10A-D122D421E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B15"/>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517B1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17B1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7B15"/>
    <w:rPr>
      <w:rFonts w:ascii="Arial" w:eastAsiaTheme="majorEastAsia" w:hAnsi="Arial" w:cstheme="majorBidi"/>
      <w:b/>
      <w:kern w:val="0"/>
      <w:sz w:val="32"/>
      <w:szCs w:val="32"/>
      <w14:ligatures w14:val="none"/>
    </w:rPr>
  </w:style>
  <w:style w:type="character" w:customStyle="1" w:styleId="Heading2Char">
    <w:name w:val="Heading 2 Char"/>
    <w:basedOn w:val="DefaultParagraphFont"/>
    <w:link w:val="Heading2"/>
    <w:uiPriority w:val="9"/>
    <w:rsid w:val="00517B15"/>
    <w:rPr>
      <w:rFonts w:ascii="Arial" w:eastAsiaTheme="majorEastAsia" w:hAnsi="Arial" w:cstheme="majorBidi"/>
      <w:b/>
      <w:kern w:val="0"/>
      <w:sz w:val="28"/>
      <w:szCs w:val="26"/>
      <w14:ligatures w14:val="none"/>
    </w:rPr>
  </w:style>
  <w:style w:type="paragraph" w:styleId="NormalWeb">
    <w:name w:val="Normal (Web)"/>
    <w:basedOn w:val="Normal"/>
    <w:uiPriority w:val="99"/>
    <w:semiHidden/>
    <w:unhideWhenUsed/>
    <w:rsid w:val="00517B15"/>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517B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B15"/>
    <w:rPr>
      <w:rFonts w:ascii="Arial" w:hAnsi="Arial"/>
      <w:kern w:val="0"/>
      <w:sz w:val="24"/>
      <w14:ligatures w14:val="none"/>
    </w:rPr>
  </w:style>
  <w:style w:type="paragraph" w:styleId="TOCHeading">
    <w:name w:val="TOC Heading"/>
    <w:basedOn w:val="Heading1"/>
    <w:next w:val="Normal"/>
    <w:uiPriority w:val="39"/>
    <w:unhideWhenUsed/>
    <w:qFormat/>
    <w:rsid w:val="00517B1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17B15"/>
    <w:pPr>
      <w:spacing w:after="100"/>
    </w:pPr>
  </w:style>
  <w:style w:type="paragraph" w:styleId="TOC2">
    <w:name w:val="toc 2"/>
    <w:basedOn w:val="Normal"/>
    <w:next w:val="Normal"/>
    <w:autoRedefine/>
    <w:uiPriority w:val="39"/>
    <w:unhideWhenUsed/>
    <w:rsid w:val="00517B15"/>
    <w:pPr>
      <w:spacing w:after="100"/>
      <w:ind w:left="240"/>
    </w:pPr>
  </w:style>
  <w:style w:type="character" w:styleId="Hyperlink">
    <w:name w:val="Hyperlink"/>
    <w:basedOn w:val="DefaultParagraphFont"/>
    <w:uiPriority w:val="99"/>
    <w:unhideWhenUsed/>
    <w:rsid w:val="00517B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growingscience.com/beta/msl/3400-the-effect-of-organizational-culture-on-the-organizational-commitment-evidence-from-hotel-industry.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2290</Words>
  <Characters>13057</Characters>
  <Application>Microsoft Office Word</Application>
  <DocSecurity>0</DocSecurity>
  <Lines>108</Lines>
  <Paragraphs>30</Paragraphs>
  <ScaleCrop>false</ScaleCrop>
  <Company/>
  <LinksUpToDate>false</LinksUpToDate>
  <CharactersWithSpaces>15317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1</cp:revision>
  <dcterms:created xsi:type="dcterms:W3CDTF">2023-06-12T17:23:00Z</dcterms:created>
  <dcterms:modified xsi:type="dcterms:W3CDTF">2023-06-12T17:25:00Z</dcterms:modified>
</cp:coreProperties>
</file>