
<file path=[Content_Types].xml><?xml version="1.0" encoding="utf-8"?>
<Types xmlns="http://schemas.openxmlformats.org/package/2006/content-types">
  <Default Extension="rels" ContentType="application/vnd.openxmlformats-package.relationships+xml"/>
  <Default Extension="xml" ContentType="application/xml"/>
  <Default Extension="tif" ContentType="image/t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1704CF" w:rsidRDefault="00BD4EFB">
      <w:pPr>
        <w:pStyle w:val="Heading"/>
      </w:pPr>
      <w:r>
        <w:t>Name - Andrew Bowen</w:t>
      </w:r>
    </w:p>
    <w:p w:rsidR="001704CF" w:rsidRDefault="00BD4EFB">
      <w:pPr>
        <w:pStyle w:val="Heading"/>
      </w:pPr>
      <w:r>
        <w:t>Student No. - P127506</w:t>
      </w:r>
    </w:p>
    <w:p w:rsidR="001704CF" w:rsidRDefault="00BD4EFB">
      <w:pPr>
        <w:pStyle w:val="Heading"/>
      </w:pPr>
      <w:r>
        <w:t>Module - Contextual Studies</w:t>
      </w:r>
    </w:p>
    <w:p w:rsidR="001704CF" w:rsidRDefault="00BD4EFB">
      <w:pPr>
        <w:pStyle w:val="Body2"/>
        <w:rPr>
          <w:color w:val="000000"/>
        </w:rPr>
      </w:pPr>
      <w:r>
        <w:rPr>
          <w:color w:val="000000"/>
        </w:rPr>
        <w:t>Word Count - 2724</w:t>
      </w:r>
    </w:p>
    <w:p w:rsidR="001704CF" w:rsidRDefault="001704CF">
      <w:pPr>
        <w:pStyle w:val="Heading"/>
      </w:pPr>
    </w:p>
    <w:p w:rsidR="001704CF" w:rsidRDefault="001704CF">
      <w:pPr>
        <w:pStyle w:val="Heading"/>
      </w:pPr>
    </w:p>
    <w:p w:rsidR="001704CF" w:rsidRPr="008A5A97" w:rsidRDefault="00A3624F">
      <w:pPr>
        <w:pStyle w:val="Subtitle"/>
        <w:rPr>
          <w:color w:val="000000" w:themeColor="text1"/>
          <w:sz w:val="48"/>
          <w:szCs w:val="48"/>
        </w:rPr>
      </w:pPr>
      <w:r>
        <w:rPr>
          <w:color w:val="000000" w:themeColor="text1"/>
          <w:sz w:val="48"/>
          <w:szCs w:val="48"/>
        </w:rPr>
        <w:t>Research Practices</w:t>
      </w:r>
    </w:p>
    <w:p w:rsidR="001704CF" w:rsidRDefault="00BD4EFB">
      <w:pPr>
        <w:pStyle w:val="Subheading"/>
      </w:pPr>
      <w:r>
        <w:t>Three Key Words</w:t>
      </w:r>
    </w:p>
    <w:p w:rsidR="001704CF" w:rsidRDefault="001704CF">
      <w:pPr>
        <w:pStyle w:val="Body"/>
      </w:pPr>
    </w:p>
    <w:p w:rsidR="001704CF" w:rsidRDefault="00BD4EFB">
      <w:pPr>
        <w:pStyle w:val="Body"/>
        <w:spacing w:line="600" w:lineRule="auto"/>
      </w:pPr>
      <w:r>
        <w:rPr>
          <w:lang w:val="en-US"/>
        </w:rPr>
        <w:t xml:space="preserve">To narrow down influences and practice to just three keywords is a difficult task. There are many facets and disciplines used in the work one produces. From ceramics to digital manipulation and from text to paint on canvas, choosing only three words to describe oneself at first seemed impossible. After a series of mind mapping and note jotting, a set of running themes seemed to leap from the page and my personal artistic practice began forming a coherent thread of interlinking key words and artistic influence. An interest in the sculptural aspects of fine art stands out almost instantly when scanning through prior works. Delving deeper into the artistic influencers of my practice has led me to discover an ever growing and underlining ‘pop’ sensibility flowing through and growing within my studies. The third and final keyword changed from week to week; I began with the idea of using the word ‘performance’ as many university lectures have recently been directing me to explore the more performative elements of my personality with in my practice. But I quickly realised my theoretical knowledge in regards to this area of artistic expression was limited, and my back </w:t>
      </w:r>
      <w:r>
        <w:rPr>
          <w:lang w:val="en-US"/>
        </w:rPr>
        <w:lastRenderedPageBreak/>
        <w:t xml:space="preserve">catalogue of work had no record of performative study. Instead I have chosen a broader term, one that describes elements of influence over my practice originating from childhood - Storytelling. </w:t>
      </w:r>
    </w:p>
    <w:p w:rsidR="001704CF" w:rsidRDefault="001704CF">
      <w:pPr>
        <w:pStyle w:val="Subheading"/>
        <w:spacing w:line="600" w:lineRule="auto"/>
      </w:pPr>
    </w:p>
    <w:p w:rsidR="001704CF" w:rsidRDefault="00BD4EFB" w:rsidP="008A5A97">
      <w:pPr>
        <w:pStyle w:val="Subheading"/>
        <w:spacing w:line="600" w:lineRule="auto"/>
      </w:pPr>
      <w:r>
        <w:t>Key Word 1 - Sculpture</w:t>
      </w:r>
    </w:p>
    <w:p w:rsidR="001704CF" w:rsidRDefault="00BD4EFB">
      <w:pPr>
        <w:pStyle w:val="Body"/>
        <w:spacing w:line="600" w:lineRule="auto"/>
      </w:pPr>
      <w:r>
        <w:rPr>
          <w:lang w:val="en-US"/>
        </w:rPr>
        <w:t>‘To explain sculpture is an almost impossible task because any attempt inevitably becomes an academic discussion of idiom and materials’ (Mills, 1976, p.9). Forming shapes with tools and hands is an ancient practice. From the larger than life heads found on Easter I</w:t>
      </w:r>
      <w:r>
        <w:rPr>
          <w:lang w:val="nl-NL"/>
        </w:rPr>
        <w:t>sland</w:t>
      </w:r>
      <w:r>
        <w:rPr>
          <w:lang w:val="en-US"/>
        </w:rPr>
        <w:t xml:space="preserve"> to the spiritual totems of Stone Age civilisations, artists have been forming three-dimensional imagery from natural materials for as long as human history has existed. Greek statues of Adonis like figures in marble and limestone adorned temples dedicated to Gods. These epic figures carved by man are not the only object sculpted throughout history; just as man sculpted ‘God like’ physiques from stone we began to sculpt our own bodies. Man would break down muscles through use of strenuous weight lifting, in order for them to grow larger and stronger thus using our own body as a canvas for sculpting, moulding and forming desired shapes and proportions. </w:t>
      </w:r>
    </w:p>
    <w:p w:rsidR="008A5A97" w:rsidRDefault="00BD4EFB" w:rsidP="008A5A97">
      <w:pPr>
        <w:pStyle w:val="Body"/>
        <w:spacing w:line="600" w:lineRule="auto"/>
      </w:pPr>
      <w:r>
        <w:rPr>
          <w:lang w:val="en-US"/>
        </w:rPr>
        <w:lastRenderedPageBreak/>
        <w:t>With the advent of conceptual art in the 1970’s, the word sculpture began to be used to describe a wide variety of art. An example of this is recorded in The Thames and Hudson dictionary of art terms and is written as follows; ‘When the British artist Richard Long made one of his planned walks across the country, and recorded what he had done on a map, this action was labeled ‘sculpture’.’ (Lucie-Smith, 1984, p.168). Over time this word has become a term to describe almost every artistic activity that isn’t painting - broadening its definition with each passing decade. This definition, in accordance to the 12th edition of the Concise Oxford English Dictionary, is ‘The art of making two- or three-dimensional representative or abstract forms, especially by carving stone or wood or by casting metal or plaster.’ (Allen, 2011, p.1088) And can be used as a noun, like the aforementioned definition given by the Oxford English dictionary, or verb, as one could say that I am sculpting this section of individual English words to create a paragraph.</w:t>
      </w:r>
    </w:p>
    <w:p w:rsidR="001704CF" w:rsidRDefault="00BD4EFB" w:rsidP="008A5A97">
      <w:pPr>
        <w:pStyle w:val="Body"/>
        <w:spacing w:line="600" w:lineRule="auto"/>
      </w:pPr>
      <w:r>
        <w:rPr>
          <w:lang w:val="en-US"/>
        </w:rPr>
        <w:t>The word originates ‘from the Latin sculptura, from sculpere.’</w:t>
      </w:r>
      <w:r>
        <w:t xml:space="preserve"> </w:t>
      </w:r>
      <w:r>
        <w:rPr>
          <w:lang w:val="en-US"/>
        </w:rPr>
        <w:t>(Allen, 2011, p.1088).</w:t>
      </w:r>
      <w:r>
        <w:t xml:space="preserve"> </w:t>
      </w:r>
      <w:r>
        <w:rPr>
          <w:lang w:val="en-US"/>
        </w:rPr>
        <w:t xml:space="preserve">Fitting then, as this leads us to the first of many images that best represent </w:t>
      </w:r>
      <w:r>
        <w:rPr>
          <w:lang w:val="en-US"/>
        </w:rPr>
        <w:lastRenderedPageBreak/>
        <w:t xml:space="preserve">influence over my </w:t>
      </w:r>
      <w:r w:rsidR="008A5A97">
        <w:rPr>
          <w:noProof/>
          <w:lang w:eastAsia="en-GB"/>
        </w:rPr>
        <w:drawing>
          <wp:anchor distT="152400" distB="152400" distL="152400" distR="152400" simplePos="0" relativeHeight="251659264" behindDoc="0" locked="0" layoutInCell="1" allowOverlap="1">
            <wp:simplePos x="0" y="0"/>
            <wp:positionH relativeFrom="margin">
              <wp:posOffset>977900</wp:posOffset>
            </wp:positionH>
            <wp:positionV relativeFrom="line">
              <wp:posOffset>568960</wp:posOffset>
            </wp:positionV>
            <wp:extent cx="3797300" cy="3454400"/>
            <wp:effectExtent l="0" t="0" r="0" b="0"/>
            <wp:wrapTopAndBottom distT="152400" distB="15240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pasted-image.tiff"/>
                    <pic:cNvPicPr>
                      <a:picLocks noChangeAspect="1"/>
                    </pic:cNvPicPr>
                  </pic:nvPicPr>
                  <pic:blipFill>
                    <a:blip r:embed="rId6">
                      <a:extLst/>
                    </a:blip>
                    <a:stretch>
                      <a:fillRect/>
                    </a:stretch>
                  </pic:blipFill>
                  <pic:spPr>
                    <a:xfrm>
                      <a:off x="0" y="0"/>
                      <a:ext cx="3797300" cy="3454400"/>
                    </a:xfrm>
                    <a:prstGeom prst="rect">
                      <a:avLst/>
                    </a:prstGeom>
                    <a:ln w="12700" cap="flat">
                      <a:noFill/>
                      <a:miter lim="400000"/>
                    </a:ln>
                    <a:effectLst/>
                  </pic:spPr>
                </pic:pic>
              </a:graphicData>
            </a:graphic>
            <wp14:sizeRelH relativeFrom="margin">
              <wp14:pctWidth>0</wp14:pctWidth>
            </wp14:sizeRelH>
            <wp14:sizeRelV relativeFrom="margin">
              <wp14:pctHeight>0</wp14:pctHeight>
            </wp14:sizeRelV>
          </wp:anchor>
        </w:drawing>
      </w:r>
      <w:r>
        <w:rPr>
          <w:lang w:val="en-US"/>
        </w:rPr>
        <w:t xml:space="preserve">practice. Michelangelo’s </w:t>
      </w:r>
      <w:r>
        <w:rPr>
          <w:i/>
          <w:iCs/>
          <w:lang w:val="en-US"/>
        </w:rPr>
        <w:t>Battle of Hercules with the Centaurs</w:t>
      </w:r>
      <w:r>
        <w:rPr>
          <w:lang w:val="en-US"/>
        </w:rPr>
        <w:t xml:space="preserve"> (1491-92)</w:t>
      </w:r>
    </w:p>
    <w:p w:rsidR="001704CF" w:rsidRDefault="00BD4EFB" w:rsidP="008A5A97">
      <w:pPr>
        <w:pStyle w:val="Body"/>
        <w:spacing w:line="600" w:lineRule="auto"/>
      </w:pPr>
      <w:r>
        <w:rPr>
          <w:lang w:val="en-US"/>
        </w:rPr>
        <w:t>This marble relief is considered to be one of Michelangelo’s earliest works, left unfinished the piece represents a large group of males confined in a small space in the midst of a violent altercation. Figures are throwing punches and grappling with one another in what one can only describe as a free-for-all wrestling match. It was with this sculptural carving ‘a theme that was to dominate Michelangelo’s work thought his career - the male nude in movement’ forms its humble beginnings. And that, ‘Michelangelo has depicted all the figures as human, despite the centurion subject of the relief, focusing mainly upon the muscular torsos of the men’</w:t>
      </w:r>
      <w:r>
        <w:t xml:space="preserve"> (</w:t>
      </w:r>
      <w:r>
        <w:rPr>
          <w:lang w:val="en-US"/>
        </w:rPr>
        <w:t>Bradbury</w:t>
      </w:r>
      <w:r>
        <w:t xml:space="preserve">, </w:t>
      </w:r>
      <w:r>
        <w:rPr>
          <w:lang w:val="en-US"/>
        </w:rPr>
        <w:t>2001</w:t>
      </w:r>
      <w:r>
        <w:t>, p.</w:t>
      </w:r>
      <w:r>
        <w:rPr>
          <w:lang w:val="en-US"/>
        </w:rPr>
        <w:t>18</w:t>
      </w:r>
      <w:r>
        <w:t xml:space="preserve">). </w:t>
      </w:r>
      <w:r>
        <w:rPr>
          <w:lang w:val="en-US"/>
        </w:rPr>
        <w:t xml:space="preserve">Michelangelo’s mastery in the sculpting of the muscular male nude led to many </w:t>
      </w:r>
      <w:r>
        <w:rPr>
          <w:lang w:val="en-US"/>
        </w:rPr>
        <w:lastRenderedPageBreak/>
        <w:t>commissions from the Christian church. Included in these commissions is the monumental figure ‘</w:t>
      </w:r>
      <w:r>
        <w:rPr>
          <w:i/>
          <w:iCs/>
          <w:lang w:val="en-US"/>
        </w:rPr>
        <w:t>Moses</w:t>
      </w:r>
      <w:r>
        <w:rPr>
          <w:lang w:val="en-US"/>
        </w:rPr>
        <w:t xml:space="preserve">’ (1513-16), built to decorate the tomb of Pope </w:t>
      </w:r>
      <w:r w:rsidR="008A5A97">
        <w:rPr>
          <w:noProof/>
          <w:lang w:eastAsia="en-GB"/>
        </w:rPr>
        <w:drawing>
          <wp:anchor distT="152400" distB="152400" distL="152400" distR="152400" simplePos="0" relativeHeight="251660288" behindDoc="0" locked="0" layoutInCell="1" allowOverlap="1">
            <wp:simplePos x="0" y="0"/>
            <wp:positionH relativeFrom="margin">
              <wp:posOffset>1505585</wp:posOffset>
            </wp:positionH>
            <wp:positionV relativeFrom="line">
              <wp:posOffset>486410</wp:posOffset>
            </wp:positionV>
            <wp:extent cx="2838885" cy="3864037"/>
            <wp:effectExtent l="0" t="0" r="0" b="0"/>
            <wp:wrapTopAndBottom distT="152400" distB="152400"/>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pasted-image.tiff"/>
                    <pic:cNvPicPr>
                      <a:picLocks noChangeAspect="1"/>
                    </pic:cNvPicPr>
                  </pic:nvPicPr>
                  <pic:blipFill>
                    <a:blip r:embed="rId7">
                      <a:extLst/>
                    </a:blip>
                    <a:stretch>
                      <a:fillRect/>
                    </a:stretch>
                  </pic:blipFill>
                  <pic:spPr>
                    <a:xfrm>
                      <a:off x="0" y="0"/>
                      <a:ext cx="2838885" cy="3864037"/>
                    </a:xfrm>
                    <a:prstGeom prst="rect">
                      <a:avLst/>
                    </a:prstGeom>
                    <a:ln w="12700" cap="flat">
                      <a:noFill/>
                      <a:miter lim="400000"/>
                    </a:ln>
                    <a:effectLst/>
                  </pic:spPr>
                </pic:pic>
              </a:graphicData>
            </a:graphic>
          </wp:anchor>
        </w:drawing>
      </w:r>
      <w:r>
        <w:rPr>
          <w:lang w:val="en-US"/>
        </w:rPr>
        <w:t>Julius II.</w:t>
      </w:r>
    </w:p>
    <w:p w:rsidR="001704CF" w:rsidRDefault="00BD4EFB">
      <w:pPr>
        <w:pStyle w:val="Body"/>
        <w:spacing w:line="600" w:lineRule="auto"/>
      </w:pPr>
      <w:r>
        <w:rPr>
          <w:lang w:val="en-US"/>
        </w:rPr>
        <w:t>It is entirely possible that Michelangelo’s fascination with the perfect muscular male form may have contributed to the birth of the ‘Adonis Complex’. Presenting the human populous with imagery of huge muscular men atop of plinths and in turn, literally placing them on pedestals. Named after the Greek god Adonis, who’s body represented an exquisite standard of masculinity, the Adonis complex is,</w:t>
      </w:r>
      <w:r>
        <w:t xml:space="preserve"> </w:t>
      </w:r>
      <w:r>
        <w:rPr>
          <w:lang w:val="en-US"/>
        </w:rPr>
        <w:t xml:space="preserve">‘a collection of male body image problems that can include compulsive weightlifting and exercising, steroid abuse, eating disorders, and full-blown body dysmorphic disorder’ (Bryson, </w:t>
      </w:r>
      <w:r>
        <w:t>2003</w:t>
      </w:r>
      <w:r>
        <w:rPr>
          <w:lang w:val="en-US"/>
        </w:rPr>
        <w:t>, p.255). Michelangelo’s massive sculptures represent an unrealistic, hyper detailed and unattainable body image ideal.</w:t>
      </w:r>
      <w:r>
        <w:t xml:space="preserve"> </w:t>
      </w:r>
      <w:r>
        <w:rPr>
          <w:lang w:val="en-US"/>
        </w:rPr>
        <w:t xml:space="preserve">‘The muscular ideal: psychological, social, </w:t>
      </w:r>
      <w:r>
        <w:rPr>
          <w:lang w:val="en-US"/>
        </w:rPr>
        <w:lastRenderedPageBreak/>
        <w:t>and medical perspectives’ by J. Kevin Thompson, an academic research book used to aid those suffering with an Adonis complex further solidifies my argument by using Michelangelo’s ‘</w:t>
      </w:r>
      <w:r>
        <w:rPr>
          <w:i/>
          <w:iCs/>
          <w:lang w:val="en-US"/>
        </w:rPr>
        <w:t>David</w:t>
      </w:r>
      <w:r>
        <w:rPr>
          <w:lang w:val="en-US"/>
        </w:rPr>
        <w:t>’ (1501-04) as its cover photo.</w:t>
      </w:r>
    </w:p>
    <w:p w:rsidR="001704CF" w:rsidRDefault="00BD4EFB">
      <w:pPr>
        <w:pStyle w:val="Body"/>
        <w:spacing w:line="600" w:lineRule="auto"/>
      </w:pPr>
      <w:r>
        <w:rPr>
          <w:lang w:val="en-US"/>
        </w:rPr>
        <w:t>This ideal is sweeping across modern male society; more and more gyms are opening every day as the modern day man swaps the studio for the bench press, the chisel for the dumbbell and the marble for flesh and bone. Spurred on by the constant social media presence of pop culture icons such as professional athletes and actors the likes of Dwayne ‘The Rock’ Johnson and Chris Hemsworth. They chip slowly away at their imagined imperfections, hoping to sculpt biceps akin to the marble made masterpiece ‘</w:t>
      </w:r>
      <w:r>
        <w:rPr>
          <w:i/>
          <w:iCs/>
          <w:lang w:val="en-US"/>
        </w:rPr>
        <w:t>Moses’</w:t>
      </w:r>
      <w:r>
        <w:rPr>
          <w:lang w:val="en-US"/>
        </w:rPr>
        <w:t xml:space="preserve"> by Michelangelo. </w:t>
      </w:r>
    </w:p>
    <w:p w:rsidR="008A5A97" w:rsidRDefault="00BD4EFB" w:rsidP="008A5A97">
      <w:pPr>
        <w:pStyle w:val="Body"/>
        <w:spacing w:line="600" w:lineRule="auto"/>
      </w:pPr>
      <w:r>
        <w:rPr>
          <w:lang w:val="en-US"/>
        </w:rPr>
        <w:t>It is within sculpture that I find the most promise. I take pleasure from the process of sculpting both from traditional materials, such as metal and clay, and from sculpting of muscles via the lifting of weights. It seems that this key word ‘sculpture’ plays a major role in every aspect of my life: Academically, socially, physically and mentally.</w:t>
      </w:r>
    </w:p>
    <w:p w:rsidR="008A5A97" w:rsidRDefault="008A5A97">
      <w:pPr>
        <w:pStyle w:val="Subheading"/>
        <w:spacing w:line="600" w:lineRule="auto"/>
      </w:pPr>
    </w:p>
    <w:p w:rsidR="001704CF" w:rsidRDefault="00BD4EFB" w:rsidP="008A5A97">
      <w:pPr>
        <w:pStyle w:val="Subheading"/>
        <w:spacing w:line="600" w:lineRule="auto"/>
      </w:pPr>
      <w:r>
        <w:t>Key Word 2 - Pop</w:t>
      </w:r>
    </w:p>
    <w:p w:rsidR="001704CF" w:rsidRDefault="00BD4EFB">
      <w:pPr>
        <w:pStyle w:val="Body"/>
        <w:spacing w:line="600" w:lineRule="auto"/>
      </w:pPr>
      <w:r>
        <w:rPr>
          <w:lang w:val="en-US"/>
        </w:rPr>
        <w:t>Placed in the hand of a half nude body builder, covering the general vicinity of his genitalia, sits an oversized red lollypop. In this collage titled ‘</w:t>
      </w:r>
      <w:r>
        <w:rPr>
          <w:i/>
          <w:iCs/>
          <w:lang w:val="en-US"/>
        </w:rPr>
        <w:t xml:space="preserve">Just what makes todays </w:t>
      </w:r>
      <w:r>
        <w:rPr>
          <w:i/>
          <w:iCs/>
          <w:lang w:val="en-US"/>
        </w:rPr>
        <w:lastRenderedPageBreak/>
        <w:t>homes so different, so appealing?</w:t>
      </w:r>
      <w:r>
        <w:rPr>
          <w:lang w:val="en-US"/>
        </w:rPr>
        <w:t xml:space="preserve">’ (1956) By Richard Hamilton, there is text adoring the ‘package’ that </w:t>
      </w:r>
      <w:r w:rsidR="008A5A97">
        <w:rPr>
          <w:noProof/>
          <w:lang w:eastAsia="en-GB"/>
        </w:rPr>
        <w:drawing>
          <wp:anchor distT="152400" distB="152400" distL="152400" distR="152400" simplePos="0" relativeHeight="251661312" behindDoc="0" locked="0" layoutInCell="1" allowOverlap="1">
            <wp:simplePos x="0" y="0"/>
            <wp:positionH relativeFrom="margin">
              <wp:posOffset>1295400</wp:posOffset>
            </wp:positionH>
            <wp:positionV relativeFrom="line">
              <wp:posOffset>589915</wp:posOffset>
            </wp:positionV>
            <wp:extent cx="3009900" cy="2794000"/>
            <wp:effectExtent l="0" t="0" r="0" b="0"/>
            <wp:wrapTopAndBottom distT="152400" distB="152400"/>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pasted-image.tiff"/>
                    <pic:cNvPicPr>
                      <a:picLocks noChangeAspect="1"/>
                    </pic:cNvPicPr>
                  </pic:nvPicPr>
                  <pic:blipFill>
                    <a:blip r:embed="rId8">
                      <a:extLst/>
                    </a:blip>
                    <a:stretch>
                      <a:fillRect/>
                    </a:stretch>
                  </pic:blipFill>
                  <pic:spPr>
                    <a:xfrm>
                      <a:off x="0" y="0"/>
                      <a:ext cx="3009900" cy="2794000"/>
                    </a:xfrm>
                    <a:prstGeom prst="rect">
                      <a:avLst/>
                    </a:prstGeom>
                    <a:ln w="12700" cap="flat">
                      <a:noFill/>
                      <a:miter lim="400000"/>
                    </a:ln>
                    <a:effectLst/>
                  </pic:spPr>
                </pic:pic>
              </a:graphicData>
            </a:graphic>
            <wp14:sizeRelH relativeFrom="margin">
              <wp14:pctWidth>0</wp14:pctWidth>
            </wp14:sizeRelH>
            <wp14:sizeRelV relativeFrom="margin">
              <wp14:pctHeight>0</wp14:pctHeight>
            </wp14:sizeRelV>
          </wp:anchor>
        </w:drawing>
      </w:r>
      <w:r>
        <w:rPr>
          <w:lang w:val="en-US"/>
        </w:rPr>
        <w:t>reads ‘Pop’.</w:t>
      </w:r>
    </w:p>
    <w:p w:rsidR="001704CF" w:rsidRDefault="001704CF">
      <w:pPr>
        <w:pStyle w:val="Body"/>
        <w:spacing w:line="600" w:lineRule="auto"/>
      </w:pPr>
    </w:p>
    <w:p w:rsidR="001704CF" w:rsidRDefault="00BD4EFB">
      <w:pPr>
        <w:pStyle w:val="Body"/>
        <w:spacing w:line="600" w:lineRule="auto"/>
      </w:pPr>
      <w:r>
        <w:rPr>
          <w:lang w:val="en-US"/>
        </w:rPr>
        <w:t>Pop is an abbreviation of the term ‘popular’. This art movement was born in 1956 with Hamilton’s collage but it wasn’t until 1958 that the term ‘Pop Art’ was coined. British art critic Lawrence Alloway, writing for Architectural design magazine in an essay titled ‘The Arts and the mass media’, wrote that ‘The popular arts of our industrial civilisation are geared to technical changes which occur, not gradually, but violently and experimentally’ (Alloway, 1958).This statement would be the first recorded time that the term popular art was used in an academical context. He goes on to talk about modern technological development playing a factor in the rise of popular art.</w:t>
      </w:r>
    </w:p>
    <w:p w:rsidR="001704CF" w:rsidRDefault="001704CF">
      <w:pPr>
        <w:pStyle w:val="Body"/>
        <w:spacing w:line="600" w:lineRule="auto"/>
      </w:pPr>
    </w:p>
    <w:p w:rsidR="001704CF" w:rsidRDefault="00BD4EFB">
      <w:pPr>
        <w:pStyle w:val="Body"/>
        <w:spacing w:line="600" w:lineRule="auto"/>
      </w:pPr>
      <w:r>
        <w:rPr>
          <w:lang w:val="en-US"/>
        </w:rPr>
        <w:lastRenderedPageBreak/>
        <w:t>‘Technical change as dramatised</w:t>
      </w:r>
      <w:r>
        <w:t> </w:t>
      </w:r>
      <w:r>
        <w:rPr>
          <w:lang w:val="en-US"/>
        </w:rPr>
        <w:t>novelty (usually spurred by economic necessity) is characteristic not only of the cinema but of all the mass arts. Colour TV, the improvements in colour printing (particularly in American magazines), the new range of paper back books; all are part of the constant technical improvements in the channels of mass communication’ (Alloway, 1958).</w:t>
      </w:r>
    </w:p>
    <w:p w:rsidR="001704CF" w:rsidRDefault="001704CF">
      <w:pPr>
        <w:pStyle w:val="Body"/>
        <w:spacing w:line="600" w:lineRule="auto"/>
      </w:pPr>
    </w:p>
    <w:p w:rsidR="001704CF" w:rsidRDefault="00BD4EFB">
      <w:pPr>
        <w:pStyle w:val="Body"/>
        <w:spacing w:line="600" w:lineRule="auto"/>
      </w:pPr>
      <w:r>
        <w:rPr>
          <w:lang w:val="en-US"/>
        </w:rPr>
        <w:t>It is these technological advancements that played a major role in the rise of a media phenomenon, questioning the apparent distinction between high and low art. The likes of Andy Warhol’s ‘The Factory’, an assembly line of art works mass produced in a way not dissimilar to that of a factory built to produce consumer goods, focused more on the impersonal process of silk screening than traditional artistic value. As Warhol himself said, he had learned ‘to see commercial art as real art and real art as commercial art (Horne and Frith, 1987).’ The Beatles cover art for ‘S</w:t>
      </w:r>
      <w:r>
        <w:rPr>
          <w:i/>
          <w:iCs/>
          <w:lang w:val="en-US"/>
        </w:rPr>
        <w:t>gt. Pepper’s Lonely Hearts Club Band</w:t>
      </w:r>
      <w:r>
        <w:rPr>
          <w:lang w:val="en-US"/>
        </w:rPr>
        <w:t xml:space="preserve">’ (1967) by Peter Blake and Jann Haworth (pictured below) was produced on such an incredibly grand scale fuels this debate further. </w:t>
      </w:r>
    </w:p>
    <w:p w:rsidR="001704CF" w:rsidRDefault="00BD4EFB">
      <w:pPr>
        <w:pStyle w:val="Body"/>
        <w:spacing w:line="600" w:lineRule="auto"/>
      </w:pPr>
      <w:r>
        <w:rPr>
          <w:noProof/>
          <w:lang w:eastAsia="en-GB"/>
        </w:rPr>
        <w:lastRenderedPageBreak/>
        <w:drawing>
          <wp:anchor distT="152400" distB="152400" distL="152400" distR="152400" simplePos="0" relativeHeight="251662336" behindDoc="0" locked="0" layoutInCell="1" allowOverlap="1">
            <wp:simplePos x="0" y="0"/>
            <wp:positionH relativeFrom="margin">
              <wp:posOffset>1155700</wp:posOffset>
            </wp:positionH>
            <wp:positionV relativeFrom="line">
              <wp:posOffset>355600</wp:posOffset>
            </wp:positionV>
            <wp:extent cx="3606800" cy="2499360"/>
            <wp:effectExtent l="0" t="0" r="0" b="2540"/>
            <wp:wrapTopAndBottom distT="152400" distB="152400"/>
            <wp:docPr id="1073741828" name="officeArt object"/>
            <wp:cNvGraphicFramePr/>
            <a:graphic xmlns:a="http://schemas.openxmlformats.org/drawingml/2006/main">
              <a:graphicData uri="http://schemas.openxmlformats.org/drawingml/2006/picture">
                <pic:pic xmlns:pic="http://schemas.openxmlformats.org/drawingml/2006/picture">
                  <pic:nvPicPr>
                    <pic:cNvPr id="1073741828" name="pasted-image.tiff"/>
                    <pic:cNvPicPr>
                      <a:picLocks noChangeAspect="1"/>
                    </pic:cNvPicPr>
                  </pic:nvPicPr>
                  <pic:blipFill>
                    <a:blip r:embed="rId9">
                      <a:extLst/>
                    </a:blip>
                    <a:stretch>
                      <a:fillRect/>
                    </a:stretch>
                  </pic:blipFill>
                  <pic:spPr>
                    <a:xfrm>
                      <a:off x="0" y="0"/>
                      <a:ext cx="3606800" cy="2499360"/>
                    </a:xfrm>
                    <a:prstGeom prst="rect">
                      <a:avLst/>
                    </a:prstGeom>
                    <a:ln w="12700" cap="flat">
                      <a:noFill/>
                      <a:miter lim="400000"/>
                    </a:ln>
                    <a:effectLst/>
                  </pic:spPr>
                </pic:pic>
              </a:graphicData>
            </a:graphic>
            <wp14:sizeRelH relativeFrom="margin">
              <wp14:pctWidth>0</wp14:pctWidth>
            </wp14:sizeRelH>
            <wp14:sizeRelV relativeFrom="margin">
              <wp14:pctHeight>0</wp14:pctHeight>
            </wp14:sizeRelV>
          </wp:anchor>
        </w:drawing>
      </w:r>
    </w:p>
    <w:p w:rsidR="001704CF" w:rsidRDefault="001704CF">
      <w:pPr>
        <w:pStyle w:val="Body"/>
        <w:spacing w:line="600" w:lineRule="auto"/>
        <w:rPr>
          <w:color w:val="B93E40"/>
        </w:rPr>
      </w:pPr>
    </w:p>
    <w:p w:rsidR="008A5A97" w:rsidRDefault="00BD4EFB" w:rsidP="008A5A97">
      <w:pPr>
        <w:pStyle w:val="Body"/>
        <w:spacing w:line="600" w:lineRule="auto"/>
      </w:pPr>
      <w:r>
        <w:rPr>
          <w:lang w:val="en-US"/>
        </w:rPr>
        <w:t>‘Most of the artists were in revolt not against consumer society itself but the artificial distinction between ‘high’ and ‘low’ culture made by critics and the elitist refinement of traditional ‘good taste’’ (Grant, 2010, p.486).</w:t>
      </w:r>
    </w:p>
    <w:p w:rsidR="001704CF" w:rsidRDefault="00BD4EFB" w:rsidP="008A5A97">
      <w:pPr>
        <w:pStyle w:val="Body"/>
        <w:spacing w:line="600" w:lineRule="auto"/>
      </w:pPr>
      <w:r>
        <w:rPr>
          <w:lang w:val="en-US"/>
        </w:rPr>
        <w:t>These lines drawn between ‘high and ‘low’ have never been more blurred than through the works of Roy Lichtenstein’s comic book appropriations. In response to American arts popularity of Abstract Expressionism, he drew inspiration from war comics and penny-book romances, as shown in an example of Lichtenstein’s work below titled</w:t>
      </w:r>
      <w:r>
        <w:rPr>
          <w:i/>
          <w:iCs/>
          <w:lang w:val="en-US"/>
        </w:rPr>
        <w:t xml:space="preserve"> Whaam! </w:t>
      </w:r>
      <w:r>
        <w:rPr>
          <w:lang w:val="en-US"/>
        </w:rPr>
        <w:t>(1963). He said of this decision that, ‘It was hard to get a painting that was despicable enough so that no one would hang it. Everyone was hanging everything. It was almost acceptable to hang a dripping paint rag… the one thing everyone hated was commercial art.’ (King, 2010, p.490)</w:t>
      </w:r>
    </w:p>
    <w:p w:rsidR="001704CF" w:rsidRDefault="00BD4EFB">
      <w:pPr>
        <w:pStyle w:val="Body"/>
        <w:spacing w:line="600" w:lineRule="auto"/>
      </w:pPr>
      <w:r>
        <w:rPr>
          <w:noProof/>
          <w:lang w:eastAsia="en-GB"/>
        </w:rPr>
        <w:lastRenderedPageBreak/>
        <w:drawing>
          <wp:anchor distT="152400" distB="152400" distL="152400" distR="152400" simplePos="0" relativeHeight="251663360" behindDoc="0" locked="0" layoutInCell="1" allowOverlap="1">
            <wp:simplePos x="0" y="0"/>
            <wp:positionH relativeFrom="margin">
              <wp:posOffset>-69850</wp:posOffset>
            </wp:positionH>
            <wp:positionV relativeFrom="line">
              <wp:posOffset>410210</wp:posOffset>
            </wp:positionV>
            <wp:extent cx="5727700" cy="2461122"/>
            <wp:effectExtent l="0" t="0" r="0" b="0"/>
            <wp:wrapTopAndBottom distT="152400" distB="152400"/>
            <wp:docPr id="1073741829" name="officeArt object"/>
            <wp:cNvGraphicFramePr/>
            <a:graphic xmlns:a="http://schemas.openxmlformats.org/drawingml/2006/main">
              <a:graphicData uri="http://schemas.openxmlformats.org/drawingml/2006/picture">
                <pic:pic xmlns:pic="http://schemas.openxmlformats.org/drawingml/2006/picture">
                  <pic:nvPicPr>
                    <pic:cNvPr id="1073741829" name="pasted-image.tiff"/>
                    <pic:cNvPicPr>
                      <a:picLocks noChangeAspect="1"/>
                    </pic:cNvPicPr>
                  </pic:nvPicPr>
                  <pic:blipFill>
                    <a:blip r:embed="rId10">
                      <a:extLst/>
                    </a:blip>
                    <a:stretch>
                      <a:fillRect/>
                    </a:stretch>
                  </pic:blipFill>
                  <pic:spPr>
                    <a:xfrm>
                      <a:off x="0" y="0"/>
                      <a:ext cx="5727700" cy="2461122"/>
                    </a:xfrm>
                    <a:prstGeom prst="rect">
                      <a:avLst/>
                    </a:prstGeom>
                    <a:ln w="12700" cap="flat">
                      <a:noFill/>
                      <a:miter lim="400000"/>
                    </a:ln>
                    <a:effectLst/>
                  </pic:spPr>
                </pic:pic>
              </a:graphicData>
            </a:graphic>
          </wp:anchor>
        </w:drawing>
      </w:r>
    </w:p>
    <w:p w:rsidR="001704CF" w:rsidRDefault="00BD4EFB">
      <w:pPr>
        <w:pStyle w:val="Body"/>
        <w:spacing w:line="600" w:lineRule="auto"/>
      </w:pPr>
      <w:r>
        <w:rPr>
          <w:lang w:val="en-US"/>
        </w:rPr>
        <w:t xml:space="preserve"> </w:t>
      </w:r>
    </w:p>
    <w:p w:rsidR="001704CF" w:rsidRDefault="00BD4EFB">
      <w:pPr>
        <w:pStyle w:val="Body"/>
        <w:spacing w:line="600" w:lineRule="auto"/>
      </w:pPr>
      <w:r>
        <w:rPr>
          <w:lang w:val="en-US"/>
        </w:rPr>
        <w:t>In the book ‘Modern Art and Popular Culture’, Adam Gopnik writes of Lichtenstein’s borrowings - ‘High art on the way down to the bottom met, without knowing it, low art struggling to find its way back up.'</w:t>
      </w:r>
      <w:r>
        <w:t xml:space="preserve"> </w:t>
      </w:r>
      <w:r>
        <w:rPr>
          <w:lang w:val="en-US"/>
        </w:rPr>
        <w:t>(Gopnik and Varnedoe, 1991, p.199).</w:t>
      </w:r>
      <w:r>
        <w:t xml:space="preserve"> </w:t>
      </w:r>
      <w:r>
        <w:rPr>
          <w:lang w:val="en-US"/>
        </w:rPr>
        <w:t xml:space="preserve">Liechtenstein's recasting of this comic book imagery resulted in a chain of borrowings that traverse from low to high, and low again. A man who was inspired by Lichtensteins style, specifically his bold curvaceous line work and rejection of realist detail, was Stan Lee. Marvel Comics editor and chief, and now cultural icon, in turn appropriated it for his company. This appropriation from an appropriation resulted in a comic book boom. High art had saved a low art form from immediate extinction. Lichtenstein and pop art in general had inspired the popular mass media. A series of events that can be traced back to the gallery walls of Tate Modern has resulted in the </w:t>
      </w:r>
      <w:r>
        <w:rPr>
          <w:lang w:val="en-US"/>
        </w:rPr>
        <w:lastRenderedPageBreak/>
        <w:t>creation of a film franchise that has broken boxes office records world wide - Marvel’s Cinematic Universe.</w:t>
      </w:r>
    </w:p>
    <w:p w:rsidR="001704CF" w:rsidRDefault="00BD4EFB">
      <w:pPr>
        <w:pStyle w:val="Body"/>
        <w:spacing w:line="600" w:lineRule="auto"/>
      </w:pPr>
      <w:r>
        <w:rPr>
          <w:lang w:val="en-US"/>
        </w:rPr>
        <w:t>It is this supposed separation of ‘high’ and ‘low’ culture and the ideologies of pop art that draws me to this artistic movement and choice of ‘key word’. Personally, growing up with a ‘low’ culture background, I was attracted more to comics and celebrity culture, rather than the Impressionist styles of Monet and Manet - two painters of extreme talent who have made masterpieces. Unfortunately, I feel disconnected from these works thanks to a perceived distance between myself and the well-education, financially secure elitist society in which high culture dominants. An underlining personal vendetta against this elitist society begins to bubble from the bottom of my theoretical thinking and raises to the surface of my artistic practice through a pop sensibility.</w:t>
      </w:r>
    </w:p>
    <w:p w:rsidR="001704CF" w:rsidRDefault="00BD4EFB">
      <w:pPr>
        <w:pStyle w:val="Body"/>
        <w:spacing w:line="600" w:lineRule="auto"/>
      </w:pPr>
      <w:r>
        <w:rPr>
          <w:lang w:val="en-US"/>
        </w:rPr>
        <w:t>To this day, after numerous years of art history studies, I would still prefer to read a copy of Allen Moore’s Watchmen or watch an episode of World Wrestling Entertainment than view a Monet or Manet in the flesh.  One could question, is this because I myself am not part of modern day ‘high society’? Or is it that I believe art should be accessible to all classes, regardless of social standing or monetary worth? A mixture of the both? Or is it because I’m just extremely fond of storytelling?</w:t>
      </w:r>
    </w:p>
    <w:p w:rsidR="001704CF" w:rsidRDefault="001704CF">
      <w:pPr>
        <w:pStyle w:val="Body"/>
        <w:spacing w:line="600" w:lineRule="auto"/>
      </w:pPr>
    </w:p>
    <w:p w:rsidR="001704CF" w:rsidRDefault="001704CF">
      <w:pPr>
        <w:pStyle w:val="Body"/>
        <w:spacing w:line="600" w:lineRule="auto"/>
      </w:pPr>
    </w:p>
    <w:p w:rsidR="001704CF" w:rsidRDefault="001704CF">
      <w:pPr>
        <w:pStyle w:val="Body"/>
        <w:spacing w:line="600" w:lineRule="auto"/>
      </w:pPr>
    </w:p>
    <w:p w:rsidR="001704CF" w:rsidRDefault="001704CF">
      <w:pPr>
        <w:pStyle w:val="Body"/>
        <w:spacing w:line="600" w:lineRule="auto"/>
      </w:pPr>
    </w:p>
    <w:p w:rsidR="001704CF" w:rsidRDefault="001704CF">
      <w:pPr>
        <w:pStyle w:val="Body"/>
        <w:spacing w:line="600" w:lineRule="auto"/>
      </w:pPr>
    </w:p>
    <w:p w:rsidR="001704CF" w:rsidRDefault="00BD4EFB" w:rsidP="008A5A97">
      <w:pPr>
        <w:pStyle w:val="Subheading"/>
        <w:spacing w:line="600" w:lineRule="auto"/>
      </w:pPr>
      <w:r>
        <w:t>Key Word 3 - Storytelling</w:t>
      </w:r>
    </w:p>
    <w:p w:rsidR="001704CF" w:rsidRDefault="00BD4EFB">
      <w:pPr>
        <w:pStyle w:val="Body"/>
        <w:spacing w:line="600" w:lineRule="auto"/>
      </w:pPr>
      <w:r>
        <w:rPr>
          <w:lang w:val="en-US"/>
        </w:rPr>
        <w:t>I was eight years old, rain was beating down on the tiny touring caravan parked in a Tenby field, feint lights could be made out through the vails of windows and darkness outside and bells were warmed with hot water bottles and hot chocolate aplenty. To send my sister and I off to sleep, my mother would read to us JRR Tolkien’s ‘</w:t>
      </w:r>
      <w:r>
        <w:rPr>
          <w:i/>
          <w:iCs/>
          <w:lang w:val="en-US"/>
        </w:rPr>
        <w:t>The Hobbit’</w:t>
      </w:r>
      <w:r>
        <w:rPr>
          <w:lang w:val="en-US"/>
        </w:rPr>
        <w:t xml:space="preserve"> and it was with this half-ling’s journey that my love for storytelling was birthed. And it is this love for storytelling that has influenced my choice in artistic inspiration and continually developing individual style.</w:t>
      </w:r>
    </w:p>
    <w:p w:rsidR="001704CF" w:rsidRDefault="00BD4EFB">
      <w:pPr>
        <w:pStyle w:val="Body"/>
        <w:spacing w:line="600" w:lineRule="auto"/>
      </w:pPr>
      <w:r>
        <w:rPr>
          <w:lang w:val="en-US"/>
        </w:rPr>
        <w:t>As I grew older I began studying the ancient histories of humanity and the coinciding myths and legends. From historians such as Herodotus and Thucydides tellings of wars waged an age ago, to the tales of Gods and their children that inspired the aforementioned works of Michelangelo. It is clear to see that the ‘figures and events of classical myths have profoundly influenced Western music, art and literature’ (March, 2008) and this influence has, and continues to have, an effect my practice as an artist and many artists that have come before me in a profound way.</w:t>
      </w:r>
    </w:p>
    <w:p w:rsidR="001704CF" w:rsidRDefault="00BD4EFB">
      <w:pPr>
        <w:pStyle w:val="Body"/>
        <w:spacing w:line="600" w:lineRule="auto"/>
      </w:pPr>
      <w:r>
        <w:rPr>
          <w:lang w:val="en-US"/>
        </w:rPr>
        <w:lastRenderedPageBreak/>
        <w:t>Within fine art history it is stories from the Christian bible specifically that dominate subject matter. An example of this would be the commissions made by Michelangelo for the Holy Church and another, ‘</w:t>
      </w:r>
      <w:r>
        <w:rPr>
          <w:i/>
          <w:iCs/>
          <w:lang w:val="en-US"/>
        </w:rPr>
        <w:t>The Garden of Earthly Delights</w:t>
      </w:r>
      <w:r>
        <w:rPr>
          <w:lang w:val="en-US"/>
        </w:rPr>
        <w:t>’ (1500) by Hieronymus Bosch.</w:t>
      </w:r>
    </w:p>
    <w:p w:rsidR="001704CF" w:rsidRDefault="008A5A97">
      <w:pPr>
        <w:pStyle w:val="Body"/>
        <w:spacing w:line="600" w:lineRule="auto"/>
        <w:rPr>
          <w:color w:val="B93E40"/>
        </w:rPr>
      </w:pPr>
      <w:r>
        <w:rPr>
          <w:noProof/>
          <w:lang w:eastAsia="en-GB"/>
        </w:rPr>
        <w:drawing>
          <wp:anchor distT="152400" distB="152400" distL="152400" distR="152400" simplePos="0" relativeHeight="251664384" behindDoc="0" locked="0" layoutInCell="1" allowOverlap="1">
            <wp:simplePos x="0" y="0"/>
            <wp:positionH relativeFrom="margin">
              <wp:posOffset>63500</wp:posOffset>
            </wp:positionH>
            <wp:positionV relativeFrom="line">
              <wp:posOffset>241300</wp:posOffset>
            </wp:positionV>
            <wp:extent cx="5613400" cy="2856865"/>
            <wp:effectExtent l="0" t="0" r="0" b="635"/>
            <wp:wrapTopAndBottom distT="152400" distB="152400"/>
            <wp:docPr id="1073741830" name="officeArt object"/>
            <wp:cNvGraphicFramePr/>
            <a:graphic xmlns:a="http://schemas.openxmlformats.org/drawingml/2006/main">
              <a:graphicData uri="http://schemas.openxmlformats.org/drawingml/2006/picture">
                <pic:pic xmlns:pic="http://schemas.openxmlformats.org/drawingml/2006/picture">
                  <pic:nvPicPr>
                    <pic:cNvPr id="1073741830" name="pasted-image.tiff"/>
                    <pic:cNvPicPr>
                      <a:picLocks noChangeAspect="1"/>
                    </pic:cNvPicPr>
                  </pic:nvPicPr>
                  <pic:blipFill>
                    <a:blip r:embed="rId11">
                      <a:extLst/>
                    </a:blip>
                    <a:stretch>
                      <a:fillRect/>
                    </a:stretch>
                  </pic:blipFill>
                  <pic:spPr>
                    <a:xfrm>
                      <a:off x="0" y="0"/>
                      <a:ext cx="5613400" cy="2856865"/>
                    </a:xfrm>
                    <a:prstGeom prst="rect">
                      <a:avLst/>
                    </a:prstGeom>
                    <a:ln w="12700" cap="flat">
                      <a:noFill/>
                      <a:miter lim="400000"/>
                    </a:ln>
                    <a:effectLst/>
                  </pic:spPr>
                </pic:pic>
              </a:graphicData>
            </a:graphic>
            <wp14:sizeRelH relativeFrom="margin">
              <wp14:pctWidth>0</wp14:pctWidth>
            </wp14:sizeRelH>
            <wp14:sizeRelV relativeFrom="margin">
              <wp14:pctHeight>0</wp14:pctHeight>
            </wp14:sizeRelV>
          </wp:anchor>
        </w:drawing>
      </w:r>
    </w:p>
    <w:p w:rsidR="001704CF" w:rsidRDefault="00BD4EFB">
      <w:pPr>
        <w:pStyle w:val="Body"/>
        <w:spacing w:line="600" w:lineRule="auto"/>
      </w:pPr>
      <w:r>
        <w:rPr>
          <w:lang w:val="en-US"/>
        </w:rPr>
        <w:t>This triptych, Hieronymus Bosch’s most complex, was thought to be, ‘too unconventional to serve as an alter piece in a church’ (Zaczek, 2010, p.188).</w:t>
      </w:r>
      <w:r>
        <w:rPr>
          <w:color w:val="B93E40"/>
          <w:lang w:val="en-US"/>
        </w:rPr>
        <w:t xml:space="preserve"> </w:t>
      </w:r>
      <w:r>
        <w:rPr>
          <w:lang w:val="en-US"/>
        </w:rPr>
        <w:t>It depicts three separate scenes: Paradise on the left, in which God creates Eve from Adam’s rib. The garden of worldly pleasures in the centre, depicting a series of earthly delights including, but not limited too, eroticism. And hell on the right, disproportionate and varying in scale. Read from left to right it tells the story of sin, more specifically what partaking in sin can eventually lead to, which in this case may consist of torture via musical instrument.</w:t>
      </w:r>
    </w:p>
    <w:p w:rsidR="001704CF" w:rsidRDefault="00BD4EFB">
      <w:pPr>
        <w:pStyle w:val="Body"/>
        <w:spacing w:line="600" w:lineRule="auto"/>
      </w:pPr>
      <w:r>
        <w:rPr>
          <w:lang w:val="en-US"/>
        </w:rPr>
        <w:lastRenderedPageBreak/>
        <w:t xml:space="preserve">One may be allowed the occasional ‘high art’ influence now and again, regardless of religious or sociological view point there is no denying that the elite Christian Church brought the telling of stories to the forefront of the art world, but it is not with creation propaganda or myth that I find the most interesting aspects of storytelling. It is the stories of good overcoming evil, especially under insurmountable odds. </w:t>
      </w:r>
    </w:p>
    <w:p w:rsidR="001704CF" w:rsidRDefault="00BD4EFB">
      <w:pPr>
        <w:pStyle w:val="Body"/>
        <w:spacing w:line="600" w:lineRule="auto"/>
      </w:pPr>
      <w:r>
        <w:rPr>
          <w:lang w:val="en-US"/>
        </w:rPr>
        <w:t>From Bilbo Baggins beating Gollum in a game of riddles in the dark to Heracles s</w:t>
      </w:r>
      <w:r>
        <w:t>lay</w:t>
      </w:r>
      <w:r>
        <w:rPr>
          <w:lang w:val="en-US"/>
        </w:rPr>
        <w:t>ing the nine-headed Hydra, it is these fables that have helped sculpt me into the man I am today  and it is this thread of storytelling that fills the majority of contemporary popular culture. Movies consist of hero’s with supernatural powers saving the world from impending doom and weekly televised wrestling shows depict good and evil characters battling for supremacy.</w:t>
      </w:r>
    </w:p>
    <w:p w:rsidR="001704CF" w:rsidRDefault="001704CF">
      <w:pPr>
        <w:pStyle w:val="Body"/>
        <w:spacing w:line="600" w:lineRule="auto"/>
      </w:pPr>
    </w:p>
    <w:p w:rsidR="001704CF" w:rsidRDefault="001704CF">
      <w:pPr>
        <w:pStyle w:val="Body"/>
        <w:spacing w:line="600" w:lineRule="auto"/>
      </w:pPr>
    </w:p>
    <w:p w:rsidR="001704CF" w:rsidRDefault="00BD4EFB">
      <w:pPr>
        <w:pStyle w:val="Subheading"/>
        <w:spacing w:line="600" w:lineRule="auto"/>
      </w:pPr>
      <w:r>
        <w:t>Conclusion</w:t>
      </w:r>
    </w:p>
    <w:p w:rsidR="001704CF" w:rsidRDefault="00BD4EFB">
      <w:pPr>
        <w:pStyle w:val="Body"/>
        <w:spacing w:line="600" w:lineRule="auto"/>
      </w:pPr>
      <w:r>
        <w:rPr>
          <w:lang w:val="en-US"/>
        </w:rPr>
        <w:t xml:space="preserve">It is this weekly television show that comprises of spandex clad men and women battling for accolades that leads me to my proposed dissertation question. Can professional wrestling be considered art? Considered neither a sport, nor a play, this cultural hotbed of mismatched influence and inspiration is placed in a box entirely on its own, yet it’s similarities with art are uncanny. The ring in which the performance is </w:t>
      </w:r>
      <w:r>
        <w:rPr>
          <w:lang w:val="en-US"/>
        </w:rPr>
        <w:lastRenderedPageBreak/>
        <w:t>played out upon is called a canvas and over generations western and eastern culture have developed their own individual styles. The performers sculpt the matches that they partake in to invoke feelings of hope and hopelessness, pulling on heart strings and emotions to tell stories as varied as artistic disciplines or movements. Their bodies are so muscularly sculpted and the ring positioned at eye level it’s as if Michelangelo himself formed them from marble and stood them atop a plinth. And just like Michelangelo before them, they project an unobtainable body image that leads me to question whether the performers themselves might suffer from an Adonis complex.</w:t>
      </w:r>
      <w:r>
        <w:rPr>
          <w:noProof/>
          <w:lang w:eastAsia="en-GB"/>
        </w:rPr>
        <w:drawing>
          <wp:anchor distT="152400" distB="152400" distL="152400" distR="152400" simplePos="0" relativeHeight="251665408" behindDoc="0" locked="0" layoutInCell="1" allowOverlap="1">
            <wp:simplePos x="0" y="0"/>
            <wp:positionH relativeFrom="margin">
              <wp:posOffset>1882784</wp:posOffset>
            </wp:positionH>
            <wp:positionV relativeFrom="line">
              <wp:posOffset>568968</wp:posOffset>
            </wp:positionV>
            <wp:extent cx="1949431" cy="2360681"/>
            <wp:effectExtent l="0" t="0" r="0" b="0"/>
            <wp:wrapTopAndBottom distT="152400" distB="152400"/>
            <wp:docPr id="1073741831" name="officeArt object"/>
            <wp:cNvGraphicFramePr/>
            <a:graphic xmlns:a="http://schemas.openxmlformats.org/drawingml/2006/main">
              <a:graphicData uri="http://schemas.openxmlformats.org/drawingml/2006/picture">
                <pic:pic xmlns:pic="http://schemas.openxmlformats.org/drawingml/2006/picture">
                  <pic:nvPicPr>
                    <pic:cNvPr id="1073741831" name="pasted-image.tiff"/>
                    <pic:cNvPicPr>
                      <a:picLocks noChangeAspect="1"/>
                    </pic:cNvPicPr>
                  </pic:nvPicPr>
                  <pic:blipFill>
                    <a:blip r:embed="rId12">
                      <a:extLst/>
                    </a:blip>
                    <a:stretch>
                      <a:fillRect/>
                    </a:stretch>
                  </pic:blipFill>
                  <pic:spPr>
                    <a:xfrm>
                      <a:off x="0" y="0"/>
                      <a:ext cx="1949431" cy="2360681"/>
                    </a:xfrm>
                    <a:prstGeom prst="rect">
                      <a:avLst/>
                    </a:prstGeom>
                    <a:ln w="12700" cap="flat">
                      <a:noFill/>
                      <a:miter lim="400000"/>
                    </a:ln>
                    <a:effectLst/>
                  </pic:spPr>
                </pic:pic>
              </a:graphicData>
            </a:graphic>
          </wp:anchor>
        </w:drawing>
      </w:r>
      <w:r>
        <w:rPr>
          <w:lang w:val="en-US"/>
        </w:rPr>
        <w:t xml:space="preserve"> </w:t>
      </w:r>
    </w:p>
    <w:p w:rsidR="001704CF" w:rsidRDefault="001704CF">
      <w:pPr>
        <w:pStyle w:val="Body"/>
        <w:spacing w:line="600" w:lineRule="auto"/>
      </w:pPr>
    </w:p>
    <w:p w:rsidR="001704CF" w:rsidRDefault="00BD4EFB">
      <w:pPr>
        <w:pStyle w:val="Body"/>
        <w:spacing w:line="600" w:lineRule="auto"/>
      </w:pPr>
      <w:r>
        <w:rPr>
          <w:lang w:val="en-US"/>
        </w:rPr>
        <w:t xml:space="preserve">Pop artist Sir </w:t>
      </w:r>
      <w:r>
        <w:rPr>
          <w:lang w:val="de-DE"/>
        </w:rPr>
        <w:t>Peter Blake</w:t>
      </w:r>
      <w:r>
        <w:rPr>
          <w:lang w:val="en-US"/>
        </w:rPr>
        <w:t xml:space="preserve"> has confessed that his fantasy was to be the mysterious masked wrestler Kendo Nagasaki, going as far as to produce a painting (</w:t>
      </w:r>
      <w:r>
        <w:rPr>
          <w:i/>
          <w:iCs/>
          <w:lang w:val="en-US"/>
        </w:rPr>
        <w:t>Nagasaki,</w:t>
      </w:r>
      <w:r>
        <w:rPr>
          <w:lang w:val="en-US"/>
        </w:rPr>
        <w:t xml:space="preserve">1992. Shown above) for the BBC Documentary series ‘Masters Of The Canvas’ depicting this elusive performer. Even Andy </w:t>
      </w:r>
      <w:r>
        <w:rPr>
          <w:lang w:val="da-DK"/>
        </w:rPr>
        <w:t>Warhol</w:t>
      </w:r>
      <w:r>
        <w:rPr>
          <w:lang w:val="en-US"/>
        </w:rPr>
        <w:t xml:space="preserve"> frequented wrestling shows at Madison Square </w:t>
      </w:r>
      <w:r>
        <w:rPr>
          <w:lang w:val="en-US"/>
        </w:rPr>
        <w:lastRenderedPageBreak/>
        <w:t>Garden during the 1970s, appearing on camera at</w:t>
      </w:r>
      <w:r>
        <w:t> </w:t>
      </w:r>
      <w:r>
        <w:rPr>
          <w:lang w:val="en-US"/>
        </w:rPr>
        <w:t>The War to Settle the Score</w:t>
      </w:r>
      <w:r>
        <w:rPr>
          <w:i/>
          <w:iCs/>
        </w:rPr>
        <w:t>,</w:t>
      </w:r>
      <w:r>
        <w:rPr>
          <w:lang w:val="en-US"/>
        </w:rPr>
        <w:t xml:space="preserve"> a WWF (now WWE) event that aired on MTV in 1985.</w:t>
      </w:r>
    </w:p>
    <w:p w:rsidR="001704CF" w:rsidRDefault="00BD4EFB" w:rsidP="008A5A97">
      <w:pPr>
        <w:pStyle w:val="Body"/>
        <w:spacing w:line="600" w:lineRule="auto"/>
      </w:pPr>
      <w:r>
        <w:rPr>
          <w:lang w:val="en-US"/>
        </w:rPr>
        <w:t>can this profession that counts pop art royalty as loyal supporters and has created pop culture icons such as ‘Hulk’ Hogan and Dwayne ‘The Rock’ Johnson be labeled as art itself? Fine art? Is it performance art? It is this line of questioning that I hope to find answers for through my dissertation. A line of questioning any ‘high’ culture elitist would surly laugh off as complete nonsense.</w:t>
      </w:r>
    </w:p>
    <w:p w:rsidR="001704CF" w:rsidRDefault="00BD4EFB">
      <w:pPr>
        <w:pStyle w:val="Subheading"/>
        <w:spacing w:line="600" w:lineRule="auto"/>
      </w:pPr>
      <w:r>
        <w:t>References</w:t>
      </w:r>
    </w:p>
    <w:p w:rsidR="001704CF" w:rsidRDefault="001704CF">
      <w:pPr>
        <w:pStyle w:val="Body"/>
        <w:spacing w:line="600" w:lineRule="auto"/>
        <w:ind w:firstLine="0"/>
      </w:pPr>
    </w:p>
    <w:p w:rsidR="001704CF" w:rsidRDefault="00BD4EFB">
      <w:pPr>
        <w:pStyle w:val="Body"/>
        <w:spacing w:line="600" w:lineRule="auto"/>
        <w:ind w:firstLine="0"/>
        <w:rPr>
          <w:i/>
          <w:iCs/>
        </w:rPr>
      </w:pPr>
      <w:r>
        <w:rPr>
          <w:lang w:val="en-US"/>
        </w:rPr>
        <w:t xml:space="preserve">Gopnik, A. And Varnedoe, K. (1991) </w:t>
      </w:r>
      <w:r>
        <w:rPr>
          <w:i/>
          <w:iCs/>
          <w:lang w:val="en-US"/>
        </w:rPr>
        <w:t xml:space="preserve">Modern Art and Poplar Culture. </w:t>
      </w:r>
      <w:r>
        <w:rPr>
          <w:lang w:val="en-US"/>
        </w:rPr>
        <w:t>Thames and Hudson</w:t>
      </w:r>
      <w:r>
        <w:rPr>
          <w:i/>
          <w:iCs/>
          <w:lang w:val="en-US"/>
        </w:rPr>
        <w:t>.</w:t>
      </w:r>
    </w:p>
    <w:p w:rsidR="001704CF" w:rsidRDefault="00BD4EFB">
      <w:pPr>
        <w:pStyle w:val="Body"/>
        <w:spacing w:line="600" w:lineRule="auto"/>
        <w:ind w:firstLine="0"/>
      </w:pPr>
      <w:r>
        <w:rPr>
          <w:lang w:val="en-US"/>
        </w:rPr>
        <w:t>Bradbury, K. (2001)</w:t>
      </w:r>
      <w:r>
        <w:rPr>
          <w:i/>
          <w:iCs/>
          <w:lang w:val="en-US"/>
        </w:rPr>
        <w:t xml:space="preserve"> Michelangelo.</w:t>
      </w:r>
      <w:r>
        <w:rPr>
          <w:lang w:val="en-US"/>
        </w:rPr>
        <w:t xml:space="preserve"> Parragon</w:t>
      </w:r>
    </w:p>
    <w:p w:rsidR="001704CF" w:rsidRDefault="00BD4EFB">
      <w:pPr>
        <w:pStyle w:val="Body"/>
        <w:spacing w:line="600" w:lineRule="auto"/>
        <w:ind w:firstLine="0"/>
      </w:pPr>
      <w:r>
        <w:rPr>
          <w:lang w:val="en-US"/>
        </w:rPr>
        <w:t xml:space="preserve">Allen, R (2011) </w:t>
      </w:r>
      <w:r>
        <w:rPr>
          <w:i/>
          <w:iCs/>
          <w:lang w:val="en-US"/>
        </w:rPr>
        <w:t>The Concise Oxford dictionary.</w:t>
      </w:r>
      <w:r>
        <w:rPr>
          <w:lang w:val="en-US"/>
        </w:rPr>
        <w:t xml:space="preserve"> BCA</w:t>
      </w:r>
    </w:p>
    <w:p w:rsidR="001704CF" w:rsidRDefault="00BD4EFB">
      <w:pPr>
        <w:pStyle w:val="Body"/>
        <w:spacing w:line="600" w:lineRule="auto"/>
        <w:ind w:firstLine="0"/>
        <w:rPr>
          <w:i/>
          <w:iCs/>
        </w:rPr>
      </w:pPr>
      <w:r>
        <w:rPr>
          <w:lang w:val="en-US"/>
        </w:rPr>
        <w:t>Thompson, K.</w:t>
      </w:r>
      <w:r>
        <w:t xml:space="preserve"> </w:t>
      </w:r>
      <w:r>
        <w:rPr>
          <w:lang w:val="en-US"/>
        </w:rPr>
        <w:t xml:space="preserve">(2007) </w:t>
      </w:r>
      <w:r>
        <w:rPr>
          <w:i/>
          <w:iCs/>
          <w:lang w:val="en-US"/>
        </w:rPr>
        <w:t>The muscular ideal: psychological, social, and medical perspectives. APA</w:t>
      </w:r>
    </w:p>
    <w:p w:rsidR="001704CF" w:rsidRDefault="00BD4EFB">
      <w:pPr>
        <w:pStyle w:val="Body"/>
        <w:spacing w:line="600" w:lineRule="auto"/>
        <w:ind w:firstLine="0"/>
      </w:pPr>
      <w:r>
        <w:rPr>
          <w:lang w:val="en-US"/>
        </w:rPr>
        <w:t xml:space="preserve">Alloway, L. (1958) </w:t>
      </w:r>
      <w:r>
        <w:rPr>
          <w:i/>
          <w:iCs/>
          <w:lang w:val="en-US"/>
        </w:rPr>
        <w:t>The Arts and the mass media.</w:t>
      </w:r>
      <w:r>
        <w:t xml:space="preserve"> </w:t>
      </w:r>
      <w:r>
        <w:rPr>
          <w:lang w:val="en-US"/>
        </w:rPr>
        <w:t>Architectural Design Magazine</w:t>
      </w:r>
    </w:p>
    <w:p w:rsidR="001704CF" w:rsidRDefault="00BD4EFB">
      <w:pPr>
        <w:pStyle w:val="Body"/>
        <w:spacing w:line="600" w:lineRule="auto"/>
        <w:ind w:firstLine="0"/>
      </w:pPr>
      <w:r>
        <w:t>Grant</w:t>
      </w:r>
      <w:r>
        <w:rPr>
          <w:lang w:val="en-US"/>
        </w:rPr>
        <w:t>,</w:t>
      </w:r>
      <w:r>
        <w:t xml:space="preserve"> R</w:t>
      </w:r>
      <w:r>
        <w:rPr>
          <w:lang w:val="en-US"/>
        </w:rPr>
        <w:t>. And King, C. And Zaczek, I. (2010)</w:t>
      </w:r>
      <w:r>
        <w:t xml:space="preserve"> </w:t>
      </w:r>
      <w:r>
        <w:rPr>
          <w:i/>
          <w:iCs/>
          <w:lang w:val="en-US"/>
        </w:rPr>
        <w:t>Art the Whole Story</w:t>
      </w:r>
      <w:r>
        <w:rPr>
          <w:lang w:val="en-US"/>
        </w:rPr>
        <w:t>.</w:t>
      </w:r>
      <w:r>
        <w:t xml:space="preserve"> </w:t>
      </w:r>
      <w:r>
        <w:rPr>
          <w:lang w:val="en-US"/>
        </w:rPr>
        <w:t>Thames and Hudson</w:t>
      </w:r>
    </w:p>
    <w:p w:rsidR="001704CF" w:rsidRDefault="00BD4EFB">
      <w:pPr>
        <w:pStyle w:val="Body"/>
        <w:spacing w:line="600" w:lineRule="auto"/>
        <w:ind w:firstLine="0"/>
      </w:pPr>
      <w:r>
        <w:rPr>
          <w:lang w:val="en-US"/>
        </w:rPr>
        <w:t xml:space="preserve">Horne, H. And Firth, S. (1987) </w:t>
      </w:r>
      <w:r>
        <w:rPr>
          <w:i/>
          <w:iCs/>
          <w:lang w:val="en-US"/>
        </w:rPr>
        <w:t>Art into Pop</w:t>
      </w:r>
      <w:r>
        <w:rPr>
          <w:lang w:val="en-US"/>
        </w:rPr>
        <w:t>. Methuen Young Books</w:t>
      </w:r>
    </w:p>
    <w:p w:rsidR="001704CF" w:rsidRDefault="00BD4EFB">
      <w:pPr>
        <w:pStyle w:val="Body"/>
        <w:spacing w:line="600" w:lineRule="auto"/>
        <w:ind w:firstLine="0"/>
        <w:rPr>
          <w:color w:val="B93E40"/>
        </w:rPr>
      </w:pPr>
      <w:r>
        <w:rPr>
          <w:lang w:val="en-US"/>
        </w:rPr>
        <w:t xml:space="preserve">March, J. (2008) </w:t>
      </w:r>
      <w:r>
        <w:rPr>
          <w:i/>
          <w:iCs/>
          <w:lang w:val="en-US"/>
        </w:rPr>
        <w:t>Penguin book of Classical Myths.</w:t>
      </w:r>
      <w:r>
        <w:rPr>
          <w:lang w:val="en-US"/>
        </w:rPr>
        <w:t xml:space="preserve"> Penguin</w:t>
      </w:r>
    </w:p>
    <w:p w:rsidR="001704CF" w:rsidRDefault="00BD4EFB">
      <w:pPr>
        <w:pStyle w:val="Body"/>
        <w:spacing w:line="600" w:lineRule="auto"/>
        <w:ind w:firstLine="0"/>
      </w:pPr>
      <w:r>
        <w:rPr>
          <w:lang w:val="en-US"/>
        </w:rPr>
        <w:lastRenderedPageBreak/>
        <w:t xml:space="preserve">Bryson, S. (2003) </w:t>
      </w:r>
      <w:r>
        <w:rPr>
          <w:i/>
          <w:iCs/>
          <w:lang w:val="en-US"/>
        </w:rPr>
        <w:t xml:space="preserve">Body Image and modification: New Problem or Ancient Preoccupation? </w:t>
      </w:r>
      <w:r>
        <w:rPr>
          <w:lang w:val="en-US"/>
        </w:rPr>
        <w:t>PS</w:t>
      </w:r>
    </w:p>
    <w:p w:rsidR="001704CF" w:rsidRDefault="00BD4EFB">
      <w:pPr>
        <w:pStyle w:val="Body"/>
        <w:spacing w:line="600" w:lineRule="auto"/>
        <w:ind w:firstLine="0"/>
      </w:pPr>
      <w:r>
        <w:rPr>
          <w:lang w:val="en-US"/>
        </w:rPr>
        <w:t xml:space="preserve">Mills, J. (1976) </w:t>
      </w:r>
      <w:r>
        <w:rPr>
          <w:i/>
          <w:iCs/>
          <w:lang w:val="en-US"/>
        </w:rPr>
        <w:t>The Technique of Sculpture</w:t>
      </w:r>
      <w:r>
        <w:rPr>
          <w:lang w:val="en-US"/>
        </w:rPr>
        <w:t>. B T Batsford</w:t>
      </w:r>
    </w:p>
    <w:sectPr w:rsidR="001704CF">
      <w:headerReference w:type="even" r:id="rId13"/>
      <w:headerReference w:type="default" r:id="rId14"/>
      <w:footerReference w:type="even" r:id="rId15"/>
      <w:footerReference w:type="default" r:id="rId16"/>
      <w:headerReference w:type="first" r:id="rId17"/>
      <w:footerReference w:type="first" r:id="rId18"/>
      <w:pgSz w:w="11900" w:h="16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70F5" w:rsidRDefault="005770F5">
      <w:r>
        <w:separator/>
      </w:r>
    </w:p>
  </w:endnote>
  <w:endnote w:type="continuationSeparator" w:id="0">
    <w:p w:rsidR="005770F5" w:rsidRDefault="005770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askerville">
    <w:altName w:val="Cambria Math"/>
    <w:charset w:val="00"/>
    <w:family w:val="roman"/>
    <w:pitch w:val="variable"/>
    <w:sig w:usb0="00000001" w:usb1="02000000" w:usb2="00000000" w:usb3="00000000" w:csb0="0000019F" w:csb1="00000000"/>
  </w:font>
  <w:font w:name="Baskerville Semi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5A97" w:rsidRDefault="008A5A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04CF" w:rsidRDefault="00A3624F">
    <w:pPr>
      <w:pStyle w:val="HeaderFooter"/>
      <w:tabs>
        <w:tab w:val="center" w:pos="4510"/>
      </w:tabs>
    </w:pPr>
    <w:r>
      <w:t>Research Practices</w:t>
    </w:r>
    <w:bookmarkStart w:id="0" w:name="_GoBack"/>
    <w:bookmarkEnd w:id="0"/>
    <w:r w:rsidR="00BD4EFB">
      <w:tab/>
      <w:t>AnDrew Bowen</w:t>
    </w:r>
    <w:r w:rsidR="00BD4EFB">
      <w:tab/>
    </w:r>
    <w:r w:rsidR="00BD4EFB">
      <w:fldChar w:fldCharType="begin"/>
    </w:r>
    <w:r w:rsidR="00BD4EFB">
      <w:instrText xml:space="preserve"> PAGE </w:instrText>
    </w:r>
    <w:r w:rsidR="00BD4EFB">
      <w:fldChar w:fldCharType="separate"/>
    </w:r>
    <w:r>
      <w:rPr>
        <w:noProof/>
      </w:rPr>
      <w:t>1</w:t>
    </w:r>
    <w:r w:rsidR="00BD4EFB">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5A97" w:rsidRDefault="008A5A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70F5" w:rsidRDefault="005770F5">
      <w:r>
        <w:separator/>
      </w:r>
    </w:p>
  </w:footnote>
  <w:footnote w:type="continuationSeparator" w:id="0">
    <w:p w:rsidR="005770F5" w:rsidRDefault="005770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5A97" w:rsidRDefault="008A5A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04CF" w:rsidRDefault="001704CF"/>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5A97" w:rsidRDefault="008A5A9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04CF"/>
    <w:rsid w:val="001704CF"/>
    <w:rsid w:val="005770F5"/>
    <w:rsid w:val="008A5A97"/>
    <w:rsid w:val="00A3624F"/>
    <w:rsid w:val="00BD4E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6CCF47"/>
  <w15:docId w15:val="{E18B127A-0CE9-4743-9181-C50BAD81F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GB"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keepNext/>
      <w:tabs>
        <w:tab w:val="right" w:pos="9020"/>
      </w:tabs>
    </w:pPr>
    <w:rPr>
      <w:rFonts w:ascii="Baskerville" w:hAnsi="Baskerville" w:cs="Arial Unicode MS"/>
      <w:caps/>
      <w:color w:val="000000"/>
      <w:lang w:val="en-US"/>
    </w:rPr>
  </w:style>
  <w:style w:type="paragraph" w:customStyle="1" w:styleId="Heading">
    <w:name w:val="Heading"/>
    <w:next w:val="Body2"/>
    <w:pPr>
      <w:spacing w:line="312" w:lineRule="auto"/>
      <w:outlineLvl w:val="0"/>
    </w:pPr>
    <w:rPr>
      <w:rFonts w:ascii="Baskerville" w:hAnsi="Baskerville" w:cs="Arial Unicode MS"/>
      <w:color w:val="000000"/>
      <w:sz w:val="26"/>
      <w:szCs w:val="26"/>
      <w:lang w:val="en-US"/>
    </w:rPr>
  </w:style>
  <w:style w:type="paragraph" w:customStyle="1" w:styleId="Body2">
    <w:name w:val="Body 2"/>
    <w:pPr>
      <w:spacing w:after="80" w:line="288" w:lineRule="auto"/>
    </w:pPr>
    <w:rPr>
      <w:rFonts w:ascii="Baskerville" w:hAnsi="Baskerville" w:cs="Arial Unicode MS"/>
      <w:color w:val="434343"/>
      <w:sz w:val="24"/>
      <w:szCs w:val="24"/>
      <w:lang w:val="en-US"/>
    </w:rPr>
  </w:style>
  <w:style w:type="paragraph" w:styleId="Subtitle">
    <w:name w:val="Subtitle"/>
    <w:next w:val="Body2"/>
    <w:pPr>
      <w:jc w:val="center"/>
    </w:pPr>
    <w:rPr>
      <w:rFonts w:ascii="Baskerville" w:hAnsi="Baskerville" w:cs="Arial Unicode MS"/>
      <w:color w:val="DC5921"/>
      <w:spacing w:val="6"/>
      <w:sz w:val="64"/>
      <w:szCs w:val="64"/>
      <w:lang w:val="en-US"/>
    </w:rPr>
  </w:style>
  <w:style w:type="paragraph" w:customStyle="1" w:styleId="Subheading">
    <w:name w:val="Subheading"/>
    <w:next w:val="Body2"/>
    <w:pPr>
      <w:spacing w:after="160"/>
      <w:jc w:val="center"/>
      <w:outlineLvl w:val="0"/>
    </w:pPr>
    <w:rPr>
      <w:rFonts w:ascii="Baskerville" w:hAnsi="Baskerville" w:cs="Arial Unicode MS"/>
      <w:color w:val="5B422A"/>
      <w:sz w:val="36"/>
      <w:szCs w:val="36"/>
      <w:lang w:val="en-US"/>
    </w:rPr>
  </w:style>
  <w:style w:type="paragraph" w:customStyle="1" w:styleId="Body">
    <w:name w:val="Body"/>
    <w:pPr>
      <w:spacing w:line="360" w:lineRule="auto"/>
      <w:ind w:firstLine="540"/>
    </w:pPr>
    <w:rPr>
      <w:rFonts w:ascii="Baskerville" w:eastAsia="Baskerville" w:hAnsi="Baskerville" w:cs="Baskerville"/>
      <w:color w:val="000000"/>
      <w:sz w:val="24"/>
      <w:szCs w:val="24"/>
    </w:rPr>
  </w:style>
  <w:style w:type="paragraph" w:styleId="Header">
    <w:name w:val="header"/>
    <w:basedOn w:val="Normal"/>
    <w:link w:val="HeaderChar"/>
    <w:uiPriority w:val="99"/>
    <w:unhideWhenUsed/>
    <w:rsid w:val="008A5A97"/>
    <w:pPr>
      <w:tabs>
        <w:tab w:val="center" w:pos="4680"/>
        <w:tab w:val="right" w:pos="9360"/>
      </w:tabs>
    </w:pPr>
  </w:style>
  <w:style w:type="character" w:customStyle="1" w:styleId="HeaderChar">
    <w:name w:val="Header Char"/>
    <w:basedOn w:val="DefaultParagraphFont"/>
    <w:link w:val="Header"/>
    <w:uiPriority w:val="99"/>
    <w:rsid w:val="008A5A97"/>
    <w:rPr>
      <w:sz w:val="24"/>
      <w:szCs w:val="24"/>
      <w:lang w:val="en-US"/>
    </w:rPr>
  </w:style>
  <w:style w:type="paragraph" w:styleId="Footer">
    <w:name w:val="footer"/>
    <w:basedOn w:val="Normal"/>
    <w:link w:val="FooterChar"/>
    <w:uiPriority w:val="99"/>
    <w:unhideWhenUsed/>
    <w:rsid w:val="008A5A97"/>
    <w:pPr>
      <w:tabs>
        <w:tab w:val="center" w:pos="4680"/>
        <w:tab w:val="right" w:pos="9360"/>
      </w:tabs>
    </w:pPr>
  </w:style>
  <w:style w:type="character" w:customStyle="1" w:styleId="FooterChar">
    <w:name w:val="Footer Char"/>
    <w:basedOn w:val="DefaultParagraphFont"/>
    <w:link w:val="Footer"/>
    <w:uiPriority w:val="99"/>
    <w:rsid w:val="008A5A97"/>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3.tif"/><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image" Target="media/image2.tif"/><Relationship Id="rId12" Type="http://schemas.openxmlformats.org/officeDocument/2006/relationships/image" Target="media/image7.tif"/><Relationship Id="rId17" Type="http://schemas.openxmlformats.org/officeDocument/2006/relationships/header" Target="header3.xml"/><Relationship Id="rId2" Type="http://schemas.openxmlformats.org/officeDocument/2006/relationships/settings" Target="setting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tif"/><Relationship Id="rId11" Type="http://schemas.openxmlformats.org/officeDocument/2006/relationships/image" Target="media/image6.tif"/><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image" Target="media/image5.tif"/><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tif"/><Relationship Id="rId14" Type="http://schemas.openxmlformats.org/officeDocument/2006/relationships/header" Target="header2.xml"/></Relationships>
</file>

<file path=word/theme/theme1.xml><?xml version="1.0" encoding="utf-8"?>
<a:theme xmlns:a="http://schemas.openxmlformats.org/drawingml/2006/main" name="04_Essay">
  <a:themeElements>
    <a:clrScheme name="04_Essay">
      <a:dk1>
        <a:srgbClr val="000000"/>
      </a:dk1>
      <a:lt1>
        <a:srgbClr val="FFFFFF"/>
      </a:lt1>
      <a:dk2>
        <a:srgbClr val="444444"/>
      </a:dk2>
      <a:lt2>
        <a:srgbClr val="AAAAAA"/>
      </a:lt2>
      <a:accent1>
        <a:srgbClr val="A6BACF"/>
      </a:accent1>
      <a:accent2>
        <a:srgbClr val="98A68D"/>
      </a:accent2>
      <a:accent3>
        <a:srgbClr val="E2C07E"/>
      </a:accent3>
      <a:accent4>
        <a:srgbClr val="EA8B60"/>
      </a:accent4>
      <a:accent5>
        <a:srgbClr val="B93E40"/>
      </a:accent5>
      <a:accent6>
        <a:srgbClr val="807898"/>
      </a:accent6>
      <a:hlink>
        <a:srgbClr val="0000FF"/>
      </a:hlink>
      <a:folHlink>
        <a:srgbClr val="FF00FF"/>
      </a:folHlink>
    </a:clrScheme>
    <a:fontScheme name="04_Essay">
      <a:majorFont>
        <a:latin typeface="Baskerville"/>
        <a:ea typeface="Baskerville"/>
        <a:cs typeface="Baskerville"/>
      </a:majorFont>
      <a:minorFont>
        <a:latin typeface="Baskerville SemiBold"/>
        <a:ea typeface="Baskerville SemiBold"/>
        <a:cs typeface="Baskerville SemiBold"/>
      </a:minorFont>
    </a:fontScheme>
    <a:fmtScheme name="04_Essay">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2">
            <a:hueOff val="304431"/>
            <a:satOff val="14136"/>
            <a:lumOff val="-27777"/>
          </a:schemeClr>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FFFFFF"/>
            </a:solidFill>
            <a:effectLst/>
            <a:uFillTx/>
            <a:latin typeface="+mj-lt"/>
            <a:ea typeface="+mj-ea"/>
            <a:cs typeface="+mj-cs"/>
            <a:sym typeface="Baskervill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AAAAAA"/>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20000"/>
          </a:lnSpc>
          <a:spcBef>
            <a:spcPts val="400"/>
          </a:spcBef>
          <a:spcAft>
            <a:spcPts val="0"/>
          </a:spcAft>
          <a:buClrTx/>
          <a:buSzTx/>
          <a:buFontTx/>
          <a:buNone/>
          <a:tabLst/>
          <a:defRPr kumimoji="0" sz="1200" b="0" i="0" u="none" strike="noStrike" cap="none" spc="0" normalizeH="0" baseline="0">
            <a:ln>
              <a:noFill/>
            </a:ln>
            <a:solidFill>
              <a:srgbClr val="444444"/>
            </a:solidFill>
            <a:effectLst/>
            <a:uFillTx/>
            <a:latin typeface="+mj-lt"/>
            <a:ea typeface="+mj-ea"/>
            <a:cs typeface="+mj-cs"/>
            <a:sym typeface="Baskervill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2595</Words>
  <Characters>14797</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 Bowen (P127506)</dc:creator>
  <cp:lastModifiedBy>Andrew Bowen (P127506)</cp:lastModifiedBy>
  <cp:revision>2</cp:revision>
  <dcterms:created xsi:type="dcterms:W3CDTF">2019-05-09T11:16:00Z</dcterms:created>
  <dcterms:modified xsi:type="dcterms:W3CDTF">2019-05-09T11:16:00Z</dcterms:modified>
</cp:coreProperties>
</file>