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126FA" w14:textId="77777777" w:rsidR="00415625" w:rsidRDefault="00415625" w:rsidP="00415625">
      <w:pPr>
        <w:ind w:leftChars="-400" w:left="-960"/>
        <w:jc w:val="center"/>
      </w:pPr>
    </w:p>
    <w:p w14:paraId="0BA1300C" w14:textId="77777777" w:rsidR="00415625" w:rsidRDefault="00415625" w:rsidP="00415625">
      <w:pPr>
        <w:jc w:val="center"/>
      </w:pPr>
    </w:p>
    <w:p w14:paraId="41BCED10" w14:textId="77777777" w:rsidR="00415625" w:rsidRDefault="00415625" w:rsidP="00415625">
      <w:pPr>
        <w:jc w:val="center"/>
      </w:pPr>
      <w:r>
        <w:rPr>
          <w:noProof/>
        </w:rPr>
        <w:drawing>
          <wp:inline distT="0" distB="0" distL="0" distR="0" wp14:anchorId="378F5AEE" wp14:editId="11A03E1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07DF5B34" w14:textId="77777777" w:rsidR="00415625" w:rsidRDefault="00415625" w:rsidP="00415625">
      <w:pPr>
        <w:jc w:val="center"/>
      </w:pPr>
    </w:p>
    <w:p w14:paraId="1EBA8BF2" w14:textId="77777777" w:rsidR="00415625" w:rsidRDefault="00415625" w:rsidP="00415625">
      <w:pPr>
        <w:jc w:val="center"/>
      </w:pPr>
    </w:p>
    <w:p w14:paraId="75978346" w14:textId="77777777" w:rsidR="00415625" w:rsidRDefault="00415625" w:rsidP="00415625">
      <w:pPr>
        <w:jc w:val="center"/>
      </w:pPr>
    </w:p>
    <w:p w14:paraId="509415C1" w14:textId="77777777" w:rsidR="00415625" w:rsidRDefault="00415625" w:rsidP="00415625">
      <w:pPr>
        <w:jc w:val="center"/>
      </w:pPr>
    </w:p>
    <w:p w14:paraId="5C137ABB" w14:textId="77777777" w:rsidR="00415625" w:rsidRDefault="00415625" w:rsidP="00415625">
      <w:pPr>
        <w:jc w:val="center"/>
      </w:pPr>
    </w:p>
    <w:p w14:paraId="72584E2B" w14:textId="7A6E795C" w:rsidR="00415625" w:rsidRDefault="00415625" w:rsidP="00415625">
      <w:pPr>
        <w:jc w:val="center"/>
        <w:rPr>
          <w:b/>
          <w:bCs/>
          <w:sz w:val="28"/>
          <w:szCs w:val="28"/>
          <w:lang w:val="en-IN"/>
        </w:rPr>
      </w:pPr>
      <w:r>
        <w:rPr>
          <w:b/>
          <w:bCs/>
          <w:sz w:val="28"/>
          <w:szCs w:val="28"/>
        </w:rPr>
        <w:t>Student Name:</w:t>
      </w:r>
      <w:r w:rsidR="00592470" w:rsidRPr="00592470">
        <w:t xml:space="preserve"> </w:t>
      </w:r>
      <w:r w:rsidR="00592470" w:rsidRPr="00592470">
        <w:rPr>
          <w:b/>
          <w:bCs/>
          <w:sz w:val="28"/>
          <w:szCs w:val="28"/>
          <w:lang w:val="en-IN"/>
        </w:rPr>
        <w:t>Yash Thakor</w:t>
      </w:r>
    </w:p>
    <w:p w14:paraId="40BBB996" w14:textId="77777777" w:rsidR="00415625" w:rsidRDefault="00415625" w:rsidP="00415625">
      <w:pPr>
        <w:jc w:val="center"/>
        <w:rPr>
          <w:b/>
          <w:bCs/>
          <w:sz w:val="28"/>
          <w:szCs w:val="28"/>
        </w:rPr>
      </w:pPr>
    </w:p>
    <w:p w14:paraId="7CCB93F8" w14:textId="318AADD0" w:rsidR="00415625" w:rsidRDefault="00415625" w:rsidP="00415625">
      <w:pPr>
        <w:jc w:val="center"/>
        <w:rPr>
          <w:b/>
          <w:bCs/>
          <w:sz w:val="28"/>
          <w:szCs w:val="28"/>
          <w:lang w:val="en-IN"/>
        </w:rPr>
      </w:pPr>
      <w:r>
        <w:rPr>
          <w:b/>
          <w:bCs/>
          <w:sz w:val="28"/>
          <w:szCs w:val="28"/>
        </w:rPr>
        <w:t>Student ID:</w:t>
      </w:r>
      <w:r w:rsidR="00592470" w:rsidRPr="00592470">
        <w:t xml:space="preserve"> </w:t>
      </w:r>
      <w:r w:rsidR="00592470" w:rsidRPr="00592470">
        <w:rPr>
          <w:b/>
          <w:bCs/>
          <w:sz w:val="28"/>
          <w:szCs w:val="28"/>
          <w:lang w:val="en-IN"/>
        </w:rPr>
        <w:t>2436840</w:t>
      </w:r>
    </w:p>
    <w:p w14:paraId="28F88130" w14:textId="77777777" w:rsidR="00415625" w:rsidRDefault="00415625" w:rsidP="00415625">
      <w:pPr>
        <w:jc w:val="center"/>
        <w:rPr>
          <w:sz w:val="28"/>
          <w:szCs w:val="28"/>
        </w:rPr>
      </w:pPr>
    </w:p>
    <w:p w14:paraId="6080DE16" w14:textId="77777777" w:rsidR="00415625" w:rsidRDefault="00415625" w:rsidP="00415625">
      <w:pPr>
        <w:jc w:val="center"/>
        <w:rPr>
          <w:sz w:val="28"/>
          <w:szCs w:val="28"/>
        </w:rPr>
      </w:pPr>
    </w:p>
    <w:p w14:paraId="4AD4CF0E" w14:textId="77777777" w:rsidR="00415625" w:rsidRDefault="00415625" w:rsidP="00415625">
      <w:pPr>
        <w:jc w:val="center"/>
        <w:rPr>
          <w:b/>
          <w:bCs/>
          <w:sz w:val="28"/>
          <w:szCs w:val="28"/>
        </w:rPr>
      </w:pPr>
      <w:r>
        <w:rPr>
          <w:b/>
          <w:bCs/>
          <w:sz w:val="28"/>
          <w:szCs w:val="28"/>
        </w:rPr>
        <w:t>Module Name: Marketing Management</w:t>
      </w:r>
    </w:p>
    <w:p w14:paraId="6118167D" w14:textId="77777777" w:rsidR="00415625" w:rsidRDefault="00415625" w:rsidP="00415625">
      <w:pPr>
        <w:jc w:val="center"/>
        <w:rPr>
          <w:b/>
          <w:bCs/>
          <w:sz w:val="28"/>
          <w:szCs w:val="28"/>
        </w:rPr>
      </w:pPr>
    </w:p>
    <w:p w14:paraId="7423A168" w14:textId="77777777" w:rsidR="00415625" w:rsidRDefault="00415625" w:rsidP="00415625">
      <w:pPr>
        <w:jc w:val="center"/>
        <w:rPr>
          <w:b/>
          <w:bCs/>
          <w:sz w:val="28"/>
          <w:szCs w:val="28"/>
        </w:rPr>
      </w:pPr>
      <w:r>
        <w:rPr>
          <w:b/>
          <w:bCs/>
          <w:sz w:val="28"/>
          <w:szCs w:val="28"/>
        </w:rPr>
        <w:t>Module Code: LCMB7024</w:t>
      </w:r>
    </w:p>
    <w:p w14:paraId="15F4177B" w14:textId="77777777" w:rsidR="00415625" w:rsidRDefault="00415625" w:rsidP="00415625">
      <w:pPr>
        <w:jc w:val="center"/>
        <w:rPr>
          <w:b/>
          <w:bCs/>
          <w:sz w:val="28"/>
          <w:szCs w:val="28"/>
        </w:rPr>
      </w:pPr>
    </w:p>
    <w:p w14:paraId="50359789" w14:textId="77777777" w:rsidR="00415625" w:rsidRDefault="00415625" w:rsidP="00415625">
      <w:pPr>
        <w:jc w:val="center"/>
        <w:rPr>
          <w:b/>
          <w:bCs/>
          <w:sz w:val="28"/>
          <w:szCs w:val="28"/>
        </w:rPr>
      </w:pPr>
    </w:p>
    <w:p w14:paraId="3303320B" w14:textId="77777777" w:rsidR="00415625" w:rsidRDefault="00415625" w:rsidP="00415625">
      <w:pPr>
        <w:jc w:val="center"/>
        <w:rPr>
          <w:b/>
          <w:bCs/>
          <w:sz w:val="28"/>
          <w:szCs w:val="28"/>
        </w:rPr>
      </w:pPr>
    </w:p>
    <w:p w14:paraId="1CA3B095" w14:textId="77777777" w:rsidR="00415625" w:rsidRDefault="00415625" w:rsidP="00415625">
      <w:pPr>
        <w:jc w:val="center"/>
        <w:rPr>
          <w:b/>
          <w:bCs/>
          <w:sz w:val="28"/>
          <w:szCs w:val="28"/>
        </w:rPr>
      </w:pPr>
    </w:p>
    <w:p w14:paraId="4EB9FCC6" w14:textId="5BE35911" w:rsidR="00415625" w:rsidRDefault="00415625" w:rsidP="00415625">
      <w:pPr>
        <w:jc w:val="center"/>
        <w:rPr>
          <w:b/>
          <w:bCs/>
          <w:sz w:val="28"/>
          <w:szCs w:val="28"/>
        </w:rPr>
      </w:pPr>
      <w:r>
        <w:rPr>
          <w:b/>
          <w:bCs/>
          <w:sz w:val="28"/>
          <w:szCs w:val="28"/>
        </w:rPr>
        <w:t xml:space="preserve">Lecturer’s </w:t>
      </w:r>
      <w:proofErr w:type="gramStart"/>
      <w:r>
        <w:rPr>
          <w:b/>
          <w:bCs/>
          <w:sz w:val="28"/>
          <w:szCs w:val="28"/>
        </w:rPr>
        <w:t>Name:</w:t>
      </w:r>
      <w:r>
        <w:rPr>
          <w:b/>
          <w:bCs/>
          <w:sz w:val="28"/>
          <w:szCs w:val="28"/>
          <w:lang w:val="en-IN"/>
        </w:rPr>
        <w:t>Tushara</w:t>
      </w:r>
      <w:proofErr w:type="gramEnd"/>
      <w:r>
        <w:rPr>
          <w:b/>
          <w:bCs/>
          <w:sz w:val="28"/>
          <w:szCs w:val="28"/>
          <w:lang w:val="en-IN"/>
        </w:rPr>
        <w:t xml:space="preserve"> </w:t>
      </w:r>
      <w:proofErr w:type="spellStart"/>
      <w:r w:rsidR="00592470">
        <w:rPr>
          <w:b/>
          <w:bCs/>
          <w:sz w:val="28"/>
          <w:szCs w:val="28"/>
          <w:lang w:val="en-IN"/>
        </w:rPr>
        <w:t>B</w:t>
      </w:r>
      <w:r>
        <w:rPr>
          <w:b/>
          <w:bCs/>
          <w:sz w:val="28"/>
          <w:szCs w:val="28"/>
          <w:lang w:val="en-IN"/>
        </w:rPr>
        <w:t>alendran</w:t>
      </w:r>
      <w:proofErr w:type="spellEnd"/>
    </w:p>
    <w:p w14:paraId="50231E0E" w14:textId="77777777" w:rsidR="00415625" w:rsidRDefault="00415625" w:rsidP="00415625">
      <w:pPr>
        <w:jc w:val="center"/>
        <w:rPr>
          <w:b/>
          <w:bCs/>
          <w:sz w:val="28"/>
          <w:szCs w:val="28"/>
        </w:rPr>
      </w:pPr>
    </w:p>
    <w:p w14:paraId="6E44EF07" w14:textId="77777777" w:rsidR="00415625" w:rsidRDefault="00415625" w:rsidP="00415625">
      <w:pPr>
        <w:jc w:val="center"/>
        <w:rPr>
          <w:b/>
          <w:bCs/>
          <w:sz w:val="28"/>
          <w:szCs w:val="28"/>
        </w:rPr>
      </w:pPr>
    </w:p>
    <w:p w14:paraId="6592C79E" w14:textId="77777777" w:rsidR="00415625" w:rsidRDefault="00415625" w:rsidP="00415625">
      <w:pPr>
        <w:jc w:val="center"/>
        <w:rPr>
          <w:b/>
          <w:bCs/>
          <w:sz w:val="28"/>
          <w:szCs w:val="28"/>
        </w:rPr>
      </w:pPr>
    </w:p>
    <w:p w14:paraId="4B00DDC7" w14:textId="77777777" w:rsidR="00415625" w:rsidRDefault="00415625" w:rsidP="00415625">
      <w:pPr>
        <w:jc w:val="center"/>
        <w:rPr>
          <w:b/>
          <w:bCs/>
          <w:sz w:val="28"/>
          <w:szCs w:val="28"/>
        </w:rPr>
      </w:pPr>
    </w:p>
    <w:p w14:paraId="7B48EBEA" w14:textId="6D11BC47" w:rsidR="00266B16" w:rsidRDefault="00415625" w:rsidP="00415625">
      <w:pPr>
        <w:jc w:val="center"/>
        <w:rPr>
          <w:b/>
          <w:bCs/>
          <w:sz w:val="28"/>
          <w:szCs w:val="28"/>
        </w:rPr>
      </w:pPr>
      <w:r>
        <w:rPr>
          <w:b/>
          <w:bCs/>
          <w:sz w:val="28"/>
          <w:szCs w:val="28"/>
        </w:rPr>
        <w:t>Term 1</w:t>
      </w:r>
    </w:p>
    <w:p w14:paraId="5C052A7A" w14:textId="06567B17" w:rsidR="00EC6B6C" w:rsidRPr="00EC6B6C" w:rsidRDefault="00EC6B6C" w:rsidP="00EC6B6C">
      <w:pPr>
        <w:rPr>
          <w:b/>
          <w:bCs/>
          <w:sz w:val="28"/>
          <w:szCs w:val="28"/>
        </w:rPr>
      </w:pPr>
      <w:r w:rsidRPr="00EC6B6C">
        <w:rPr>
          <w:b/>
          <w:bCs/>
          <w:sz w:val="28"/>
          <w:szCs w:val="28"/>
        </w:rPr>
        <w:lastRenderedPageBreak/>
        <w:t>Element 1</w:t>
      </w:r>
    </w:p>
    <w:p w14:paraId="2E90336E" w14:textId="134C93A1" w:rsidR="00415625" w:rsidRDefault="00266B16" w:rsidP="00415625">
      <w:pPr>
        <w:jc w:val="center"/>
        <w:rPr>
          <w:b/>
          <w:bCs/>
          <w:sz w:val="28"/>
          <w:szCs w:val="28"/>
        </w:rPr>
      </w:pPr>
      <w:r>
        <w:rPr>
          <w:noProof/>
        </w:rPr>
        <w:drawing>
          <wp:inline distT="0" distB="0" distL="0" distR="0" wp14:anchorId="7BC8508A" wp14:editId="35BC7C5D">
            <wp:extent cx="5733415" cy="8109585"/>
            <wp:effectExtent l="0" t="0" r="635" b="5715"/>
            <wp:docPr id="2005594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9457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8109585"/>
                    </a:xfrm>
                    <a:prstGeom prst="rect">
                      <a:avLst/>
                    </a:prstGeom>
                  </pic:spPr>
                </pic:pic>
              </a:graphicData>
            </a:graphic>
          </wp:inline>
        </w:drawing>
      </w:r>
    </w:p>
    <w:p w14:paraId="44BB283D" w14:textId="77777777" w:rsidR="00266B16" w:rsidRDefault="00266B16" w:rsidP="002F5EB8">
      <w:pPr>
        <w:spacing w:before="240"/>
        <w:jc w:val="center"/>
        <w:rPr>
          <w:b/>
          <w:bCs/>
        </w:rPr>
      </w:pPr>
    </w:p>
    <w:p w14:paraId="69E3F76A" w14:textId="5CD72534" w:rsidR="00CD7D94" w:rsidRPr="00A95E71" w:rsidRDefault="00803C8A" w:rsidP="002F5EB8">
      <w:pPr>
        <w:spacing w:before="240"/>
        <w:jc w:val="center"/>
        <w:rPr>
          <w:b/>
          <w:bCs/>
        </w:rPr>
      </w:pPr>
      <w:r w:rsidRPr="00A95E71">
        <w:rPr>
          <w:b/>
          <w:bCs/>
        </w:rPr>
        <w:lastRenderedPageBreak/>
        <w:t>Executive Summary</w:t>
      </w:r>
    </w:p>
    <w:p w14:paraId="69979E4F" w14:textId="6093E00C" w:rsidR="00CD7D94" w:rsidRPr="00A95E71" w:rsidRDefault="00803C8A" w:rsidP="002F5EB8">
      <w:pPr>
        <w:spacing w:before="240"/>
      </w:pPr>
      <w:r w:rsidRPr="00A95E71">
        <w:t xml:space="preserve">This portfolio is aimed at creating a marketing strategy for The Hut Group plc (THG) that would introduce a new sustainable brand extension, named THG Earth+. Focusing on Segmentation, Targeting, Differentiation and Positioning (STDP) analysis, it pinpoints the target market and supports sustainable development of a brand and long-term business growth. </w:t>
      </w:r>
      <w:r w:rsidR="00AC7FD0" w:rsidRPr="00A95E71">
        <w:t>This assignment assesses the integration of sustainability within the strategic brand extension of THG plc. The marketing mix proves how ESG, Fairtrade and carbon neutrality are advantageous for competitiveness and growth.</w:t>
      </w:r>
    </w:p>
    <w:p w14:paraId="78A11FC0" w14:textId="031DCCC3" w:rsidR="002F5EB8" w:rsidRPr="00A95E71" w:rsidRDefault="002F5EB8" w:rsidP="002F5EB8">
      <w:pPr>
        <w:spacing w:before="240"/>
      </w:pPr>
      <w:r w:rsidRPr="00A95E71">
        <w:br w:type="page"/>
      </w:r>
    </w:p>
    <w:sdt>
      <w:sdtPr>
        <w:id w:val="-161152602"/>
        <w:docPartObj>
          <w:docPartGallery w:val="Table of Contents"/>
          <w:docPartUnique/>
        </w:docPartObj>
      </w:sdtPr>
      <w:sdtEndPr>
        <w:rPr>
          <w:b/>
          <w:bCs/>
          <w:noProof/>
        </w:rPr>
      </w:sdtEndPr>
      <w:sdtContent>
        <w:p w14:paraId="6A5B1311" w14:textId="5706BDFE" w:rsidR="002F5EB8" w:rsidRPr="00A95E71" w:rsidRDefault="002F5EB8" w:rsidP="002F5EB8">
          <w:pPr>
            <w:spacing w:before="240"/>
            <w:jc w:val="center"/>
            <w:rPr>
              <w:b/>
              <w:bCs/>
            </w:rPr>
          </w:pPr>
          <w:r w:rsidRPr="00A95E71">
            <w:rPr>
              <w:b/>
              <w:bCs/>
            </w:rPr>
            <w:t>Table of Contents</w:t>
          </w:r>
        </w:p>
        <w:p w14:paraId="4E6607D9" w14:textId="01D412A2" w:rsidR="00247BAD" w:rsidRDefault="002F5EB8">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A95E71">
            <w:fldChar w:fldCharType="begin"/>
          </w:r>
          <w:r w:rsidRPr="00A95E71">
            <w:instrText xml:space="preserve"> TOC \o "1-3" \h \z \u </w:instrText>
          </w:r>
          <w:r w:rsidRPr="00A95E71">
            <w:fldChar w:fldCharType="separate"/>
          </w:r>
          <w:hyperlink w:anchor="_Toc236506473" w:history="1">
            <w:r w:rsidR="00247BAD" w:rsidRPr="007C5707">
              <w:rPr>
                <w:rStyle w:val="Hyperlink"/>
                <w:noProof/>
              </w:rPr>
              <w:t>Introduction</w:t>
            </w:r>
            <w:r w:rsidR="00247BAD">
              <w:rPr>
                <w:noProof/>
                <w:webHidden/>
              </w:rPr>
              <w:tab/>
            </w:r>
            <w:r w:rsidR="00247BAD">
              <w:rPr>
                <w:noProof/>
                <w:webHidden/>
              </w:rPr>
              <w:fldChar w:fldCharType="begin"/>
            </w:r>
            <w:r w:rsidR="00247BAD">
              <w:rPr>
                <w:noProof/>
                <w:webHidden/>
              </w:rPr>
              <w:instrText xml:space="preserve"> PAGEREF _Toc236506473 \h </w:instrText>
            </w:r>
            <w:r w:rsidR="00247BAD">
              <w:rPr>
                <w:noProof/>
                <w:webHidden/>
              </w:rPr>
            </w:r>
            <w:r w:rsidR="00247BAD">
              <w:rPr>
                <w:noProof/>
                <w:webHidden/>
              </w:rPr>
              <w:fldChar w:fldCharType="separate"/>
            </w:r>
            <w:r w:rsidR="00247BAD">
              <w:rPr>
                <w:noProof/>
                <w:webHidden/>
              </w:rPr>
              <w:t>3</w:t>
            </w:r>
            <w:r w:rsidR="00247BAD">
              <w:rPr>
                <w:noProof/>
                <w:webHidden/>
              </w:rPr>
              <w:fldChar w:fldCharType="end"/>
            </w:r>
          </w:hyperlink>
        </w:p>
        <w:p w14:paraId="3B47FC41" w14:textId="612E962F" w:rsidR="00247BAD" w:rsidRDefault="00247BAD">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6474" w:history="1">
            <w:r w:rsidRPr="007C5707">
              <w:rPr>
                <w:rStyle w:val="Hyperlink"/>
                <w:noProof/>
              </w:rPr>
              <w:t>Element 2: Develop a Segmentation, Targeting, Differentiation, and Positioning (STDP) Analysis for the Brand Extension</w:t>
            </w:r>
            <w:r>
              <w:rPr>
                <w:noProof/>
                <w:webHidden/>
              </w:rPr>
              <w:tab/>
            </w:r>
            <w:r>
              <w:rPr>
                <w:noProof/>
                <w:webHidden/>
              </w:rPr>
              <w:fldChar w:fldCharType="begin"/>
            </w:r>
            <w:r>
              <w:rPr>
                <w:noProof/>
                <w:webHidden/>
              </w:rPr>
              <w:instrText xml:space="preserve"> PAGEREF _Toc236506474 \h </w:instrText>
            </w:r>
            <w:r>
              <w:rPr>
                <w:noProof/>
                <w:webHidden/>
              </w:rPr>
            </w:r>
            <w:r>
              <w:rPr>
                <w:noProof/>
                <w:webHidden/>
              </w:rPr>
              <w:fldChar w:fldCharType="separate"/>
            </w:r>
            <w:r>
              <w:rPr>
                <w:noProof/>
                <w:webHidden/>
              </w:rPr>
              <w:t>3</w:t>
            </w:r>
            <w:r>
              <w:rPr>
                <w:noProof/>
                <w:webHidden/>
              </w:rPr>
              <w:fldChar w:fldCharType="end"/>
            </w:r>
          </w:hyperlink>
        </w:p>
        <w:p w14:paraId="53A51D15" w14:textId="029BF0C9" w:rsidR="00247BAD" w:rsidRDefault="00247BAD">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6475" w:history="1">
            <w:r w:rsidRPr="007C5707">
              <w:rPr>
                <w:rStyle w:val="Hyperlink"/>
                <w:noProof/>
              </w:rPr>
              <w:t>Market Segmentation</w:t>
            </w:r>
            <w:r>
              <w:rPr>
                <w:noProof/>
                <w:webHidden/>
              </w:rPr>
              <w:tab/>
            </w:r>
            <w:r>
              <w:rPr>
                <w:noProof/>
                <w:webHidden/>
              </w:rPr>
              <w:fldChar w:fldCharType="begin"/>
            </w:r>
            <w:r>
              <w:rPr>
                <w:noProof/>
                <w:webHidden/>
              </w:rPr>
              <w:instrText xml:space="preserve"> PAGEREF _Toc236506475 \h </w:instrText>
            </w:r>
            <w:r>
              <w:rPr>
                <w:noProof/>
                <w:webHidden/>
              </w:rPr>
            </w:r>
            <w:r>
              <w:rPr>
                <w:noProof/>
                <w:webHidden/>
              </w:rPr>
              <w:fldChar w:fldCharType="separate"/>
            </w:r>
            <w:r>
              <w:rPr>
                <w:noProof/>
                <w:webHidden/>
              </w:rPr>
              <w:t>3</w:t>
            </w:r>
            <w:r>
              <w:rPr>
                <w:noProof/>
                <w:webHidden/>
              </w:rPr>
              <w:fldChar w:fldCharType="end"/>
            </w:r>
          </w:hyperlink>
        </w:p>
        <w:p w14:paraId="005995CF" w14:textId="1214CCD5" w:rsidR="00247BAD" w:rsidRDefault="00247BAD">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6476" w:history="1">
            <w:r w:rsidRPr="007C5707">
              <w:rPr>
                <w:rStyle w:val="Hyperlink"/>
                <w:noProof/>
              </w:rPr>
              <w:t>Targeting Strategy</w:t>
            </w:r>
            <w:r>
              <w:rPr>
                <w:noProof/>
                <w:webHidden/>
              </w:rPr>
              <w:tab/>
            </w:r>
            <w:r>
              <w:rPr>
                <w:noProof/>
                <w:webHidden/>
              </w:rPr>
              <w:fldChar w:fldCharType="begin"/>
            </w:r>
            <w:r>
              <w:rPr>
                <w:noProof/>
                <w:webHidden/>
              </w:rPr>
              <w:instrText xml:space="preserve"> PAGEREF _Toc236506476 \h </w:instrText>
            </w:r>
            <w:r>
              <w:rPr>
                <w:noProof/>
                <w:webHidden/>
              </w:rPr>
            </w:r>
            <w:r>
              <w:rPr>
                <w:noProof/>
                <w:webHidden/>
              </w:rPr>
              <w:fldChar w:fldCharType="separate"/>
            </w:r>
            <w:r>
              <w:rPr>
                <w:noProof/>
                <w:webHidden/>
              </w:rPr>
              <w:t>4</w:t>
            </w:r>
            <w:r>
              <w:rPr>
                <w:noProof/>
                <w:webHidden/>
              </w:rPr>
              <w:fldChar w:fldCharType="end"/>
            </w:r>
          </w:hyperlink>
        </w:p>
        <w:p w14:paraId="07D4DE40" w14:textId="598DE353" w:rsidR="00247BAD" w:rsidRDefault="00247BAD">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6477" w:history="1">
            <w:r w:rsidRPr="007C5707">
              <w:rPr>
                <w:rStyle w:val="Hyperlink"/>
                <w:noProof/>
              </w:rPr>
              <w:t>Differentiation Strategy</w:t>
            </w:r>
            <w:r>
              <w:rPr>
                <w:noProof/>
                <w:webHidden/>
              </w:rPr>
              <w:tab/>
            </w:r>
            <w:r>
              <w:rPr>
                <w:noProof/>
                <w:webHidden/>
              </w:rPr>
              <w:fldChar w:fldCharType="begin"/>
            </w:r>
            <w:r>
              <w:rPr>
                <w:noProof/>
                <w:webHidden/>
              </w:rPr>
              <w:instrText xml:space="preserve"> PAGEREF _Toc236506477 \h </w:instrText>
            </w:r>
            <w:r>
              <w:rPr>
                <w:noProof/>
                <w:webHidden/>
              </w:rPr>
            </w:r>
            <w:r>
              <w:rPr>
                <w:noProof/>
                <w:webHidden/>
              </w:rPr>
              <w:fldChar w:fldCharType="separate"/>
            </w:r>
            <w:r>
              <w:rPr>
                <w:noProof/>
                <w:webHidden/>
              </w:rPr>
              <w:t>5</w:t>
            </w:r>
            <w:r>
              <w:rPr>
                <w:noProof/>
                <w:webHidden/>
              </w:rPr>
              <w:fldChar w:fldCharType="end"/>
            </w:r>
          </w:hyperlink>
        </w:p>
        <w:p w14:paraId="0C5EEBA3" w14:textId="2638D3C7" w:rsidR="00247BAD" w:rsidRDefault="00247BAD">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6506478" w:history="1">
            <w:r w:rsidRPr="007C5707">
              <w:rPr>
                <w:rStyle w:val="Hyperlink"/>
                <w:noProof/>
              </w:rPr>
              <w:t>Positioning Strategy</w:t>
            </w:r>
            <w:r>
              <w:rPr>
                <w:noProof/>
                <w:webHidden/>
              </w:rPr>
              <w:tab/>
            </w:r>
            <w:r>
              <w:rPr>
                <w:noProof/>
                <w:webHidden/>
              </w:rPr>
              <w:fldChar w:fldCharType="begin"/>
            </w:r>
            <w:r>
              <w:rPr>
                <w:noProof/>
                <w:webHidden/>
              </w:rPr>
              <w:instrText xml:space="preserve"> PAGEREF _Toc236506478 \h </w:instrText>
            </w:r>
            <w:r>
              <w:rPr>
                <w:noProof/>
                <w:webHidden/>
              </w:rPr>
            </w:r>
            <w:r>
              <w:rPr>
                <w:noProof/>
                <w:webHidden/>
              </w:rPr>
              <w:fldChar w:fldCharType="separate"/>
            </w:r>
            <w:r>
              <w:rPr>
                <w:noProof/>
                <w:webHidden/>
              </w:rPr>
              <w:t>6</w:t>
            </w:r>
            <w:r>
              <w:rPr>
                <w:noProof/>
                <w:webHidden/>
              </w:rPr>
              <w:fldChar w:fldCharType="end"/>
            </w:r>
          </w:hyperlink>
        </w:p>
        <w:p w14:paraId="3082786A" w14:textId="306B48F3" w:rsidR="00247BAD" w:rsidRDefault="00247BAD">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6479" w:history="1">
            <w:r w:rsidRPr="007C5707">
              <w:rPr>
                <w:rStyle w:val="Hyperlink"/>
                <w:noProof/>
              </w:rPr>
              <w:t>Element 3: Marketing Mix (7Ps)</w:t>
            </w:r>
            <w:r>
              <w:rPr>
                <w:noProof/>
                <w:webHidden/>
              </w:rPr>
              <w:tab/>
            </w:r>
            <w:r>
              <w:rPr>
                <w:noProof/>
                <w:webHidden/>
              </w:rPr>
              <w:fldChar w:fldCharType="begin"/>
            </w:r>
            <w:r>
              <w:rPr>
                <w:noProof/>
                <w:webHidden/>
              </w:rPr>
              <w:instrText xml:space="preserve"> PAGEREF _Toc236506479 \h </w:instrText>
            </w:r>
            <w:r>
              <w:rPr>
                <w:noProof/>
                <w:webHidden/>
              </w:rPr>
            </w:r>
            <w:r>
              <w:rPr>
                <w:noProof/>
                <w:webHidden/>
              </w:rPr>
              <w:fldChar w:fldCharType="separate"/>
            </w:r>
            <w:r>
              <w:rPr>
                <w:noProof/>
                <w:webHidden/>
              </w:rPr>
              <w:t>7</w:t>
            </w:r>
            <w:r>
              <w:rPr>
                <w:noProof/>
                <w:webHidden/>
              </w:rPr>
              <w:fldChar w:fldCharType="end"/>
            </w:r>
          </w:hyperlink>
        </w:p>
        <w:p w14:paraId="18524B89" w14:textId="3BA955A0" w:rsidR="00247BAD" w:rsidRDefault="00247BAD">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6480" w:history="1">
            <w:r w:rsidRPr="007C5707">
              <w:rPr>
                <w:rStyle w:val="Hyperlink"/>
                <w:noProof/>
              </w:rPr>
              <w:t>Conclusion</w:t>
            </w:r>
            <w:r>
              <w:rPr>
                <w:noProof/>
                <w:webHidden/>
              </w:rPr>
              <w:tab/>
            </w:r>
            <w:r>
              <w:rPr>
                <w:noProof/>
                <w:webHidden/>
              </w:rPr>
              <w:fldChar w:fldCharType="begin"/>
            </w:r>
            <w:r>
              <w:rPr>
                <w:noProof/>
                <w:webHidden/>
              </w:rPr>
              <w:instrText xml:space="preserve"> PAGEREF _Toc236506480 \h </w:instrText>
            </w:r>
            <w:r>
              <w:rPr>
                <w:noProof/>
                <w:webHidden/>
              </w:rPr>
            </w:r>
            <w:r>
              <w:rPr>
                <w:noProof/>
                <w:webHidden/>
              </w:rPr>
              <w:fldChar w:fldCharType="separate"/>
            </w:r>
            <w:r>
              <w:rPr>
                <w:noProof/>
                <w:webHidden/>
              </w:rPr>
              <w:t>11</w:t>
            </w:r>
            <w:r>
              <w:rPr>
                <w:noProof/>
                <w:webHidden/>
              </w:rPr>
              <w:fldChar w:fldCharType="end"/>
            </w:r>
          </w:hyperlink>
        </w:p>
        <w:p w14:paraId="28288F3A" w14:textId="32C4D9FE" w:rsidR="00247BAD" w:rsidRDefault="00247BAD">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6506481" w:history="1">
            <w:r w:rsidRPr="007C5707">
              <w:rPr>
                <w:rStyle w:val="Hyperlink"/>
                <w:noProof/>
              </w:rPr>
              <w:t>References</w:t>
            </w:r>
            <w:r>
              <w:rPr>
                <w:noProof/>
                <w:webHidden/>
              </w:rPr>
              <w:tab/>
            </w:r>
            <w:r>
              <w:rPr>
                <w:noProof/>
                <w:webHidden/>
              </w:rPr>
              <w:fldChar w:fldCharType="begin"/>
            </w:r>
            <w:r>
              <w:rPr>
                <w:noProof/>
                <w:webHidden/>
              </w:rPr>
              <w:instrText xml:space="preserve"> PAGEREF _Toc236506481 \h </w:instrText>
            </w:r>
            <w:r>
              <w:rPr>
                <w:noProof/>
                <w:webHidden/>
              </w:rPr>
            </w:r>
            <w:r>
              <w:rPr>
                <w:noProof/>
                <w:webHidden/>
              </w:rPr>
              <w:fldChar w:fldCharType="separate"/>
            </w:r>
            <w:r>
              <w:rPr>
                <w:noProof/>
                <w:webHidden/>
              </w:rPr>
              <w:t>12</w:t>
            </w:r>
            <w:r>
              <w:rPr>
                <w:noProof/>
                <w:webHidden/>
              </w:rPr>
              <w:fldChar w:fldCharType="end"/>
            </w:r>
          </w:hyperlink>
        </w:p>
        <w:p w14:paraId="42F75A81" w14:textId="370B7059" w:rsidR="002F5EB8" w:rsidRPr="00A95E71" w:rsidRDefault="002F5EB8" w:rsidP="002F5EB8">
          <w:pPr>
            <w:spacing w:before="240"/>
          </w:pPr>
          <w:r w:rsidRPr="00A95E71">
            <w:rPr>
              <w:b/>
              <w:bCs/>
              <w:noProof/>
            </w:rPr>
            <w:fldChar w:fldCharType="end"/>
          </w:r>
        </w:p>
      </w:sdtContent>
    </w:sdt>
    <w:p w14:paraId="294506AB" w14:textId="77777777" w:rsidR="00CD7D94" w:rsidRPr="00A95E71" w:rsidRDefault="00CD7D94" w:rsidP="002F5EB8">
      <w:pPr>
        <w:spacing w:before="240"/>
      </w:pPr>
    </w:p>
    <w:p w14:paraId="584C0DE5" w14:textId="77777777" w:rsidR="00CD7D94" w:rsidRPr="00A95E71" w:rsidRDefault="00803C8A" w:rsidP="002F5EB8">
      <w:pPr>
        <w:spacing w:before="240"/>
      </w:pPr>
      <w:r w:rsidRPr="00A95E71">
        <w:br w:type="page"/>
      </w:r>
    </w:p>
    <w:p w14:paraId="16B829A3" w14:textId="77777777" w:rsidR="00AC7FD0" w:rsidRPr="00A95E71" w:rsidRDefault="00AC7FD0" w:rsidP="00AC7FD0">
      <w:pPr>
        <w:pStyle w:val="Heading1"/>
        <w:spacing w:before="240"/>
      </w:pPr>
      <w:bookmarkStart w:id="0" w:name="_Toc236506473"/>
      <w:r w:rsidRPr="00A95E71">
        <w:lastRenderedPageBreak/>
        <w:t>Introduction</w:t>
      </w:r>
      <w:bookmarkEnd w:id="0"/>
    </w:p>
    <w:p w14:paraId="727D4777" w14:textId="7F22F283" w:rsidR="00AC7FD0" w:rsidRPr="00A95E71" w:rsidRDefault="00AC7FD0" w:rsidP="00AC7FD0">
      <w:r w:rsidRPr="00A95E71">
        <w:t xml:space="preserve">This </w:t>
      </w:r>
      <w:r w:rsidR="007A3B03" w:rsidRPr="00A95E71">
        <w:t xml:space="preserve">study </w:t>
      </w:r>
      <w:r w:rsidR="00195B0D" w:rsidRPr="00A95E71">
        <w:t>is going to</w:t>
      </w:r>
      <w:r w:rsidRPr="00A95E71">
        <w:t xml:space="preserve"> critically analyse the sustainability practises of THG plc by focusing up Earth+ initiative of brand extension. </w:t>
      </w:r>
      <w:r w:rsidR="007A3B03" w:rsidRPr="00A95E71">
        <w:t>The report</w:t>
      </w:r>
      <w:r w:rsidRPr="00A95E71">
        <w:t xml:space="preserve"> </w:t>
      </w:r>
      <w:r w:rsidR="007A3B03" w:rsidRPr="00A95E71">
        <w:t>is going to</w:t>
      </w:r>
      <w:r w:rsidRPr="00A95E71">
        <w:t xml:space="preserve"> showcase how THG will integrate ESG principles, fair trade standards, as well as carbon neutral practises in order to strengthen the market positioning, enhance the customer trust as well as achieve long-term value in ever-changing business environment</w:t>
      </w:r>
    </w:p>
    <w:p w14:paraId="78BE01D9" w14:textId="5BD416D8" w:rsidR="00CD7D94" w:rsidRPr="00A95E71" w:rsidRDefault="00803C8A" w:rsidP="006C190B">
      <w:pPr>
        <w:pStyle w:val="Heading1"/>
      </w:pPr>
      <w:bookmarkStart w:id="1" w:name="_Toc236506474"/>
      <w:r w:rsidRPr="00A95E71">
        <w:t>Element 2: Develop a Segmentation, Targeting, Differentiation, and Positioning (STDP) Analysis for the Brand Extension</w:t>
      </w:r>
      <w:bookmarkEnd w:id="1"/>
      <w:r w:rsidRPr="00A95E71">
        <w:t xml:space="preserve"> </w:t>
      </w:r>
    </w:p>
    <w:p w14:paraId="2C59E51C" w14:textId="77777777" w:rsidR="00CD7D94" w:rsidRPr="00A95E71" w:rsidRDefault="00803C8A" w:rsidP="002F5EB8">
      <w:pPr>
        <w:pStyle w:val="Heading2"/>
        <w:spacing w:before="240" w:after="0"/>
      </w:pPr>
      <w:bookmarkStart w:id="2" w:name="_m7f68q7y3mt2" w:colFirst="0" w:colLast="0"/>
      <w:bookmarkStart w:id="3" w:name="_Toc236506475"/>
      <w:bookmarkEnd w:id="2"/>
      <w:r w:rsidRPr="00A95E71">
        <w:t>Market Segmentation</w:t>
      </w:r>
      <w:bookmarkEnd w:id="3"/>
      <w:r w:rsidRPr="00A95E71">
        <w:t xml:space="preserve"> </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62"/>
        <w:gridCol w:w="6847"/>
      </w:tblGrid>
      <w:tr w:rsidR="00CD7D94" w:rsidRPr="00A95E71" w14:paraId="2D298617" w14:textId="77777777" w:rsidTr="00812B2D">
        <w:trPr>
          <w:jc w:val="center"/>
        </w:trPr>
        <w:tc>
          <w:tcPr>
            <w:tcW w:w="1200" w:type="pct"/>
            <w:shd w:val="clear" w:color="auto" w:fill="FFF2CC"/>
            <w:tcMar>
              <w:top w:w="100" w:type="dxa"/>
              <w:left w:w="100" w:type="dxa"/>
              <w:bottom w:w="100" w:type="dxa"/>
              <w:right w:w="100" w:type="dxa"/>
            </w:tcMar>
          </w:tcPr>
          <w:p w14:paraId="0FB71FA4" w14:textId="77777777" w:rsidR="00CD7D94" w:rsidRPr="00A95E71" w:rsidRDefault="00803C8A" w:rsidP="002F5EB8">
            <w:pPr>
              <w:spacing w:before="240"/>
              <w:jc w:val="center"/>
              <w:rPr>
                <w:b/>
                <w:bCs/>
              </w:rPr>
            </w:pPr>
            <w:r w:rsidRPr="00A95E71">
              <w:rPr>
                <w:b/>
                <w:bCs/>
              </w:rPr>
              <w:t>Segmentation Variables</w:t>
            </w:r>
          </w:p>
        </w:tc>
        <w:tc>
          <w:tcPr>
            <w:tcW w:w="3800" w:type="pct"/>
            <w:shd w:val="clear" w:color="auto" w:fill="FFF2CC"/>
            <w:tcMar>
              <w:top w:w="100" w:type="dxa"/>
              <w:left w:w="100" w:type="dxa"/>
              <w:bottom w:w="100" w:type="dxa"/>
              <w:right w:w="100" w:type="dxa"/>
            </w:tcMar>
          </w:tcPr>
          <w:p w14:paraId="7F45A074" w14:textId="77777777" w:rsidR="00CD7D94" w:rsidRPr="00A95E71" w:rsidRDefault="00803C8A" w:rsidP="002F5EB8">
            <w:pPr>
              <w:spacing w:before="240"/>
              <w:jc w:val="center"/>
              <w:rPr>
                <w:b/>
                <w:bCs/>
              </w:rPr>
            </w:pPr>
            <w:r w:rsidRPr="00A95E71">
              <w:rPr>
                <w:b/>
                <w:bCs/>
              </w:rPr>
              <w:t xml:space="preserve">THG Earth+ Market Segmentation </w:t>
            </w:r>
          </w:p>
        </w:tc>
      </w:tr>
      <w:tr w:rsidR="00CD7D94" w:rsidRPr="00A95E71" w14:paraId="47879B59" w14:textId="77777777" w:rsidTr="00812B2D">
        <w:trPr>
          <w:jc w:val="center"/>
        </w:trPr>
        <w:tc>
          <w:tcPr>
            <w:tcW w:w="1200" w:type="pct"/>
            <w:shd w:val="clear" w:color="auto" w:fill="FFF2CC"/>
            <w:tcMar>
              <w:top w:w="100" w:type="dxa"/>
              <w:left w:w="100" w:type="dxa"/>
              <w:bottom w:w="100" w:type="dxa"/>
              <w:right w:w="100" w:type="dxa"/>
            </w:tcMar>
          </w:tcPr>
          <w:p w14:paraId="2D09F540" w14:textId="77777777" w:rsidR="00CD7D94" w:rsidRPr="00A95E71" w:rsidRDefault="00803C8A" w:rsidP="002F5EB8">
            <w:pPr>
              <w:spacing w:before="240"/>
              <w:rPr>
                <w:b/>
                <w:bCs/>
                <w:i/>
                <w:iCs/>
              </w:rPr>
            </w:pPr>
            <w:r w:rsidRPr="00A95E71">
              <w:rPr>
                <w:b/>
                <w:bCs/>
                <w:i/>
                <w:iCs/>
              </w:rPr>
              <w:t xml:space="preserve">Geographic Segmentation </w:t>
            </w:r>
          </w:p>
        </w:tc>
        <w:tc>
          <w:tcPr>
            <w:tcW w:w="3800" w:type="pct"/>
            <w:tcMar>
              <w:top w:w="100" w:type="dxa"/>
              <w:left w:w="100" w:type="dxa"/>
              <w:bottom w:w="100" w:type="dxa"/>
              <w:right w:w="100" w:type="dxa"/>
            </w:tcMar>
          </w:tcPr>
          <w:p w14:paraId="72126A5E" w14:textId="77777777" w:rsidR="00CD7D94" w:rsidRPr="00A95E71" w:rsidRDefault="00803C8A" w:rsidP="002F5EB8">
            <w:pPr>
              <w:spacing w:before="240"/>
            </w:pPr>
            <w:r w:rsidRPr="00A95E71">
              <w:t>Initially, THG Earth+ will be available in the UK with plans to expand to Western Europe, North America and Australia. The markets testify to a high internet penetration rate and growing environmental awareness, which is consistent with the global direct-to-consumer business model and international logistics network of THG.</w:t>
            </w:r>
          </w:p>
        </w:tc>
      </w:tr>
      <w:tr w:rsidR="00CD7D94" w:rsidRPr="00A95E71" w14:paraId="673A775B" w14:textId="77777777" w:rsidTr="00812B2D">
        <w:trPr>
          <w:jc w:val="center"/>
        </w:trPr>
        <w:tc>
          <w:tcPr>
            <w:tcW w:w="1200" w:type="pct"/>
            <w:shd w:val="clear" w:color="auto" w:fill="FFF2CC"/>
            <w:tcMar>
              <w:top w:w="100" w:type="dxa"/>
              <w:left w:w="100" w:type="dxa"/>
              <w:bottom w:w="100" w:type="dxa"/>
              <w:right w:w="100" w:type="dxa"/>
            </w:tcMar>
          </w:tcPr>
          <w:p w14:paraId="385F8145" w14:textId="77777777" w:rsidR="00CD7D94" w:rsidRPr="00A95E71" w:rsidRDefault="00803C8A" w:rsidP="002F5EB8">
            <w:pPr>
              <w:spacing w:before="240"/>
              <w:rPr>
                <w:b/>
                <w:bCs/>
                <w:i/>
                <w:iCs/>
              </w:rPr>
            </w:pPr>
            <w:r w:rsidRPr="00A95E71">
              <w:rPr>
                <w:b/>
                <w:bCs/>
                <w:i/>
                <w:iCs/>
              </w:rPr>
              <w:t xml:space="preserve">Demographic Segmentation </w:t>
            </w:r>
          </w:p>
        </w:tc>
        <w:tc>
          <w:tcPr>
            <w:tcW w:w="3800" w:type="pct"/>
            <w:tcMar>
              <w:top w:w="100" w:type="dxa"/>
              <w:left w:w="100" w:type="dxa"/>
              <w:bottom w:w="100" w:type="dxa"/>
              <w:right w:w="100" w:type="dxa"/>
            </w:tcMar>
          </w:tcPr>
          <w:p w14:paraId="42EF0909" w14:textId="77777777" w:rsidR="00CD7D94" w:rsidRPr="00A95E71" w:rsidRDefault="00803C8A" w:rsidP="002F5EB8">
            <w:pPr>
              <w:spacing w:before="240"/>
            </w:pPr>
            <w:r w:rsidRPr="00A95E71">
              <w:t>The main group consists of female and male middle-to-upper income university students, young professionals, fitness buffs and working adults aged 20 to 45. For instance, the global market for eco-friendly products is expected to reach $2.4 trillion by 2025 (</w:t>
            </w:r>
            <w:proofErr w:type="spellStart"/>
            <w:r w:rsidRPr="00A95E71">
              <w:t>Rizomyliotis</w:t>
            </w:r>
            <w:proofErr w:type="spellEnd"/>
            <w:r w:rsidRPr="00A95E71">
              <w:t>, 2026). The segment also shows the rising interest among Millennials and Generation Z consumers in plant-based diets.</w:t>
            </w:r>
          </w:p>
        </w:tc>
      </w:tr>
      <w:tr w:rsidR="00CD7D94" w:rsidRPr="00A95E71" w14:paraId="3640521F" w14:textId="77777777" w:rsidTr="00812B2D">
        <w:trPr>
          <w:jc w:val="center"/>
        </w:trPr>
        <w:tc>
          <w:tcPr>
            <w:tcW w:w="1200" w:type="pct"/>
            <w:shd w:val="clear" w:color="auto" w:fill="FFF2CC"/>
            <w:tcMar>
              <w:top w:w="100" w:type="dxa"/>
              <w:left w:w="100" w:type="dxa"/>
              <w:bottom w:w="100" w:type="dxa"/>
              <w:right w:w="100" w:type="dxa"/>
            </w:tcMar>
          </w:tcPr>
          <w:p w14:paraId="4901DD23" w14:textId="77777777" w:rsidR="00CD7D94" w:rsidRPr="00A95E71" w:rsidRDefault="00803C8A" w:rsidP="002F5EB8">
            <w:pPr>
              <w:spacing w:before="240"/>
              <w:rPr>
                <w:b/>
                <w:bCs/>
                <w:i/>
                <w:iCs/>
              </w:rPr>
            </w:pPr>
            <w:r w:rsidRPr="00A95E71">
              <w:rPr>
                <w:b/>
                <w:bCs/>
                <w:i/>
                <w:iCs/>
              </w:rPr>
              <w:t xml:space="preserve">Psychographic Segmentation </w:t>
            </w:r>
          </w:p>
        </w:tc>
        <w:tc>
          <w:tcPr>
            <w:tcW w:w="3800" w:type="pct"/>
            <w:tcMar>
              <w:top w:w="100" w:type="dxa"/>
              <w:left w:w="100" w:type="dxa"/>
              <w:bottom w:w="100" w:type="dxa"/>
              <w:right w:w="100" w:type="dxa"/>
            </w:tcMar>
          </w:tcPr>
          <w:p w14:paraId="678D63F3" w14:textId="77777777" w:rsidR="00CD7D94" w:rsidRPr="00A95E71" w:rsidRDefault="00803C8A" w:rsidP="002F5EB8">
            <w:pPr>
              <w:spacing w:before="240"/>
            </w:pPr>
            <w:r w:rsidRPr="00A95E71">
              <w:t xml:space="preserve">THG Earth+ are designed for the consumer who is focused on a healthy lifestyle, sustainability and ethical consumption. They often participate in physical fitness routines, keep up with </w:t>
            </w:r>
            <w:r w:rsidRPr="00A95E71">
              <w:lastRenderedPageBreak/>
              <w:t xml:space="preserve">fitness trends, and tend to </w:t>
            </w:r>
            <w:proofErr w:type="spellStart"/>
            <w:r w:rsidRPr="00A95E71">
              <w:t>favor</w:t>
            </w:r>
            <w:proofErr w:type="spellEnd"/>
            <w:r w:rsidRPr="00A95E71">
              <w:t xml:space="preserve"> brands that embody their genuine commitment to the environment.  </w:t>
            </w:r>
          </w:p>
        </w:tc>
      </w:tr>
      <w:tr w:rsidR="00CD7D94" w:rsidRPr="00A95E71" w14:paraId="29DC0170" w14:textId="77777777" w:rsidTr="00812B2D">
        <w:trPr>
          <w:jc w:val="center"/>
        </w:trPr>
        <w:tc>
          <w:tcPr>
            <w:tcW w:w="1200" w:type="pct"/>
            <w:shd w:val="clear" w:color="auto" w:fill="FFF2CC"/>
            <w:tcMar>
              <w:top w:w="100" w:type="dxa"/>
              <w:left w:w="100" w:type="dxa"/>
              <w:bottom w:w="100" w:type="dxa"/>
              <w:right w:w="100" w:type="dxa"/>
            </w:tcMar>
          </w:tcPr>
          <w:p w14:paraId="5C9B37DE" w14:textId="77777777" w:rsidR="00CD7D94" w:rsidRPr="00A95E71" w:rsidRDefault="00803C8A" w:rsidP="002F5EB8">
            <w:pPr>
              <w:spacing w:before="240"/>
              <w:rPr>
                <w:b/>
                <w:bCs/>
                <w:i/>
                <w:iCs/>
              </w:rPr>
            </w:pPr>
            <w:r w:rsidRPr="00A95E71">
              <w:rPr>
                <w:b/>
                <w:bCs/>
                <w:i/>
                <w:iCs/>
              </w:rPr>
              <w:t xml:space="preserve">Behavioural Segmentation </w:t>
            </w:r>
          </w:p>
        </w:tc>
        <w:tc>
          <w:tcPr>
            <w:tcW w:w="3800" w:type="pct"/>
            <w:tcMar>
              <w:top w:w="100" w:type="dxa"/>
              <w:left w:w="100" w:type="dxa"/>
              <w:bottom w:w="100" w:type="dxa"/>
              <w:right w:w="100" w:type="dxa"/>
            </w:tcMar>
          </w:tcPr>
          <w:p w14:paraId="49BB19DD" w14:textId="77777777" w:rsidR="00CD7D94" w:rsidRPr="00A95E71" w:rsidRDefault="00803C8A" w:rsidP="002F5EB8">
            <w:pPr>
              <w:spacing w:before="240"/>
            </w:pPr>
            <w:r w:rsidRPr="00A95E71">
              <w:t xml:space="preserve">The extension targets frequent consumers of vitamins, supplements and natural health products which are mostly bought online. Sustainable consumption has gained prominence as a response to mounting ecological and social concerns associated with overconsumption (Zahran and </w:t>
            </w:r>
            <w:proofErr w:type="spellStart"/>
            <w:r w:rsidRPr="00A95E71">
              <w:t>Aljuhmani</w:t>
            </w:r>
            <w:proofErr w:type="spellEnd"/>
            <w:r w:rsidRPr="00A95E71">
              <w:t>, 2025). These customers demonstrate brand engagement, loyalty and subscription habits, and will research for quality and sustainability features. They look for convenience, customisation, speed and uniformity of the product, which are key strengths for THG in its digital-first retail approach.</w:t>
            </w:r>
          </w:p>
        </w:tc>
      </w:tr>
    </w:tbl>
    <w:p w14:paraId="782FEA78" w14:textId="77777777" w:rsidR="00CD7D94" w:rsidRPr="00A95E71" w:rsidRDefault="00803C8A" w:rsidP="002F5EB8">
      <w:pPr>
        <w:spacing w:before="240"/>
        <w:jc w:val="center"/>
        <w:rPr>
          <w:b/>
          <w:bCs/>
        </w:rPr>
      </w:pPr>
      <w:r w:rsidRPr="00A95E71">
        <w:rPr>
          <w:b/>
          <w:bCs/>
        </w:rPr>
        <w:t>Table 1: Market Segmentation for THG</w:t>
      </w:r>
    </w:p>
    <w:p w14:paraId="6142F40E" w14:textId="77777777" w:rsidR="00CD7D94" w:rsidRPr="00A95E71" w:rsidRDefault="00803C8A" w:rsidP="002F5EB8">
      <w:pPr>
        <w:spacing w:before="240"/>
        <w:jc w:val="center"/>
      </w:pPr>
      <w:r w:rsidRPr="00A95E71">
        <w:t>(Source: Self-Created)</w:t>
      </w:r>
    </w:p>
    <w:p w14:paraId="60999DAB" w14:textId="32F438C2" w:rsidR="00CD7D94" w:rsidRPr="00A95E71" w:rsidRDefault="00803C8A" w:rsidP="002F5EB8">
      <w:pPr>
        <w:spacing w:before="240"/>
      </w:pPr>
      <w:r w:rsidRPr="00A95E71">
        <w:t xml:space="preserve">These types of customers, with their lifestyles, values and buying habits closely linked to the digital business model and sustainability goals of THG. This presents a well-defined market opportunity, as illustrated by </w:t>
      </w:r>
      <w:r w:rsidR="007E019E" w:rsidRPr="00A95E71">
        <w:t>the aforementioned</w:t>
      </w:r>
      <w:r w:rsidRPr="00A95E71">
        <w:t xml:space="preserve"> table. This segmentation offers a solid basis for effective targeting, differentiation and brand development over time. </w:t>
      </w:r>
    </w:p>
    <w:p w14:paraId="00428822" w14:textId="77777777" w:rsidR="00CD7D94" w:rsidRPr="00A95E71" w:rsidRDefault="00803C8A" w:rsidP="002F5EB8">
      <w:pPr>
        <w:pStyle w:val="Heading2"/>
        <w:spacing w:before="240" w:after="0"/>
      </w:pPr>
      <w:bookmarkStart w:id="4" w:name="_3s7k70auh3zq" w:colFirst="0" w:colLast="0"/>
      <w:bookmarkStart w:id="5" w:name="_Toc236506476"/>
      <w:bookmarkEnd w:id="4"/>
      <w:r w:rsidRPr="00A95E71">
        <w:t>Targeting Strategy</w:t>
      </w:r>
      <w:bookmarkEnd w:id="5"/>
      <w:r w:rsidRPr="00A95E71">
        <w:t xml:space="preserve"> </w:t>
      </w:r>
    </w:p>
    <w:tbl>
      <w:tblPr>
        <w:tblStyle w:val="a0"/>
        <w:tblW w:w="5000" w:type="pct"/>
        <w:jc w:val="center"/>
        <w:tblInd w:w="0" w:type="dxa"/>
        <w:tblBorders>
          <w:top w:val="nil"/>
          <w:left w:val="nil"/>
          <w:bottom w:val="nil"/>
          <w:right w:val="nil"/>
          <w:insideH w:val="nil"/>
          <w:insideV w:val="nil"/>
        </w:tblBorders>
        <w:tblLook w:val="0600" w:firstRow="0" w:lastRow="0" w:firstColumn="0" w:lastColumn="0" w:noHBand="1" w:noVBand="1"/>
      </w:tblPr>
      <w:tblGrid>
        <w:gridCol w:w="2490"/>
        <w:gridCol w:w="6527"/>
      </w:tblGrid>
      <w:tr w:rsidR="00CD7D94" w:rsidRPr="00A95E71" w14:paraId="2A1DA6C4" w14:textId="77777777" w:rsidTr="00812B2D">
        <w:trPr>
          <w:trHeight w:val="285"/>
          <w:jc w:val="center"/>
        </w:trPr>
        <w:tc>
          <w:tcPr>
            <w:tcW w:w="1381" w:type="pct"/>
            <w:tcBorders>
              <w:top w:val="single" w:sz="5" w:space="0" w:color="000000"/>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136D401E" w14:textId="77777777" w:rsidR="00CD7D94" w:rsidRPr="00A95E71" w:rsidRDefault="00803C8A" w:rsidP="002F5EB8">
            <w:pPr>
              <w:spacing w:before="240"/>
              <w:jc w:val="center"/>
              <w:rPr>
                <w:b/>
                <w:bCs/>
              </w:rPr>
            </w:pPr>
            <w:r w:rsidRPr="00A95E71">
              <w:rPr>
                <w:b/>
                <w:bCs/>
              </w:rPr>
              <w:t>Targeting Element</w:t>
            </w:r>
          </w:p>
        </w:tc>
        <w:tc>
          <w:tcPr>
            <w:tcW w:w="3619" w:type="pct"/>
            <w:tcBorders>
              <w:top w:val="single" w:sz="5" w:space="0" w:color="000000"/>
              <w:left w:val="nil"/>
              <w:bottom w:val="single" w:sz="5" w:space="0" w:color="000000"/>
              <w:right w:val="single" w:sz="5" w:space="0" w:color="000000"/>
            </w:tcBorders>
            <w:shd w:val="clear" w:color="auto" w:fill="FCE5CD"/>
            <w:tcMar>
              <w:top w:w="0" w:type="dxa"/>
              <w:left w:w="100" w:type="dxa"/>
              <w:bottom w:w="0" w:type="dxa"/>
              <w:right w:w="100" w:type="dxa"/>
            </w:tcMar>
            <w:vAlign w:val="bottom"/>
          </w:tcPr>
          <w:p w14:paraId="6141887A" w14:textId="77777777" w:rsidR="00CD7D94" w:rsidRPr="00A95E71" w:rsidRDefault="00803C8A" w:rsidP="002F5EB8">
            <w:pPr>
              <w:spacing w:before="240"/>
              <w:jc w:val="center"/>
              <w:rPr>
                <w:b/>
                <w:bCs/>
              </w:rPr>
            </w:pPr>
            <w:r w:rsidRPr="00A95E71">
              <w:rPr>
                <w:b/>
                <w:bCs/>
              </w:rPr>
              <w:t>Details</w:t>
            </w:r>
          </w:p>
        </w:tc>
      </w:tr>
      <w:tr w:rsidR="00CD7D94" w:rsidRPr="00A95E71" w14:paraId="6F1A2A47"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4E936F37" w14:textId="77777777" w:rsidR="00CD7D94" w:rsidRPr="00A95E71" w:rsidRDefault="00803C8A" w:rsidP="002F5EB8">
            <w:pPr>
              <w:spacing w:before="240"/>
              <w:rPr>
                <w:i/>
                <w:iCs/>
              </w:rPr>
            </w:pPr>
            <w:r w:rsidRPr="00A95E71">
              <w:rPr>
                <w:i/>
                <w:iCs/>
              </w:rPr>
              <w:t>Targeting Strategy</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091E6BCC" w14:textId="77777777" w:rsidR="00CD7D94" w:rsidRPr="00A95E71" w:rsidRDefault="00803C8A" w:rsidP="002F5EB8">
            <w:pPr>
              <w:spacing w:before="240"/>
            </w:pPr>
            <w:r w:rsidRPr="00A95E71">
              <w:t>Concentrated targeting strategy</w:t>
            </w:r>
          </w:p>
        </w:tc>
      </w:tr>
      <w:tr w:rsidR="00CD7D94" w:rsidRPr="00A95E71" w14:paraId="1894B1AF"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59D4D656" w14:textId="77777777" w:rsidR="00CD7D94" w:rsidRPr="00A95E71" w:rsidRDefault="00803C8A" w:rsidP="002F5EB8">
            <w:pPr>
              <w:spacing w:before="240"/>
              <w:rPr>
                <w:i/>
                <w:iCs/>
              </w:rPr>
            </w:pPr>
            <w:r w:rsidRPr="00A95E71">
              <w:rPr>
                <w:i/>
                <w:iCs/>
              </w:rPr>
              <w:t>Primary Target Audience</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552F747D" w14:textId="77777777" w:rsidR="00CD7D94" w:rsidRPr="00A95E71" w:rsidRDefault="00803C8A" w:rsidP="002F5EB8">
            <w:pPr>
              <w:spacing w:before="240"/>
            </w:pPr>
            <w:r w:rsidRPr="00A95E71">
              <w:t>Men and women aged 20 to 45 years</w:t>
            </w:r>
          </w:p>
        </w:tc>
      </w:tr>
      <w:tr w:rsidR="00CD7D94" w:rsidRPr="00A95E71" w14:paraId="6473355E"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1B714AFC" w14:textId="77777777" w:rsidR="00CD7D94" w:rsidRPr="00A95E71" w:rsidRDefault="00803C8A" w:rsidP="002F5EB8">
            <w:pPr>
              <w:spacing w:before="240"/>
              <w:rPr>
                <w:i/>
                <w:iCs/>
              </w:rPr>
            </w:pPr>
            <w:r w:rsidRPr="00A95E71">
              <w:rPr>
                <w:i/>
                <w:iCs/>
              </w:rPr>
              <w:t>Customer Profile</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6456792A" w14:textId="77777777" w:rsidR="00CD7D94" w:rsidRPr="00A95E71" w:rsidRDefault="00803C8A" w:rsidP="002F5EB8">
            <w:pPr>
              <w:spacing w:before="240"/>
            </w:pPr>
            <w:r w:rsidRPr="00A95E71">
              <w:t>Young professionals, university students, fitness enthusiasts, and health-conscious consumers</w:t>
            </w:r>
          </w:p>
        </w:tc>
      </w:tr>
      <w:tr w:rsidR="00CD7D94" w:rsidRPr="00A95E71" w14:paraId="17ED4FE6"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32D353AE" w14:textId="77777777" w:rsidR="00CD7D94" w:rsidRPr="00A95E71" w:rsidRDefault="00803C8A" w:rsidP="002F5EB8">
            <w:pPr>
              <w:spacing w:before="240"/>
              <w:rPr>
                <w:i/>
                <w:iCs/>
              </w:rPr>
            </w:pPr>
            <w:r w:rsidRPr="00A95E71">
              <w:rPr>
                <w:i/>
                <w:iCs/>
              </w:rPr>
              <w:lastRenderedPageBreak/>
              <w:t>Lifestyle</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703E0FB4" w14:textId="77777777" w:rsidR="00CD7D94" w:rsidRPr="00A95E71" w:rsidRDefault="00803C8A" w:rsidP="002F5EB8">
            <w:pPr>
              <w:spacing w:before="240"/>
            </w:pPr>
            <w:r w:rsidRPr="00A95E71">
              <w:t>Plant-based, flexitarian, and environmentally conscious individuals</w:t>
            </w:r>
          </w:p>
        </w:tc>
      </w:tr>
      <w:tr w:rsidR="00CD7D94" w:rsidRPr="00A95E71" w14:paraId="7CC31CE8"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061EE66D" w14:textId="77777777" w:rsidR="00CD7D94" w:rsidRPr="00A95E71" w:rsidRDefault="00803C8A" w:rsidP="002F5EB8">
            <w:pPr>
              <w:spacing w:before="240"/>
              <w:rPr>
                <w:i/>
                <w:iCs/>
              </w:rPr>
            </w:pPr>
            <w:r w:rsidRPr="00A95E71">
              <w:rPr>
                <w:i/>
                <w:iCs/>
              </w:rPr>
              <w:t>Income Level</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6A7A9C17" w14:textId="77777777" w:rsidR="00CD7D94" w:rsidRPr="00A95E71" w:rsidRDefault="00803C8A" w:rsidP="002F5EB8">
            <w:pPr>
              <w:spacing w:before="240"/>
            </w:pPr>
            <w:r w:rsidRPr="00A95E71">
              <w:t>Middle to high income consumers</w:t>
            </w:r>
          </w:p>
        </w:tc>
      </w:tr>
      <w:tr w:rsidR="00CD7D94" w:rsidRPr="00A95E71" w14:paraId="512AA7EE"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6438E877" w14:textId="77777777" w:rsidR="00CD7D94" w:rsidRPr="00A95E71" w:rsidRDefault="00803C8A" w:rsidP="002F5EB8">
            <w:pPr>
              <w:spacing w:before="240"/>
              <w:rPr>
                <w:i/>
                <w:iCs/>
              </w:rPr>
            </w:pPr>
            <w:r w:rsidRPr="00A95E71">
              <w:rPr>
                <w:i/>
                <w:iCs/>
              </w:rPr>
              <w:t>Shopping Behaviour</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763B048E" w14:textId="77777777" w:rsidR="00CD7D94" w:rsidRPr="00A95E71" w:rsidRDefault="00803C8A" w:rsidP="002F5EB8">
            <w:pPr>
              <w:spacing w:before="240"/>
            </w:pPr>
            <w:r w:rsidRPr="00A95E71">
              <w:t>Regular online purchasers of wellness products through THG's e-commerce platforms</w:t>
            </w:r>
          </w:p>
        </w:tc>
      </w:tr>
      <w:tr w:rsidR="00CD7D94" w:rsidRPr="00A95E71" w14:paraId="00C484BF" w14:textId="77777777" w:rsidTr="00812B2D">
        <w:trPr>
          <w:trHeight w:val="285"/>
          <w:jc w:val="center"/>
        </w:trPr>
        <w:tc>
          <w:tcPr>
            <w:tcW w:w="1381" w:type="pct"/>
            <w:tcBorders>
              <w:top w:val="nil"/>
              <w:left w:val="single" w:sz="5" w:space="0" w:color="000000"/>
              <w:bottom w:val="single" w:sz="5" w:space="0" w:color="000000"/>
              <w:right w:val="single" w:sz="5" w:space="0" w:color="000000"/>
            </w:tcBorders>
            <w:shd w:val="clear" w:color="auto" w:fill="FCE5CD"/>
            <w:tcMar>
              <w:top w:w="0" w:type="dxa"/>
              <w:left w:w="100" w:type="dxa"/>
              <w:bottom w:w="0" w:type="dxa"/>
              <w:right w:w="100" w:type="dxa"/>
            </w:tcMar>
            <w:vAlign w:val="bottom"/>
          </w:tcPr>
          <w:p w14:paraId="6C794879" w14:textId="77777777" w:rsidR="00CD7D94" w:rsidRPr="00A95E71" w:rsidRDefault="00803C8A" w:rsidP="002F5EB8">
            <w:pPr>
              <w:spacing w:before="240"/>
              <w:rPr>
                <w:i/>
                <w:iCs/>
              </w:rPr>
            </w:pPr>
            <w:r w:rsidRPr="00A95E71">
              <w:rPr>
                <w:i/>
                <w:iCs/>
              </w:rPr>
              <w:t>Buying Motivation</w:t>
            </w:r>
          </w:p>
        </w:tc>
        <w:tc>
          <w:tcPr>
            <w:tcW w:w="3619" w:type="pct"/>
            <w:tcBorders>
              <w:top w:val="nil"/>
              <w:left w:val="nil"/>
              <w:bottom w:val="single" w:sz="5" w:space="0" w:color="000000"/>
              <w:right w:val="single" w:sz="5" w:space="0" w:color="000000"/>
            </w:tcBorders>
            <w:tcMar>
              <w:top w:w="0" w:type="dxa"/>
              <w:left w:w="100" w:type="dxa"/>
              <w:bottom w:w="0" w:type="dxa"/>
              <w:right w:w="100" w:type="dxa"/>
            </w:tcMar>
            <w:vAlign w:val="bottom"/>
          </w:tcPr>
          <w:p w14:paraId="03DE4332" w14:textId="77777777" w:rsidR="00CD7D94" w:rsidRPr="00A95E71" w:rsidRDefault="00803C8A" w:rsidP="002F5EB8">
            <w:pPr>
              <w:spacing w:before="240"/>
            </w:pPr>
            <w:r w:rsidRPr="00A95E71">
              <w:t>High-quality plant-based nutrition, sustainable packaging and premium product performance</w:t>
            </w:r>
          </w:p>
        </w:tc>
      </w:tr>
    </w:tbl>
    <w:p w14:paraId="0E2553FA" w14:textId="77777777" w:rsidR="00CD7D94" w:rsidRPr="00A95E71" w:rsidRDefault="00803C8A" w:rsidP="002F5EB8">
      <w:pPr>
        <w:spacing w:before="240"/>
        <w:jc w:val="center"/>
        <w:rPr>
          <w:b/>
          <w:bCs/>
        </w:rPr>
      </w:pPr>
      <w:r w:rsidRPr="00A95E71">
        <w:rPr>
          <w:b/>
          <w:bCs/>
        </w:rPr>
        <w:t>Table 2: Targeting Strategy for THG</w:t>
      </w:r>
    </w:p>
    <w:p w14:paraId="49136753" w14:textId="77777777" w:rsidR="00CD7D94" w:rsidRPr="00A95E71" w:rsidRDefault="00803C8A" w:rsidP="002F5EB8">
      <w:pPr>
        <w:spacing w:before="240"/>
        <w:jc w:val="center"/>
      </w:pPr>
      <w:r w:rsidRPr="00A95E71">
        <w:t>(Source: Self-Created)</w:t>
      </w:r>
    </w:p>
    <w:p w14:paraId="086FC7C4" w14:textId="77777777" w:rsidR="00CD7D94" w:rsidRPr="00A95E71" w:rsidRDefault="00803C8A" w:rsidP="002F5EB8">
      <w:pPr>
        <w:spacing w:before="240"/>
      </w:pPr>
      <w:r w:rsidRPr="00A95E71">
        <w:t xml:space="preserve">THG Earth+ uses a targeted approach to market, targeting consumers that are environmentally minded who are looking to purchase </w:t>
      </w:r>
      <w:proofErr w:type="gramStart"/>
      <w:r w:rsidRPr="00A95E71">
        <w:t>high quality</w:t>
      </w:r>
      <w:proofErr w:type="gramEnd"/>
      <w:r w:rsidRPr="00A95E71">
        <w:t xml:space="preserve"> health and wellness products for plants. The idea of a digital-first approach is to leverage digital assets to digitally design, iterate, and optimize net-zero solutions (Falcke </w:t>
      </w:r>
      <w:r w:rsidRPr="00A95E71">
        <w:rPr>
          <w:i/>
          <w:iCs/>
        </w:rPr>
        <w:t xml:space="preserve">et al., </w:t>
      </w:r>
      <w:r w:rsidRPr="00A95E71">
        <w:t xml:space="preserve">2026). This segment resonates with THG's digital-first business model because target customers are extremely digital-savvy, value personalised marketing and subscription-based campaigns. These customers are willing to pay higher price tags for products that come from ethical sources and recyclable containers to build brand loyalty and long-term customer equity. Overall, this will enable THG to enhance its competitive edge, help promote sustainability goals, and gain market share in the </w:t>
      </w:r>
      <w:proofErr w:type="gramStart"/>
      <w:r w:rsidRPr="00A95E71">
        <w:t>International</w:t>
      </w:r>
      <w:proofErr w:type="gramEnd"/>
      <w:r w:rsidRPr="00A95E71">
        <w:t xml:space="preserve"> health and wellness sector.</w:t>
      </w:r>
    </w:p>
    <w:p w14:paraId="0DBB4415" w14:textId="77777777" w:rsidR="00AC7FD0" w:rsidRPr="00A95E71" w:rsidRDefault="00AC7FD0" w:rsidP="00AC7FD0">
      <w:pPr>
        <w:pStyle w:val="Heading2"/>
      </w:pPr>
      <w:bookmarkStart w:id="6" w:name="_Toc236506477"/>
      <w:r w:rsidRPr="00A95E71">
        <w:t>Differentiation Strategy</w:t>
      </w:r>
      <w:bookmarkEnd w:id="6"/>
    </w:p>
    <w:p w14:paraId="470E0D00" w14:textId="7B91670E" w:rsidR="00AC7FD0" w:rsidRPr="00A95E71" w:rsidRDefault="00AC7FD0" w:rsidP="00AC7FD0">
      <w:pPr>
        <w:spacing w:before="240"/>
      </w:pPr>
      <w:r w:rsidRPr="00A95E71">
        <w:t>THG Earth+ can differentiate itself by incorporating sustainability into the wellness as well as nutrition category which is a market that is generally dominated by the performance driven brands. The line offers a plant based organic as well as eco certified ingredients that ensures health benefits while also addressing the concerns about ethical consumption (</w:t>
      </w:r>
      <w:proofErr w:type="spellStart"/>
      <w:r w:rsidRPr="00A95E71">
        <w:t>Putrevu</w:t>
      </w:r>
      <w:proofErr w:type="spellEnd"/>
      <w:r w:rsidRPr="00A95E71">
        <w:t xml:space="preserve"> and </w:t>
      </w:r>
      <w:proofErr w:type="spellStart"/>
      <w:r w:rsidRPr="00A95E71">
        <w:t>Mertzanis</w:t>
      </w:r>
      <w:proofErr w:type="spellEnd"/>
      <w:r w:rsidRPr="00A95E71">
        <w:t xml:space="preserve">, 2025). The packaging will be recyclable and biodegradable that will serve as </w:t>
      </w:r>
      <w:r w:rsidR="00B65E9B" w:rsidRPr="00A95E71">
        <w:t>a</w:t>
      </w:r>
      <w:r w:rsidRPr="00A95E71">
        <w:t xml:space="preserve"> visible proof of the environmental responsibility of the brand. Such a dual approach will focus on the wellness as well as </w:t>
      </w:r>
      <w:r w:rsidRPr="00A95E71">
        <w:lastRenderedPageBreak/>
        <w:t>sustainability that will create a unique value proposition for the brand which will be tough for the competitors to replicate. </w:t>
      </w:r>
    </w:p>
    <w:p w14:paraId="01158309" w14:textId="218EDA86" w:rsidR="00AC7FD0" w:rsidRPr="00A95E71" w:rsidRDefault="00D7170A" w:rsidP="00AC7FD0">
      <w:pPr>
        <w:spacing w:before="240"/>
      </w:pPr>
      <w:r w:rsidRPr="00A95E71">
        <w:t>Implementation of differentiation</w:t>
      </w:r>
      <w:r w:rsidR="00AC7FD0" w:rsidRPr="00A95E71">
        <w:t xml:space="preserve"> can be achieved with the help of Transparency and certification which will ensure credibility. Unlike other nutritional brands, THG Earth+ will integrate ESG values into its product designing as well as communication, which will appeal to the health, conscious consumers who demand authenticity (</w:t>
      </w:r>
      <w:proofErr w:type="spellStart"/>
      <w:r w:rsidR="00AC7FD0" w:rsidRPr="00A95E71">
        <w:t>Marfu</w:t>
      </w:r>
      <w:proofErr w:type="spellEnd"/>
      <w:r w:rsidR="00AC7FD0" w:rsidRPr="00A95E71">
        <w:t xml:space="preserve"> </w:t>
      </w:r>
      <w:r w:rsidR="00AC7FD0" w:rsidRPr="00A95E71">
        <w:rPr>
          <w:i/>
          <w:iCs/>
        </w:rPr>
        <w:t xml:space="preserve">et al. </w:t>
      </w:r>
      <w:r w:rsidR="00AC7FD0" w:rsidRPr="00A95E71">
        <w:t>2025).</w:t>
      </w:r>
    </w:p>
    <w:p w14:paraId="703ADC63" w14:textId="77777777" w:rsidR="00AC7FD0" w:rsidRPr="00A95E71" w:rsidRDefault="00AC7FD0" w:rsidP="00AC7FD0">
      <w:pPr>
        <w:pStyle w:val="Heading2"/>
      </w:pPr>
      <w:bookmarkStart w:id="7" w:name="_Toc236506478"/>
      <w:r w:rsidRPr="00A95E71">
        <w:t>Positioning Strategy</w:t>
      </w:r>
      <w:bookmarkEnd w:id="7"/>
    </w:p>
    <w:p w14:paraId="5A791B59" w14:textId="731B10A0" w:rsidR="00B65E9B" w:rsidRPr="00A95E71" w:rsidRDefault="00AC7FD0" w:rsidP="00AC7FD0">
      <w:pPr>
        <w:spacing w:before="240"/>
      </w:pPr>
      <w:r w:rsidRPr="00A95E71">
        <w:t>THG Earth+ will be positioned as premium but accessible sustainable wellness brand that will target the consumers who value both health as well as environmental responsibility. The positioning statement of the brand is</w:t>
      </w:r>
      <w:r w:rsidRPr="00A95E71">
        <w:rPr>
          <w:i/>
          <w:iCs/>
        </w:rPr>
        <w:t xml:space="preserve"> “Wellness that nourishes you and the planet”. </w:t>
      </w:r>
      <w:r w:rsidRPr="00A95E71">
        <w:t>This positioning statement showcases the dual benefits pf the personal improvement as well as reduction in the negative environmental impact.</w:t>
      </w:r>
    </w:p>
    <w:p w14:paraId="1FD38C50" w14:textId="3AA6C66B" w:rsidR="00D7170A" w:rsidRPr="00A95E71" w:rsidRDefault="00D7170A" w:rsidP="00AC7FD0">
      <w:pPr>
        <w:spacing w:before="240"/>
      </w:pPr>
      <w:r w:rsidRPr="00A95E71">
        <w:rPr>
          <w:noProof/>
        </w:rPr>
        <w:drawing>
          <wp:inline distT="0" distB="0" distL="0" distR="0" wp14:anchorId="2B16D9C7" wp14:editId="796ECDBA">
            <wp:extent cx="5733415" cy="3253105"/>
            <wp:effectExtent l="19050" t="19050" r="19685" b="23495"/>
            <wp:docPr id="1458855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55702" name=""/>
                    <pic:cNvPicPr/>
                  </pic:nvPicPr>
                  <pic:blipFill>
                    <a:blip r:embed="rId11"/>
                    <a:stretch>
                      <a:fillRect/>
                    </a:stretch>
                  </pic:blipFill>
                  <pic:spPr>
                    <a:xfrm>
                      <a:off x="0" y="0"/>
                      <a:ext cx="5733415" cy="3253105"/>
                    </a:xfrm>
                    <a:prstGeom prst="rect">
                      <a:avLst/>
                    </a:prstGeom>
                    <a:ln>
                      <a:solidFill>
                        <a:schemeClr val="tx1"/>
                      </a:solidFill>
                    </a:ln>
                  </pic:spPr>
                </pic:pic>
              </a:graphicData>
            </a:graphic>
          </wp:inline>
        </w:drawing>
      </w:r>
    </w:p>
    <w:p w14:paraId="1D183A08" w14:textId="4CE3CF05" w:rsidR="00D7170A" w:rsidRPr="00A95E71" w:rsidRDefault="00D7170A" w:rsidP="00D7170A">
      <w:pPr>
        <w:spacing w:before="240"/>
        <w:jc w:val="center"/>
        <w:rPr>
          <w:b/>
          <w:bCs/>
        </w:rPr>
      </w:pPr>
      <w:r w:rsidRPr="00A95E71">
        <w:rPr>
          <w:b/>
          <w:bCs/>
        </w:rPr>
        <w:t>Figure 2: Positioning Map</w:t>
      </w:r>
    </w:p>
    <w:p w14:paraId="75742411" w14:textId="5FA701F4" w:rsidR="00D7170A" w:rsidRPr="00A95E71" w:rsidRDefault="00D7170A" w:rsidP="00D7170A">
      <w:pPr>
        <w:spacing w:before="240"/>
        <w:jc w:val="center"/>
      </w:pPr>
      <w:r w:rsidRPr="00A95E71">
        <w:t>(Source: Self-Developed)</w:t>
      </w:r>
    </w:p>
    <w:p w14:paraId="7A8D4BC0" w14:textId="6A0BD180" w:rsidR="00AC7FD0" w:rsidRPr="00A95E71" w:rsidRDefault="00D7170A" w:rsidP="00AC7FD0">
      <w:pPr>
        <w:spacing w:before="240"/>
      </w:pPr>
      <w:r w:rsidRPr="00A95E71">
        <w:lastRenderedPageBreak/>
        <w:t>Analysing the positioning map, THG Plc have advantages in terms of sustainability and providing digital convenience by offering plant-based products through accessible green logistics.</w:t>
      </w:r>
      <w:r w:rsidR="00AC7FD0" w:rsidRPr="00A95E71">
        <w:t xml:space="preserve"> </w:t>
      </w:r>
      <w:r w:rsidRPr="00A95E71">
        <w:t xml:space="preserve">For instance, </w:t>
      </w:r>
      <w:proofErr w:type="spellStart"/>
      <w:r w:rsidRPr="00A95E71">
        <w:t>MyProtein</w:t>
      </w:r>
      <w:proofErr w:type="spellEnd"/>
      <w:r w:rsidRPr="00A95E71">
        <w:t xml:space="preserve"> as a </w:t>
      </w:r>
      <w:proofErr w:type="spellStart"/>
      <w:proofErr w:type="gramStart"/>
      <w:r w:rsidRPr="00A95E71">
        <w:t>spots</w:t>
      </w:r>
      <w:proofErr w:type="spellEnd"/>
      <w:proofErr w:type="gramEnd"/>
      <w:r w:rsidRPr="00A95E71">
        <w:t xml:space="preserve"> nutrition brand emphasises on sustainable initiatives along with providing healthy nutrition-based options to consumers (</w:t>
      </w:r>
      <w:proofErr w:type="spellStart"/>
      <w:r w:rsidRPr="00A95E71">
        <w:t>MyProtein</w:t>
      </w:r>
      <w:proofErr w:type="spellEnd"/>
      <w:r w:rsidRPr="00A95E71">
        <w:t xml:space="preserve">, 2026). In this regard, aligning sustainable development goals such as SDG 13 and 12, THG Plc gains competitive advantage by demonstrating responsible business and prioritising carbon-free logistics. </w:t>
      </w:r>
    </w:p>
    <w:p w14:paraId="19A00285" w14:textId="77777777" w:rsidR="00AC7FD0" w:rsidRPr="00A95E71" w:rsidRDefault="00AC7FD0" w:rsidP="00AC7FD0">
      <w:pPr>
        <w:pStyle w:val="Heading1"/>
      </w:pPr>
      <w:bookmarkStart w:id="8" w:name="_Toc236506479"/>
      <w:r w:rsidRPr="00A95E71">
        <w:t>Element 3: Marketing Mix (7Ps)</w:t>
      </w:r>
      <w:bookmarkEnd w:id="8"/>
      <w:r w:rsidRPr="00A95E71">
        <w:t> </w:t>
      </w:r>
    </w:p>
    <w:p w14:paraId="2A8D6AA1" w14:textId="3ED3B350" w:rsidR="00AC7FD0" w:rsidRPr="00A95E71" w:rsidRDefault="00AC7FD0" w:rsidP="00AC7FD0">
      <w:pPr>
        <w:spacing w:before="240"/>
        <w:jc w:val="center"/>
      </w:pPr>
      <w:r w:rsidRPr="00A95E71">
        <w:rPr>
          <w:b/>
          <w:bCs/>
          <w:noProof/>
        </w:rPr>
        <w:drawing>
          <wp:inline distT="0" distB="0" distL="0" distR="0" wp14:anchorId="13C41D43" wp14:editId="77BD9395">
            <wp:extent cx="3289300" cy="3289300"/>
            <wp:effectExtent l="0" t="0" r="6350" b="6350"/>
            <wp:docPr id="898810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9300" cy="3289300"/>
                    </a:xfrm>
                    <a:prstGeom prst="rect">
                      <a:avLst/>
                    </a:prstGeom>
                    <a:noFill/>
                    <a:ln>
                      <a:noFill/>
                    </a:ln>
                  </pic:spPr>
                </pic:pic>
              </a:graphicData>
            </a:graphic>
          </wp:inline>
        </w:drawing>
      </w:r>
    </w:p>
    <w:p w14:paraId="0E4072D1" w14:textId="77777777" w:rsidR="00AC7FD0" w:rsidRPr="00A95E71" w:rsidRDefault="00AC7FD0" w:rsidP="00AC7FD0">
      <w:pPr>
        <w:spacing w:before="240"/>
        <w:jc w:val="center"/>
      </w:pPr>
      <w:r w:rsidRPr="00A95E71">
        <w:rPr>
          <w:b/>
          <w:bCs/>
        </w:rPr>
        <w:t>Figure: 7Ps of Marketing</w:t>
      </w:r>
    </w:p>
    <w:p w14:paraId="5981649C" w14:textId="77777777" w:rsidR="00AC7FD0" w:rsidRPr="00A95E71" w:rsidRDefault="00AC7FD0" w:rsidP="00AC7FD0">
      <w:pPr>
        <w:spacing w:before="240"/>
        <w:jc w:val="center"/>
      </w:pPr>
      <w:r w:rsidRPr="00A95E71">
        <w:t>(Source: MBAKB, 2026)</w:t>
      </w:r>
    </w:p>
    <w:p w14:paraId="434F5583" w14:textId="77777777" w:rsidR="00CD7D94" w:rsidRPr="00A95E71" w:rsidRDefault="00CD7D94" w:rsidP="002F5EB8">
      <w:pPr>
        <w:spacing w:before="240"/>
      </w:pPr>
    </w:p>
    <w:p w14:paraId="6A35EFE2" w14:textId="27CABF5E" w:rsidR="00AC7FD0" w:rsidRPr="00A95E71" w:rsidRDefault="00AC7FD0" w:rsidP="00AC7FD0">
      <w:r w:rsidRPr="00A95E71">
        <w:rPr>
          <w:b/>
          <w:bCs/>
        </w:rPr>
        <w:t>Product</w:t>
      </w:r>
      <w:r w:rsidRPr="00A95E71">
        <w:t xml:space="preserve">: The proposed brand extension, THG Earth+ that consists of a sustainable wellness as well as nutrition line that uses THG’s expertise in consumer goods while embedding environmental responsibilities into its product offering. The products will be made using plant based, organic as well as eco certified materials which will ensure alignment with the health trends as well as ethical consumption values. The packaging will also be biodegradable and recyclable. This will reduce the dependence on the </w:t>
      </w:r>
      <w:r w:rsidRPr="00A95E71">
        <w:lastRenderedPageBreak/>
        <w:t xml:space="preserve">single use plastic and will also represent the sustainable positioning of THG (Mustafa </w:t>
      </w:r>
      <w:r w:rsidRPr="00A95E71">
        <w:rPr>
          <w:i/>
          <w:iCs/>
        </w:rPr>
        <w:t xml:space="preserve">et al. </w:t>
      </w:r>
      <w:r w:rsidRPr="00A95E71">
        <w:t xml:space="preserve">2022). This product strategy will differentiate THG Earth+ from its competitors, as it will combine the wellness innovation along with the sustainability credentials. Many of the nutrition brands focus upon performance, but very few actually integrate the eco-friendly sourcing as well as packaging as the core value proposition. Such focus will appeal to the </w:t>
      </w:r>
      <w:r w:rsidR="00D7170A" w:rsidRPr="00A95E71">
        <w:t>health-conscious</w:t>
      </w:r>
      <w:r w:rsidRPr="00A95E71">
        <w:t xml:space="preserve"> consumers who are increasingly looking for transparency and responsibility from brands. </w:t>
      </w:r>
    </w:p>
    <w:p w14:paraId="3240B1E8" w14:textId="2B3E1C06" w:rsidR="00AC7FD0" w:rsidRPr="00A95E71" w:rsidRDefault="00AC7FD0" w:rsidP="00AC7FD0">
      <w:r w:rsidRPr="00A95E71">
        <w:rPr>
          <w:b/>
          <w:bCs/>
        </w:rPr>
        <w:t>Price:</w:t>
      </w:r>
      <w:r w:rsidRPr="00A95E71">
        <w:t xml:space="preserve"> The pricing strategy of THG Earth+ will focus on balancing sustainability with the overall accessibility. The consumers are increasingly valuing the </w:t>
      </w:r>
      <w:r w:rsidR="00D7170A" w:rsidRPr="00A95E71">
        <w:t>ecofriendly</w:t>
      </w:r>
      <w:r w:rsidRPr="00A95E71">
        <w:t xml:space="preserve"> products, and they are also willing to pay a </w:t>
      </w:r>
      <w:r w:rsidR="00D7170A" w:rsidRPr="00A95E71">
        <w:t>modest premium price</w:t>
      </w:r>
      <w:r w:rsidRPr="00A95E71">
        <w:t xml:space="preserve"> for the brands that showcases environmental as well as ethical responsibilities. A </w:t>
      </w:r>
      <w:r w:rsidR="00D7170A" w:rsidRPr="00A95E71">
        <w:rPr>
          <w:b/>
          <w:bCs/>
        </w:rPr>
        <w:t>value-based</w:t>
      </w:r>
      <w:r w:rsidRPr="00A95E71">
        <w:rPr>
          <w:b/>
          <w:bCs/>
        </w:rPr>
        <w:t xml:space="preserve"> pricing approach </w:t>
      </w:r>
      <w:r w:rsidRPr="00A95E71">
        <w:t>will be the most appropriate ones which will showcase the environmental superior quality of plant</w:t>
      </w:r>
      <w:r w:rsidRPr="00A95E71">
        <w:noBreakHyphen/>
        <w:t>based, organic ingredients as well as the added value of biodegradable packaging (</w:t>
      </w:r>
      <w:proofErr w:type="spellStart"/>
      <w:r w:rsidRPr="00A95E71">
        <w:t>Iliemena</w:t>
      </w:r>
      <w:proofErr w:type="spellEnd"/>
      <w:r w:rsidRPr="00A95E71">
        <w:t xml:space="preserve">-Ifeanyi </w:t>
      </w:r>
      <w:r w:rsidRPr="00A95E71">
        <w:rPr>
          <w:i/>
          <w:iCs/>
        </w:rPr>
        <w:t xml:space="preserve">et al. </w:t>
      </w:r>
      <w:r w:rsidRPr="00A95E71">
        <w:t xml:space="preserve">2025). However, it is very important for the brand to keep the pricing competitive in order to avoid the alienation of the cost sensitive segments specially in the wellness as well as nutrition market where lot of substitutes already exists. </w:t>
      </w:r>
      <w:r w:rsidR="00D7170A" w:rsidRPr="00A95E71">
        <w:t>Moreover,</w:t>
      </w:r>
      <w:r w:rsidRPr="00A95E71">
        <w:t xml:space="preserve"> the brand can also adopt </w:t>
      </w:r>
      <w:r w:rsidRPr="00A95E71">
        <w:rPr>
          <w:b/>
          <w:bCs/>
        </w:rPr>
        <w:t xml:space="preserve">tiered pricing model </w:t>
      </w:r>
      <w:r w:rsidRPr="00A95E71">
        <w:t xml:space="preserve">for this offering core sustainable products at the affordable prices while positioning premium product lines with more enhanced certifications (e.g., Fairtrade, Vegan, Carbon Neutral) at higher prices (Moradpour </w:t>
      </w:r>
      <w:r w:rsidRPr="00A95E71">
        <w:rPr>
          <w:i/>
          <w:iCs/>
        </w:rPr>
        <w:t xml:space="preserve">et al. </w:t>
      </w:r>
      <w:r w:rsidRPr="00A95E71">
        <w:t>2023). This strategy will help in ensuring better inclusivity while also representing sustainability as a brand differentiator. </w:t>
      </w:r>
    </w:p>
    <w:p w14:paraId="76F5CDF8" w14:textId="2D67351A" w:rsidR="00AC7FD0" w:rsidRPr="00A95E71" w:rsidRDefault="00AC7FD0" w:rsidP="00AC7FD0">
      <w:r w:rsidRPr="00A95E71">
        <w:rPr>
          <w:b/>
          <w:bCs/>
        </w:rPr>
        <w:t>Place</w:t>
      </w:r>
      <w:r w:rsidRPr="00A95E71">
        <w:t xml:space="preserve">: The distribution strategy for THG earth+ realise upon its global e-commerce strength. The platforms like </w:t>
      </w:r>
      <w:proofErr w:type="spellStart"/>
      <w:r w:rsidRPr="00A95E71">
        <w:t>lookfantastic</w:t>
      </w:r>
      <w:proofErr w:type="spellEnd"/>
      <w:r w:rsidRPr="00A95E71">
        <w:t xml:space="preserve">, </w:t>
      </w:r>
      <w:proofErr w:type="spellStart"/>
      <w:r w:rsidR="00D7170A" w:rsidRPr="00A95E71">
        <w:t>MyProtein</w:t>
      </w:r>
      <w:proofErr w:type="spellEnd"/>
      <w:r w:rsidRPr="00A95E71">
        <w:t xml:space="preserve"> as well as cult Beauty already has strong digital infrastructure that helps THG in </w:t>
      </w:r>
      <w:r w:rsidR="00D7170A" w:rsidRPr="00A95E71">
        <w:t>direct-to-consumer</w:t>
      </w:r>
      <w:r w:rsidRPr="00A95E71">
        <w:t xml:space="preserve"> engagement in different markets. This brand extension will primarily use online channels which will ensure wider accessibility and less carbon footprint that is associated with traditional retail. To reinforce the aspect of sustainability, THG Earth will integrate carbon neutral logistics, will include localised fulfilment centres as well as renewable energy in the warehouses, which will reduce the transportation emissions (Azam </w:t>
      </w:r>
      <w:r w:rsidRPr="00A95E71">
        <w:rPr>
          <w:i/>
          <w:iCs/>
        </w:rPr>
        <w:t xml:space="preserve">et al. </w:t>
      </w:r>
      <w:r w:rsidRPr="00A95E71">
        <w:t xml:space="preserve">2026). From the critical point of view, this approach will differentiate THG from its competitors who heavily relies on physical retail, which directly increases environmental impact. Focusing on the digital distribution can help THG Earth+ in aligning with the </w:t>
      </w:r>
      <w:r w:rsidRPr="00A95E71">
        <w:lastRenderedPageBreak/>
        <w:t>preferences of the consumers for the convenience and will also demonstrate the environmental responsibility. </w:t>
      </w:r>
    </w:p>
    <w:p w14:paraId="4EEBA83E" w14:textId="38D2BDE9" w:rsidR="00AC7FD0" w:rsidRPr="00A95E71" w:rsidRDefault="00AC7FD0" w:rsidP="00AC7FD0">
      <w:r w:rsidRPr="00A95E71">
        <w:rPr>
          <w:b/>
          <w:bCs/>
        </w:rPr>
        <w:t>Promotion</w:t>
      </w:r>
      <w:r w:rsidRPr="00A95E71">
        <w:t xml:space="preserve">: The promotion strategy for THG Earth+ will focus upon transparency, digital engagement as well as sustainable storytelling. The </w:t>
      </w:r>
      <w:r w:rsidR="00D7170A" w:rsidRPr="00A95E71">
        <w:t>well-established</w:t>
      </w:r>
      <w:r w:rsidRPr="00A95E71">
        <w:t xml:space="preserve"> e-commerce presence of THG, along with its global reach will provide a very strong foundation for the digital marketing campaigns that will showcase eco-friendly sourcing, biodegradable packaging as well as </w:t>
      </w:r>
      <w:r w:rsidR="00D7170A" w:rsidRPr="00A95E71">
        <w:t>plant-based</w:t>
      </w:r>
      <w:r w:rsidRPr="00A95E71">
        <w:t xml:space="preserve"> nutrition (Kirthiga </w:t>
      </w:r>
      <w:r w:rsidRPr="00A95E71">
        <w:rPr>
          <w:i/>
          <w:iCs/>
        </w:rPr>
        <w:t xml:space="preserve">et al. </w:t>
      </w:r>
      <w:r w:rsidRPr="00A95E71">
        <w:t>2024). The social media channels will be used to engage the millennial as well as well gen z audience who are highly responsive to sustainability narratives. Critically, this approach will differentiate THG Earth+ from its competitors by embedding the sustainability into the brand communication rather than treating it as an add-on. The promotion will further include investor focused ESG reporting, which will lead to long-term value creation for the brand. </w:t>
      </w:r>
    </w:p>
    <w:p w14:paraId="41A223D2" w14:textId="507B347B" w:rsidR="00AC7FD0" w:rsidRPr="00A95E71" w:rsidRDefault="00AC7FD0" w:rsidP="00AC7FD0">
      <w:r w:rsidRPr="00A95E71">
        <w:rPr>
          <w:b/>
          <w:bCs/>
        </w:rPr>
        <w:t>People</w:t>
      </w:r>
      <w:r w:rsidRPr="00A95E71">
        <w:t xml:space="preserve">: The success of THG Earth+ heavily depends upon the people behind the brand. The employees must be trained for the sustainability practices ranging from the sourcing to the customer engagement in order to ensure that the eco-friendly values are properly communicated throughout the brand. The customer service teams will further focus upon transparency which will consist of educating the consumers about environmental benefits of plant, </w:t>
      </w:r>
      <w:proofErr w:type="gramStart"/>
      <w:r w:rsidRPr="00A95E71">
        <w:t>Best</w:t>
      </w:r>
      <w:proofErr w:type="gramEnd"/>
      <w:r w:rsidRPr="00A95E71">
        <w:t xml:space="preserve"> nutrition as well as biodegradable packaging. From the internal point of </w:t>
      </w:r>
      <w:r w:rsidR="00D7170A" w:rsidRPr="00A95E71">
        <w:t>view</w:t>
      </w:r>
      <w:r w:rsidRPr="00A95E71">
        <w:t>, creating a culture of responsibility as well as ESG awareness will strengthen the credibility of the brand and will also motivate the staff members in order to act as the brand ambassadors (Yadav and Yadav, 2025). This human approach will differentiate the brand by embedding sustainability into its day-to-day practices. This will develop trust and loyalty among the consumers while also aligning with the expectations of the investors for the responsible corporate governance.</w:t>
      </w:r>
    </w:p>
    <w:p w14:paraId="04450C34" w14:textId="77777777" w:rsidR="00AC7FD0" w:rsidRPr="00A95E71" w:rsidRDefault="00AC7FD0" w:rsidP="00AC7FD0">
      <w:r w:rsidRPr="00A95E71">
        <w:rPr>
          <w:b/>
          <w:bCs/>
        </w:rPr>
        <w:t>Process</w:t>
      </w:r>
      <w:r w:rsidRPr="00A95E71">
        <w:t>: The operational processes should be designed in such a way that they reflect sustainability at each step. The production will focus upon carbon neutral operations which will integrate renewable energy as well as reduction of waste through advanced supply chain management. The transparent reporting systems will further track sourcing, packaging as well as logistics, which will ensure accountability to both consumers as well as investors (</w:t>
      </w:r>
      <w:proofErr w:type="spellStart"/>
      <w:r w:rsidRPr="00A95E71">
        <w:t>Demartini</w:t>
      </w:r>
      <w:proofErr w:type="spellEnd"/>
      <w:r w:rsidRPr="00A95E71">
        <w:t xml:space="preserve"> </w:t>
      </w:r>
      <w:r w:rsidRPr="00A95E71">
        <w:rPr>
          <w:i/>
          <w:iCs/>
        </w:rPr>
        <w:t xml:space="preserve">et al. </w:t>
      </w:r>
      <w:r w:rsidRPr="00A95E71">
        <w:t xml:space="preserve">2025). The use of digital infrastructure, AI and data analytics will further help in optimising inventory and reducing the inefficiencies, which will reduce the environmental impact. From the </w:t>
      </w:r>
      <w:r w:rsidRPr="00A95E71">
        <w:lastRenderedPageBreak/>
        <w:t>critical point of you, these streamlined processes will not only boost sustainability but will also create competitive advantage by showcasing innovation as well as efficiency. </w:t>
      </w:r>
    </w:p>
    <w:p w14:paraId="67F1E35B" w14:textId="091FD54C" w:rsidR="00AC7FD0" w:rsidRPr="00A95E71" w:rsidRDefault="00AC7FD0" w:rsidP="00AC7FD0">
      <w:r w:rsidRPr="00A95E71">
        <w:rPr>
          <w:b/>
          <w:bCs/>
        </w:rPr>
        <w:t xml:space="preserve">Physical Evidence: </w:t>
      </w:r>
      <w:r w:rsidRPr="00A95E71">
        <w:t xml:space="preserve">For THG Earth+, physical evidence </w:t>
      </w:r>
      <w:r w:rsidR="00D7170A" w:rsidRPr="00A95E71">
        <w:t>plays</w:t>
      </w:r>
      <w:r w:rsidRPr="00A95E71">
        <w:t xml:space="preserve"> a very important role in boosting sustainability and building consumer trust. The packaging will serve as one of the most important visible proofs as it will make use of biodegradable and recyclable material materials with clear eco-labelling. The certifications like Fairtrade, Vegan as well as Carbon Neutral will be prominently showcased in order to validate the claims and to reassure both consumers as well as the investors (Fairtrade International, 2026). The online platforms will further represent the sustainability credentials with the help of product pages, impact reports, as well as transparent storytelling. Critically, all these tangible as well as digital proofs will help the brand in differentiating it from the competitors which will ensure that the sustainability is not abstract, but it is visibly embedded into the customer experiences which will strengthen the credibility as well as leads to long-term loyalty.</w:t>
      </w:r>
    </w:p>
    <w:p w14:paraId="118E5ED3" w14:textId="5765E618" w:rsidR="00FF7739" w:rsidRPr="00A95E71" w:rsidRDefault="00FF7739" w:rsidP="00AC7FD0">
      <w:pPr>
        <w:rPr>
          <w:b/>
          <w:bCs/>
        </w:rPr>
      </w:pPr>
      <w:r w:rsidRPr="00A95E71">
        <w:rPr>
          <w:b/>
          <w:bCs/>
        </w:rPr>
        <w:t>Reflection</w:t>
      </w:r>
    </w:p>
    <w:p w14:paraId="26CE2021" w14:textId="77777777" w:rsidR="006C190B" w:rsidRPr="00A95E71" w:rsidRDefault="006C190B" w:rsidP="006C190B">
      <w:r w:rsidRPr="00A95E71">
        <w:t>Developing a sustainable brand extension, marketing strategy has been a very important learning experience that has boosted my both academic as well as professional skills. The process required me to critically analyse the sustainability frameworks, integrate the ESG principles as well as align them with the expectations of the consumers. The engagement with segmentation, targeting, differentiation as well as positioning strategies have helped me in gaining deeper insights into sustainability which can be embedded into the marketing decisions in order to create long-term value. This has enhanced my ability to connect the theoretical models with the practical implementation, which boosted my analytical and strategic thinking abilities.</w:t>
      </w:r>
    </w:p>
    <w:p w14:paraId="4CB35666" w14:textId="77777777" w:rsidR="006C190B" w:rsidRPr="00A95E71" w:rsidRDefault="006C190B" w:rsidP="006C190B">
      <w:r w:rsidRPr="00A95E71">
        <w:t xml:space="preserve">The preparation and delivery of the poster presentation developed my communication as well as presentation skills. The representation of complex sustainability concepts into a concise, usually engaging format required clarity, creativity as well as confidence (Henriksen </w:t>
      </w:r>
      <w:r w:rsidRPr="00A95E71">
        <w:rPr>
          <w:i/>
          <w:iCs/>
        </w:rPr>
        <w:t>et al.</w:t>
      </w:r>
      <w:r w:rsidRPr="00A95E71">
        <w:t xml:space="preserve"> 2024). The delivery of the presentation improved my ability to represent the ideas in a persuasive manner and adapt my communication skills to the audiences. This represented the importance of storytelling in the marketing </w:t>
      </w:r>
    </w:p>
    <w:p w14:paraId="17065AAD" w14:textId="056B41CB" w:rsidR="006C190B" w:rsidRPr="00A95E71" w:rsidRDefault="006C190B" w:rsidP="006C190B">
      <w:r w:rsidRPr="00A95E71">
        <w:t xml:space="preserve">In this entire process, I have strengthened the Key skills like research, critical analysis, project management as well as teamwork. I also developed more confidence in implementing academic frameworks in the real-world business environment. This have </w:t>
      </w:r>
      <w:r w:rsidRPr="00A95E71">
        <w:lastRenderedPageBreak/>
        <w:t>significantly contributed to my overall personal growth, especially in enhancing the adaptability and resilience along with my professional development that prepared me for the roles that demanded more strategic thinking.</w:t>
      </w:r>
    </w:p>
    <w:p w14:paraId="555E598B" w14:textId="69D16D98" w:rsidR="00FF7739" w:rsidRPr="00A95E71" w:rsidRDefault="006C190B" w:rsidP="006C190B">
      <w:r w:rsidRPr="00A95E71">
        <w:t>Looking forward, I recognised that I need to develop my skills in data driven decision making as well as digital marketing that would complement the sustainability strategies. I also look forward to improving the time management skills, especially for complex projects and look for the opportunities to practice public speaking in the professional set up.</w:t>
      </w:r>
    </w:p>
    <w:p w14:paraId="45AC0A4D" w14:textId="77777777" w:rsidR="00AC7FD0" w:rsidRPr="00A95E71" w:rsidRDefault="00AC7FD0" w:rsidP="00AC7FD0">
      <w:pPr>
        <w:pStyle w:val="Heading1"/>
      </w:pPr>
      <w:bookmarkStart w:id="9" w:name="_Toc236506480"/>
      <w:r w:rsidRPr="00A95E71">
        <w:t>Conclusion</w:t>
      </w:r>
      <w:bookmarkEnd w:id="9"/>
    </w:p>
    <w:p w14:paraId="7414098E" w14:textId="506D7F57" w:rsidR="00AC7FD0" w:rsidRPr="00A95E71" w:rsidRDefault="00AC7FD0" w:rsidP="00AC7FD0">
      <w:r w:rsidRPr="00A95E71">
        <w:t xml:space="preserve">This assignment </w:t>
      </w:r>
      <w:r w:rsidR="00D7170A" w:rsidRPr="00A95E71">
        <w:t>analysed</w:t>
      </w:r>
      <w:r w:rsidRPr="00A95E71">
        <w:t xml:space="preserve"> THG Earth+ using the framework of STDP and 7Ps marketing mix</w:t>
      </w:r>
      <w:r w:rsidR="003A3BEC" w:rsidRPr="00A95E71">
        <w:t>, which reflects focusing on sustainability is an essential part for the organisation to sustain in coming days</w:t>
      </w:r>
      <w:r w:rsidRPr="00A95E71">
        <w:t xml:space="preserve">. The assignment has critically </w:t>
      </w:r>
      <w:r w:rsidR="00D7170A" w:rsidRPr="00A95E71">
        <w:t>analysed</w:t>
      </w:r>
      <w:r w:rsidRPr="00A95E71">
        <w:t xml:space="preserve"> the aspects of sustainability positioning, health benefits to consumers, and strategic alignment, and thus proved</w:t>
      </w:r>
      <w:r w:rsidR="007D29FA" w:rsidRPr="00A95E71">
        <w:t xml:space="preserve"> the ways</w:t>
      </w:r>
      <w:r w:rsidRPr="00A95E71">
        <w:t xml:space="preserve"> this extension helped the company </w:t>
      </w:r>
      <w:r w:rsidR="007D29FA" w:rsidRPr="00A95E71">
        <w:t xml:space="preserve">to </w:t>
      </w:r>
      <w:r w:rsidRPr="00A95E71">
        <w:t>grow and create competitive advantages.</w:t>
      </w:r>
    </w:p>
    <w:p w14:paraId="6B9638A3" w14:textId="77777777" w:rsidR="00AC7FD0" w:rsidRPr="00A95E71" w:rsidRDefault="00AC7FD0" w:rsidP="00AC7FD0"/>
    <w:p w14:paraId="0C3B08FA" w14:textId="77777777" w:rsidR="00AC7FD0" w:rsidRPr="00A95E71" w:rsidRDefault="00AC7FD0">
      <w:pPr>
        <w:rPr>
          <w:b/>
          <w:bCs/>
        </w:rPr>
      </w:pPr>
      <w:r w:rsidRPr="00A95E71">
        <w:br w:type="page"/>
      </w:r>
    </w:p>
    <w:p w14:paraId="2F52E424" w14:textId="50EDF6CD" w:rsidR="00AC7FD0" w:rsidRPr="00A95E71" w:rsidRDefault="00803C8A" w:rsidP="00AC7FD0">
      <w:pPr>
        <w:pStyle w:val="Heading1"/>
        <w:spacing w:before="240" w:after="0"/>
      </w:pPr>
      <w:bookmarkStart w:id="10" w:name="_Toc236506481"/>
      <w:r w:rsidRPr="00A95E71">
        <w:lastRenderedPageBreak/>
        <w:t>References</w:t>
      </w:r>
      <w:bookmarkEnd w:id="10"/>
    </w:p>
    <w:p w14:paraId="48409C43" w14:textId="77777777" w:rsidR="006C190B" w:rsidRPr="00A95E71" w:rsidRDefault="006C190B" w:rsidP="00AC7FD0">
      <w:pPr>
        <w:spacing w:before="240"/>
      </w:pPr>
      <w:r w:rsidRPr="00A95E71">
        <w:t xml:space="preserve">Azam, M.W., Chaudhary, G.Q., </w:t>
      </w:r>
      <w:proofErr w:type="spellStart"/>
      <w:r w:rsidRPr="00A95E71">
        <w:t>Simprini</w:t>
      </w:r>
      <w:proofErr w:type="spellEnd"/>
      <w:r w:rsidRPr="00A95E71">
        <w:t xml:space="preserve">, G. and He, S. (2026) ‘Integration of Renewable Energies in Warehouses’, in </w:t>
      </w:r>
      <w:r w:rsidRPr="00A95E71">
        <w:rPr>
          <w:i/>
          <w:iCs/>
        </w:rPr>
        <w:t>Innovations in Green and Energy</w:t>
      </w:r>
      <w:r w:rsidRPr="00A95E71">
        <w:rPr>
          <w:i/>
          <w:iCs/>
        </w:rPr>
        <w:noBreakHyphen/>
        <w:t>Efficient Warehousing</w:t>
      </w:r>
      <w:r w:rsidRPr="00A95E71">
        <w:t>. IGI Global Scientific Publishing, pp. 263–308. Available at:</w:t>
      </w:r>
      <w:hyperlink r:id="rId13" w:history="1">
        <w:r w:rsidRPr="00A95E71">
          <w:rPr>
            <w:rStyle w:val="Hyperlink"/>
          </w:rPr>
          <w:t xml:space="preserve"> https://doi.org/10.4018/979-8-3373-3176-8.ch011</w:t>
        </w:r>
      </w:hyperlink>
    </w:p>
    <w:p w14:paraId="71B78610" w14:textId="77777777" w:rsidR="006C190B" w:rsidRPr="00A95E71" w:rsidRDefault="006C190B" w:rsidP="00AC7FD0">
      <w:pPr>
        <w:spacing w:before="240"/>
      </w:pPr>
      <w:proofErr w:type="spellStart"/>
      <w:r w:rsidRPr="00A95E71">
        <w:t>Demartini</w:t>
      </w:r>
      <w:proofErr w:type="spellEnd"/>
      <w:r w:rsidRPr="00A95E71">
        <w:t xml:space="preserve">, M.C., Beretta, V. and Larisch, A. (2025) ‘Does the transparency of sustainability reports matter? A quantitative assessment’, </w:t>
      </w:r>
      <w:r w:rsidRPr="00A95E71">
        <w:rPr>
          <w:i/>
          <w:iCs/>
        </w:rPr>
        <w:t>Corporate Social Responsibility and Environmental Management</w:t>
      </w:r>
      <w:r w:rsidRPr="00A95E71">
        <w:t>, 32(1), pp. 18–43. Available at:</w:t>
      </w:r>
      <w:hyperlink r:id="rId14" w:history="1">
        <w:r w:rsidRPr="00A95E71">
          <w:rPr>
            <w:rStyle w:val="Hyperlink"/>
          </w:rPr>
          <w:t xml:space="preserve"> https://doi.org/10.1002/csr.2926</w:t>
        </w:r>
      </w:hyperlink>
    </w:p>
    <w:p w14:paraId="289EF7D8" w14:textId="77777777" w:rsidR="006C190B" w:rsidRPr="00A95E71" w:rsidRDefault="006C190B" w:rsidP="00AC7FD0">
      <w:pPr>
        <w:spacing w:before="240"/>
      </w:pPr>
      <w:r w:rsidRPr="00A95E71">
        <w:t xml:space="preserve">Fairtrade International (2026) </w:t>
      </w:r>
      <w:r w:rsidRPr="00A95E71">
        <w:rPr>
          <w:i/>
          <w:iCs/>
        </w:rPr>
        <w:t>Fairtrade Standards: How we do it</w:t>
      </w:r>
      <w:r w:rsidRPr="00A95E71">
        <w:t>. Available at:</w:t>
      </w:r>
      <w:hyperlink r:id="rId15" w:history="1">
        <w:r w:rsidRPr="00A95E71">
          <w:rPr>
            <w:rStyle w:val="Hyperlink"/>
          </w:rPr>
          <w:t xml:space="preserve"> https://www.fairtrade.net/en/why-fairtrade/how-we-do-it/standards.html</w:t>
        </w:r>
      </w:hyperlink>
      <w:r w:rsidRPr="00A95E71">
        <w:t xml:space="preserve"> (Accessed: 8 July 2026).</w:t>
      </w:r>
    </w:p>
    <w:p w14:paraId="7596DFD3" w14:textId="77777777" w:rsidR="006C190B" w:rsidRPr="00A95E71" w:rsidRDefault="006C190B" w:rsidP="002F5EB8">
      <w:pPr>
        <w:spacing w:before="240"/>
      </w:pPr>
      <w:r w:rsidRPr="00A95E71">
        <w:t xml:space="preserve">Falcke, L., Zobel, A.K., Yoo, Y. and Tucci, C., (2026). ‘Digital sustainability strategies: Digitally enabled and digital-first innovation for net zero’. </w:t>
      </w:r>
      <w:r w:rsidRPr="00A95E71">
        <w:rPr>
          <w:i/>
          <w:iCs/>
        </w:rPr>
        <w:t>Academy of Management Perspectives, 40</w:t>
      </w:r>
      <w:r w:rsidRPr="00A95E71">
        <w:t xml:space="preserve">(2), pp.296-317. Available at: </w:t>
      </w:r>
      <w:hyperlink r:id="rId16">
        <w:r w:rsidRPr="00A95E71">
          <w:rPr>
            <w:color w:val="1155CC"/>
            <w:u w:val="single"/>
          </w:rPr>
          <w:t>https://doi.org/10.5465/amp.2023.0169</w:t>
        </w:r>
      </w:hyperlink>
      <w:r w:rsidRPr="00A95E71">
        <w:t xml:space="preserve">  </w:t>
      </w:r>
    </w:p>
    <w:p w14:paraId="381590FF" w14:textId="77777777" w:rsidR="006C190B" w:rsidRPr="00A95E71" w:rsidRDefault="006C190B" w:rsidP="006C190B">
      <w:pPr>
        <w:spacing w:before="240"/>
      </w:pPr>
      <w:r w:rsidRPr="00A95E71">
        <w:t xml:space="preserve">Henriksen, D., Mishra, P. and Stern, R. (2024) ‘Creative learning for sustainability in a world of AI: Action, mindset, values’, </w:t>
      </w:r>
      <w:r w:rsidRPr="00A95E71">
        <w:rPr>
          <w:i/>
          <w:iCs/>
        </w:rPr>
        <w:t>Sustainability</w:t>
      </w:r>
      <w:r w:rsidRPr="00A95E71">
        <w:t>, 16(11), p. 4451. Available at:</w:t>
      </w:r>
      <w:hyperlink r:id="rId17" w:history="1">
        <w:r w:rsidRPr="00A95E71">
          <w:rPr>
            <w:rStyle w:val="Hyperlink"/>
          </w:rPr>
          <w:t xml:space="preserve"> https://doi.org/10.3390/su16114451</w:t>
        </w:r>
      </w:hyperlink>
      <w:r w:rsidRPr="00A95E71">
        <w:t> </w:t>
      </w:r>
    </w:p>
    <w:p w14:paraId="2E685D7B" w14:textId="77777777" w:rsidR="006C190B" w:rsidRPr="00A95E71" w:rsidRDefault="006C190B" w:rsidP="00AC7FD0">
      <w:pPr>
        <w:spacing w:before="240"/>
      </w:pPr>
      <w:proofErr w:type="spellStart"/>
      <w:r w:rsidRPr="00A95E71">
        <w:t>Iliemena</w:t>
      </w:r>
      <w:proofErr w:type="spellEnd"/>
      <w:r w:rsidRPr="00A95E71">
        <w:noBreakHyphen/>
        <w:t xml:space="preserve">Ifeanyi, R.O., </w:t>
      </w:r>
      <w:proofErr w:type="spellStart"/>
      <w:r w:rsidRPr="00A95E71">
        <w:t>Nloghari</w:t>
      </w:r>
      <w:proofErr w:type="spellEnd"/>
      <w:r w:rsidRPr="00A95E71">
        <w:t xml:space="preserve">, A.A. and Goodluck, H. (2025) ‘Strategic pricing for sustainability: Exploring the effect of pricing decisions on environmental and social outcomes’, </w:t>
      </w:r>
      <w:r w:rsidRPr="00A95E71">
        <w:rPr>
          <w:i/>
          <w:iCs/>
        </w:rPr>
        <w:t>International Journal of Sustainable Built Environment</w:t>
      </w:r>
      <w:r w:rsidRPr="00A95E71">
        <w:t>, 2(1), pp. 1–21. Available at:</w:t>
      </w:r>
      <w:hyperlink r:id="rId18" w:history="1">
        <w:r w:rsidRPr="00A95E71">
          <w:rPr>
            <w:rStyle w:val="Hyperlink"/>
          </w:rPr>
          <w:t xml:space="preserve"> https://www.researchgate.net/profile/Rachael-Iliemena-Ifeanyi/publication/393499725_STRATEGIC_PRICING_FOR_SUSTAINABILITY_EXPLORING_THE_EFFECT_OF_PRICING_DECISIONS_ON_ENVIRONMENTAL_AND_SOCIAL_OUTCOMES/links/686d086592697d42903dcc97/STRATEGIC-PRICING-FOR-SUSTAINABILITY-EXPLORING-THE-EFFECT-OF-PRICING-DECISIONS-ON-ENVIRONMENTAL-AND-SOCIAL-OUTCOMES.pdf</w:t>
        </w:r>
      </w:hyperlink>
    </w:p>
    <w:p w14:paraId="74D6FF2A" w14:textId="77777777" w:rsidR="006C190B" w:rsidRPr="00A95E71" w:rsidRDefault="006C190B" w:rsidP="00AC7FD0">
      <w:pPr>
        <w:spacing w:before="240"/>
      </w:pPr>
      <w:r w:rsidRPr="00A95E71">
        <w:t xml:space="preserve">Kirthiga, B., </w:t>
      </w:r>
      <w:proofErr w:type="spellStart"/>
      <w:r w:rsidRPr="00A95E71">
        <w:t>Nandida</w:t>
      </w:r>
      <w:proofErr w:type="spellEnd"/>
      <w:r w:rsidRPr="00A95E71">
        <w:t xml:space="preserve">, G. and Sastha Divya, M. (2024) ‘Transparency in sustainability marketing: Effects on consumer trust and purchase intent’, </w:t>
      </w:r>
      <w:proofErr w:type="spellStart"/>
      <w:r w:rsidRPr="00A95E71">
        <w:rPr>
          <w:i/>
          <w:iCs/>
        </w:rPr>
        <w:t>Cuestiones</w:t>
      </w:r>
      <w:proofErr w:type="spellEnd"/>
      <w:r w:rsidRPr="00A95E71">
        <w:rPr>
          <w:i/>
          <w:iCs/>
        </w:rPr>
        <w:t xml:space="preserve"> de </w:t>
      </w:r>
      <w:proofErr w:type="spellStart"/>
      <w:r w:rsidRPr="00A95E71">
        <w:rPr>
          <w:i/>
          <w:iCs/>
        </w:rPr>
        <w:t>Fisioterapia</w:t>
      </w:r>
      <w:proofErr w:type="spellEnd"/>
      <w:r w:rsidRPr="00A95E71">
        <w:t xml:space="preserve">, </w:t>
      </w:r>
      <w:r w:rsidRPr="00A95E71">
        <w:lastRenderedPageBreak/>
        <w:t>53(03), pp. 1962–1971. Available at:</w:t>
      </w:r>
      <w:hyperlink r:id="rId19" w:history="1">
        <w:r w:rsidRPr="00A95E71">
          <w:rPr>
            <w:rStyle w:val="Hyperlink"/>
          </w:rPr>
          <w:t xml:space="preserve"> https://cuestionesdefisioterapia.com/index.php/es/article/download/3050/2196</w:t>
        </w:r>
      </w:hyperlink>
    </w:p>
    <w:p w14:paraId="7707D309" w14:textId="77777777" w:rsidR="006C190B" w:rsidRPr="00A95E71" w:rsidRDefault="006C190B" w:rsidP="00AC7FD0">
      <w:pPr>
        <w:spacing w:before="240"/>
      </w:pPr>
      <w:proofErr w:type="spellStart"/>
      <w:r w:rsidRPr="00A95E71">
        <w:t>Marfu</w:t>
      </w:r>
      <w:proofErr w:type="spellEnd"/>
      <w:r w:rsidRPr="00A95E71">
        <w:t xml:space="preserve">, A., Abbas, H., Sya, A., Purwanto, A., </w:t>
      </w:r>
      <w:proofErr w:type="spellStart"/>
      <w:r w:rsidRPr="00A95E71">
        <w:t>Nadiroh</w:t>
      </w:r>
      <w:proofErr w:type="spellEnd"/>
      <w:r w:rsidRPr="00A95E71">
        <w:t xml:space="preserve">, </w:t>
      </w:r>
      <w:proofErr w:type="spellStart"/>
      <w:r w:rsidRPr="00A95E71">
        <w:t>Sumargo</w:t>
      </w:r>
      <w:proofErr w:type="spellEnd"/>
      <w:r w:rsidRPr="00A95E71">
        <w:t xml:space="preserve">, B., Wulandari, S.S., Daiman, Malaihollo, C.A., Syakyakirti, </w:t>
      </w:r>
      <w:proofErr w:type="spellStart"/>
      <w:r w:rsidRPr="00A95E71">
        <w:t>Tanubrata</w:t>
      </w:r>
      <w:proofErr w:type="spellEnd"/>
      <w:r w:rsidRPr="00A95E71">
        <w:t>, D. and Pratiwi, D.I. (2025) ‘Building long</w:t>
      </w:r>
      <w:r w:rsidRPr="00A95E71">
        <w:noBreakHyphen/>
        <w:t xml:space="preserve">term value: A practical guide to integrating ESG into business strategies’, </w:t>
      </w:r>
      <w:r w:rsidRPr="00A95E71">
        <w:rPr>
          <w:i/>
          <w:iCs/>
        </w:rPr>
        <w:t>Sustainable Futures</w:t>
      </w:r>
      <w:r w:rsidRPr="00A95E71">
        <w:t>, 100955. Available at:</w:t>
      </w:r>
      <w:hyperlink r:id="rId20" w:history="1">
        <w:r w:rsidRPr="00A95E71">
          <w:rPr>
            <w:rStyle w:val="Hyperlink"/>
          </w:rPr>
          <w:t xml:space="preserve"> https://doi.org/10.1016/j.sftr.2025.100955</w:t>
        </w:r>
      </w:hyperlink>
    </w:p>
    <w:p w14:paraId="0237E5F4" w14:textId="77777777" w:rsidR="006C190B" w:rsidRPr="00A95E71" w:rsidRDefault="006C190B" w:rsidP="00AC7FD0">
      <w:pPr>
        <w:spacing w:before="240"/>
      </w:pPr>
      <w:r w:rsidRPr="00A95E71">
        <w:t xml:space="preserve">MBA Knol (2026) </w:t>
      </w:r>
      <w:r w:rsidRPr="00A95E71">
        <w:rPr>
          <w:i/>
          <w:iCs/>
        </w:rPr>
        <w:t>Services Marketing Mix</w:t>
      </w:r>
      <w:r w:rsidRPr="00A95E71">
        <w:t>. Available at:</w:t>
      </w:r>
      <w:hyperlink r:id="rId21" w:history="1">
        <w:r w:rsidRPr="00A95E71">
          <w:rPr>
            <w:rStyle w:val="Hyperlink"/>
          </w:rPr>
          <w:t xml:space="preserve"> https://mbaknol.com/wp-content/uploads/2017/11/services-marketing-mix-mbaknol-e1509690991835.jpg</w:t>
        </w:r>
      </w:hyperlink>
      <w:r w:rsidRPr="00A95E71">
        <w:t xml:space="preserve"> (Accessed: 8 July 2026).</w:t>
      </w:r>
    </w:p>
    <w:p w14:paraId="357D617C" w14:textId="77777777" w:rsidR="006C190B" w:rsidRPr="00A95E71" w:rsidRDefault="006C190B" w:rsidP="00AC7FD0">
      <w:pPr>
        <w:spacing w:before="240"/>
      </w:pPr>
      <w:r w:rsidRPr="00A95E71">
        <w:t>Moradpour, J., Zhang, W., Grootendorst, P., Anis, A.H. and Hollis, A. (2023) ‘</w:t>
      </w:r>
      <w:proofErr w:type="spellStart"/>
      <w:r w:rsidRPr="00A95E71">
        <w:t>Modeling</w:t>
      </w:r>
      <w:proofErr w:type="spellEnd"/>
      <w:r w:rsidRPr="00A95E71">
        <w:t xml:space="preserve"> tiered pricing frameworks: A simulation approach’, </w:t>
      </w:r>
      <w:r w:rsidRPr="00A95E71">
        <w:rPr>
          <w:i/>
          <w:iCs/>
        </w:rPr>
        <w:t>Value in Health</w:t>
      </w:r>
      <w:r w:rsidRPr="00A95E71">
        <w:t>, 26(3), pp. 351–358. Available at:</w:t>
      </w:r>
      <w:hyperlink r:id="rId22" w:history="1">
        <w:r w:rsidRPr="00A95E71">
          <w:rPr>
            <w:rStyle w:val="Hyperlink"/>
          </w:rPr>
          <w:t xml:space="preserve"> https://doi.org/10.1016/j.jval.2022.11.003</w:t>
        </w:r>
      </w:hyperlink>
    </w:p>
    <w:p w14:paraId="2611B375" w14:textId="77777777" w:rsidR="006C190B" w:rsidRPr="00A95E71" w:rsidRDefault="006C190B" w:rsidP="00AC7FD0">
      <w:pPr>
        <w:spacing w:before="240"/>
      </w:pPr>
      <w:r w:rsidRPr="00A95E71">
        <w:t>Mustafa, S., Hao, T., Jamil, K., Qiao, Y. and Nawaz, M. (2022) ‘Role of eco</w:t>
      </w:r>
      <w:r w:rsidRPr="00A95E71">
        <w:noBreakHyphen/>
        <w:t xml:space="preserve">friendly products in the revival of developing countries’ economies and achieving a sustainable green economy’, </w:t>
      </w:r>
      <w:r w:rsidRPr="00A95E71">
        <w:rPr>
          <w:i/>
          <w:iCs/>
        </w:rPr>
        <w:t>Frontiers in Environmental Science</w:t>
      </w:r>
      <w:r w:rsidRPr="00A95E71">
        <w:t>, 10, p.955245. Available at:</w:t>
      </w:r>
      <w:hyperlink r:id="rId23" w:history="1">
        <w:r w:rsidRPr="00A95E71">
          <w:rPr>
            <w:rStyle w:val="Hyperlink"/>
          </w:rPr>
          <w:t xml:space="preserve"> https://doi.org/10.3389/fenvs.2022.955245</w:t>
        </w:r>
      </w:hyperlink>
    </w:p>
    <w:p w14:paraId="101E5F15" w14:textId="77777777" w:rsidR="006C190B" w:rsidRPr="00A95E71" w:rsidRDefault="006C190B" w:rsidP="00AC7FD0">
      <w:pPr>
        <w:spacing w:before="240"/>
      </w:pPr>
      <w:proofErr w:type="spellStart"/>
      <w:r w:rsidRPr="00A95E71">
        <w:t>MyProtein</w:t>
      </w:r>
      <w:proofErr w:type="spellEnd"/>
      <w:r w:rsidRPr="00A95E71">
        <w:t xml:space="preserve"> (2026) </w:t>
      </w:r>
      <w:r w:rsidRPr="00A95E71">
        <w:rPr>
          <w:i/>
          <w:iCs/>
        </w:rPr>
        <w:t>Empowering those who demand more</w:t>
      </w:r>
      <w:r w:rsidRPr="00A95E71">
        <w:t xml:space="preserve">. Available at: </w:t>
      </w:r>
      <w:hyperlink r:id="rId24" w:history="1">
        <w:r w:rsidRPr="00A95E71">
          <w:rPr>
            <w:rStyle w:val="Hyperlink"/>
          </w:rPr>
          <w:t>https://www.myprotein.co.in/c/about-us/</w:t>
        </w:r>
      </w:hyperlink>
      <w:r w:rsidRPr="00A95E71">
        <w:t xml:space="preserve"> (Accessed: 8 July 2026).</w:t>
      </w:r>
    </w:p>
    <w:p w14:paraId="7832585B" w14:textId="77777777" w:rsidR="006C190B" w:rsidRPr="00A95E71" w:rsidRDefault="006C190B" w:rsidP="00AC7FD0">
      <w:pPr>
        <w:spacing w:before="240"/>
      </w:pPr>
      <w:proofErr w:type="spellStart"/>
      <w:r w:rsidRPr="00A95E71">
        <w:t>Putrevu</w:t>
      </w:r>
      <w:proofErr w:type="spellEnd"/>
      <w:r w:rsidRPr="00A95E71">
        <w:t xml:space="preserve">, D.J. and </w:t>
      </w:r>
      <w:proofErr w:type="spellStart"/>
      <w:r w:rsidRPr="00A95E71">
        <w:t>Mertzanis</w:t>
      </w:r>
      <w:proofErr w:type="spellEnd"/>
      <w:r w:rsidRPr="00A95E71">
        <w:t xml:space="preserve">, C. (2025) </w:t>
      </w:r>
      <w:r w:rsidRPr="00A95E71">
        <w:rPr>
          <w:i/>
          <w:iCs/>
        </w:rPr>
        <w:t>The rise of the wellness business sector: A systematic literature review</w:t>
      </w:r>
      <w:r w:rsidRPr="00A95E71">
        <w:t>. Available at SSRN:</w:t>
      </w:r>
      <w:hyperlink r:id="rId25" w:history="1">
        <w:r w:rsidRPr="00A95E71">
          <w:rPr>
            <w:rStyle w:val="Hyperlink"/>
          </w:rPr>
          <w:t xml:space="preserve"> https://doi.org/10.2139/ssrn.5190935</w:t>
        </w:r>
      </w:hyperlink>
    </w:p>
    <w:p w14:paraId="3E748FF2" w14:textId="77777777" w:rsidR="006C190B" w:rsidRPr="00A95E71" w:rsidRDefault="006C190B" w:rsidP="002F5EB8">
      <w:pPr>
        <w:spacing w:before="240"/>
      </w:pPr>
      <w:proofErr w:type="spellStart"/>
      <w:r w:rsidRPr="00A95E71">
        <w:t>Rizomyliotis</w:t>
      </w:r>
      <w:proofErr w:type="spellEnd"/>
      <w:r w:rsidRPr="00A95E71">
        <w:t xml:space="preserve">, I., (2026). ‘Consumer trust and online purchase intention for sustainable </w:t>
      </w:r>
      <w:proofErr w:type="gramStart"/>
      <w:r w:rsidRPr="00A95E71">
        <w:t>products’</w:t>
      </w:r>
      <w:proofErr w:type="gramEnd"/>
      <w:r w:rsidRPr="00A95E71">
        <w:t xml:space="preserve">. </w:t>
      </w:r>
      <w:r w:rsidRPr="00A95E71">
        <w:rPr>
          <w:i/>
          <w:iCs/>
        </w:rPr>
        <w:t xml:space="preserve">American </w:t>
      </w:r>
      <w:proofErr w:type="spellStart"/>
      <w:r w:rsidRPr="00A95E71">
        <w:rPr>
          <w:i/>
          <w:iCs/>
        </w:rPr>
        <w:t>Behavioral</w:t>
      </w:r>
      <w:proofErr w:type="spellEnd"/>
      <w:r w:rsidRPr="00A95E71">
        <w:rPr>
          <w:i/>
          <w:iCs/>
        </w:rPr>
        <w:t xml:space="preserve"> Scientist, 70</w:t>
      </w:r>
      <w:r w:rsidRPr="00A95E71">
        <w:t xml:space="preserve">(5), pp.706-724. Available at: </w:t>
      </w:r>
      <w:hyperlink r:id="rId26">
        <w:r w:rsidRPr="00A95E71">
          <w:rPr>
            <w:color w:val="1155CC"/>
            <w:u w:val="single"/>
          </w:rPr>
          <w:t>https://doi.org/10.1177/00027642241236174</w:t>
        </w:r>
      </w:hyperlink>
    </w:p>
    <w:p w14:paraId="18C31E8B" w14:textId="77777777" w:rsidR="006C190B" w:rsidRPr="00A95E71" w:rsidRDefault="006C190B" w:rsidP="00AC7FD0">
      <w:pPr>
        <w:spacing w:before="240"/>
      </w:pPr>
      <w:r w:rsidRPr="00A95E71">
        <w:t xml:space="preserve">United Nations (2026) </w:t>
      </w:r>
      <w:r w:rsidRPr="00A95E71">
        <w:rPr>
          <w:i/>
          <w:iCs/>
        </w:rPr>
        <w:t>Sustainable Development Goals</w:t>
      </w:r>
      <w:r w:rsidRPr="00A95E71">
        <w:t>. Available at:</w:t>
      </w:r>
      <w:hyperlink r:id="rId27" w:history="1">
        <w:r w:rsidRPr="00A95E71">
          <w:rPr>
            <w:rStyle w:val="Hyperlink"/>
          </w:rPr>
          <w:t xml:space="preserve"> https://sdgs.un.org/goals</w:t>
        </w:r>
      </w:hyperlink>
      <w:r w:rsidRPr="00A95E71">
        <w:t xml:space="preserve"> (Accessed: 8 July 2026).</w:t>
      </w:r>
    </w:p>
    <w:p w14:paraId="107775FE" w14:textId="77777777" w:rsidR="006C190B" w:rsidRPr="00A95E71" w:rsidRDefault="006C190B" w:rsidP="00AC7FD0">
      <w:pPr>
        <w:spacing w:before="240"/>
      </w:pPr>
      <w:r w:rsidRPr="00A95E71">
        <w:t xml:space="preserve">Yadav, D. and Yadav, K. (2025) ‘ESG and sustainable workforce finance: Linking workforce practices to environmental, social, and governance (ESG) goals’, in </w:t>
      </w:r>
      <w:r w:rsidRPr="00A95E71">
        <w:rPr>
          <w:i/>
          <w:iCs/>
        </w:rPr>
        <w:t xml:space="preserve">People, profits, and policy: Redefining workforce economics and financial strategy in a </w:t>
      </w:r>
      <w:r w:rsidRPr="00A95E71">
        <w:rPr>
          <w:i/>
          <w:iCs/>
        </w:rPr>
        <w:lastRenderedPageBreak/>
        <w:t>disruptive era</w:t>
      </w:r>
      <w:r w:rsidRPr="00A95E71">
        <w:t>, pp. 93–108. Available at:</w:t>
      </w:r>
      <w:hyperlink r:id="rId28" w:anchor="page=101" w:history="1">
        <w:r w:rsidRPr="00A95E71">
          <w:rPr>
            <w:rStyle w:val="Hyperlink"/>
          </w:rPr>
          <w:t xml:space="preserve"> https://www.researchgate.net/profile/Nitish-Minz/publication/390247431_People_Profits_and_Policy_Redefining_Workforce_Economics_and_Financial_Strategy_in_a_Disruptive_Era/links/67e60fa9920b736ca9b30e69/People-Profits-and-Policy-Redefining-Workforce-Economics-and-Financial-Strategy-in-a-Disruptive-Era.pdf#page=101</w:t>
        </w:r>
      </w:hyperlink>
    </w:p>
    <w:p w14:paraId="51F64D4A" w14:textId="77777777" w:rsidR="006C190B" w:rsidRPr="00A95E71" w:rsidRDefault="006C190B" w:rsidP="002F5EB8">
      <w:pPr>
        <w:spacing w:before="240"/>
      </w:pPr>
      <w:r w:rsidRPr="00A95E71">
        <w:t xml:space="preserve">Zahran, I. and </w:t>
      </w:r>
      <w:proofErr w:type="spellStart"/>
      <w:r w:rsidRPr="00A95E71">
        <w:t>Aljuhmani</w:t>
      </w:r>
      <w:proofErr w:type="spellEnd"/>
      <w:r w:rsidRPr="00A95E71">
        <w:t xml:space="preserve">, H.Y., (2025). ‘Seduced by style: How </w:t>
      </w:r>
      <w:proofErr w:type="spellStart"/>
      <w:r w:rsidRPr="00A95E71">
        <w:t>instagram</w:t>
      </w:r>
      <w:proofErr w:type="spellEnd"/>
      <w:r w:rsidRPr="00A95E71">
        <w:t xml:space="preserve"> fashion influencers build brand loyalty through customer engagement in sustainable consumption’.</w:t>
      </w:r>
      <w:r w:rsidRPr="00A95E71">
        <w:rPr>
          <w:i/>
          <w:iCs/>
        </w:rPr>
        <w:t xml:space="preserve"> Sustainability, 17</w:t>
      </w:r>
      <w:r w:rsidRPr="00A95E71">
        <w:t xml:space="preserve">(17), p.7888. Available at: </w:t>
      </w:r>
      <w:hyperlink r:id="rId29">
        <w:r w:rsidRPr="00A95E71">
          <w:rPr>
            <w:color w:val="1155CC"/>
            <w:u w:val="single"/>
          </w:rPr>
          <w:t>https://doi.org/10.3390/su17177888</w:t>
        </w:r>
      </w:hyperlink>
      <w:r w:rsidRPr="00A95E71">
        <w:t xml:space="preserve"> </w:t>
      </w:r>
    </w:p>
    <w:p w14:paraId="23BC9B28" w14:textId="524BE5C0" w:rsidR="000F7D75" w:rsidRPr="00A95E71" w:rsidRDefault="000F7D75"/>
    <w:sectPr w:rsidR="000F7D75" w:rsidRPr="00A95E71">
      <w:footerReference w:type="default" r:id="rId3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6E169" w14:textId="77777777" w:rsidR="00897F17" w:rsidRDefault="00897F17">
      <w:pPr>
        <w:spacing w:line="240" w:lineRule="auto"/>
      </w:pPr>
      <w:r>
        <w:separator/>
      </w:r>
    </w:p>
  </w:endnote>
  <w:endnote w:type="continuationSeparator" w:id="0">
    <w:p w14:paraId="6918DDAA" w14:textId="77777777" w:rsidR="00897F17" w:rsidRDefault="00897F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BC3FEF-5505-40B3-AAB1-178A0629FA8B}"/>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85C9F276-0F82-4561-AAD8-C592DB41D2AD}"/>
  </w:font>
  <w:font w:name="Cambria">
    <w:panose1 w:val="02040503050406030204"/>
    <w:charset w:val="00"/>
    <w:family w:val="roman"/>
    <w:pitch w:val="variable"/>
    <w:sig w:usb0="E00006FF" w:usb1="420024FF" w:usb2="02000000" w:usb3="00000000" w:csb0="0000019F" w:csb1="00000000"/>
    <w:embedRegular r:id="rId3" w:fontKey="{6BB18569-DE43-406E-A7A8-C9A0D56793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5DE25" w14:textId="77777777" w:rsidR="00CD7D94" w:rsidRDefault="00803C8A">
    <w:pPr>
      <w:jc w:val="right"/>
      <w:rPr>
        <w:sz w:val="20"/>
        <w:szCs w:val="20"/>
      </w:rPr>
    </w:pPr>
    <w:r>
      <w:rPr>
        <w:sz w:val="20"/>
        <w:szCs w:val="20"/>
      </w:rPr>
      <w:fldChar w:fldCharType="begin"/>
    </w:r>
    <w:r>
      <w:rPr>
        <w:sz w:val="20"/>
        <w:szCs w:val="20"/>
      </w:rPr>
      <w:instrText>PAGE</w:instrText>
    </w:r>
    <w:r>
      <w:rPr>
        <w:sz w:val="20"/>
        <w:szCs w:val="20"/>
      </w:rPr>
      <w:fldChar w:fldCharType="separate"/>
    </w:r>
    <w:r w:rsidR="00812B2D">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41122" w14:textId="77777777" w:rsidR="00897F17" w:rsidRDefault="00897F17">
      <w:pPr>
        <w:spacing w:line="240" w:lineRule="auto"/>
      </w:pPr>
      <w:r>
        <w:separator/>
      </w:r>
    </w:p>
  </w:footnote>
  <w:footnote w:type="continuationSeparator" w:id="0">
    <w:p w14:paraId="3C079A4C" w14:textId="77777777" w:rsidR="00897F17" w:rsidRDefault="00897F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A7CAE"/>
    <w:multiLevelType w:val="multilevel"/>
    <w:tmpl w:val="CBA28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83579"/>
    <w:multiLevelType w:val="multilevel"/>
    <w:tmpl w:val="3CEE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C22D5A"/>
    <w:multiLevelType w:val="multilevel"/>
    <w:tmpl w:val="0CC2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750246">
    <w:abstractNumId w:val="0"/>
  </w:num>
  <w:num w:numId="2" w16cid:durableId="1254167189">
    <w:abstractNumId w:val="1"/>
  </w:num>
  <w:num w:numId="3" w16cid:durableId="10323385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D94"/>
    <w:rsid w:val="00023C34"/>
    <w:rsid w:val="000D682C"/>
    <w:rsid w:val="000F7D75"/>
    <w:rsid w:val="00111EA6"/>
    <w:rsid w:val="00174B1C"/>
    <w:rsid w:val="00195B0D"/>
    <w:rsid w:val="00247BAD"/>
    <w:rsid w:val="00266B16"/>
    <w:rsid w:val="002F5EB8"/>
    <w:rsid w:val="003347A0"/>
    <w:rsid w:val="003A3BEC"/>
    <w:rsid w:val="00415625"/>
    <w:rsid w:val="00592470"/>
    <w:rsid w:val="005E294D"/>
    <w:rsid w:val="006B3935"/>
    <w:rsid w:val="006C190B"/>
    <w:rsid w:val="006E6AF5"/>
    <w:rsid w:val="00731103"/>
    <w:rsid w:val="007A3B03"/>
    <w:rsid w:val="007D29FA"/>
    <w:rsid w:val="007E019E"/>
    <w:rsid w:val="00803C8A"/>
    <w:rsid w:val="00812B2D"/>
    <w:rsid w:val="008444C7"/>
    <w:rsid w:val="00863054"/>
    <w:rsid w:val="00897F17"/>
    <w:rsid w:val="008C4502"/>
    <w:rsid w:val="009357E0"/>
    <w:rsid w:val="00A4455D"/>
    <w:rsid w:val="00A953C7"/>
    <w:rsid w:val="00A95E71"/>
    <w:rsid w:val="00AC7FD0"/>
    <w:rsid w:val="00B10402"/>
    <w:rsid w:val="00B13AD6"/>
    <w:rsid w:val="00B65E9B"/>
    <w:rsid w:val="00BE4B24"/>
    <w:rsid w:val="00C2268E"/>
    <w:rsid w:val="00C81841"/>
    <w:rsid w:val="00CD7D94"/>
    <w:rsid w:val="00D346F7"/>
    <w:rsid w:val="00D7170A"/>
    <w:rsid w:val="00DB29A9"/>
    <w:rsid w:val="00E9422C"/>
    <w:rsid w:val="00EC6B6C"/>
    <w:rsid w:val="00F57EBA"/>
    <w:rsid w:val="00FB62CA"/>
    <w:rsid w:val="00FB74F2"/>
    <w:rsid w:val="00FF4002"/>
    <w:rsid w:val="00FF773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18DB8"/>
  <w15:docId w15:val="{A3338080-AA89-4A70-9FF1-9EA63CAD5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2F5EB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F5EB8"/>
    <w:pPr>
      <w:spacing w:after="100"/>
    </w:pPr>
  </w:style>
  <w:style w:type="paragraph" w:styleId="TOC2">
    <w:name w:val="toc 2"/>
    <w:basedOn w:val="Normal"/>
    <w:next w:val="Normal"/>
    <w:autoRedefine/>
    <w:uiPriority w:val="39"/>
    <w:unhideWhenUsed/>
    <w:rsid w:val="002F5EB8"/>
    <w:pPr>
      <w:spacing w:after="100"/>
      <w:ind w:left="240"/>
    </w:pPr>
  </w:style>
  <w:style w:type="character" w:styleId="Hyperlink">
    <w:name w:val="Hyperlink"/>
    <w:basedOn w:val="DefaultParagraphFont"/>
    <w:uiPriority w:val="99"/>
    <w:unhideWhenUsed/>
    <w:rsid w:val="002F5EB8"/>
    <w:rPr>
      <w:color w:val="0000FF" w:themeColor="hyperlink"/>
      <w:u w:val="single"/>
    </w:rPr>
  </w:style>
  <w:style w:type="paragraph" w:styleId="Header">
    <w:name w:val="header"/>
    <w:basedOn w:val="Normal"/>
    <w:link w:val="HeaderChar"/>
    <w:uiPriority w:val="99"/>
    <w:unhideWhenUsed/>
    <w:rsid w:val="006B3935"/>
    <w:pPr>
      <w:tabs>
        <w:tab w:val="center" w:pos="4513"/>
        <w:tab w:val="right" w:pos="9026"/>
      </w:tabs>
      <w:spacing w:line="240" w:lineRule="auto"/>
    </w:pPr>
  </w:style>
  <w:style w:type="character" w:customStyle="1" w:styleId="HeaderChar">
    <w:name w:val="Header Char"/>
    <w:basedOn w:val="DefaultParagraphFont"/>
    <w:link w:val="Header"/>
    <w:uiPriority w:val="99"/>
    <w:rsid w:val="006B3935"/>
  </w:style>
  <w:style w:type="paragraph" w:styleId="Footer">
    <w:name w:val="footer"/>
    <w:basedOn w:val="Normal"/>
    <w:link w:val="FooterChar"/>
    <w:uiPriority w:val="99"/>
    <w:unhideWhenUsed/>
    <w:rsid w:val="006B3935"/>
    <w:pPr>
      <w:tabs>
        <w:tab w:val="center" w:pos="4513"/>
        <w:tab w:val="right" w:pos="9026"/>
      </w:tabs>
      <w:spacing w:line="240" w:lineRule="auto"/>
    </w:pPr>
  </w:style>
  <w:style w:type="character" w:customStyle="1" w:styleId="FooterChar">
    <w:name w:val="Footer Char"/>
    <w:basedOn w:val="DefaultParagraphFont"/>
    <w:link w:val="Footer"/>
    <w:uiPriority w:val="99"/>
    <w:rsid w:val="006B3935"/>
  </w:style>
  <w:style w:type="character" w:styleId="UnresolvedMention">
    <w:name w:val="Unresolved Mention"/>
    <w:basedOn w:val="DefaultParagraphFont"/>
    <w:uiPriority w:val="99"/>
    <w:semiHidden/>
    <w:unhideWhenUsed/>
    <w:rsid w:val="00AC7F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018/979-8-3373-3176-8.ch011?utm_source=copilot.com" TargetMode="External"/><Relationship Id="rId18" Type="http://schemas.openxmlformats.org/officeDocument/2006/relationships/hyperlink" Target="https://www.researchgate.net/profile/Rachael-Iliemena-Ifeanyi/publication/393499725_STRATEGIC_PRICING_FOR_SUSTAINABILITY_EXPLORING_THE_EFFECT_OF_PRICING_DECISIONS_ON_ENVIRONMENTAL_AND_SOCIAL_OUTCOMES/links/686d086592697d42903dcc97/STRATEGIC-PRICING-FOR-SUSTAINABILITY-EXPLORING-THE-EFFECT-OF-PRICING-DECISIONS-ON-ENVIRONMENTAL-AND-SOCIAL-OUTCOMES.pdf?utm_source=copilot.com" TargetMode="External"/><Relationship Id="rId26" Type="http://schemas.openxmlformats.org/officeDocument/2006/relationships/hyperlink" Target="https://doi.org/10.1177/00027642241236174" TargetMode="External"/><Relationship Id="rId3" Type="http://schemas.openxmlformats.org/officeDocument/2006/relationships/styles" Target="styles.xml"/><Relationship Id="rId21" Type="http://schemas.openxmlformats.org/officeDocument/2006/relationships/hyperlink" Target="https://mbaknol.com/wp-content/uploads/2017/11/services-marketing-mix-mbaknol-e1509690991835.jpg?utm_source=copilo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su16114451?utm_source=copilot.com" TargetMode="External"/><Relationship Id="rId25" Type="http://schemas.openxmlformats.org/officeDocument/2006/relationships/hyperlink" Target="https://doi.org/10.2139/ssrn.5190935" TargetMode="External"/><Relationship Id="rId2" Type="http://schemas.openxmlformats.org/officeDocument/2006/relationships/numbering" Target="numbering.xml"/><Relationship Id="rId16" Type="http://schemas.openxmlformats.org/officeDocument/2006/relationships/hyperlink" Target="https://doi.org/10.5465/amp.2023.0169" TargetMode="External"/><Relationship Id="rId20" Type="http://schemas.openxmlformats.org/officeDocument/2006/relationships/hyperlink" Target="https://doi.org/10.1016/j.sftr.2025.100955?utm_source=copilot.com" TargetMode="External"/><Relationship Id="rId29" Type="http://schemas.openxmlformats.org/officeDocument/2006/relationships/hyperlink" Target="https://doi.org/10.3390/su171778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yprotein.co.in/c/about-u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airtrade.net/en/why-fairtrade/how-we-do-it/standards.html?utm_source=copilot.com" TargetMode="External"/><Relationship Id="rId23" Type="http://schemas.openxmlformats.org/officeDocument/2006/relationships/hyperlink" Target="https://doi.org/10.3389/fenvs.2022.955245?utm_source=copilot.com" TargetMode="External"/><Relationship Id="rId28" Type="http://schemas.openxmlformats.org/officeDocument/2006/relationships/hyperlink" Target="https://www.researchgate.net/profile/Nitish-Minz/publication/390247431_People_Profits_and_Policy_Redefining_Workforce_Economics_and_Financial_Strategy_in_a_Disruptive_Era/links/67e60fa9920b736ca9b30e69/People-Profits-and-Policy-Redefining-Workforce-Economics-and-Financial-Strategy-in-a-Disruptive-Era.pdf?utm_source=copilot.com" TargetMode="External"/><Relationship Id="rId10" Type="http://schemas.openxmlformats.org/officeDocument/2006/relationships/image" Target="media/image3.svg"/><Relationship Id="rId19" Type="http://schemas.openxmlformats.org/officeDocument/2006/relationships/hyperlink" Target="https://cuestionesdefisioterapia.com/index.php/es/article/download/3050/2196?utm_source=copilo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2/csr.2926?utm_source=copilot.com" TargetMode="External"/><Relationship Id="rId22" Type="http://schemas.openxmlformats.org/officeDocument/2006/relationships/hyperlink" Target="https://doi.org/10.1016/j.jval.2022.11.003?utm_source=copilot.com" TargetMode="External"/><Relationship Id="rId27" Type="http://schemas.openxmlformats.org/officeDocument/2006/relationships/hyperlink" Target="https://sdgs.un.org/goals?utm_source=copilot.com"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D9785F-7A80-4B55-A544-58593E75D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3616</Words>
  <Characters>20617</Characters>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2026-07-09T08:46:00Z</dcterms:created>
  <dcterms:modified xsi:type="dcterms:W3CDTF">2026-08-02T09:28:00Z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487ba4b7-1602-44e9-a449-0e2a44414296</vt:lpwstr>
  </property>
</Properties>
</file>