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B5734E7" w:rsidP="1B5734E7" w:rsidRDefault="1B5734E7" w14:paraId="61BCD4AF" w14:textId="067B1782">
      <w:pPr>
        <w:rPr>
          <w:rFonts w:ascii="Calibri Light" w:hAnsi="Calibri Light" w:eastAsia="Calibri Light" w:cs="Calibri Light" w:asciiTheme="majorAscii" w:hAnsiTheme="majorAscii" w:eastAsiaTheme="majorAscii" w:cstheme="majorAscii"/>
          <w:b w:val="1"/>
          <w:bCs w:val="1"/>
          <w:color w:val="auto"/>
          <w:sz w:val="24"/>
          <w:szCs w:val="24"/>
          <w:u w:val="single"/>
        </w:rPr>
      </w:pP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none"/>
        </w:rPr>
        <w:t xml:space="preserve">                        </w:t>
      </w: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single"/>
        </w:rPr>
        <w:t>Budgetary constraints, accountability and best value</w:t>
      </w:r>
    </w:p>
    <w:p w:rsidR="1B5734E7" w:rsidP="1B5734E7" w:rsidRDefault="1B5734E7" w14:paraId="71926874" w14:textId="736534E7">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p>
    <w:p w:rsidR="433230AC" w:rsidP="302F7DA7" w:rsidRDefault="433230AC" w14:paraId="66F20A81" w14:textId="002DFF5F">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none"/>
        </w:rPr>
        <w:t xml:space="preserve">                             </w:t>
      </w: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single"/>
        </w:rPr>
        <w:t>Module: Accountability in Public services/Policing</w:t>
      </w: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none"/>
        </w:rPr>
        <w:t xml:space="preserve"> </w:t>
      </w:r>
    </w:p>
    <w:p w:rsidR="1B5734E7" w:rsidP="1B5734E7" w:rsidRDefault="1B5734E7" w14:paraId="65B59979" w14:textId="05513FCA">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p>
    <w:p w:rsidR="433230AC" w:rsidP="302F7DA7" w:rsidRDefault="433230AC" w14:paraId="7DF5BF67" w14:textId="6A06C485">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none"/>
        </w:rPr>
        <w:t xml:space="preserve">                                        </w:t>
      </w: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single"/>
        </w:rPr>
        <w:t>Module code: BMPS 5006/5009</w:t>
      </w:r>
    </w:p>
    <w:p w:rsidR="1B5734E7" w:rsidP="1B5734E7" w:rsidRDefault="1B5734E7" w14:paraId="4B2764C2" w14:textId="26CE4A29">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p>
    <w:p w:rsidR="433230AC" w:rsidP="302F7DA7" w:rsidRDefault="433230AC" w14:paraId="094882C9" w14:textId="471B4FCD">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none"/>
        </w:rPr>
        <w:t xml:space="preserve">                                                 </w:t>
      </w: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single"/>
        </w:rPr>
        <w:t>Lecturer: Peter Doyle</w:t>
      </w:r>
    </w:p>
    <w:p w:rsidR="1B5734E7" w:rsidP="1B5734E7" w:rsidRDefault="1B5734E7" w14:paraId="372B71F0" w14:textId="46788CE9">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p>
    <w:p w:rsidR="433230AC" w:rsidP="302F7DA7" w:rsidRDefault="433230AC" w14:paraId="45F20F02" w14:textId="427C25E8">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none"/>
        </w:rPr>
        <w:t xml:space="preserve">                                           </w:t>
      </w: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single"/>
        </w:rPr>
        <w:t>Student ID number: 1805244</w:t>
      </w:r>
    </w:p>
    <w:p w:rsidR="1B5734E7" w:rsidP="1B5734E7" w:rsidRDefault="1B5734E7" w14:paraId="0DCF59B4" w14:textId="46285BE9">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p>
    <w:p w:rsidR="433230AC" w:rsidP="302F7DA7" w:rsidRDefault="433230AC" w14:paraId="5988A272" w14:textId="493F5D9F">
      <w:pPr>
        <w:pStyle w:val="Normal"/>
        <w:rPr>
          <w:rFonts w:ascii="Calibri Light" w:hAnsi="Calibri Light" w:eastAsia="Calibri Light" w:cs="Calibri Light" w:asciiTheme="majorAscii" w:hAnsiTheme="majorAscii" w:eastAsiaTheme="majorAscii" w:cstheme="majorAscii"/>
          <w:b w:val="1"/>
          <w:bCs w:val="1"/>
          <w:color w:val="auto"/>
          <w:sz w:val="24"/>
          <w:szCs w:val="24"/>
          <w:u w:val="single"/>
        </w:rPr>
      </w:pP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none"/>
        </w:rPr>
        <w:t xml:space="preserve">                                                  </w:t>
      </w: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single"/>
        </w:rPr>
        <w:t>Student: Jac Williams</w:t>
      </w:r>
      <w:r w:rsidRPr="1B5734E7" w:rsidR="1B5734E7">
        <w:rPr>
          <w:rFonts w:ascii="Calibri Light" w:hAnsi="Calibri Light" w:eastAsia="Calibri Light" w:cs="Calibri Light" w:asciiTheme="majorAscii" w:hAnsiTheme="majorAscii" w:eastAsiaTheme="majorAscii" w:cstheme="majorAscii"/>
          <w:b w:val="1"/>
          <w:bCs w:val="1"/>
          <w:color w:val="auto"/>
          <w:sz w:val="24"/>
          <w:szCs w:val="24"/>
          <w:u w:val="none"/>
        </w:rPr>
        <w:t xml:space="preserve"> </w:t>
      </w:r>
    </w:p>
    <w:p w:rsidR="302F7DA7" w:rsidP="09F5337A" w:rsidRDefault="302F7DA7" w14:paraId="5BDBBFD7" w14:textId="4C98F55A">
      <w:pPr>
        <w:pStyle w:val="Normal"/>
        <w:rPr>
          <w:rFonts w:ascii="Calibri" w:hAnsi="Calibri" w:eastAsia="Calibri" w:cs="Calibri" w:asciiTheme="minorAscii" w:hAnsiTheme="minorAscii" w:eastAsiaTheme="minorAscii" w:cstheme="minorAscii"/>
          <w:b w:val="0"/>
          <w:bCs w:val="0"/>
          <w:i w:val="0"/>
          <w:iCs w:val="0"/>
          <w:color w:val="auto"/>
          <w:sz w:val="24"/>
          <w:szCs w:val="24"/>
        </w:rPr>
      </w:pPr>
    </w:p>
    <w:p w:rsidR="5BC21847" w:rsidP="09F5337A" w:rsidRDefault="5BC21847" w14:paraId="2F84BD35" w14:textId="7D36CBCD">
      <w:pPr>
        <w:pStyle w:val="Normal"/>
        <w:rPr>
          <w:rFonts w:ascii="Calibri" w:hAnsi="Calibri" w:eastAsia="Calibri" w:cs="Calibri" w:asciiTheme="minorAscii" w:hAnsiTheme="minorAscii" w:eastAsiaTheme="minorAscii" w:cstheme="minorAscii"/>
          <w:b w:val="0"/>
          <w:bCs w:val="0"/>
          <w:i w:val="0"/>
          <w:iCs w:val="0"/>
          <w:color w:val="auto"/>
          <w:sz w:val="24"/>
          <w:szCs w:val="24"/>
        </w:rPr>
      </w:pP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    The public sector is in high demand for public services, but as well as this it deals with increasing pressure to reduce their budgets as stakeholders' needs are to be met. It is very difficult to determine which needs more attention, throughout this assignment discussion will be made on how important accountability is within the public services and ‘best value’ and ‘value for money’ within the public services sector will be defined throughout. Also, the police service will be the chosen public service to provide an example of the best value principle in practice and how it’s used. </w:t>
      </w:r>
    </w:p>
    <w:p w:rsidR="7E1C7EB9" w:rsidP="1B5734E7" w:rsidRDefault="7E1C7EB9" w14:paraId="03A86136" w14:textId="792DB2A3">
      <w:pPr>
        <w:pStyle w:val="Normal"/>
        <w:ind/>
        <w:rPr>
          <w:rFonts w:ascii="Calibri" w:hAnsi="Calibri" w:eastAsia="Calibri" w:cs="Calibri" w:asciiTheme="minorAscii" w:hAnsiTheme="minorAscii" w:eastAsiaTheme="minorAscii" w:cstheme="minorAscii"/>
          <w:b w:val="0"/>
          <w:bCs w:val="0"/>
          <w:i w:val="0"/>
          <w:iCs w:val="0"/>
          <w:color w:val="auto"/>
          <w:sz w:val="24"/>
          <w:szCs w:val="24"/>
        </w:rPr>
      </w:pPr>
      <w:r w:rsidRPr="1B5734E7" w:rsidR="1B5734E7">
        <w:rPr>
          <w:rFonts w:ascii="Calibri" w:hAnsi="Calibri" w:eastAsia="Calibri" w:cs="Calibri" w:asciiTheme="minorAscii" w:hAnsiTheme="minorAscii" w:eastAsiaTheme="minorAscii" w:cstheme="minorAscii"/>
          <w:b w:val="0"/>
          <w:bCs w:val="0"/>
          <w:i w:val="0"/>
          <w:iCs w:val="0"/>
          <w:color w:val="auto"/>
          <w:sz w:val="24"/>
          <w:szCs w:val="24"/>
        </w:rPr>
        <w:t xml:space="preserve">The term accountability means to ensure officials in private, public and voluntary sector organisations are in reason to answer for their actions and there is readdress when duties and commitments are not met (Gov, UK 2020). Public servants have a legal responsibility and if they fail then they can be charged, misconduct within the public office is an unlawful offence that can result in a maximum sentence of life (Gov, UK 2020). Also, the National Audit office, (2020) states that accountability is the obligation to an Individual on how well they are performing their responsibilities. Those responsibilities may be for the outcome of a programme or the custody and the use of such assets an example of this is goods, buildings, land, intellectual property, people and money (National audit office, 2020). An obligation may arise from law, regulation and contract. This is only one of the seven principles of public life which holders of the public office are accountable of and their decisions and actions to the public, must submit themselves to face whatever scrutiny that is allocated by their office (National audit office, 2020). </w:t>
      </w:r>
    </w:p>
    <w:p w:rsidR="7E1C7EB9" w:rsidP="302F7DA7" w:rsidRDefault="7E1C7EB9" w14:paraId="2BA26D3A" w14:textId="0ECD9FD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noProof w:val="0"/>
          <w:color w:val="auto"/>
          <w:sz w:val="24"/>
          <w:szCs w:val="24"/>
          <w:lang w:val="en-GB"/>
        </w:rPr>
      </w:pP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    Public accountability is very vital and important within the public services because it provides a democratic means to; monitor and control the government's conduct, prevent the development of the different concentrations of power, and increase the learning capacity and lastly enhance effectiveness of the public administration (Gov, UK 2020). The key issues for accountability are setting direction which requires a planning process to be undertaken. This includes a financial management plan, IT systems, Human resource plan, buildings and fleet plan as well as a comprehensive training plan (Murphy et al., 2019). Also, establishing control can be an issue, control is not about putting one individual in charge. Everday control is about putting reporting processed into place so that all concerned must formally respond to the planning process. Suggestions for charge are in line with organisational objectives which are matched to resources (Murphy et al., 2019). </w:t>
      </w:r>
    </w:p>
    <w:p w:rsidR="7E1C7EB9" w:rsidP="302F7DA7" w:rsidRDefault="7E1C7EB9" w14:paraId="495C0586" w14:textId="022DDDF9">
      <w:pPr>
        <w:pStyle w:val="Normal"/>
        <w:ind/>
        <w:rPr>
          <w:rFonts w:ascii="Calibri" w:hAnsi="Calibri" w:eastAsia="Calibri" w:cs="Calibri" w:asciiTheme="minorAscii" w:hAnsiTheme="minorAscii" w:eastAsiaTheme="minorAscii" w:cstheme="minorAscii"/>
          <w:b w:val="0"/>
          <w:bCs w:val="0"/>
          <w:noProof w:val="0"/>
          <w:color w:val="auto"/>
          <w:sz w:val="24"/>
          <w:szCs w:val="24"/>
          <w:u w:val="none"/>
          <w:lang w:val="en-GB"/>
        </w:rPr>
      </w:pPr>
      <w:r w:rsidRPr="1B5734E7" w:rsidR="1B5734E7">
        <w:rPr>
          <w:rFonts w:ascii="Calibri" w:hAnsi="Calibri" w:eastAsia="Calibri" w:cs="Calibri" w:asciiTheme="minorAscii" w:hAnsiTheme="minorAscii" w:eastAsiaTheme="minorAscii" w:cstheme="minorAscii"/>
          <w:b w:val="0"/>
          <w:bCs w:val="0"/>
          <w:i w:val="0"/>
          <w:iCs w:val="0"/>
          <w:color w:val="auto"/>
          <w:sz w:val="24"/>
          <w:szCs w:val="24"/>
        </w:rPr>
        <w:t xml:space="preserve">    The best value principles are used in the public sector and can be identified as being the need to review services against the best on offer in both the public and private sectors and an assessment of value for money in service delivery (Whitfield, 2001, p.116). Best value authorities come under a general duty of best value to make plans which secure constant improvements in the way in which its functions are exercised, having a regard to a combination of economy, efficiency and effectiveness (Pickles, 2011). Additionally, under the duty of best value certain authorities should consider overall value including environmental, economic and social value when it comes to reviewing service provision. Social value is about maximising the additional benefit that can be created by obtaining or securing goods and services, beyond and above the benefit of merely the goods and services themselves (Pickles, 2011). Also, the best value principles include all public services provided by a council must meet the cost and quality standards which are required, and all services must be responsive to the needs of the community (Whitfield, 2001, p.116). The public services must be accessible to those members of the community for whom the service is intended to, and the council must make improvements in the provision of service for its community</w:t>
      </w:r>
      <w:r w:rsidRPr="1B5734E7" w:rsidR="1B5734E7">
        <w:rPr>
          <w:rFonts w:ascii="Calibri" w:hAnsi="Calibri" w:eastAsia="Calibri" w:cs="Calibri"/>
          <w:noProof w:val="0"/>
          <w:color w:val="auto"/>
          <w:sz w:val="24"/>
          <w:szCs w:val="24"/>
          <w:lang w:val="en-GB"/>
        </w:rPr>
        <w:t xml:space="preserve"> (Hopkins, 2015)</w:t>
      </w:r>
      <w:r w:rsidRPr="1B5734E7" w:rsidR="1B5734E7">
        <w:rPr>
          <w:rFonts w:ascii="Calibri" w:hAnsi="Calibri" w:eastAsia="Calibri" w:cs="Calibri" w:asciiTheme="minorAscii" w:hAnsiTheme="minorAscii" w:eastAsiaTheme="minorAscii" w:cstheme="minorAscii"/>
          <w:b w:val="0"/>
          <w:bCs w:val="0"/>
          <w:i w:val="0"/>
          <w:iCs w:val="0"/>
          <w:color w:val="auto"/>
          <w:sz w:val="24"/>
          <w:szCs w:val="24"/>
        </w:rPr>
        <w:t xml:space="preserve">. Finally, the council must come up with a program of regular consultation with its community in relation to the public services it provides and reports back to its community on its achievements in relation to the other principles which are set out (Hopkins, 2015).   </w:t>
      </w:r>
    </w:p>
    <w:p w:rsidR="302F7DA7" w:rsidP="302F7DA7" w:rsidRDefault="302F7DA7" w14:paraId="2A7F7468" w14:textId="11083FD5">
      <w:pPr>
        <w:pStyle w:val="Normal"/>
        <w:ind w:left="0"/>
        <w:jc w:val="left"/>
        <w:rPr>
          <w:rFonts w:ascii="Calibri" w:hAnsi="Calibri" w:eastAsia="Calibri" w:cs="Calibri" w:asciiTheme="minorAscii" w:hAnsiTheme="minorAscii" w:eastAsiaTheme="minorAscii" w:cstheme="minorAscii"/>
          <w:noProof w:val="0"/>
          <w:color w:val="auto"/>
          <w:sz w:val="24"/>
          <w:szCs w:val="24"/>
          <w:lang w:val="en-GB"/>
        </w:rPr>
      </w:pPr>
      <w:r w:rsidRPr="1B5734E7" w:rsidR="1B5734E7">
        <w:rPr>
          <w:rFonts w:ascii="Calibri" w:hAnsi="Calibri" w:eastAsia="Calibri" w:cs="Calibri" w:asciiTheme="minorAscii" w:hAnsiTheme="minorAscii" w:eastAsiaTheme="minorAscii" w:cstheme="minorAscii"/>
          <w:noProof w:val="0"/>
          <w:color w:val="auto"/>
          <w:sz w:val="24"/>
          <w:szCs w:val="24"/>
          <w:lang w:val="en-GB"/>
        </w:rPr>
        <w:t xml:space="preserve">    Value for money principles is also used within the public services it can be best described as using public resources in such a way that creates and maximises the public’s values</w:t>
      </w:r>
      <w:r w:rsidRPr="1B5734E7" w:rsidR="1B5734E7">
        <w:rPr>
          <w:rFonts w:ascii="Calibri" w:hAnsi="Calibri" w:eastAsia="Calibri" w:cs="Calibri"/>
          <w:noProof w:val="0"/>
          <w:color w:val="auto"/>
          <w:sz w:val="24"/>
          <w:szCs w:val="24"/>
          <w:lang w:val="en-GB"/>
        </w:rPr>
        <w:t xml:space="preserve"> (Rowlatt, 2017)</w:t>
      </w:r>
      <w:r w:rsidRPr="1B5734E7" w:rsidR="1B5734E7">
        <w:rPr>
          <w:rFonts w:ascii="Calibri" w:hAnsi="Calibri" w:eastAsia="Calibri" w:cs="Calibri" w:asciiTheme="minorAscii" w:hAnsiTheme="minorAscii" w:eastAsiaTheme="minorAscii" w:cstheme="minorAscii"/>
          <w:noProof w:val="0"/>
          <w:color w:val="auto"/>
          <w:sz w:val="24"/>
          <w:szCs w:val="24"/>
          <w:lang w:val="en-GB"/>
        </w:rPr>
        <w:t>. The use of public resources is best defined as public sector and resource expenditure, stewardship of such assets and raising the revenue. Public value is defined as the entire well-being of the United Kingdom as a whole</w:t>
      </w:r>
      <w:r w:rsidRPr="1B5734E7" w:rsidR="1B5734E7">
        <w:rPr>
          <w:rFonts w:ascii="Calibri" w:hAnsi="Calibri" w:eastAsia="Calibri" w:cs="Calibri"/>
          <w:noProof w:val="0"/>
          <w:color w:val="auto"/>
          <w:sz w:val="24"/>
          <w:szCs w:val="24"/>
          <w:lang w:val="en-GB"/>
        </w:rPr>
        <w:t xml:space="preserve"> (Rowlatt, 2017)</w:t>
      </w:r>
      <w:r w:rsidRPr="1B5734E7" w:rsidR="1B5734E7">
        <w:rPr>
          <w:rFonts w:ascii="Calibri" w:hAnsi="Calibri" w:eastAsia="Calibri" w:cs="Calibri" w:asciiTheme="minorAscii" w:hAnsiTheme="minorAscii" w:eastAsiaTheme="minorAscii" w:cstheme="minorAscii"/>
          <w:noProof w:val="0"/>
          <w:color w:val="auto"/>
          <w:sz w:val="24"/>
          <w:szCs w:val="24"/>
          <w:lang w:val="en-GB"/>
        </w:rPr>
        <w:t xml:space="preserve">. It determines these impacts, in a transport circumstance, this covers all the economic for example vehicle costs, travel time and tax revenues, in social circumstance, it covers the health, safety and accessibility of people within in the UK, and in an environmental context, it involves factors such as noise, air quality, pollution and landscape (Rowlatt, 2017). Additionally, value for money can be achieved when considering the amount of costs, the whole length of the contract including decommissioning and to account for wider societal and environmental costs of the contract, not just the costs but directly relating to the purchaser (Gov, UK 2020). Furthermore, assessment of bids must be based upon published and available criteria and must be relevant to the value and purpose of such a contract. The strong competition will deliver a value for money outcome and where there is lack of market competition to deliver certain services, the contracting body should consider market development activities (Gov, UK 2020). There are four categories of VFM audit they are to review the overall management arrangements to secure VFM and to put national projects into specific areas followed up by individual auditors (Bourn, 2008, p.5). Also, performance indicators are required to be published, then auditors will review the arrangements for measuring them and lastly local projects where auditors feel value for money is most likely to be worthwhile (Bourn, 2008, p.5).  </w:t>
      </w:r>
    </w:p>
    <w:p w:rsidR="0B096B5D" w:rsidP="5BD0AD40" w:rsidRDefault="0B096B5D" w14:paraId="19796131" w14:textId="5AC8CD5D">
      <w:pPr>
        <w:pStyle w:val="Normal"/>
        <w:spacing w:before="0" w:beforeAutospacing="off" w:after="160" w:afterAutospacing="off" w:line="259" w:lineRule="auto"/>
        <w:ind w:left="0"/>
        <w:jc w:val="left"/>
        <w:rPr>
          <w:rFonts w:ascii="Calibri" w:hAnsi="Calibri" w:eastAsia="Calibri" w:cs="Calibri" w:asciiTheme="minorAscii" w:hAnsiTheme="minorAscii" w:eastAsiaTheme="minorAscii" w:cstheme="minorAscii"/>
          <w:b w:val="0"/>
          <w:bCs w:val="0"/>
          <w:color w:val="auto"/>
          <w:sz w:val="24"/>
          <w:szCs w:val="24"/>
        </w:rPr>
      </w:pP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    For the public sector budgeting has become their greatest issue of our time. This is not an exclusively UK concern, but it is an international issue following the credit crisis and subsequent fallout (Bandy, 2015, p.77). It is very visible that countries with economies are doing badly, but also affects those perceived to be doing relatively well due to fears of contagion and protectionism (Bandy, 2015, p.77). For the central government funding the police services will be reduced by almost 20% in real terms over the next 4 years, this means that budgets are 14% smaller once council tax precepts are considered (Home Office UK, 2020). Also, police forces will have to deliver these savings at a local level, but realising them will be much easier, partly because it is against the law to make a police officer redundant. The UK’s government has argued that savings of this size can be made from back office functions and bureaucracy and by tweaking overtime pay and bonuses, but front-line services are almost certain to be affected (Home Office UK, 2020).  </w:t>
      </w:r>
    </w:p>
    <w:p w:rsidR="0B096B5D" w:rsidP="09F5337A" w:rsidRDefault="0B096B5D" w14:paraId="5494FFF7" w14:textId="4F932A0C">
      <w:pPr>
        <w:pStyle w:val="Normal"/>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color w:val="auto"/>
          <w:sz w:val="24"/>
          <w:szCs w:val="24"/>
        </w:rPr>
      </w:pP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     The police service’s chiefs have been warning about the impact on budget cuts on their ability to perform their job and the issue at stake is the escalating concern about violent crime. The Home Office research found that last year the falling officer figures were likely to be an underlying driver that has allowed the rise of violent crime to continue (Home office UK 2020). In addition to this when Therese May was home secretary for six years to 2016, police figures fell by 20,000 as she cut their budgets while constantly insisting that the budget cut would cut crime by eliminating inefficiencies. The figures of police officials fell from a peak of 144,353 in the year 2009 to the total amount of 122,404 by March 2018 (Butler, Campbell and Siddique, 2019). The chancellor, Phillip Hammond has declared the extra £970m in police funding pledged for the next financial year. However, police officials are not satisfied with this figure and have warned that this is too low, and that majority of the cash will be used up by other liabilities, possibly leading to further fall in headcount (Butler, Campbell and Siddique, 2019). All these figures show that there is an increasing demand for more police officers because the public are being very clear that they want to see more police officers on their streets and communities. Additionally, without enough police officers working the streets and </w:t>
      </w: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communities</w:t>
      </w: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 then there won't be any public order or safety and without the law being enforced criminal activities will arise. </w:t>
      </w:r>
    </w:p>
    <w:p w:rsidR="1CFE406B" w:rsidP="09F5337A" w:rsidRDefault="1CFE406B" w14:paraId="020682B3" w14:textId="5B63BBF9">
      <w:pPr>
        <w:pStyle w:val="Normal"/>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color w:val="auto"/>
          <w:sz w:val="24"/>
          <w:szCs w:val="24"/>
        </w:rPr>
      </w:pP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    The Local Government Act (1999) introduced the principle of best value as a mechanism to improve the performance of the police services (Joyce, 2011, p.15). The principle of best value required the local authorities in the area, the police authorities and fire and rescue service authorities to help secure continuous improvement in the delivery of its services in order to attain the objectives required in the legislation of economy, efficiency and effectiveness (Joyce, 2011, p.15). The inclusion of the police authorities as best value authorities means that the police services will be following the same regimes as any other local authorities, because the best value duty falls on the police authorities they will be held responsible if their force fails to meet any requirements (</w:t>
      </w:r>
      <w:r w:rsidRPr="09F5337A" w:rsidR="09F5337A">
        <w:rPr>
          <w:rFonts w:ascii="Calibri" w:hAnsi="Calibri" w:eastAsia="Calibri" w:cs="Calibri"/>
          <w:noProof w:val="0"/>
          <w:color w:val="auto"/>
          <w:sz w:val="24"/>
          <w:szCs w:val="24"/>
          <w:lang w:val="en-GB"/>
        </w:rPr>
        <w:t>McLaughlin E, 2007)</w:t>
      </w: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The structure of the police means that chief officers and their staff will have to play a vital key role in delivering best value daily</w:t>
      </w:r>
      <w:r w:rsidRPr="09F5337A" w:rsidR="09F5337A">
        <w:rPr>
          <w:rFonts w:ascii="Calibri" w:hAnsi="Calibri" w:eastAsia="Calibri" w:cs="Calibri"/>
          <w:noProof w:val="0"/>
          <w:color w:val="auto"/>
          <w:sz w:val="24"/>
          <w:szCs w:val="24"/>
          <w:lang w:val="en-GB"/>
        </w:rPr>
        <w:t xml:space="preserve"> (McLaughlin E, 2007)</w:t>
      </w: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 Also, police authorities and forces need to work closely together to develop an integrated approach for the delivery of best value policing. Police accountability is very vital in the UK, policing is conducted with public consent and the trust in the police force is vital to maintain the public’s confidence in them. The UK have a democratic liberal model of policing and accountability is built into this type of model (McLaughlin E, 2007).      </w:t>
      </w:r>
    </w:p>
    <w:p w:rsidR="5BD0AD40" w:rsidP="1B5734E7" w:rsidRDefault="5BD0AD40" w14:paraId="19EF0C9F" w14:textId="4A97784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olor w:val="auto"/>
          <w:sz w:val="24"/>
          <w:szCs w:val="24"/>
        </w:rPr>
      </w:pPr>
      <w:r w:rsidRPr="1B5734E7" w:rsidR="1B5734E7">
        <w:rPr>
          <w:rFonts w:ascii="Calibri" w:hAnsi="Calibri" w:eastAsia="Calibri" w:cs="Calibri" w:asciiTheme="minorAscii" w:hAnsiTheme="minorAscii" w:eastAsiaTheme="minorAscii" w:cstheme="minorAscii"/>
          <w:noProof w:val="0"/>
          <w:color w:val="auto"/>
          <w:sz w:val="24"/>
          <w:szCs w:val="24"/>
          <w:lang w:val="en-GB"/>
        </w:rPr>
        <w:t xml:space="preserve">  In context for the police best value duty sets out reasonable expectations of the way authorities should work with voluntary and community groups and small businesses when facing difficult funding decisions. This will allow them the flexibility to exercise appropriate discretion in deciding the circumstances of individual cases, without the government trying to predict every possible variable (Gov, UK 2020). For the police services to increase their operational resilience and to achieve the necessary saving targets they could work with local authorities and local forces which is the best way forward (Met police UK, 2020). From this local communities and people can benefit from a more improved efficient and effective service, while the savings conducted can help to protect local services at the same time (Met police UK, 2020). The home office (2020) states that between 2019 and 2020 forces need to save a combined amount of money, to help achieve these savings and protect the frontline of policing these forces need to form a strategic alliance to consider collaboration across a number of business areas. The results achieved from this will benefit the resources which are available for investment in neighbourhood policing. Collaboration is extremely important and fundamental to achieve effective policing today (Home office UK, 2020). A form of collaboration which has been used in recent years between police forces and local authorities (Vaz, 2014, p.9). An example of this can be the Hampshire police force, fire service and county council which have all joined up as a corporate service with the aim of making savings of up to four million per annum (</w:t>
      </w:r>
      <w:r w:rsidRPr="1B5734E7" w:rsidR="1B5734E7">
        <w:rPr>
          <w:rFonts w:ascii="Calibri" w:hAnsi="Calibri" w:eastAsia="Calibri" w:cs="Calibri" w:asciiTheme="minorAscii" w:hAnsiTheme="minorAscii" w:eastAsiaTheme="minorAscii" w:cstheme="minorAscii"/>
          <w:noProof w:val="0"/>
          <w:color w:val="auto"/>
          <w:sz w:val="24"/>
          <w:szCs w:val="24"/>
          <w:lang w:val="en-GB"/>
        </w:rPr>
        <w:t>Vaz</w:t>
      </w:r>
      <w:r w:rsidRPr="1B5734E7" w:rsidR="1B5734E7">
        <w:rPr>
          <w:rFonts w:ascii="Calibri" w:hAnsi="Calibri" w:eastAsia="Calibri" w:cs="Calibri" w:asciiTheme="minorAscii" w:hAnsiTheme="minorAscii" w:eastAsiaTheme="minorAscii" w:cstheme="minorAscii"/>
          <w:noProof w:val="0"/>
          <w:color w:val="auto"/>
          <w:sz w:val="24"/>
          <w:szCs w:val="24"/>
          <w:lang w:val="en-GB"/>
        </w:rPr>
        <w:t xml:space="preserve">, 2014, p.9). In fact, collaboration is just as important today as it was in the 1800s when Sir Robert Peele created the first professional police force in London and wrote the principles of law enforcement including this statement; ‘’ the police at all times must maintain a relationship with the public that gives a reality to the historic tradition that the police are the public and the public are the police’’ (Cools, 2012, p.24).      </w:t>
      </w:r>
    </w:p>
    <w:p w:rsidR="5BD0AD40" w:rsidP="1B5734E7" w:rsidRDefault="5BD0AD40" w14:paraId="6040B3D2" w14:textId="03393C7D">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olor w:val="auto"/>
          <w:sz w:val="24"/>
          <w:szCs w:val="24"/>
        </w:rPr>
      </w:pPr>
      <w:r w:rsidRPr="1B5734E7" w:rsidR="1B5734E7">
        <w:rPr>
          <w:rFonts w:ascii="Calibri" w:hAnsi="Calibri" w:eastAsia="Calibri" w:cs="Calibri" w:asciiTheme="minorAscii" w:hAnsiTheme="minorAscii" w:eastAsiaTheme="minorAscii" w:cstheme="minorAscii"/>
          <w:b w:val="0"/>
          <w:bCs w:val="0"/>
          <w:i w:val="0"/>
          <w:iCs w:val="0"/>
          <w:color w:val="auto"/>
          <w:sz w:val="24"/>
          <w:szCs w:val="24"/>
        </w:rPr>
        <w:t xml:space="preserve">Another effective way for the police to save money can be from police partnership. Strong policing partnership can help foster a collective sense of purpose, with benefits for crime prevention, public safety and community safety, as well as drastically reducing the amount of money used and money will be saved (Ekblom and Wyvekens, 2004, p.58). For example, there has been a drop in the levels of reported crime in terms of burglaries across the UK </w:t>
      </w:r>
      <w:r w:rsidRPr="1B5734E7" w:rsidR="1B5734E7">
        <w:rPr>
          <w:rFonts w:ascii="Calibri" w:hAnsi="Calibri" w:eastAsia="Calibri" w:cs="Calibri"/>
          <w:noProof w:val="0"/>
          <w:sz w:val="24"/>
          <w:szCs w:val="24"/>
          <w:lang w:val="en-GB"/>
        </w:rPr>
        <w:t>(Bullock, Erol and Tilley, 2006)</w:t>
      </w:r>
      <w:r w:rsidRPr="1B5734E7" w:rsidR="1B5734E7">
        <w:rPr>
          <w:rFonts w:ascii="Calibri" w:hAnsi="Calibri" w:eastAsia="Calibri" w:cs="Calibri" w:asciiTheme="minorAscii" w:hAnsiTheme="minorAscii" w:eastAsiaTheme="minorAscii" w:cstheme="minorAscii"/>
          <w:b w:val="0"/>
          <w:bCs w:val="0"/>
          <w:i w:val="0"/>
          <w:iCs w:val="0"/>
          <w:color w:val="auto"/>
          <w:sz w:val="24"/>
          <w:szCs w:val="24"/>
        </w:rPr>
        <w:t xml:space="preserve">. Such improvement can be seen in Nottingham which is generally due to a genuine improvement in police performance due to the use of partnership policing, this has made people feel safer in their homes as a result (Bullock, Erol and Tilley, 2006). Also, the use of multi-agency cooperation can be another great approach. This approach can be the cornerstone in crime prevention activities and community safety initiatives (Wakefield and Fleming, 2009, p.202). It can be cost effective and practical in solutions for a wide range of economic and social problems including crime, this can be achieved if good management principles are followed accordingly (Wakefield and Fleming, 2009, p.202). This approach can dominate the management and operational work of the police particularly where cooperation and collaboration are seen to be beneficial for preventing and reducing crimes in communities (Wakefield and Fleming, 2009, p.202).      </w:t>
      </w:r>
    </w:p>
    <w:p w:rsidR="5BD0AD40" w:rsidP="09F5337A" w:rsidRDefault="5BD0AD40" w14:paraId="4A833926" w14:textId="4973581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olor w:val="auto"/>
          <w:sz w:val="24"/>
          <w:szCs w:val="24"/>
        </w:rPr>
      </w:pP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The recommendations which could be made to the best value principles can be ensuring enough officers and staff are made available to the public at the times when they are most vitally needed most and through review of remuneration and conditions of services for police staff and officers (Home office UK, 2020). Another recommendation which could improve best value can be the use of better collaboration between forces to save money on back-office and operational support functions, this collaboration will help tackle serious criminal acts more effectively and efficiently (Home office UK, 2020). The last recommendation which could be made is simplifying national arrangements this will include a brand-new national crime agency that will help lead the fight against all organised criminal activity, protect our borders and provide services which will be delivered at best national level (Home office UK, 2020). </w:t>
      </w:r>
    </w:p>
    <w:p w:rsidR="302F7DA7" w:rsidP="09F5337A" w:rsidRDefault="302F7DA7" w14:paraId="766C7735" w14:textId="5C6C49E7">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olor w:val="auto"/>
          <w:sz w:val="24"/>
          <w:szCs w:val="24"/>
        </w:rPr>
      </w:pPr>
      <w:r w:rsidRPr="09F5337A" w:rsidR="09F5337A">
        <w:rPr>
          <w:rFonts w:ascii="Calibri" w:hAnsi="Calibri" w:eastAsia="Calibri" w:cs="Calibri" w:asciiTheme="minorAscii" w:hAnsiTheme="minorAscii" w:eastAsiaTheme="minorAscii" w:cstheme="minorAscii"/>
          <w:b w:val="0"/>
          <w:bCs w:val="0"/>
          <w:i w:val="0"/>
          <w:iCs w:val="0"/>
          <w:color w:val="auto"/>
          <w:sz w:val="24"/>
          <w:szCs w:val="24"/>
        </w:rPr>
        <w:t xml:space="preserve">Overall, to conclude accountability is very important for the public sector and police services because monitoring and control needs to be used to prevent the development of the different concentrations of powers and internal checks needs to be used to assure that officers are doing their duties correctly and act with integrity. Also, the best value principles strategy used can be effective as it does indeed help the police to ensure that officers work together effectively and from this, they can trust their commanders to make vital decisions. Lastly, the use of collaboration, partnership and multi-agency approaches between different organisations is very vital because this will enhance the quality of work, public safety, save money and can even prevent crime. </w:t>
      </w:r>
    </w:p>
    <w:p w:rsidR="7E1C7EB9" w:rsidP="09F5337A" w:rsidRDefault="7E1C7EB9" w14:paraId="43B42E31" w14:textId="04EB617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olor w:val="auto"/>
          <w:sz w:val="24"/>
          <w:szCs w:val="24"/>
        </w:rPr>
      </w:pPr>
    </w:p>
    <w:p w:rsidR="7E1C7EB9" w:rsidP="1B5734E7" w:rsidRDefault="7E1C7EB9" w14:paraId="11C7A2B0" w14:textId="18E4025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olor w:val="auto"/>
          <w:sz w:val="24"/>
          <w:szCs w:val="24"/>
          <w:u w:val="single"/>
        </w:rPr>
      </w:pPr>
      <w:r w:rsidRPr="1B5734E7" w:rsidR="1B5734E7">
        <w:rPr>
          <w:rFonts w:ascii="Calibri" w:hAnsi="Calibri" w:eastAsia="Calibri" w:cs="Calibri" w:asciiTheme="minorAscii" w:hAnsiTheme="minorAscii" w:eastAsiaTheme="minorAscii" w:cstheme="minorAscii"/>
          <w:b w:val="0"/>
          <w:bCs w:val="0"/>
          <w:i w:val="0"/>
          <w:iCs w:val="0"/>
          <w:color w:val="auto"/>
          <w:sz w:val="24"/>
          <w:szCs w:val="24"/>
          <w:u w:val="single"/>
        </w:rPr>
        <w:t>Reference list:</w:t>
      </w:r>
    </w:p>
    <w:p w:rsidR="7E1C7EB9" w:rsidP="1B5734E7" w:rsidRDefault="7E1C7EB9" w14:paraId="736925D4" w14:textId="2DF29FCB">
      <w:pPr>
        <w:pStyle w:val="Normal"/>
        <w:spacing w:before="0" w:beforeAutospacing="off" w:after="160" w:afterAutospacing="off" w:line="259" w:lineRule="auto"/>
        <w:ind w:left="0" w:right="0"/>
        <w:jc w:val="left"/>
        <w:rPr>
          <w:color w:val="auto"/>
          <w:sz w:val="24"/>
          <w:szCs w:val="24"/>
        </w:rPr>
      </w:pPr>
      <w:r w:rsidRPr="1B5734E7" w:rsidR="1B5734E7">
        <w:rPr>
          <w:color w:val="auto"/>
          <w:sz w:val="24"/>
          <w:szCs w:val="24"/>
        </w:rPr>
        <w:t>Bandy, G. (2015). Financial management and accounting in the public sector.</w:t>
      </w:r>
    </w:p>
    <w:p w:rsidR="7E1C7EB9" w:rsidP="1B5734E7" w:rsidRDefault="7E1C7EB9" w14:paraId="0EA13EC9" w14:textId="64862D37">
      <w:pPr>
        <w:pStyle w:val="Normal"/>
        <w:spacing w:before="0" w:beforeAutospacing="off" w:after="160" w:afterAutospacing="off" w:line="259" w:lineRule="auto"/>
        <w:ind w:left="0" w:right="0"/>
        <w:jc w:val="left"/>
        <w:rPr>
          <w:color w:val="auto"/>
          <w:sz w:val="24"/>
          <w:szCs w:val="24"/>
        </w:rPr>
      </w:pPr>
      <w:r w:rsidRPr="1B5734E7" w:rsidR="1B5734E7">
        <w:rPr>
          <w:color w:val="auto"/>
          <w:sz w:val="24"/>
          <w:szCs w:val="24"/>
        </w:rPr>
        <w:t>Bourn, J. (2008). Public Sector Auditing. New York, NY: John Wiley &amp; Sons.</w:t>
      </w:r>
    </w:p>
    <w:p w:rsidR="7E1C7EB9" w:rsidP="1B5734E7" w:rsidRDefault="7E1C7EB9" w14:paraId="5E9085F6" w14:textId="5FC22AE8">
      <w:pPr>
        <w:pStyle w:val="Normal"/>
        <w:bidi w:val="0"/>
        <w:spacing w:before="0" w:beforeAutospacing="off" w:after="160" w:afterAutospacing="off" w:line="259" w:lineRule="auto"/>
        <w:ind w:left="0" w:right="0"/>
        <w:jc w:val="left"/>
        <w:rPr>
          <w:sz w:val="24"/>
          <w:szCs w:val="24"/>
        </w:rPr>
      </w:pPr>
      <w:r w:rsidRPr="1B5734E7" w:rsidR="1B5734E7">
        <w:rPr>
          <w:sz w:val="24"/>
          <w:szCs w:val="24"/>
        </w:rPr>
        <w:t>Bullock, K., Erol, R. and Tilley, N. (2006). Problem-oriented policing and partnerships.</w:t>
      </w:r>
    </w:p>
    <w:p w:rsidR="7E1C7EB9" w:rsidP="1B5734E7" w:rsidRDefault="7E1C7EB9" w14:paraId="743299C7" w14:textId="68029D15">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auto"/>
          <w:sz w:val="24"/>
          <w:szCs w:val="24"/>
        </w:rPr>
      </w:pPr>
      <w:r w:rsidRPr="1B5734E7" w:rsidR="1B5734E7">
        <w:rPr>
          <w:rFonts w:ascii="Calibri" w:hAnsi="Calibri" w:eastAsia="Calibri" w:cs="Calibri" w:asciiTheme="minorAscii" w:hAnsiTheme="minorAscii" w:eastAsiaTheme="minorAscii" w:cstheme="minorAscii"/>
          <w:color w:val="auto"/>
          <w:sz w:val="24"/>
          <w:szCs w:val="24"/>
        </w:rPr>
        <w:t>Butler, P., Campbell, D. and Siddique, H. (2019). Not just schools: five public service areas struggling with cuts. [online] the Guardian. Available at: www.theguardian.com [Accessed on 18</w:t>
      </w:r>
      <w:r w:rsidRPr="1B5734E7" w:rsidR="1B5734E7">
        <w:rPr>
          <w:rFonts w:ascii="Calibri" w:hAnsi="Calibri" w:eastAsia="Calibri" w:cs="Calibri" w:asciiTheme="minorAscii" w:hAnsiTheme="minorAscii" w:eastAsiaTheme="minorAscii" w:cstheme="minorAscii"/>
          <w:color w:val="auto"/>
          <w:sz w:val="24"/>
          <w:szCs w:val="24"/>
          <w:vertAlign w:val="superscript"/>
        </w:rPr>
        <w:t>th</w:t>
      </w:r>
      <w:r w:rsidRPr="1B5734E7" w:rsidR="1B5734E7">
        <w:rPr>
          <w:rFonts w:ascii="Calibri" w:hAnsi="Calibri" w:eastAsia="Calibri" w:cs="Calibri" w:asciiTheme="minorAscii" w:hAnsiTheme="minorAscii" w:eastAsiaTheme="minorAscii" w:cstheme="minorAscii"/>
          <w:color w:val="auto"/>
          <w:sz w:val="24"/>
          <w:szCs w:val="24"/>
        </w:rPr>
        <w:t xml:space="preserve"> Feb. 2020].</w:t>
      </w:r>
    </w:p>
    <w:p w:rsidR="7E1C7EB9" w:rsidP="1B5734E7" w:rsidRDefault="7E1C7EB9" w14:paraId="7360BC42" w14:textId="6C3529DA">
      <w:pPr>
        <w:pStyle w:val="Normal"/>
        <w:spacing w:before="0" w:beforeAutospacing="off" w:after="160" w:afterAutospacing="off" w:line="259" w:lineRule="auto"/>
        <w:ind w:left="0" w:right="0"/>
        <w:jc w:val="left"/>
      </w:pPr>
      <w:r w:rsidRPr="1B5734E7" w:rsidR="1B5734E7">
        <w:rPr>
          <w:rFonts w:ascii="Calibri" w:hAnsi="Calibri" w:eastAsia="Calibri" w:cs="Calibri"/>
          <w:noProof w:val="0"/>
          <w:sz w:val="24"/>
          <w:szCs w:val="24"/>
          <w:lang w:val="en-GB"/>
        </w:rPr>
        <w:t>Cools, M. (2012). Social conflicts, citizens and policing.</w:t>
      </w:r>
    </w:p>
    <w:p w:rsidR="7E1C7EB9" w:rsidP="1B5734E7" w:rsidRDefault="7E1C7EB9" w14:paraId="3D886C0B" w14:textId="55EC18E0">
      <w:pPr>
        <w:pStyle w:val="Normal"/>
        <w:spacing w:before="0" w:beforeAutospacing="off" w:after="160" w:afterAutospacing="off" w:line="259" w:lineRule="auto"/>
        <w:ind w:left="0" w:right="0"/>
        <w:jc w:val="left"/>
      </w:pPr>
      <w:r w:rsidRPr="1B5734E7" w:rsidR="1B5734E7">
        <w:rPr>
          <w:rFonts w:ascii="Calibri" w:hAnsi="Calibri" w:eastAsia="Calibri" w:cs="Calibri"/>
          <w:noProof w:val="0"/>
          <w:sz w:val="24"/>
          <w:szCs w:val="24"/>
          <w:lang w:val="en-GB"/>
        </w:rPr>
        <w:t>Ekblom, P. and Wyvekens, A. (2004). A partnership approach to crime prevention.</w:t>
      </w:r>
    </w:p>
    <w:p w:rsidR="7E1C7EB9" w:rsidP="1B5734E7" w:rsidRDefault="7E1C7EB9" w14:paraId="7BCD0F59" w14:textId="5EFCA728">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color w:val="auto"/>
          <w:sz w:val="24"/>
          <w:szCs w:val="24"/>
        </w:rPr>
      </w:pPr>
      <w:r w:rsidRPr="1B5734E7" w:rsidR="1B5734E7">
        <w:rPr>
          <w:rFonts w:ascii="Calibri" w:hAnsi="Calibri" w:eastAsia="Calibri" w:cs="Calibri" w:asciiTheme="minorAscii" w:hAnsiTheme="minorAscii" w:eastAsiaTheme="minorAscii" w:cstheme="minorAscii"/>
          <w:b w:val="0"/>
          <w:bCs w:val="0"/>
          <w:color w:val="auto"/>
          <w:sz w:val="24"/>
          <w:szCs w:val="24"/>
        </w:rPr>
        <w:t>Gov, UK (2020). Misconduct in Public Office | The Crown Prosecution Service. [online] Available at: https://www.cps.gov.uk/legal-guidance/misconduct-public-office [Accessed on 16</w:t>
      </w:r>
      <w:r w:rsidRPr="1B5734E7" w:rsidR="1B5734E7">
        <w:rPr>
          <w:rFonts w:ascii="Calibri" w:hAnsi="Calibri" w:eastAsia="Calibri" w:cs="Calibri" w:asciiTheme="minorAscii" w:hAnsiTheme="minorAscii" w:eastAsiaTheme="minorAscii" w:cstheme="minorAscii"/>
          <w:b w:val="0"/>
          <w:bCs w:val="0"/>
          <w:color w:val="auto"/>
          <w:sz w:val="24"/>
          <w:szCs w:val="24"/>
          <w:vertAlign w:val="superscript"/>
        </w:rPr>
        <w:t>th</w:t>
      </w:r>
      <w:r w:rsidRPr="1B5734E7" w:rsidR="1B5734E7">
        <w:rPr>
          <w:rFonts w:ascii="Calibri" w:hAnsi="Calibri" w:eastAsia="Calibri" w:cs="Calibri" w:asciiTheme="minorAscii" w:hAnsiTheme="minorAscii" w:eastAsiaTheme="minorAscii" w:cstheme="minorAscii"/>
          <w:b w:val="0"/>
          <w:bCs w:val="0"/>
          <w:color w:val="auto"/>
          <w:sz w:val="24"/>
          <w:szCs w:val="24"/>
        </w:rPr>
        <w:t xml:space="preserve"> Feb. 2020].</w:t>
      </w:r>
    </w:p>
    <w:p w:rsidR="7E1C7EB9" w:rsidP="1B5734E7" w:rsidRDefault="7E1C7EB9" w14:paraId="753FBEC6" w14:textId="44570A50">
      <w:pPr>
        <w:pStyle w:val="Normal"/>
        <w:bidi w:val="0"/>
        <w:spacing w:before="0" w:beforeAutospacing="off" w:after="160" w:afterAutospacing="off" w:line="259" w:lineRule="auto"/>
        <w:ind w:left="0" w:right="0"/>
        <w:jc w:val="left"/>
        <w:rPr>
          <w:color w:val="auto"/>
          <w:sz w:val="24"/>
          <w:szCs w:val="24"/>
        </w:rPr>
      </w:pPr>
      <w:r w:rsidRPr="1B5734E7" w:rsidR="1B5734E7">
        <w:rPr>
          <w:color w:val="auto"/>
          <w:sz w:val="24"/>
          <w:szCs w:val="24"/>
        </w:rPr>
        <w:t>Home Office UK (2020). [online] Available at: https://assets.publishing.service.gov.uk/government/uploads/system/uploads/attachment_data/file/118237/chapter-four.pdf [Accessed on 4</w:t>
      </w:r>
      <w:r w:rsidRPr="1B5734E7" w:rsidR="1B5734E7">
        <w:rPr>
          <w:color w:val="auto"/>
          <w:sz w:val="24"/>
          <w:szCs w:val="24"/>
          <w:vertAlign w:val="superscript"/>
        </w:rPr>
        <w:t>th</w:t>
      </w:r>
      <w:r w:rsidRPr="1B5734E7" w:rsidR="1B5734E7">
        <w:rPr>
          <w:color w:val="auto"/>
          <w:sz w:val="24"/>
          <w:szCs w:val="24"/>
        </w:rPr>
        <w:t xml:space="preserve"> March. 2020].</w:t>
      </w:r>
    </w:p>
    <w:p w:rsidR="7E1C7EB9" w:rsidP="1B5734E7" w:rsidRDefault="7E1C7EB9" w14:paraId="66D14979" w14:textId="05FD8336">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color w:val="auto"/>
          <w:sz w:val="24"/>
          <w:szCs w:val="24"/>
        </w:rPr>
      </w:pPr>
      <w:r w:rsidRPr="1B5734E7" w:rsidR="1B5734E7">
        <w:rPr>
          <w:rFonts w:ascii="Calibri" w:hAnsi="Calibri" w:eastAsia="Calibri" w:cs="Calibri" w:asciiTheme="minorAscii" w:hAnsiTheme="minorAscii" w:eastAsiaTheme="minorAscii" w:cstheme="minorAscii"/>
          <w:b w:val="0"/>
          <w:bCs w:val="0"/>
          <w:color w:val="auto"/>
          <w:sz w:val="24"/>
          <w:szCs w:val="24"/>
        </w:rPr>
        <w:t>Hopkins, K. (2015). [online] Assets.publishing.service.gov.uk. Available at: https://assets.publishing.service.gov.uk/government/uploads/system/uploads/attachment_data/file/418505/Revised_Best_Value_Statutory_Guidance_final.pdf [Accessed on 16</w:t>
      </w:r>
      <w:r w:rsidRPr="1B5734E7" w:rsidR="1B5734E7">
        <w:rPr>
          <w:rFonts w:ascii="Calibri" w:hAnsi="Calibri" w:eastAsia="Calibri" w:cs="Calibri" w:asciiTheme="minorAscii" w:hAnsiTheme="minorAscii" w:eastAsiaTheme="minorAscii" w:cstheme="minorAscii"/>
          <w:b w:val="0"/>
          <w:bCs w:val="0"/>
          <w:color w:val="auto"/>
          <w:sz w:val="24"/>
          <w:szCs w:val="24"/>
          <w:vertAlign w:val="superscript"/>
        </w:rPr>
        <w:t>th</w:t>
      </w:r>
      <w:r w:rsidRPr="1B5734E7" w:rsidR="1B5734E7">
        <w:rPr>
          <w:rFonts w:ascii="Calibri" w:hAnsi="Calibri" w:eastAsia="Calibri" w:cs="Calibri" w:asciiTheme="minorAscii" w:hAnsiTheme="minorAscii" w:eastAsiaTheme="minorAscii" w:cstheme="minorAscii"/>
          <w:b w:val="0"/>
          <w:bCs w:val="0"/>
          <w:color w:val="auto"/>
          <w:sz w:val="24"/>
          <w:szCs w:val="24"/>
        </w:rPr>
        <w:t xml:space="preserve"> Feb. 2020].</w:t>
      </w:r>
    </w:p>
    <w:p w:rsidR="7E1C7EB9" w:rsidP="1B5734E7" w:rsidRDefault="7E1C7EB9" w14:paraId="29CDF58B" w14:textId="091BEC7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auto"/>
          <w:sz w:val="24"/>
          <w:szCs w:val="24"/>
        </w:rPr>
      </w:pPr>
      <w:r w:rsidRPr="1B5734E7" w:rsidR="1B5734E7">
        <w:rPr>
          <w:rFonts w:ascii="Calibri" w:hAnsi="Calibri" w:eastAsia="Calibri" w:cs="Calibri" w:asciiTheme="minorAscii" w:hAnsiTheme="minorAscii" w:eastAsiaTheme="minorAscii" w:cstheme="minorAscii"/>
          <w:b w:val="0"/>
          <w:bCs w:val="0"/>
          <w:color w:val="auto"/>
          <w:sz w:val="24"/>
          <w:szCs w:val="24"/>
        </w:rPr>
        <w:t>Joyce, P. (2011) p.15. Policing. London: SAGE.</w:t>
      </w:r>
    </w:p>
    <w:p w:rsidR="7E1C7EB9" w:rsidP="1B5734E7" w:rsidRDefault="7E1C7EB9" w14:paraId="57FCAAD4" w14:textId="64F070A0">
      <w:pPr>
        <w:pStyle w:val="Normal"/>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color w:val="auto"/>
          <w:sz w:val="24"/>
          <w:szCs w:val="24"/>
        </w:rPr>
      </w:pPr>
      <w:r w:rsidRPr="1B5734E7" w:rsidR="1B5734E7">
        <w:rPr>
          <w:rFonts w:ascii="Calibri" w:hAnsi="Calibri" w:eastAsia="Calibri" w:cs="Calibri" w:asciiTheme="minorAscii" w:hAnsiTheme="minorAscii" w:eastAsiaTheme="minorAscii" w:cstheme="minorAscii"/>
          <w:color w:val="auto"/>
          <w:sz w:val="24"/>
          <w:szCs w:val="24"/>
        </w:rPr>
        <w:t>McLaughlin, E. (2007) the new policing.</w:t>
      </w:r>
    </w:p>
    <w:p w:rsidR="7E1C7EB9" w:rsidP="1B5734E7" w:rsidRDefault="7E1C7EB9" w14:paraId="22C21333" w14:textId="051773D1">
      <w:pPr>
        <w:pStyle w:val="Normal"/>
        <w:bidi w:val="0"/>
        <w:spacing w:before="0" w:beforeAutospacing="off" w:after="160" w:afterAutospacing="off" w:line="259" w:lineRule="auto"/>
        <w:ind w:left="0" w:right="0"/>
        <w:jc w:val="left"/>
        <w:rPr>
          <w:color w:val="auto"/>
          <w:sz w:val="24"/>
          <w:szCs w:val="24"/>
        </w:rPr>
      </w:pPr>
      <w:r w:rsidRPr="1B5734E7" w:rsidR="1B5734E7">
        <w:rPr>
          <w:color w:val="auto"/>
          <w:sz w:val="24"/>
          <w:szCs w:val="24"/>
        </w:rPr>
        <w:t>Met.police.uk. (2020). [online] Available at: https://www.met.police.uk[Accessed on 5</w:t>
      </w:r>
      <w:r w:rsidRPr="1B5734E7" w:rsidR="1B5734E7">
        <w:rPr>
          <w:color w:val="auto"/>
          <w:sz w:val="24"/>
          <w:szCs w:val="24"/>
          <w:vertAlign w:val="superscript"/>
        </w:rPr>
        <w:t>th</w:t>
      </w:r>
      <w:r w:rsidRPr="1B5734E7" w:rsidR="1B5734E7">
        <w:rPr>
          <w:color w:val="auto"/>
          <w:sz w:val="24"/>
          <w:szCs w:val="24"/>
        </w:rPr>
        <w:t xml:space="preserve"> March 2020].</w:t>
      </w:r>
    </w:p>
    <w:p w:rsidR="7E1C7EB9" w:rsidP="1B5734E7" w:rsidRDefault="7E1C7EB9" w14:paraId="398A7970" w14:textId="4712F3E2">
      <w:pPr>
        <w:pStyle w:val="Normal"/>
        <w:spacing w:before="0" w:beforeAutospacing="off" w:after="160" w:afterAutospacing="off" w:line="259" w:lineRule="auto"/>
        <w:ind w:left="0" w:right="0"/>
        <w:jc w:val="left"/>
        <w:rPr>
          <w:color w:val="auto"/>
          <w:sz w:val="24"/>
          <w:szCs w:val="24"/>
        </w:rPr>
      </w:pPr>
      <w:r w:rsidRPr="1B5734E7" w:rsidR="1B5734E7">
        <w:rPr>
          <w:color w:val="auto"/>
          <w:sz w:val="24"/>
          <w:szCs w:val="24"/>
        </w:rPr>
        <w:t>Murphy, P., Ferry, L., Glennon, R. and Greenhalgh, K. (2019). Public Service Accountability.</w:t>
      </w:r>
    </w:p>
    <w:p w:rsidR="7E1C7EB9" w:rsidP="1B5734E7" w:rsidRDefault="7E1C7EB9" w14:paraId="318601DB" w14:textId="27C4B284">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olor w:val="auto"/>
          <w:sz w:val="24"/>
          <w:szCs w:val="24"/>
        </w:rPr>
      </w:pPr>
      <w:r w:rsidRPr="1B5734E7" w:rsidR="1B5734E7">
        <w:rPr>
          <w:sz w:val="24"/>
          <w:szCs w:val="24"/>
        </w:rPr>
        <w:t>Nao.org.uk. (2020). [online] Available at: https://www.nao.org.uk/wp-content/uploads/2016/02/Accountability-for-Taxpayers-money.pdf [Accessed on 5</w:t>
      </w:r>
      <w:r w:rsidRPr="1B5734E7" w:rsidR="1B5734E7">
        <w:rPr>
          <w:sz w:val="24"/>
          <w:szCs w:val="24"/>
          <w:vertAlign w:val="superscript"/>
        </w:rPr>
        <w:t>th</w:t>
      </w:r>
      <w:r w:rsidRPr="1B5734E7" w:rsidR="1B5734E7">
        <w:rPr>
          <w:sz w:val="24"/>
          <w:szCs w:val="24"/>
        </w:rPr>
        <w:t xml:space="preserve"> March 2020].</w:t>
      </w:r>
    </w:p>
    <w:p w:rsidR="7E1C7EB9" w:rsidP="1B5734E7" w:rsidRDefault="7E1C7EB9" w14:paraId="58F19247" w14:textId="00941C0C">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i w:val="0"/>
          <w:iCs w:val="0"/>
          <w:color w:val="auto"/>
          <w:sz w:val="24"/>
          <w:szCs w:val="24"/>
        </w:rPr>
      </w:pPr>
      <w:r w:rsidRPr="1B5734E7" w:rsidR="1B5734E7">
        <w:rPr>
          <w:rFonts w:ascii="Calibri" w:hAnsi="Calibri" w:eastAsia="Calibri" w:cs="Calibri" w:asciiTheme="minorAscii" w:hAnsiTheme="minorAscii" w:eastAsiaTheme="minorAscii" w:cstheme="minorAscii"/>
          <w:b w:val="0"/>
          <w:bCs w:val="0"/>
          <w:color w:val="auto"/>
          <w:sz w:val="24"/>
          <w:szCs w:val="24"/>
        </w:rPr>
        <w:t>Opengovernment.org.uk. (2020). [online] Available at: https://www.opengovernment.org.uk/wp-content/uploads/2015/08/NIOGN-Factsheet-Public-Accountability.pdf [Accessed on 16</w:t>
      </w:r>
      <w:r w:rsidRPr="1B5734E7" w:rsidR="1B5734E7">
        <w:rPr>
          <w:rFonts w:ascii="Calibri" w:hAnsi="Calibri" w:eastAsia="Calibri" w:cs="Calibri" w:asciiTheme="minorAscii" w:hAnsiTheme="minorAscii" w:eastAsiaTheme="minorAscii" w:cstheme="minorAscii"/>
          <w:b w:val="0"/>
          <w:bCs w:val="0"/>
          <w:color w:val="auto"/>
          <w:sz w:val="24"/>
          <w:szCs w:val="24"/>
          <w:vertAlign w:val="superscript"/>
        </w:rPr>
        <w:t>th</w:t>
      </w:r>
      <w:r w:rsidRPr="1B5734E7" w:rsidR="1B5734E7">
        <w:rPr>
          <w:rFonts w:ascii="Calibri" w:hAnsi="Calibri" w:eastAsia="Calibri" w:cs="Calibri" w:asciiTheme="minorAscii" w:hAnsiTheme="minorAscii" w:eastAsiaTheme="minorAscii" w:cstheme="minorAscii"/>
          <w:b w:val="0"/>
          <w:bCs w:val="0"/>
          <w:color w:val="auto"/>
          <w:sz w:val="24"/>
          <w:szCs w:val="24"/>
        </w:rPr>
        <w:t xml:space="preserve"> Feb. 2020].</w:t>
      </w:r>
    </w:p>
    <w:p w:rsidR="7E1C7EB9" w:rsidP="1B5734E7" w:rsidRDefault="7E1C7EB9" w14:paraId="20A8EF7F" w14:textId="1FE0B9A6">
      <w:pPr>
        <w:pStyle w:val="Normal"/>
        <w:bidi w:val="0"/>
        <w:spacing w:before="0" w:beforeAutospacing="off" w:after="160" w:afterAutospacing="off" w:line="259" w:lineRule="auto"/>
        <w:ind w:left="0" w:right="0"/>
        <w:jc w:val="left"/>
        <w:rPr>
          <w:color w:val="auto"/>
          <w:sz w:val="24"/>
          <w:szCs w:val="24"/>
        </w:rPr>
      </w:pPr>
      <w:r w:rsidRPr="1B5734E7" w:rsidR="1B5734E7">
        <w:rPr>
          <w:color w:val="auto"/>
          <w:sz w:val="24"/>
          <w:szCs w:val="24"/>
        </w:rPr>
        <w:t>Pickles, E. (2011). [online] Assets.publishing.service.gov.uk. Available at: https://assets.publishing.service.gov.uk [Accessed on 3</w:t>
      </w:r>
      <w:r w:rsidRPr="1B5734E7" w:rsidR="1B5734E7">
        <w:rPr>
          <w:color w:val="auto"/>
          <w:sz w:val="24"/>
          <w:szCs w:val="24"/>
          <w:vertAlign w:val="superscript"/>
        </w:rPr>
        <w:t>rd</w:t>
      </w:r>
      <w:r w:rsidRPr="1B5734E7" w:rsidR="1B5734E7">
        <w:rPr>
          <w:color w:val="auto"/>
          <w:sz w:val="24"/>
          <w:szCs w:val="24"/>
        </w:rPr>
        <w:t xml:space="preserve"> March 2020].  </w:t>
      </w:r>
    </w:p>
    <w:p w:rsidR="7E1C7EB9" w:rsidP="302F7DA7" w:rsidRDefault="7E1C7EB9" w14:paraId="60AE9B1E" w14:textId="5D8E32A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0"/>
          <w:bCs w:val="0"/>
          <w:color w:val="auto"/>
          <w:sz w:val="24"/>
          <w:szCs w:val="24"/>
        </w:rPr>
      </w:pPr>
      <w:r w:rsidRPr="1B5734E7" w:rsidR="1B5734E7">
        <w:rPr>
          <w:rFonts w:ascii="Calibri" w:hAnsi="Calibri" w:eastAsia="Calibri" w:cs="Calibri" w:asciiTheme="minorAscii" w:hAnsiTheme="minorAscii" w:eastAsiaTheme="minorAscii" w:cstheme="minorAscii"/>
          <w:b w:val="0"/>
          <w:bCs w:val="0"/>
          <w:color w:val="auto"/>
          <w:sz w:val="24"/>
          <w:szCs w:val="24"/>
        </w:rPr>
        <w:t>Rowlatt, A. (2017). [online] Assets.publishing.service.gov.uk. Available at: https://assets.publishing.service.gov.uk/government/uploads/system/uploads/attachment_data/file/630704/value-for-money-framework.pdf [Accessed on 16</w:t>
      </w:r>
      <w:r w:rsidRPr="1B5734E7" w:rsidR="1B5734E7">
        <w:rPr>
          <w:rFonts w:ascii="Calibri" w:hAnsi="Calibri" w:eastAsia="Calibri" w:cs="Calibri" w:asciiTheme="minorAscii" w:hAnsiTheme="minorAscii" w:eastAsiaTheme="minorAscii" w:cstheme="minorAscii"/>
          <w:b w:val="0"/>
          <w:bCs w:val="0"/>
          <w:color w:val="auto"/>
          <w:sz w:val="24"/>
          <w:szCs w:val="24"/>
          <w:vertAlign w:val="superscript"/>
        </w:rPr>
        <w:t>th</w:t>
      </w:r>
      <w:r w:rsidRPr="1B5734E7" w:rsidR="1B5734E7">
        <w:rPr>
          <w:rFonts w:ascii="Calibri" w:hAnsi="Calibri" w:eastAsia="Calibri" w:cs="Calibri" w:asciiTheme="minorAscii" w:hAnsiTheme="minorAscii" w:eastAsiaTheme="minorAscii" w:cstheme="minorAscii"/>
          <w:b w:val="0"/>
          <w:bCs w:val="0"/>
          <w:color w:val="auto"/>
          <w:sz w:val="24"/>
          <w:szCs w:val="24"/>
        </w:rPr>
        <w:t xml:space="preserve"> Feb. 2020].</w:t>
      </w:r>
    </w:p>
    <w:p w:rsidR="302F7DA7" w:rsidP="1B5734E7" w:rsidRDefault="302F7DA7" w14:paraId="09421F32" w14:textId="5F5A1F4E">
      <w:pPr>
        <w:pStyle w:val="Normal"/>
        <w:bidi w:val="0"/>
        <w:spacing w:before="0" w:beforeAutospacing="off" w:after="160" w:afterAutospacing="off" w:line="259" w:lineRule="auto"/>
        <w:ind w:left="0" w:right="0"/>
        <w:jc w:val="left"/>
        <w:rPr>
          <w:sz w:val="24"/>
          <w:szCs w:val="24"/>
        </w:rPr>
      </w:pPr>
      <w:r w:rsidRPr="1B5734E7" w:rsidR="1B5734E7">
        <w:rPr>
          <w:sz w:val="24"/>
          <w:szCs w:val="24"/>
        </w:rPr>
        <w:t>Vaz, K. (2014). Police and Crime Commissioners. London: The Stationery Office.</w:t>
      </w:r>
    </w:p>
    <w:p w:rsidR="302F7DA7" w:rsidP="1B5734E7" w:rsidRDefault="302F7DA7" w14:paraId="6390014E" w14:textId="70E7F70C">
      <w:pPr>
        <w:pStyle w:val="Normal"/>
        <w:bidi w:val="0"/>
        <w:spacing w:before="0" w:beforeAutospacing="off" w:after="160" w:afterAutospacing="off" w:line="259" w:lineRule="auto"/>
        <w:ind w:left="0" w:right="0"/>
        <w:jc w:val="left"/>
        <w:rPr>
          <w:color w:val="auto"/>
          <w:sz w:val="24"/>
          <w:szCs w:val="24"/>
        </w:rPr>
      </w:pPr>
      <w:r w:rsidRPr="1B5734E7" w:rsidR="1B5734E7">
        <w:rPr>
          <w:color w:val="auto"/>
          <w:sz w:val="24"/>
          <w:szCs w:val="24"/>
        </w:rPr>
        <w:t>Wakefield, A. and Fleming, J. (2009). The SAGE dictionary of policing. SAGE.</w:t>
      </w:r>
    </w:p>
    <w:p w:rsidR="302F7DA7" w:rsidP="302F7DA7" w:rsidRDefault="302F7DA7" w14:paraId="3B9974D5" w14:textId="530B9683">
      <w:pPr>
        <w:pStyle w:val="Normal"/>
        <w:bidi w:val="0"/>
        <w:spacing w:before="0" w:beforeAutospacing="off" w:after="160" w:afterAutospacing="off" w:line="259" w:lineRule="auto"/>
        <w:ind w:left="0" w:right="0"/>
        <w:jc w:val="left"/>
        <w:rPr>
          <w:color w:val="auto"/>
          <w:sz w:val="24"/>
          <w:szCs w:val="24"/>
        </w:rPr>
      </w:pPr>
      <w:r w:rsidRPr="1B5734E7" w:rsidR="1B5734E7">
        <w:rPr>
          <w:color w:val="auto"/>
          <w:sz w:val="24"/>
          <w:szCs w:val="24"/>
        </w:rPr>
        <w:t xml:space="preserve">Whitfield, D. (2001). Public services or corporate welfare. London: Pluto Press. </w:t>
      </w:r>
    </w:p>
    <w:p w:rsidR="1B5734E7" w:rsidP="1B5734E7" w:rsidRDefault="1B5734E7" w14:paraId="63B4797C" w14:textId="15C1A62D">
      <w:pPr>
        <w:pStyle w:val="Normal"/>
        <w:bidi w:val="0"/>
        <w:spacing w:before="0" w:beforeAutospacing="off" w:after="160" w:afterAutospacing="off" w:line="259" w:lineRule="auto"/>
        <w:ind w:left="0" w:right="0"/>
        <w:jc w:val="left"/>
        <w:rPr>
          <w:sz w:val="24"/>
          <w:szCs w:val="24"/>
        </w:rPr>
      </w:pPr>
    </w:p>
    <w:p w:rsidR="1B5734E7" w:rsidP="1B5734E7" w:rsidRDefault="1B5734E7" w14:paraId="306A1425" w14:textId="48373580">
      <w:pPr>
        <w:pStyle w:val="Normal"/>
        <w:bidi w:val="0"/>
        <w:spacing w:before="0" w:beforeAutospacing="off" w:after="160" w:afterAutospacing="off" w:line="259" w:lineRule="auto"/>
        <w:ind w:left="0" w:right="0"/>
        <w:jc w:val="left"/>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AE0B740"/>
  <w15:docId w15:val="{208a6b41-099e-4785-bf43-83e49fe52718}"/>
  <w:rsids>
    <w:rsidRoot w:val="7AE0B740"/>
    <w:rsid w:val="09F5337A"/>
    <w:rsid w:val="0AE12804"/>
    <w:rsid w:val="0B096B5D"/>
    <w:rsid w:val="1B5734E7"/>
    <w:rsid w:val="1CFE406B"/>
    <w:rsid w:val="244A816C"/>
    <w:rsid w:val="29963357"/>
    <w:rsid w:val="302F7DA7"/>
    <w:rsid w:val="433230AC"/>
    <w:rsid w:val="4C300E0B"/>
    <w:rsid w:val="5BC21847"/>
    <w:rsid w:val="5BD0AD40"/>
    <w:rsid w:val="5E6ED547"/>
    <w:rsid w:val="68D49490"/>
    <w:rsid w:val="7AE0B740"/>
    <w:rsid w:val="7E1C7EB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ff774a3b38d48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 Williams (1805244)</dc:creator>
  <keywords/>
  <dc:description/>
  <lastModifiedBy>Jac Williams (1805244)</lastModifiedBy>
  <revision>16</revision>
  <dcterms:created xsi:type="dcterms:W3CDTF">2020-02-11T17:59:37.1278038Z</dcterms:created>
  <dcterms:modified xsi:type="dcterms:W3CDTF">2020-03-05T21:33:06.3665173Z</dcterms:modified>
</coreProperties>
</file>