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50753" w:rsidRDefault="00C50753" w:rsidP="00407620">
      <w:pPr>
        <w:spacing w:line="360" w:lineRule="auto"/>
        <w:jc w:val="center"/>
        <w:rPr>
          <w:b/>
          <w:sz w:val="24"/>
          <w:szCs w:val="24"/>
        </w:rPr>
      </w:pPr>
    </w:p>
    <w:p w14:paraId="00000002" w14:textId="77777777" w:rsidR="00C50753" w:rsidRDefault="00C50753" w:rsidP="00407620">
      <w:pPr>
        <w:spacing w:line="360" w:lineRule="auto"/>
        <w:jc w:val="center"/>
        <w:rPr>
          <w:b/>
          <w:sz w:val="24"/>
          <w:szCs w:val="24"/>
        </w:rPr>
      </w:pPr>
    </w:p>
    <w:p w14:paraId="24979A80" w14:textId="77777777" w:rsidR="00407620" w:rsidRDefault="00407620" w:rsidP="00407620">
      <w:pPr>
        <w:spacing w:line="360" w:lineRule="auto"/>
        <w:jc w:val="center"/>
        <w:rPr>
          <w:b/>
          <w:sz w:val="32"/>
          <w:szCs w:val="32"/>
        </w:rPr>
      </w:pPr>
      <w:bookmarkStart w:id="0" w:name="_heading=h.yamb5roy5217" w:colFirst="0" w:colLast="0"/>
      <w:bookmarkEnd w:id="0"/>
    </w:p>
    <w:p w14:paraId="0C4D1253" w14:textId="77777777" w:rsidR="00407620" w:rsidRDefault="00407620" w:rsidP="00407620">
      <w:pPr>
        <w:spacing w:line="360" w:lineRule="auto"/>
        <w:jc w:val="center"/>
        <w:rPr>
          <w:b/>
          <w:sz w:val="32"/>
          <w:szCs w:val="32"/>
        </w:rPr>
      </w:pPr>
    </w:p>
    <w:p w14:paraId="00000004" w14:textId="445858A2" w:rsidR="00C50753" w:rsidRDefault="00407620" w:rsidP="00407620">
      <w:pPr>
        <w:spacing w:line="360" w:lineRule="auto"/>
        <w:jc w:val="center"/>
        <w:rPr>
          <w:b/>
          <w:sz w:val="32"/>
          <w:szCs w:val="32"/>
        </w:rPr>
      </w:pPr>
      <w:r w:rsidRPr="00407620">
        <w:rPr>
          <w:b/>
          <w:sz w:val="32"/>
          <w:szCs w:val="32"/>
        </w:rPr>
        <w:t>Assessment Component 1</w:t>
      </w:r>
    </w:p>
    <w:p w14:paraId="00000005" w14:textId="77777777" w:rsidR="00C50753" w:rsidRDefault="008E32C1" w:rsidP="00407620">
      <w:pPr>
        <w:spacing w:line="360" w:lineRule="auto"/>
        <w:jc w:val="center"/>
        <w:rPr>
          <w:b/>
          <w:sz w:val="32"/>
          <w:szCs w:val="32"/>
        </w:rPr>
      </w:pPr>
      <w:r>
        <w:rPr>
          <w:b/>
          <w:sz w:val="32"/>
          <w:szCs w:val="32"/>
        </w:rPr>
        <w:t>Format- Essay</w:t>
      </w:r>
    </w:p>
    <w:p w14:paraId="00000006" w14:textId="5E43F070" w:rsidR="00C50753" w:rsidRDefault="008E32C1" w:rsidP="00407620">
      <w:pPr>
        <w:spacing w:line="360" w:lineRule="auto"/>
        <w:jc w:val="center"/>
        <w:rPr>
          <w:b/>
          <w:sz w:val="32"/>
          <w:szCs w:val="32"/>
        </w:rPr>
      </w:pPr>
      <w:r>
        <w:rPr>
          <w:b/>
          <w:sz w:val="32"/>
          <w:szCs w:val="32"/>
        </w:rPr>
        <w:t xml:space="preserve">Assignment Title- Employee engagement and employee retention </w:t>
      </w:r>
    </w:p>
    <w:p w14:paraId="6F6BD3A6" w14:textId="4A826326" w:rsidR="009A30C3" w:rsidRDefault="009A30C3" w:rsidP="00407620">
      <w:pPr>
        <w:spacing w:line="360" w:lineRule="auto"/>
        <w:jc w:val="center"/>
        <w:rPr>
          <w:b/>
          <w:sz w:val="32"/>
          <w:szCs w:val="32"/>
        </w:rPr>
      </w:pPr>
    </w:p>
    <w:p w14:paraId="07228858" w14:textId="7911CDE0" w:rsidR="009A30C3" w:rsidRDefault="009A30C3" w:rsidP="00407620">
      <w:pPr>
        <w:spacing w:line="360" w:lineRule="auto"/>
        <w:jc w:val="center"/>
        <w:rPr>
          <w:b/>
          <w:sz w:val="32"/>
          <w:szCs w:val="32"/>
        </w:rPr>
      </w:pPr>
      <w:r>
        <w:rPr>
          <w:b/>
          <w:sz w:val="32"/>
          <w:szCs w:val="32"/>
        </w:rPr>
        <w:t>Lecturer</w:t>
      </w:r>
      <w:r w:rsidR="00A327BC">
        <w:rPr>
          <w:b/>
          <w:sz w:val="32"/>
          <w:szCs w:val="32"/>
        </w:rPr>
        <w:t xml:space="preserve"> Kathryn Roberts</w:t>
      </w:r>
    </w:p>
    <w:p w14:paraId="3B13F214" w14:textId="35DA887E" w:rsidR="00A327BC" w:rsidRDefault="00A327BC" w:rsidP="00407620">
      <w:pPr>
        <w:spacing w:line="360" w:lineRule="auto"/>
        <w:jc w:val="center"/>
        <w:rPr>
          <w:b/>
          <w:sz w:val="32"/>
          <w:szCs w:val="32"/>
        </w:rPr>
      </w:pPr>
      <w:r>
        <w:rPr>
          <w:b/>
          <w:sz w:val="32"/>
          <w:szCs w:val="32"/>
        </w:rPr>
        <w:t>Student ID 2025332</w:t>
      </w:r>
    </w:p>
    <w:p w14:paraId="1BB31DC5" w14:textId="53E6515D" w:rsidR="00A327BC" w:rsidRDefault="00A327BC" w:rsidP="00407620">
      <w:pPr>
        <w:spacing w:line="360" w:lineRule="auto"/>
        <w:jc w:val="center"/>
        <w:rPr>
          <w:b/>
          <w:sz w:val="32"/>
          <w:szCs w:val="32"/>
        </w:rPr>
      </w:pPr>
      <w:r>
        <w:rPr>
          <w:b/>
          <w:sz w:val="32"/>
          <w:szCs w:val="32"/>
        </w:rPr>
        <w:t>Iulian-Petrut Petrache</w:t>
      </w:r>
    </w:p>
    <w:p w14:paraId="17C3B84F" w14:textId="77777777" w:rsidR="009A30C3" w:rsidRDefault="009A30C3" w:rsidP="00407620">
      <w:pPr>
        <w:spacing w:line="360" w:lineRule="auto"/>
        <w:jc w:val="center"/>
        <w:rPr>
          <w:b/>
          <w:sz w:val="32"/>
          <w:szCs w:val="32"/>
        </w:rPr>
      </w:pPr>
    </w:p>
    <w:p w14:paraId="00000007" w14:textId="77777777" w:rsidR="00C50753" w:rsidRDefault="008E32C1" w:rsidP="00407620">
      <w:pPr>
        <w:spacing w:line="360" w:lineRule="auto"/>
        <w:jc w:val="center"/>
        <w:rPr>
          <w:sz w:val="24"/>
          <w:szCs w:val="24"/>
        </w:rPr>
      </w:pPr>
      <w:r>
        <w:br w:type="page"/>
      </w:r>
    </w:p>
    <w:p w14:paraId="00000008" w14:textId="77777777" w:rsidR="00C50753" w:rsidRDefault="008E32C1" w:rsidP="00407620">
      <w:pPr>
        <w:spacing w:line="360" w:lineRule="auto"/>
        <w:jc w:val="center"/>
        <w:rPr>
          <w:b/>
          <w:sz w:val="24"/>
          <w:szCs w:val="24"/>
        </w:rPr>
      </w:pPr>
      <w:r>
        <w:rPr>
          <w:b/>
          <w:sz w:val="24"/>
          <w:szCs w:val="24"/>
        </w:rPr>
        <w:lastRenderedPageBreak/>
        <w:t>Table of contents</w:t>
      </w:r>
    </w:p>
    <w:p w14:paraId="00000009" w14:textId="77777777" w:rsidR="00C50753" w:rsidRDefault="00C50753" w:rsidP="00407620">
      <w:pPr>
        <w:spacing w:line="360" w:lineRule="auto"/>
        <w:jc w:val="center"/>
        <w:rPr>
          <w:sz w:val="24"/>
          <w:szCs w:val="24"/>
        </w:rPr>
      </w:pPr>
    </w:p>
    <w:sdt>
      <w:sdtPr>
        <w:rPr>
          <w:sz w:val="24"/>
          <w:szCs w:val="24"/>
        </w:rPr>
        <w:id w:val="-123703278"/>
        <w:docPartObj>
          <w:docPartGallery w:val="Table of Contents"/>
          <w:docPartUnique/>
        </w:docPartObj>
      </w:sdtPr>
      <w:sdtContent>
        <w:p w14:paraId="53A34B27" w14:textId="632F6EA0" w:rsidR="00D46DB0" w:rsidRPr="00D46DB0" w:rsidRDefault="008E32C1">
          <w:pPr>
            <w:pStyle w:val="TOC1"/>
            <w:tabs>
              <w:tab w:val="right" w:pos="9019"/>
            </w:tabs>
            <w:rPr>
              <w:noProof/>
              <w:sz w:val="24"/>
              <w:szCs w:val="24"/>
            </w:rPr>
          </w:pPr>
          <w:r w:rsidRPr="00D46DB0">
            <w:rPr>
              <w:sz w:val="24"/>
              <w:szCs w:val="24"/>
            </w:rPr>
            <w:fldChar w:fldCharType="begin"/>
          </w:r>
          <w:r w:rsidRPr="00D46DB0">
            <w:rPr>
              <w:sz w:val="24"/>
              <w:szCs w:val="24"/>
            </w:rPr>
            <w:instrText xml:space="preserve"> TOC \h \u \z </w:instrText>
          </w:r>
          <w:r w:rsidRPr="00D46DB0">
            <w:rPr>
              <w:sz w:val="24"/>
              <w:szCs w:val="24"/>
            </w:rPr>
            <w:fldChar w:fldCharType="separate"/>
          </w:r>
          <w:hyperlink w:anchor="_Toc116978435" w:history="1">
            <w:r w:rsidR="00D46DB0" w:rsidRPr="00D46DB0">
              <w:rPr>
                <w:rStyle w:val="Hyperlink"/>
                <w:noProof/>
                <w:sz w:val="24"/>
                <w:szCs w:val="24"/>
              </w:rPr>
              <w:t>Introduction</w:t>
            </w:r>
            <w:r w:rsidR="00D46DB0" w:rsidRPr="00D46DB0">
              <w:rPr>
                <w:noProof/>
                <w:webHidden/>
                <w:sz w:val="24"/>
                <w:szCs w:val="24"/>
              </w:rPr>
              <w:tab/>
            </w:r>
            <w:r w:rsidR="00D46DB0" w:rsidRPr="00D46DB0">
              <w:rPr>
                <w:noProof/>
                <w:webHidden/>
                <w:sz w:val="24"/>
                <w:szCs w:val="24"/>
              </w:rPr>
              <w:fldChar w:fldCharType="begin"/>
            </w:r>
            <w:r w:rsidR="00D46DB0" w:rsidRPr="00D46DB0">
              <w:rPr>
                <w:noProof/>
                <w:webHidden/>
                <w:sz w:val="24"/>
                <w:szCs w:val="24"/>
              </w:rPr>
              <w:instrText xml:space="preserve"> PAGEREF _Toc116978435 \h </w:instrText>
            </w:r>
            <w:r w:rsidR="00D46DB0" w:rsidRPr="00D46DB0">
              <w:rPr>
                <w:noProof/>
                <w:webHidden/>
                <w:sz w:val="24"/>
                <w:szCs w:val="24"/>
              </w:rPr>
            </w:r>
            <w:r w:rsidR="00D46DB0" w:rsidRPr="00D46DB0">
              <w:rPr>
                <w:noProof/>
                <w:webHidden/>
                <w:sz w:val="24"/>
                <w:szCs w:val="24"/>
              </w:rPr>
              <w:fldChar w:fldCharType="separate"/>
            </w:r>
            <w:r w:rsidR="00D46DB0" w:rsidRPr="00D46DB0">
              <w:rPr>
                <w:noProof/>
                <w:webHidden/>
                <w:sz w:val="24"/>
                <w:szCs w:val="24"/>
              </w:rPr>
              <w:t>3</w:t>
            </w:r>
            <w:r w:rsidR="00D46DB0" w:rsidRPr="00D46DB0">
              <w:rPr>
                <w:noProof/>
                <w:webHidden/>
                <w:sz w:val="24"/>
                <w:szCs w:val="24"/>
              </w:rPr>
              <w:fldChar w:fldCharType="end"/>
            </w:r>
          </w:hyperlink>
        </w:p>
        <w:p w14:paraId="3A870803" w14:textId="5F17AF81" w:rsidR="00D46DB0" w:rsidRPr="00D46DB0" w:rsidRDefault="00000000">
          <w:pPr>
            <w:pStyle w:val="TOC1"/>
            <w:tabs>
              <w:tab w:val="right" w:pos="9019"/>
            </w:tabs>
            <w:rPr>
              <w:noProof/>
              <w:sz w:val="24"/>
              <w:szCs w:val="24"/>
            </w:rPr>
          </w:pPr>
          <w:hyperlink w:anchor="_Toc116978436" w:history="1">
            <w:r w:rsidR="00D46DB0" w:rsidRPr="00D46DB0">
              <w:rPr>
                <w:rStyle w:val="Hyperlink"/>
                <w:noProof/>
                <w:sz w:val="24"/>
                <w:szCs w:val="24"/>
              </w:rPr>
              <w:t>Background</w:t>
            </w:r>
            <w:r w:rsidR="00D46DB0" w:rsidRPr="00D46DB0">
              <w:rPr>
                <w:noProof/>
                <w:webHidden/>
                <w:sz w:val="24"/>
                <w:szCs w:val="24"/>
              </w:rPr>
              <w:tab/>
            </w:r>
            <w:r w:rsidR="00D46DB0" w:rsidRPr="00D46DB0">
              <w:rPr>
                <w:noProof/>
                <w:webHidden/>
                <w:sz w:val="24"/>
                <w:szCs w:val="24"/>
              </w:rPr>
              <w:fldChar w:fldCharType="begin"/>
            </w:r>
            <w:r w:rsidR="00D46DB0" w:rsidRPr="00D46DB0">
              <w:rPr>
                <w:noProof/>
                <w:webHidden/>
                <w:sz w:val="24"/>
                <w:szCs w:val="24"/>
              </w:rPr>
              <w:instrText xml:space="preserve"> PAGEREF _Toc116978436 \h </w:instrText>
            </w:r>
            <w:r w:rsidR="00D46DB0" w:rsidRPr="00D46DB0">
              <w:rPr>
                <w:noProof/>
                <w:webHidden/>
                <w:sz w:val="24"/>
                <w:szCs w:val="24"/>
              </w:rPr>
            </w:r>
            <w:r w:rsidR="00D46DB0" w:rsidRPr="00D46DB0">
              <w:rPr>
                <w:noProof/>
                <w:webHidden/>
                <w:sz w:val="24"/>
                <w:szCs w:val="24"/>
              </w:rPr>
              <w:fldChar w:fldCharType="separate"/>
            </w:r>
            <w:r w:rsidR="00D46DB0" w:rsidRPr="00D46DB0">
              <w:rPr>
                <w:noProof/>
                <w:webHidden/>
                <w:sz w:val="24"/>
                <w:szCs w:val="24"/>
              </w:rPr>
              <w:t>3</w:t>
            </w:r>
            <w:r w:rsidR="00D46DB0" w:rsidRPr="00D46DB0">
              <w:rPr>
                <w:noProof/>
                <w:webHidden/>
                <w:sz w:val="24"/>
                <w:szCs w:val="24"/>
              </w:rPr>
              <w:fldChar w:fldCharType="end"/>
            </w:r>
          </w:hyperlink>
        </w:p>
        <w:p w14:paraId="694B23B1" w14:textId="62F8B89F" w:rsidR="00D46DB0" w:rsidRPr="00D46DB0" w:rsidRDefault="00000000">
          <w:pPr>
            <w:pStyle w:val="TOC1"/>
            <w:tabs>
              <w:tab w:val="right" w:pos="9019"/>
            </w:tabs>
            <w:rPr>
              <w:noProof/>
              <w:sz w:val="24"/>
              <w:szCs w:val="24"/>
            </w:rPr>
          </w:pPr>
          <w:hyperlink w:anchor="_Toc116978437" w:history="1">
            <w:r w:rsidR="00D46DB0" w:rsidRPr="00D46DB0">
              <w:rPr>
                <w:rStyle w:val="Hyperlink"/>
                <w:noProof/>
                <w:sz w:val="24"/>
                <w:szCs w:val="24"/>
              </w:rPr>
              <w:t>Discussion</w:t>
            </w:r>
            <w:r w:rsidR="00D46DB0" w:rsidRPr="00D46DB0">
              <w:rPr>
                <w:noProof/>
                <w:webHidden/>
                <w:sz w:val="24"/>
                <w:szCs w:val="24"/>
              </w:rPr>
              <w:tab/>
            </w:r>
            <w:r w:rsidR="00D46DB0" w:rsidRPr="00D46DB0">
              <w:rPr>
                <w:noProof/>
                <w:webHidden/>
                <w:sz w:val="24"/>
                <w:szCs w:val="24"/>
              </w:rPr>
              <w:fldChar w:fldCharType="begin"/>
            </w:r>
            <w:r w:rsidR="00D46DB0" w:rsidRPr="00D46DB0">
              <w:rPr>
                <w:noProof/>
                <w:webHidden/>
                <w:sz w:val="24"/>
                <w:szCs w:val="24"/>
              </w:rPr>
              <w:instrText xml:space="preserve"> PAGEREF _Toc116978437 \h </w:instrText>
            </w:r>
            <w:r w:rsidR="00D46DB0" w:rsidRPr="00D46DB0">
              <w:rPr>
                <w:noProof/>
                <w:webHidden/>
                <w:sz w:val="24"/>
                <w:szCs w:val="24"/>
              </w:rPr>
            </w:r>
            <w:r w:rsidR="00D46DB0" w:rsidRPr="00D46DB0">
              <w:rPr>
                <w:noProof/>
                <w:webHidden/>
                <w:sz w:val="24"/>
                <w:szCs w:val="24"/>
              </w:rPr>
              <w:fldChar w:fldCharType="separate"/>
            </w:r>
            <w:r w:rsidR="00D46DB0" w:rsidRPr="00D46DB0">
              <w:rPr>
                <w:noProof/>
                <w:webHidden/>
                <w:sz w:val="24"/>
                <w:szCs w:val="24"/>
              </w:rPr>
              <w:t>4</w:t>
            </w:r>
            <w:r w:rsidR="00D46DB0" w:rsidRPr="00D46DB0">
              <w:rPr>
                <w:noProof/>
                <w:webHidden/>
                <w:sz w:val="24"/>
                <w:szCs w:val="24"/>
              </w:rPr>
              <w:fldChar w:fldCharType="end"/>
            </w:r>
          </w:hyperlink>
        </w:p>
        <w:p w14:paraId="02A53DE2" w14:textId="29E6CA09" w:rsidR="00D46DB0" w:rsidRPr="00D46DB0" w:rsidRDefault="00000000">
          <w:pPr>
            <w:pStyle w:val="TOC1"/>
            <w:tabs>
              <w:tab w:val="right" w:pos="9019"/>
            </w:tabs>
            <w:rPr>
              <w:noProof/>
              <w:sz w:val="24"/>
              <w:szCs w:val="24"/>
            </w:rPr>
          </w:pPr>
          <w:hyperlink w:anchor="_Toc116978438" w:history="1">
            <w:r w:rsidR="00D46DB0" w:rsidRPr="00D46DB0">
              <w:rPr>
                <w:rStyle w:val="Hyperlink"/>
                <w:noProof/>
                <w:sz w:val="24"/>
                <w:szCs w:val="24"/>
              </w:rPr>
              <w:t>Conclusion</w:t>
            </w:r>
            <w:r w:rsidR="00D46DB0" w:rsidRPr="00D46DB0">
              <w:rPr>
                <w:noProof/>
                <w:webHidden/>
                <w:sz w:val="24"/>
                <w:szCs w:val="24"/>
              </w:rPr>
              <w:tab/>
            </w:r>
            <w:r w:rsidR="00D46DB0" w:rsidRPr="00D46DB0">
              <w:rPr>
                <w:noProof/>
                <w:webHidden/>
                <w:sz w:val="24"/>
                <w:szCs w:val="24"/>
              </w:rPr>
              <w:fldChar w:fldCharType="begin"/>
            </w:r>
            <w:r w:rsidR="00D46DB0" w:rsidRPr="00D46DB0">
              <w:rPr>
                <w:noProof/>
                <w:webHidden/>
                <w:sz w:val="24"/>
                <w:szCs w:val="24"/>
              </w:rPr>
              <w:instrText xml:space="preserve"> PAGEREF _Toc116978438 \h </w:instrText>
            </w:r>
            <w:r w:rsidR="00D46DB0" w:rsidRPr="00D46DB0">
              <w:rPr>
                <w:noProof/>
                <w:webHidden/>
                <w:sz w:val="24"/>
                <w:szCs w:val="24"/>
              </w:rPr>
            </w:r>
            <w:r w:rsidR="00D46DB0" w:rsidRPr="00D46DB0">
              <w:rPr>
                <w:noProof/>
                <w:webHidden/>
                <w:sz w:val="24"/>
                <w:szCs w:val="24"/>
              </w:rPr>
              <w:fldChar w:fldCharType="separate"/>
            </w:r>
            <w:r w:rsidR="00D46DB0" w:rsidRPr="00D46DB0">
              <w:rPr>
                <w:noProof/>
                <w:webHidden/>
                <w:sz w:val="24"/>
                <w:szCs w:val="24"/>
              </w:rPr>
              <w:t>8</w:t>
            </w:r>
            <w:r w:rsidR="00D46DB0" w:rsidRPr="00D46DB0">
              <w:rPr>
                <w:noProof/>
                <w:webHidden/>
                <w:sz w:val="24"/>
                <w:szCs w:val="24"/>
              </w:rPr>
              <w:fldChar w:fldCharType="end"/>
            </w:r>
          </w:hyperlink>
        </w:p>
        <w:p w14:paraId="1843AEE4" w14:textId="099949A9" w:rsidR="00D46DB0" w:rsidRPr="00D46DB0" w:rsidRDefault="00000000">
          <w:pPr>
            <w:pStyle w:val="TOC1"/>
            <w:tabs>
              <w:tab w:val="right" w:pos="9019"/>
            </w:tabs>
            <w:rPr>
              <w:noProof/>
              <w:sz w:val="24"/>
              <w:szCs w:val="24"/>
            </w:rPr>
          </w:pPr>
          <w:hyperlink w:anchor="_Toc116978439" w:history="1">
            <w:r w:rsidR="00D46DB0" w:rsidRPr="00D46DB0">
              <w:rPr>
                <w:rStyle w:val="Hyperlink"/>
                <w:noProof/>
                <w:sz w:val="24"/>
                <w:szCs w:val="24"/>
              </w:rPr>
              <w:t>References</w:t>
            </w:r>
            <w:r w:rsidR="00D46DB0" w:rsidRPr="00D46DB0">
              <w:rPr>
                <w:noProof/>
                <w:webHidden/>
                <w:sz w:val="24"/>
                <w:szCs w:val="24"/>
              </w:rPr>
              <w:tab/>
            </w:r>
            <w:r w:rsidR="00D46DB0" w:rsidRPr="00D46DB0">
              <w:rPr>
                <w:noProof/>
                <w:webHidden/>
                <w:sz w:val="24"/>
                <w:szCs w:val="24"/>
              </w:rPr>
              <w:fldChar w:fldCharType="begin"/>
            </w:r>
            <w:r w:rsidR="00D46DB0" w:rsidRPr="00D46DB0">
              <w:rPr>
                <w:noProof/>
                <w:webHidden/>
                <w:sz w:val="24"/>
                <w:szCs w:val="24"/>
              </w:rPr>
              <w:instrText xml:space="preserve"> PAGEREF _Toc116978439 \h </w:instrText>
            </w:r>
            <w:r w:rsidR="00D46DB0" w:rsidRPr="00D46DB0">
              <w:rPr>
                <w:noProof/>
                <w:webHidden/>
                <w:sz w:val="24"/>
                <w:szCs w:val="24"/>
              </w:rPr>
            </w:r>
            <w:r w:rsidR="00D46DB0" w:rsidRPr="00D46DB0">
              <w:rPr>
                <w:noProof/>
                <w:webHidden/>
                <w:sz w:val="24"/>
                <w:szCs w:val="24"/>
              </w:rPr>
              <w:fldChar w:fldCharType="separate"/>
            </w:r>
            <w:r w:rsidR="00D46DB0" w:rsidRPr="00D46DB0">
              <w:rPr>
                <w:noProof/>
                <w:webHidden/>
                <w:sz w:val="24"/>
                <w:szCs w:val="24"/>
              </w:rPr>
              <w:t>9</w:t>
            </w:r>
            <w:r w:rsidR="00D46DB0" w:rsidRPr="00D46DB0">
              <w:rPr>
                <w:noProof/>
                <w:webHidden/>
                <w:sz w:val="24"/>
                <w:szCs w:val="24"/>
              </w:rPr>
              <w:fldChar w:fldCharType="end"/>
            </w:r>
          </w:hyperlink>
        </w:p>
        <w:p w14:paraId="00000015" w14:textId="7799259D" w:rsidR="00C50753" w:rsidRPr="00D46DB0" w:rsidRDefault="008E32C1" w:rsidP="00407620">
          <w:pPr>
            <w:tabs>
              <w:tab w:val="right" w:pos="9025"/>
            </w:tabs>
            <w:spacing w:before="200" w:after="80" w:line="360" w:lineRule="auto"/>
            <w:rPr>
              <w:color w:val="000000"/>
              <w:sz w:val="28"/>
              <w:szCs w:val="28"/>
            </w:rPr>
          </w:pPr>
          <w:r w:rsidRPr="00D46DB0">
            <w:rPr>
              <w:sz w:val="24"/>
              <w:szCs w:val="24"/>
            </w:rPr>
            <w:fldChar w:fldCharType="end"/>
          </w:r>
        </w:p>
      </w:sdtContent>
    </w:sdt>
    <w:p w14:paraId="00000016" w14:textId="77777777" w:rsidR="00C50753" w:rsidRPr="00D46DB0" w:rsidRDefault="00C50753" w:rsidP="00407620">
      <w:pPr>
        <w:spacing w:line="360" w:lineRule="auto"/>
        <w:rPr>
          <w:sz w:val="28"/>
          <w:szCs w:val="28"/>
        </w:rPr>
      </w:pPr>
    </w:p>
    <w:p w14:paraId="00000018" w14:textId="5A4F859B" w:rsidR="00C50753" w:rsidRPr="00D46DB0" w:rsidRDefault="008E32C1" w:rsidP="00D46DB0">
      <w:pPr>
        <w:spacing w:line="360" w:lineRule="auto"/>
        <w:jc w:val="center"/>
        <w:rPr>
          <w:sz w:val="24"/>
          <w:szCs w:val="24"/>
        </w:rPr>
      </w:pPr>
      <w:r>
        <w:br w:type="page"/>
      </w:r>
    </w:p>
    <w:p w14:paraId="00000019" w14:textId="77777777" w:rsidR="00C50753" w:rsidRDefault="008E32C1" w:rsidP="00407620">
      <w:pPr>
        <w:spacing w:line="360" w:lineRule="auto"/>
        <w:jc w:val="center"/>
        <w:rPr>
          <w:b/>
          <w:sz w:val="24"/>
          <w:szCs w:val="24"/>
        </w:rPr>
      </w:pPr>
      <w:r>
        <w:rPr>
          <w:b/>
          <w:sz w:val="24"/>
          <w:szCs w:val="24"/>
        </w:rPr>
        <w:lastRenderedPageBreak/>
        <w:t xml:space="preserve">How to engage employees throughout the employee lifecycle </w:t>
      </w:r>
    </w:p>
    <w:p w14:paraId="0000001A" w14:textId="77777777" w:rsidR="00C50753" w:rsidRDefault="008E32C1" w:rsidP="00407620">
      <w:pPr>
        <w:pStyle w:val="Heading1"/>
      </w:pPr>
      <w:bookmarkStart w:id="1" w:name="_Toc116978435"/>
      <w:r>
        <w:t>Introduction</w:t>
      </w:r>
      <w:bookmarkEnd w:id="1"/>
      <w:r>
        <w:t xml:space="preserve"> </w:t>
      </w:r>
    </w:p>
    <w:p w14:paraId="0000001B" w14:textId="77777777" w:rsidR="00C50753" w:rsidRDefault="008E32C1" w:rsidP="00407620">
      <w:pPr>
        <w:spacing w:line="360" w:lineRule="auto"/>
        <w:jc w:val="both"/>
        <w:rPr>
          <w:sz w:val="24"/>
          <w:szCs w:val="24"/>
        </w:rPr>
      </w:pPr>
      <w:r>
        <w:rPr>
          <w:sz w:val="24"/>
          <w:szCs w:val="24"/>
        </w:rPr>
        <w:t xml:space="preserve">As a cycle, the Employee Engagement Lifecycle examines the many stages of an employee's time in the workplace. Employees who have already left the company might nevertheless </w:t>
      </w:r>
      <w:proofErr w:type="gramStart"/>
      <w:r>
        <w:rPr>
          <w:sz w:val="24"/>
          <w:szCs w:val="24"/>
        </w:rPr>
        <w:t>have an effect on</w:t>
      </w:r>
      <w:proofErr w:type="gramEnd"/>
      <w:r>
        <w:rPr>
          <w:sz w:val="24"/>
          <w:szCs w:val="24"/>
        </w:rPr>
        <w:t xml:space="preserve"> those who could join the team in the future. The employee engagement lifecycle consists of six stages: attraction, recruitment, onboarding, growth, retention, and separation. High turnover, even with a successful recruiting approach, is an indication of retention issues. Organizational efforts should be directed at enhancing the retention phase. This essay claims that the employee experience is a state of mind. and it is not something one can just start and stop whenever individuals have problems. Companies like Holiday Inn that do not have a strong handle on employee engagement are losing out on opportunities to retain their best people.</w:t>
      </w:r>
    </w:p>
    <w:p w14:paraId="0000001C" w14:textId="77777777" w:rsidR="00C50753" w:rsidRDefault="008E32C1" w:rsidP="00407620">
      <w:pPr>
        <w:pStyle w:val="Heading1"/>
      </w:pPr>
      <w:bookmarkStart w:id="2" w:name="_Toc116978436"/>
      <w:r>
        <w:t>Background</w:t>
      </w:r>
      <w:bookmarkEnd w:id="2"/>
    </w:p>
    <w:p w14:paraId="0000001D" w14:textId="77777777" w:rsidR="00C50753" w:rsidRDefault="008E32C1" w:rsidP="00407620">
      <w:pPr>
        <w:spacing w:line="360" w:lineRule="auto"/>
        <w:jc w:val="both"/>
        <w:rPr>
          <w:sz w:val="24"/>
          <w:szCs w:val="24"/>
        </w:rPr>
      </w:pPr>
      <w:r>
        <w:rPr>
          <w:sz w:val="24"/>
          <w:szCs w:val="24"/>
        </w:rPr>
        <w:t xml:space="preserve">Providing outstanding customer service is a huge obstacle for businesses in the hospitality industry since their reputations are at stake. Consequently, businesses in the hotel industry greatly benefit from the services of human resources experts. The Human Resources Manager at Holiday Inn is responsible for the hiring, training, and retention of all staff members. One should be familiar with labour laws and have previous experience recruiting people for different positions and degrees of responsibility </w:t>
      </w:r>
      <w:proofErr w:type="gramStart"/>
      <w:r>
        <w:rPr>
          <w:sz w:val="24"/>
          <w:szCs w:val="24"/>
        </w:rPr>
        <w:t>in order to</w:t>
      </w:r>
      <w:proofErr w:type="gramEnd"/>
      <w:r>
        <w:rPr>
          <w:sz w:val="24"/>
          <w:szCs w:val="24"/>
        </w:rPr>
        <w:t xml:space="preserve"> succeed in this position (</w:t>
      </w:r>
      <w:r>
        <w:rPr>
          <w:color w:val="222222"/>
          <w:sz w:val="24"/>
          <w:szCs w:val="24"/>
          <w:highlight w:val="white"/>
        </w:rPr>
        <w:t xml:space="preserve">Zhang </w:t>
      </w:r>
      <w:r>
        <w:rPr>
          <w:i/>
          <w:color w:val="222222"/>
          <w:sz w:val="24"/>
          <w:szCs w:val="24"/>
          <w:highlight w:val="white"/>
        </w:rPr>
        <w:t>et al</w:t>
      </w:r>
      <w:r>
        <w:rPr>
          <w:color w:val="222222"/>
          <w:sz w:val="24"/>
          <w:szCs w:val="24"/>
          <w:highlight w:val="white"/>
        </w:rPr>
        <w:t>., 2019</w:t>
      </w:r>
      <w:r>
        <w:rPr>
          <w:sz w:val="24"/>
          <w:szCs w:val="24"/>
        </w:rPr>
        <w:t>). In the end, the HR department will aid Holiday Inn in maintaining a prosperous hotel business in which all staff members have fulfilled their roles and contributed to the company's success. Professionalism and positivity among staff members are especially important in the hospitality sector since customers often form their impressions of a company based on their interactions with its personnel. This is often the responsibility of HR departments. The provision of attractive perks and the proposition of incentives are both acceptable places to begin (</w:t>
      </w:r>
      <w:proofErr w:type="spellStart"/>
      <w:r>
        <w:rPr>
          <w:color w:val="222222"/>
          <w:sz w:val="24"/>
          <w:szCs w:val="24"/>
          <w:highlight w:val="white"/>
        </w:rPr>
        <w:t>Itam</w:t>
      </w:r>
      <w:proofErr w:type="spellEnd"/>
      <w:r>
        <w:rPr>
          <w:color w:val="222222"/>
          <w:sz w:val="24"/>
          <w:szCs w:val="24"/>
          <w:highlight w:val="white"/>
        </w:rPr>
        <w:t xml:space="preserve">, </w:t>
      </w:r>
      <w:proofErr w:type="spellStart"/>
      <w:r>
        <w:rPr>
          <w:color w:val="222222"/>
          <w:sz w:val="24"/>
          <w:szCs w:val="24"/>
          <w:highlight w:val="white"/>
        </w:rPr>
        <w:t>Misra</w:t>
      </w:r>
      <w:proofErr w:type="spellEnd"/>
      <w:r>
        <w:rPr>
          <w:color w:val="222222"/>
          <w:sz w:val="24"/>
          <w:szCs w:val="24"/>
          <w:highlight w:val="white"/>
        </w:rPr>
        <w:t xml:space="preserve"> and Anjum, 2020</w:t>
      </w:r>
      <w:r>
        <w:rPr>
          <w:sz w:val="24"/>
          <w:szCs w:val="24"/>
        </w:rPr>
        <w:t xml:space="preserve">). Employee appreciation programmes and incentives for the Holiday Inn's own services have been shown to enhance worker satisfaction significantly. However, </w:t>
      </w:r>
      <w:proofErr w:type="gramStart"/>
      <w:r>
        <w:rPr>
          <w:sz w:val="24"/>
          <w:szCs w:val="24"/>
        </w:rPr>
        <w:t>in order to</w:t>
      </w:r>
      <w:proofErr w:type="gramEnd"/>
      <w:r>
        <w:rPr>
          <w:sz w:val="24"/>
          <w:szCs w:val="24"/>
        </w:rPr>
        <w:t xml:space="preserve"> remain with </w:t>
      </w:r>
      <w:r>
        <w:rPr>
          <w:sz w:val="24"/>
          <w:szCs w:val="24"/>
        </w:rPr>
        <w:lastRenderedPageBreak/>
        <w:t>the company, staff members need assurances that they may advance in their current roles. And they want assurances of health and retirement benefits, too.</w:t>
      </w:r>
    </w:p>
    <w:p w14:paraId="0000001E" w14:textId="77777777" w:rsidR="00C50753" w:rsidRDefault="008E32C1" w:rsidP="00407620">
      <w:pPr>
        <w:pStyle w:val="Heading1"/>
      </w:pPr>
      <w:bookmarkStart w:id="3" w:name="_Toc116978437"/>
      <w:r>
        <w:t>Discussion</w:t>
      </w:r>
      <w:bookmarkEnd w:id="3"/>
    </w:p>
    <w:p w14:paraId="00000020" w14:textId="77777777" w:rsidR="00C50753" w:rsidRDefault="008E32C1" w:rsidP="00407620">
      <w:pPr>
        <w:spacing w:line="360" w:lineRule="auto"/>
        <w:jc w:val="both"/>
        <w:rPr>
          <w:sz w:val="24"/>
          <w:szCs w:val="24"/>
        </w:rPr>
      </w:pPr>
      <w:r>
        <w:rPr>
          <w:sz w:val="24"/>
          <w:szCs w:val="24"/>
        </w:rPr>
        <w:t>Human resources guarantee that workers have the appropriate knowledge, equipment, and working conditions to carry out their duties effectively. Likewise, HR at Holiday Inn must always be training and educating workers to keep their enthusiasm high. They make sure that individuals can see how they can advance in their careers and understand their roles and responsibilities (</w:t>
      </w:r>
      <w:r>
        <w:rPr>
          <w:color w:val="222222"/>
          <w:sz w:val="24"/>
          <w:szCs w:val="24"/>
          <w:highlight w:val="white"/>
        </w:rPr>
        <w:t>Bridger, 2022</w:t>
      </w:r>
      <w:r>
        <w:rPr>
          <w:sz w:val="24"/>
          <w:szCs w:val="24"/>
        </w:rPr>
        <w:t>). They are working for a variety of objectives, both individual and organisational at Holiday Inn. The human resources of Holiday Inn function as the company's chief executive officer when it comes to employee engagement, prioritising the identification and funding of strategies proven to increase productivity and satisfaction among workers (</w:t>
      </w:r>
      <w:r>
        <w:rPr>
          <w:color w:val="222222"/>
          <w:sz w:val="24"/>
          <w:szCs w:val="24"/>
          <w:highlight w:val="white"/>
        </w:rPr>
        <w:t>Johnson and Pike, 2018</w:t>
      </w:r>
      <w:r>
        <w:rPr>
          <w:sz w:val="24"/>
          <w:szCs w:val="24"/>
        </w:rPr>
        <w:t xml:space="preserve">). The HR team of Holiday Inn is also accountable for communicating clearly and helping workers comprehend what is expected of them. Human resources staff members of Holiday Inn should understand the concept of employee engagement. These individuals have a firm grasp of why employee engagement is so important to HR, how it can be fostered via various strategies, how its efficacy can be evaluated, and what has to be done to ensure that engagement strategy </w:t>
      </w:r>
      <w:proofErr w:type="gramStart"/>
      <w:r>
        <w:rPr>
          <w:sz w:val="24"/>
          <w:szCs w:val="24"/>
        </w:rPr>
        <w:t>are</w:t>
      </w:r>
      <w:proofErr w:type="gramEnd"/>
      <w:r>
        <w:rPr>
          <w:sz w:val="24"/>
          <w:szCs w:val="24"/>
        </w:rPr>
        <w:t xml:space="preserve"> continually refined. Human resources are also responsible for teaching managers how to motivate their workers. </w:t>
      </w:r>
    </w:p>
    <w:p w14:paraId="00000021" w14:textId="77777777" w:rsidR="00C50753" w:rsidRDefault="008E32C1" w:rsidP="00407620">
      <w:pPr>
        <w:spacing w:line="360" w:lineRule="auto"/>
        <w:jc w:val="both"/>
        <w:rPr>
          <w:sz w:val="24"/>
          <w:szCs w:val="24"/>
        </w:rPr>
      </w:pPr>
      <w:r>
        <w:rPr>
          <w:sz w:val="24"/>
          <w:szCs w:val="24"/>
        </w:rPr>
        <w:t>Human resources professionals of Holiday Inn, in their role as consultants for employee engagement, should set a good example by keeping lines of communication open (</w:t>
      </w:r>
      <w:r>
        <w:rPr>
          <w:color w:val="222222"/>
          <w:sz w:val="24"/>
          <w:szCs w:val="24"/>
          <w:highlight w:val="white"/>
        </w:rPr>
        <w:t xml:space="preserve">Sato, Kobayashi and </w:t>
      </w:r>
      <w:proofErr w:type="spellStart"/>
      <w:r>
        <w:rPr>
          <w:color w:val="222222"/>
          <w:sz w:val="24"/>
          <w:szCs w:val="24"/>
          <w:highlight w:val="white"/>
        </w:rPr>
        <w:t>Shirasaka</w:t>
      </w:r>
      <w:proofErr w:type="spellEnd"/>
      <w:r>
        <w:rPr>
          <w:color w:val="222222"/>
          <w:sz w:val="24"/>
          <w:szCs w:val="24"/>
          <w:highlight w:val="white"/>
        </w:rPr>
        <w:t>, 2020</w:t>
      </w:r>
      <w:r>
        <w:rPr>
          <w:sz w:val="24"/>
          <w:szCs w:val="24"/>
        </w:rPr>
        <w:t xml:space="preserve">), addressing roadblocks to employee engagement strategies on a regular basis, highlighting and praising successes, and moving beyond metrics and scores to focus on the individual. They have a crucial role in employee engagement, which is critical to the success of the company. However, HR also has the responsibility of acting as the engagement humourist by injecting energy, excitement, and inspiration into the process. Human resources may create an exciting workplace at Holiday Inn that appreciates its employees by proposing, executing, and coordinating employment engagement activities. Regular surveys, unit check-ins, and other ways of assessment assist HR professionals establish and execute specific action plans that can be routinely reviewed and addressed with team </w:t>
      </w:r>
      <w:r>
        <w:rPr>
          <w:sz w:val="24"/>
          <w:szCs w:val="24"/>
        </w:rPr>
        <w:lastRenderedPageBreak/>
        <w:t>management (</w:t>
      </w:r>
      <w:r>
        <w:rPr>
          <w:color w:val="222222"/>
          <w:sz w:val="24"/>
          <w:szCs w:val="24"/>
          <w:highlight w:val="white"/>
        </w:rPr>
        <w:t>Singh, 2019</w:t>
      </w:r>
      <w:r>
        <w:rPr>
          <w:sz w:val="24"/>
          <w:szCs w:val="24"/>
        </w:rPr>
        <w:t>). The HR team of Holiday Inn does not ignore the importance of conversation and the ways that positively affect employee engagement in favour of statistics, analytics, benchmark targets, and ranking figures contributions of each worker, and rewards effective teamwork.</w:t>
      </w:r>
    </w:p>
    <w:p w14:paraId="00000023" w14:textId="77777777" w:rsidR="00C50753" w:rsidRDefault="008E32C1" w:rsidP="00407620">
      <w:pPr>
        <w:spacing w:line="360" w:lineRule="auto"/>
        <w:jc w:val="both"/>
        <w:rPr>
          <w:sz w:val="24"/>
          <w:szCs w:val="24"/>
        </w:rPr>
      </w:pPr>
      <w:r>
        <w:rPr>
          <w:sz w:val="24"/>
          <w:szCs w:val="24"/>
        </w:rPr>
        <w:t>The COVID-19 pandemic has compelled some organisations to make difficult managerial choices. They have had to reduce their workforces as a result, frequently through layoffs and terminations. However, this situation will soon pass. And when it does, companies need a plan to keep their top talent and keep going. Therefore, employee engagement is crucial in all sectors, but especially so in the hotel industry.</w:t>
      </w:r>
    </w:p>
    <w:p w14:paraId="00000024" w14:textId="77777777" w:rsidR="00C50753" w:rsidRDefault="008E32C1" w:rsidP="00407620">
      <w:pPr>
        <w:spacing w:line="360" w:lineRule="auto"/>
        <w:jc w:val="both"/>
        <w:rPr>
          <w:sz w:val="24"/>
          <w:szCs w:val="24"/>
        </w:rPr>
      </w:pPr>
      <w:r>
        <w:rPr>
          <w:sz w:val="24"/>
          <w:szCs w:val="24"/>
        </w:rPr>
        <w:t>Different kinds of people fill different roles in the hotel industry. Workers in the cleaning and service industries have different requirements from those of office workers, vendors, and managers. However, as the staff at Holiday Inn mirrors the hotel's hospitality ethos, they must all undergo training. Many employees in the hospitality sector begin at the bottom and rise through the ranks. As per (</w:t>
      </w:r>
      <w:proofErr w:type="spellStart"/>
      <w:r>
        <w:rPr>
          <w:color w:val="222222"/>
          <w:sz w:val="24"/>
          <w:szCs w:val="24"/>
          <w:highlight w:val="white"/>
        </w:rPr>
        <w:t>Veldsman</w:t>
      </w:r>
      <w:proofErr w:type="spellEnd"/>
      <w:r>
        <w:rPr>
          <w:color w:val="222222"/>
          <w:sz w:val="24"/>
          <w:szCs w:val="24"/>
          <w:highlight w:val="white"/>
        </w:rPr>
        <w:t>, and van der Merwe, 2022</w:t>
      </w:r>
      <w:r>
        <w:rPr>
          <w:sz w:val="24"/>
          <w:szCs w:val="24"/>
        </w:rPr>
        <w:t>) training and development of employees are crucial in the hospitality sector. Consistency in their actions and procedures is advantageous. A wide variety of training possibilities are available in the hospitality sector. Effective workplace communication is a valuable tool for both companies and employees (</w:t>
      </w:r>
      <w:proofErr w:type="spellStart"/>
      <w:r>
        <w:rPr>
          <w:color w:val="222222"/>
          <w:sz w:val="24"/>
          <w:szCs w:val="24"/>
          <w:highlight w:val="white"/>
        </w:rPr>
        <w:t>Veldsman</w:t>
      </w:r>
      <w:proofErr w:type="spellEnd"/>
      <w:r>
        <w:rPr>
          <w:color w:val="222222"/>
          <w:sz w:val="24"/>
          <w:szCs w:val="24"/>
          <w:highlight w:val="white"/>
        </w:rPr>
        <w:t>, and van der Merwe, 2022</w:t>
      </w:r>
      <w:r>
        <w:rPr>
          <w:sz w:val="24"/>
          <w:szCs w:val="24"/>
        </w:rPr>
        <w:t>). Like, every hotel staff needs to be able to interact with customers. Working with people from different backgrounds is important because the person might not be aware of their guests' backgrounds.</w:t>
      </w:r>
    </w:p>
    <w:p w14:paraId="00000025" w14:textId="52A33186" w:rsidR="00C50753" w:rsidRDefault="008E32C1" w:rsidP="00407620">
      <w:pPr>
        <w:spacing w:line="360" w:lineRule="auto"/>
        <w:jc w:val="both"/>
        <w:rPr>
          <w:sz w:val="24"/>
          <w:szCs w:val="24"/>
        </w:rPr>
      </w:pPr>
      <w:r>
        <w:rPr>
          <w:sz w:val="24"/>
          <w:szCs w:val="24"/>
        </w:rPr>
        <w:t>By encouraging a sense of connection among their staff, Holiday Inn may aid in collaborative work. According to (</w:t>
      </w:r>
      <w:r>
        <w:rPr>
          <w:color w:val="222222"/>
          <w:sz w:val="24"/>
          <w:szCs w:val="24"/>
          <w:highlight w:val="white"/>
        </w:rPr>
        <w:t>Lipson, 2021</w:t>
      </w:r>
      <w:r>
        <w:rPr>
          <w:sz w:val="24"/>
          <w:szCs w:val="24"/>
        </w:rPr>
        <w:t xml:space="preserve">), a good solution for employee scheduling will also improve team communication. Employees can communicate and collaborate with </w:t>
      </w:r>
      <w:proofErr w:type="spellStart"/>
      <w:r>
        <w:rPr>
          <w:sz w:val="24"/>
          <w:szCs w:val="24"/>
        </w:rPr>
        <w:t>coworkers</w:t>
      </w:r>
      <w:proofErr w:type="spellEnd"/>
      <w:r>
        <w:rPr>
          <w:sz w:val="24"/>
          <w:szCs w:val="24"/>
        </w:rPr>
        <w:t xml:space="preserve"> using their smartphones. If they can communicate both on and off the job, employees will be more committed to their work (</w:t>
      </w:r>
      <w:r>
        <w:rPr>
          <w:color w:val="222222"/>
          <w:sz w:val="24"/>
          <w:szCs w:val="24"/>
          <w:highlight w:val="white"/>
        </w:rPr>
        <w:t>Lipson, 2021</w:t>
      </w:r>
      <w:r>
        <w:rPr>
          <w:sz w:val="24"/>
          <w:szCs w:val="24"/>
        </w:rPr>
        <w:t xml:space="preserve">). </w:t>
      </w:r>
      <w:proofErr w:type="gramStart"/>
      <w:r>
        <w:rPr>
          <w:sz w:val="24"/>
          <w:szCs w:val="24"/>
        </w:rPr>
        <w:t>So</w:t>
      </w:r>
      <w:proofErr w:type="gramEnd"/>
      <w:r>
        <w:rPr>
          <w:sz w:val="24"/>
          <w:szCs w:val="24"/>
        </w:rPr>
        <w:t xml:space="preserve"> make team lunches a tradition and plan out-of-work activities to foster teamwork among staff. Holiday Inn might organise holiday gatherings for their staff to promote a sense of community. (</w:t>
      </w:r>
      <w:r>
        <w:rPr>
          <w:color w:val="222222"/>
          <w:sz w:val="24"/>
          <w:szCs w:val="24"/>
          <w:highlight w:val="white"/>
        </w:rPr>
        <w:t>Wilton, 2022</w:t>
      </w:r>
      <w:r>
        <w:rPr>
          <w:sz w:val="24"/>
          <w:szCs w:val="24"/>
        </w:rPr>
        <w:t>) observed that the leisure time and disposable income of consumers are key factors in the hospitality sector. Customers' needs are therefore its first focus. Because of this, there is consistent work, which could affect the quality of life for these individuals (</w:t>
      </w:r>
      <w:r>
        <w:rPr>
          <w:color w:val="222222"/>
          <w:sz w:val="24"/>
          <w:szCs w:val="24"/>
          <w:highlight w:val="white"/>
        </w:rPr>
        <w:t>Wilton, 2022</w:t>
      </w:r>
      <w:r>
        <w:rPr>
          <w:sz w:val="24"/>
          <w:szCs w:val="24"/>
        </w:rPr>
        <w:t>). Thus, a short break is often the best gift Holiday Inn can give to a hospitality crew.</w:t>
      </w:r>
    </w:p>
    <w:p w14:paraId="00000028" w14:textId="77777777" w:rsidR="00C50753" w:rsidRDefault="008E32C1" w:rsidP="00407620">
      <w:pPr>
        <w:spacing w:line="360" w:lineRule="auto"/>
        <w:jc w:val="both"/>
        <w:rPr>
          <w:sz w:val="24"/>
          <w:szCs w:val="24"/>
        </w:rPr>
      </w:pPr>
      <w:r>
        <w:rPr>
          <w:sz w:val="24"/>
          <w:szCs w:val="24"/>
        </w:rPr>
        <w:lastRenderedPageBreak/>
        <w:t xml:space="preserve">As per </w:t>
      </w:r>
      <w:r>
        <w:rPr>
          <w:color w:val="222222"/>
          <w:sz w:val="24"/>
          <w:szCs w:val="24"/>
          <w:highlight w:val="white"/>
        </w:rPr>
        <w:t>Jung and Takeuchi, (2018</w:t>
      </w:r>
      <w:r>
        <w:rPr>
          <w:sz w:val="24"/>
          <w:szCs w:val="24"/>
        </w:rPr>
        <w:t>) attracting potential workers is the first stage of the employee life cycle. Holiday Inn will collapse if it is unable to attract and retain top personnel, regardless of how innovative its products or services may be. Consequently, the attraction phase is crucial to the success of any business expansion strategy (</w:t>
      </w:r>
      <w:r>
        <w:rPr>
          <w:color w:val="222222"/>
          <w:sz w:val="24"/>
          <w:szCs w:val="24"/>
          <w:highlight w:val="white"/>
        </w:rPr>
        <w:t>Jung and Takeuchi, 2018</w:t>
      </w:r>
      <w:r>
        <w:rPr>
          <w:sz w:val="24"/>
          <w:szCs w:val="24"/>
        </w:rPr>
        <w:t>). To apply for a position at Holiday Inn, the only thing that needs to happen is the attraction stage. It is the promotion, among both current employees and key market influencers, of the image of Holiday Inn as an excellent workplace. The employer brand is another name for this idea. What this means is that Holiday Inn has a positive reputation among its clientele, customers, active and passive talent applicants, and connected investors.</w:t>
      </w:r>
    </w:p>
    <w:p w14:paraId="0000002A" w14:textId="77777777" w:rsidR="00C50753" w:rsidRDefault="008E32C1" w:rsidP="00407620">
      <w:pPr>
        <w:spacing w:line="360" w:lineRule="auto"/>
        <w:jc w:val="both"/>
        <w:rPr>
          <w:sz w:val="24"/>
          <w:szCs w:val="24"/>
        </w:rPr>
      </w:pPr>
      <w:r>
        <w:rPr>
          <w:sz w:val="24"/>
          <w:szCs w:val="24"/>
        </w:rPr>
        <w:t xml:space="preserve">The second phase of an employee's life cycle is the hiring process, during which Holiday Inn actively seeks out and recruits the most qualified candidates. Recruitment might be prompted by the opening of a previously unfilled position, or by the introduction of a completely new one. As per </w:t>
      </w:r>
      <w:r>
        <w:rPr>
          <w:color w:val="222222"/>
          <w:sz w:val="24"/>
          <w:szCs w:val="24"/>
          <w:highlight w:val="white"/>
        </w:rPr>
        <w:t xml:space="preserve">Papa </w:t>
      </w:r>
      <w:r>
        <w:rPr>
          <w:i/>
          <w:color w:val="222222"/>
          <w:sz w:val="24"/>
          <w:szCs w:val="24"/>
          <w:highlight w:val="white"/>
        </w:rPr>
        <w:t>et al</w:t>
      </w:r>
      <w:r>
        <w:rPr>
          <w:color w:val="222222"/>
          <w:sz w:val="24"/>
          <w:szCs w:val="24"/>
          <w:highlight w:val="white"/>
        </w:rPr>
        <w:t>., (2018</w:t>
      </w:r>
      <w:r>
        <w:rPr>
          <w:sz w:val="24"/>
          <w:szCs w:val="24"/>
        </w:rPr>
        <w:t>), the best recruitment methods provide a positive experience for job seekers, promote teamwork in the selection process by outlining clear guidelines and norms (</w:t>
      </w:r>
      <w:r>
        <w:rPr>
          <w:color w:val="222222"/>
          <w:sz w:val="24"/>
          <w:szCs w:val="24"/>
          <w:highlight w:val="white"/>
        </w:rPr>
        <w:t xml:space="preserve">Papa </w:t>
      </w:r>
      <w:r>
        <w:rPr>
          <w:i/>
          <w:color w:val="222222"/>
          <w:sz w:val="24"/>
          <w:szCs w:val="24"/>
          <w:highlight w:val="white"/>
        </w:rPr>
        <w:t>et al</w:t>
      </w:r>
      <w:r>
        <w:rPr>
          <w:color w:val="222222"/>
          <w:sz w:val="24"/>
          <w:szCs w:val="24"/>
          <w:highlight w:val="white"/>
        </w:rPr>
        <w:t>., 2018</w:t>
      </w:r>
      <w:r>
        <w:rPr>
          <w:sz w:val="24"/>
          <w:szCs w:val="24"/>
        </w:rPr>
        <w:t>), and provide actionable data that can be used to progressively enhance the quality of the hired workforce.</w:t>
      </w:r>
    </w:p>
    <w:p w14:paraId="0000002C" w14:textId="77777777" w:rsidR="00C50753" w:rsidRDefault="008E32C1" w:rsidP="00407620">
      <w:pPr>
        <w:spacing w:line="360" w:lineRule="auto"/>
        <w:jc w:val="both"/>
        <w:rPr>
          <w:b/>
          <w:i/>
          <w:sz w:val="24"/>
          <w:szCs w:val="24"/>
        </w:rPr>
      </w:pPr>
      <w:r>
        <w:rPr>
          <w:sz w:val="24"/>
          <w:szCs w:val="24"/>
        </w:rPr>
        <w:t>As the next phase of the employee life cycle model, onboarding involves getting new employees up and running. Once Holiday Inn has selected the most qualified applicants, the next step is to begin the onboarding process so that the new employees may become familiar with the company culture and the duties of their new role as soon as possible. During their time in onboarding, new employees are taught the ins and outs of their respective jobs and given the tools they'll need to succeed in the organisation. (</w:t>
      </w:r>
      <w:proofErr w:type="spellStart"/>
      <w:r>
        <w:rPr>
          <w:color w:val="222222"/>
          <w:sz w:val="24"/>
          <w:szCs w:val="24"/>
          <w:highlight w:val="white"/>
        </w:rPr>
        <w:t>Cherep</w:t>
      </w:r>
      <w:proofErr w:type="spellEnd"/>
      <w:r>
        <w:rPr>
          <w:color w:val="222222"/>
          <w:sz w:val="24"/>
          <w:szCs w:val="24"/>
          <w:highlight w:val="white"/>
        </w:rPr>
        <w:t xml:space="preserve">, Helman and </w:t>
      </w:r>
      <w:proofErr w:type="spellStart"/>
      <w:r>
        <w:rPr>
          <w:color w:val="222222"/>
          <w:sz w:val="24"/>
          <w:szCs w:val="24"/>
          <w:highlight w:val="white"/>
        </w:rPr>
        <w:t>Rybalko</w:t>
      </w:r>
      <w:proofErr w:type="spellEnd"/>
      <w:r>
        <w:rPr>
          <w:color w:val="222222"/>
          <w:sz w:val="24"/>
          <w:szCs w:val="24"/>
          <w:highlight w:val="white"/>
        </w:rPr>
        <w:t>, 2019</w:t>
      </w:r>
      <w:r>
        <w:rPr>
          <w:sz w:val="24"/>
          <w:szCs w:val="24"/>
        </w:rPr>
        <w:t>) mentioned the key to eliciting long-term contributions and commitment from new employees is making them feel welcome in the group and familiar with their responsibilities and the Holiday Inn as a whole.</w:t>
      </w:r>
    </w:p>
    <w:p w14:paraId="0000002D" w14:textId="77777777" w:rsidR="00C50753" w:rsidRDefault="008E32C1" w:rsidP="00407620">
      <w:pPr>
        <w:spacing w:line="360" w:lineRule="auto"/>
        <w:jc w:val="both"/>
        <w:rPr>
          <w:b/>
          <w:i/>
          <w:sz w:val="24"/>
          <w:szCs w:val="24"/>
        </w:rPr>
      </w:pPr>
      <w:r>
        <w:rPr>
          <w:sz w:val="24"/>
          <w:szCs w:val="24"/>
        </w:rPr>
        <w:t>In the employee life cycle, the next phase is the development phase. At this point, Holiday Inn has established a routine of supporting its employees' pursuit of professional development, which provides them with opportunities to expand their skill set and advance their careers within the company.</w:t>
      </w:r>
    </w:p>
    <w:p w14:paraId="0000002E" w14:textId="77777777" w:rsidR="00C50753" w:rsidRDefault="008E32C1" w:rsidP="00407620">
      <w:pPr>
        <w:spacing w:line="360" w:lineRule="auto"/>
        <w:jc w:val="both"/>
        <w:rPr>
          <w:b/>
          <w:i/>
          <w:sz w:val="24"/>
          <w:szCs w:val="24"/>
        </w:rPr>
      </w:pPr>
      <w:r>
        <w:rPr>
          <w:sz w:val="24"/>
          <w:szCs w:val="24"/>
        </w:rPr>
        <w:t xml:space="preserve">The fifth and last phase of the employee lifecycle is retention. It is in this area that Holiday Inn places a premium on retaining its best employees by providing them with a work environment in which they feel appreciated and challenged. At this point, things </w:t>
      </w:r>
      <w:r>
        <w:rPr>
          <w:sz w:val="24"/>
          <w:szCs w:val="24"/>
        </w:rPr>
        <w:lastRenderedPageBreak/>
        <w:t xml:space="preserve">like company culture can make a big difference. Holiday Inn's poor corporate culture will inevitably lead to a high turnover </w:t>
      </w:r>
      <w:proofErr w:type="gramStart"/>
      <w:r>
        <w:rPr>
          <w:sz w:val="24"/>
          <w:szCs w:val="24"/>
        </w:rPr>
        <w:t>rate  (</w:t>
      </w:r>
      <w:proofErr w:type="gramEnd"/>
      <w:r>
        <w:rPr>
          <w:color w:val="222222"/>
          <w:sz w:val="24"/>
          <w:szCs w:val="24"/>
          <w:highlight w:val="white"/>
        </w:rPr>
        <w:t xml:space="preserve">Schwartz </w:t>
      </w:r>
      <w:r>
        <w:rPr>
          <w:i/>
          <w:color w:val="222222"/>
          <w:sz w:val="24"/>
          <w:szCs w:val="24"/>
          <w:highlight w:val="white"/>
        </w:rPr>
        <w:t>et al</w:t>
      </w:r>
      <w:r>
        <w:rPr>
          <w:color w:val="222222"/>
          <w:sz w:val="24"/>
          <w:szCs w:val="24"/>
          <w:highlight w:val="white"/>
        </w:rPr>
        <w:t>, 2019</w:t>
      </w:r>
      <w:r>
        <w:rPr>
          <w:sz w:val="24"/>
          <w:szCs w:val="24"/>
        </w:rPr>
        <w:t>), which will increase the hotel's need to constantly pay for new employees. Improving the retention stage is a great way to lessen this danger while also fostering the lifespan and contentment of the Holiday Inn staff.</w:t>
      </w:r>
    </w:p>
    <w:p w14:paraId="0000002F" w14:textId="77777777" w:rsidR="00C50753" w:rsidRDefault="008E32C1" w:rsidP="00407620">
      <w:pPr>
        <w:spacing w:line="360" w:lineRule="auto"/>
        <w:jc w:val="both"/>
        <w:rPr>
          <w:sz w:val="24"/>
          <w:szCs w:val="24"/>
        </w:rPr>
      </w:pPr>
      <w:r>
        <w:rPr>
          <w:sz w:val="24"/>
          <w:szCs w:val="24"/>
        </w:rPr>
        <w:t>The final stage of an employee's life cycle is separation from the company.  (</w:t>
      </w:r>
      <w:r>
        <w:rPr>
          <w:color w:val="222222"/>
          <w:sz w:val="24"/>
          <w:szCs w:val="24"/>
          <w:highlight w:val="white"/>
        </w:rPr>
        <w:t>Cattermole, 2019</w:t>
      </w:r>
      <w:r>
        <w:rPr>
          <w:sz w:val="24"/>
          <w:szCs w:val="24"/>
        </w:rPr>
        <w:t>) mentioned that most workers' careers come to an end at some point, whether because of retirement, career changes, or other personal factors. As with the onboarding process, it is critical that Holiday Inn approach this phase strategically. Whenever one member of a team leaves, it affects the others. The company's upper management and HR team should make every effort to ensure the employee's departure causes as little disruption as possible.</w:t>
      </w:r>
    </w:p>
    <w:p w14:paraId="00000031" w14:textId="77777777" w:rsidR="00C50753" w:rsidRDefault="008E32C1" w:rsidP="00407620">
      <w:pPr>
        <w:spacing w:line="360" w:lineRule="auto"/>
        <w:jc w:val="both"/>
        <w:rPr>
          <w:sz w:val="24"/>
          <w:szCs w:val="24"/>
        </w:rPr>
      </w:pPr>
      <w:r>
        <w:rPr>
          <w:sz w:val="24"/>
          <w:szCs w:val="24"/>
        </w:rPr>
        <w:t xml:space="preserve">According to the author, </w:t>
      </w:r>
      <w:r>
        <w:rPr>
          <w:color w:val="222222"/>
          <w:sz w:val="24"/>
          <w:szCs w:val="24"/>
          <w:highlight w:val="white"/>
        </w:rPr>
        <w:t xml:space="preserve">Brower, (2020) communication plays an important role in enhancing engagement with team members. Effective communication levels in the workplace help the employees to effectively address their concerns to the managers or leaders. Effectively addressing the concerns of the employees should be done by the managers which greatly helps the employees to understand their values in the organisation and boost their motivational level and productivity (Brower, 2020). This also helps organisations to maintain employee retention rates. The engagement among the employees can also be improved by providing benefits as achievements to the employees for their valuable contribution to the organisation. This is also considered an important factor for boosting the motivation level of the employees and keeping them engaged with the organisation. </w:t>
      </w:r>
    </w:p>
    <w:p w14:paraId="00000033" w14:textId="77777777" w:rsidR="00C50753" w:rsidRDefault="008E32C1" w:rsidP="00407620">
      <w:pPr>
        <w:spacing w:line="360" w:lineRule="auto"/>
        <w:jc w:val="both"/>
        <w:rPr>
          <w:sz w:val="24"/>
          <w:szCs w:val="24"/>
        </w:rPr>
      </w:pPr>
      <w:r>
        <w:rPr>
          <w:sz w:val="24"/>
          <w:szCs w:val="24"/>
        </w:rPr>
        <w:t xml:space="preserve">The employee engagement model is considered a blueprint that helps the employees to understand their values in the organisation, empowers them and increases their productivity level in the organisation. The employee engagement model can be implemented in an organisation by making the mission and vision clear to the employees, providing training to the managers about this model, creating a feedback culture or system in the workplace, providing the employees with growth </w:t>
      </w:r>
      <w:proofErr w:type="gramStart"/>
      <w:r>
        <w:rPr>
          <w:sz w:val="24"/>
          <w:szCs w:val="24"/>
        </w:rPr>
        <w:t>opportunities</w:t>
      </w:r>
      <w:proofErr w:type="gramEnd"/>
      <w:r>
        <w:rPr>
          <w:sz w:val="24"/>
          <w:szCs w:val="24"/>
        </w:rPr>
        <w:t xml:space="preserve"> and monitoring the effectiveness of the model to understand the existing gaps. </w:t>
      </w:r>
    </w:p>
    <w:p w14:paraId="00000035" w14:textId="77777777" w:rsidR="00C50753" w:rsidRDefault="008E32C1" w:rsidP="00407620">
      <w:pPr>
        <w:spacing w:line="360" w:lineRule="auto"/>
        <w:jc w:val="both"/>
        <w:rPr>
          <w:sz w:val="24"/>
          <w:szCs w:val="24"/>
        </w:rPr>
      </w:pPr>
      <w:r>
        <w:rPr>
          <w:sz w:val="24"/>
          <w:szCs w:val="24"/>
        </w:rPr>
        <w:t xml:space="preserve">Most of the companies in the market develop and implement numerous strategies to enhance their employee engagement. For example, the companies in the hotel industry provides their employees with exclusive perks, flexibility in work schedules </w:t>
      </w:r>
      <w:r>
        <w:rPr>
          <w:sz w:val="24"/>
          <w:szCs w:val="24"/>
        </w:rPr>
        <w:lastRenderedPageBreak/>
        <w:t>and values to the needs of the employees to keep their employees engaged with the company (</w:t>
      </w:r>
      <w:r>
        <w:rPr>
          <w:color w:val="222222"/>
          <w:sz w:val="24"/>
          <w:szCs w:val="24"/>
          <w:highlight w:val="white"/>
        </w:rPr>
        <w:t>Edwards, 2018)</w:t>
      </w:r>
      <w:r>
        <w:rPr>
          <w:sz w:val="24"/>
          <w:szCs w:val="24"/>
        </w:rPr>
        <w:t>.</w:t>
      </w:r>
    </w:p>
    <w:p w14:paraId="00000036" w14:textId="77777777" w:rsidR="00C50753" w:rsidRDefault="008E32C1" w:rsidP="00407620">
      <w:pPr>
        <w:pStyle w:val="Heading1"/>
      </w:pPr>
      <w:bookmarkStart w:id="4" w:name="_Toc116978438"/>
      <w:r>
        <w:t>Conclusion</w:t>
      </w:r>
      <w:bookmarkEnd w:id="4"/>
      <w:r>
        <w:t xml:space="preserve"> </w:t>
      </w:r>
    </w:p>
    <w:p w14:paraId="00000037" w14:textId="77777777" w:rsidR="00C50753" w:rsidRDefault="008E32C1" w:rsidP="00407620">
      <w:pPr>
        <w:spacing w:line="360" w:lineRule="auto"/>
        <w:jc w:val="both"/>
        <w:rPr>
          <w:sz w:val="24"/>
          <w:szCs w:val="24"/>
        </w:rPr>
      </w:pPr>
      <w:r>
        <w:rPr>
          <w:sz w:val="24"/>
          <w:szCs w:val="24"/>
        </w:rPr>
        <w:t xml:space="preserve">The management of human resources is something that is far simpler to discuss than to really carry out. To effectively manage human resources and maintain the employees' motivation so that they can operate at a higher level requires a high level of expertise and a significant amount of experience. The stages that are a part of the employee life cycle can assist Holiday Inn in having a better understanding of what </w:t>
      </w:r>
      <w:proofErr w:type="gramStart"/>
      <w:r>
        <w:rPr>
          <w:sz w:val="24"/>
          <w:szCs w:val="24"/>
        </w:rPr>
        <w:t>all of</w:t>
      </w:r>
      <w:proofErr w:type="gramEnd"/>
      <w:r>
        <w:rPr>
          <w:sz w:val="24"/>
          <w:szCs w:val="24"/>
        </w:rPr>
        <w:t xml:space="preserve"> the employees are going to go through during their career paths, and managers can tackle these phases in order to ensure better handling of the human resources.</w:t>
      </w:r>
    </w:p>
    <w:p w14:paraId="00000038" w14:textId="77777777" w:rsidR="00C50753" w:rsidRDefault="00C50753" w:rsidP="00407620">
      <w:pPr>
        <w:spacing w:line="360" w:lineRule="auto"/>
        <w:jc w:val="both"/>
        <w:rPr>
          <w:sz w:val="24"/>
          <w:szCs w:val="24"/>
        </w:rPr>
      </w:pPr>
    </w:p>
    <w:p w14:paraId="46800611" w14:textId="77777777" w:rsidR="00D46DB0" w:rsidRDefault="00D46DB0">
      <w:pPr>
        <w:rPr>
          <w:b/>
          <w:sz w:val="24"/>
          <w:szCs w:val="24"/>
        </w:rPr>
      </w:pPr>
      <w:r>
        <w:br w:type="page"/>
      </w:r>
    </w:p>
    <w:p w14:paraId="00000039" w14:textId="59AFC0B0" w:rsidR="00C50753" w:rsidRDefault="008E32C1" w:rsidP="00407620">
      <w:pPr>
        <w:pStyle w:val="Heading1"/>
      </w:pPr>
      <w:bookmarkStart w:id="5" w:name="_Toc116978439"/>
      <w:r>
        <w:lastRenderedPageBreak/>
        <w:t>References</w:t>
      </w:r>
      <w:bookmarkEnd w:id="5"/>
      <w:r>
        <w:t xml:space="preserve"> </w:t>
      </w:r>
    </w:p>
    <w:p w14:paraId="378ADD50"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Bridger, E., 2022. </w:t>
      </w:r>
      <w:r>
        <w:rPr>
          <w:i/>
          <w:color w:val="222222"/>
          <w:sz w:val="24"/>
          <w:szCs w:val="24"/>
          <w:highlight w:val="white"/>
        </w:rPr>
        <w:t>Employee engagement: A practical introduction</w:t>
      </w:r>
      <w:r>
        <w:rPr>
          <w:color w:val="222222"/>
          <w:sz w:val="24"/>
          <w:szCs w:val="24"/>
          <w:highlight w:val="white"/>
        </w:rPr>
        <w:t xml:space="preserve"> (Vol. 24). Kogan Page Publishers.</w:t>
      </w:r>
    </w:p>
    <w:p w14:paraId="65590C7E" w14:textId="77777777" w:rsidR="00D46DB0" w:rsidRDefault="00D46DB0" w:rsidP="00407620">
      <w:pPr>
        <w:spacing w:line="360" w:lineRule="auto"/>
        <w:jc w:val="both"/>
        <w:rPr>
          <w:color w:val="222222"/>
          <w:sz w:val="24"/>
          <w:szCs w:val="24"/>
          <w:highlight w:val="white"/>
        </w:rPr>
      </w:pPr>
      <w:bookmarkStart w:id="6" w:name="_heading=h.lnxbz9" w:colFirst="0" w:colLast="0"/>
      <w:bookmarkEnd w:id="6"/>
      <w:r>
        <w:rPr>
          <w:color w:val="222222"/>
          <w:sz w:val="24"/>
          <w:szCs w:val="24"/>
          <w:highlight w:val="white"/>
        </w:rPr>
        <w:t>Brower, T., 2020. Communication is more important now than ever before: 9 ways to reassure and Re-</w:t>
      </w:r>
      <w:proofErr w:type="gramStart"/>
      <w:r>
        <w:rPr>
          <w:color w:val="222222"/>
          <w:sz w:val="24"/>
          <w:szCs w:val="24"/>
          <w:highlight w:val="white"/>
        </w:rPr>
        <w:t>Engage</w:t>
      </w:r>
      <w:proofErr w:type="gramEnd"/>
      <w:r>
        <w:rPr>
          <w:color w:val="222222"/>
          <w:sz w:val="24"/>
          <w:szCs w:val="24"/>
          <w:highlight w:val="white"/>
        </w:rPr>
        <w:t xml:space="preserve"> your team.</w:t>
      </w:r>
    </w:p>
    <w:p w14:paraId="24413416"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Cattermole, G., 2019. Developing the employee lifecycle to keep top talent. </w:t>
      </w:r>
      <w:r>
        <w:rPr>
          <w:i/>
          <w:color w:val="222222"/>
          <w:sz w:val="24"/>
          <w:szCs w:val="24"/>
          <w:highlight w:val="white"/>
        </w:rPr>
        <w:t>Strategic HR review</w:t>
      </w:r>
      <w:r>
        <w:rPr>
          <w:color w:val="222222"/>
          <w:sz w:val="24"/>
          <w:szCs w:val="24"/>
          <w:highlight w:val="white"/>
        </w:rPr>
        <w:t>.</w:t>
      </w:r>
    </w:p>
    <w:p w14:paraId="7478028F" w14:textId="77777777" w:rsidR="00D46DB0" w:rsidRDefault="00D46DB0" w:rsidP="00407620">
      <w:pPr>
        <w:spacing w:before="240" w:after="240" w:line="360" w:lineRule="auto"/>
        <w:jc w:val="both"/>
        <w:rPr>
          <w:color w:val="222222"/>
          <w:sz w:val="24"/>
          <w:szCs w:val="24"/>
          <w:highlight w:val="white"/>
        </w:rPr>
      </w:pPr>
      <w:proofErr w:type="spellStart"/>
      <w:r>
        <w:rPr>
          <w:color w:val="222222"/>
          <w:sz w:val="24"/>
          <w:szCs w:val="24"/>
          <w:highlight w:val="white"/>
        </w:rPr>
        <w:t>Cherep</w:t>
      </w:r>
      <w:proofErr w:type="spellEnd"/>
      <w:r>
        <w:rPr>
          <w:color w:val="222222"/>
          <w:sz w:val="24"/>
          <w:szCs w:val="24"/>
          <w:highlight w:val="white"/>
        </w:rPr>
        <w:t xml:space="preserve">, A.V., Helman, V.М. and </w:t>
      </w:r>
      <w:proofErr w:type="spellStart"/>
      <w:r>
        <w:rPr>
          <w:color w:val="222222"/>
          <w:sz w:val="24"/>
          <w:szCs w:val="24"/>
          <w:highlight w:val="white"/>
        </w:rPr>
        <w:t>Rybalko</w:t>
      </w:r>
      <w:proofErr w:type="spellEnd"/>
      <w:r>
        <w:rPr>
          <w:color w:val="222222"/>
          <w:sz w:val="24"/>
          <w:szCs w:val="24"/>
          <w:highlight w:val="white"/>
        </w:rPr>
        <w:t xml:space="preserve">, O.M., 2019. Management Employee life cycle of higher education. </w:t>
      </w:r>
      <w:proofErr w:type="spellStart"/>
      <w:r>
        <w:rPr>
          <w:i/>
          <w:color w:val="222222"/>
          <w:sz w:val="24"/>
          <w:szCs w:val="24"/>
          <w:highlight w:val="white"/>
        </w:rPr>
        <w:t>Вісник</w:t>
      </w:r>
      <w:proofErr w:type="spellEnd"/>
      <w:r>
        <w:rPr>
          <w:i/>
          <w:color w:val="222222"/>
          <w:sz w:val="24"/>
          <w:szCs w:val="24"/>
          <w:highlight w:val="white"/>
        </w:rPr>
        <w:t xml:space="preserve"> </w:t>
      </w:r>
      <w:proofErr w:type="spellStart"/>
      <w:r>
        <w:rPr>
          <w:i/>
          <w:color w:val="222222"/>
          <w:sz w:val="24"/>
          <w:szCs w:val="24"/>
          <w:highlight w:val="white"/>
        </w:rPr>
        <w:t>Запорізького</w:t>
      </w:r>
      <w:proofErr w:type="spellEnd"/>
      <w:r>
        <w:rPr>
          <w:i/>
          <w:color w:val="222222"/>
          <w:sz w:val="24"/>
          <w:szCs w:val="24"/>
          <w:highlight w:val="white"/>
        </w:rPr>
        <w:t xml:space="preserve"> </w:t>
      </w:r>
      <w:proofErr w:type="spellStart"/>
      <w:r>
        <w:rPr>
          <w:i/>
          <w:color w:val="222222"/>
          <w:sz w:val="24"/>
          <w:szCs w:val="24"/>
          <w:highlight w:val="white"/>
        </w:rPr>
        <w:t>національного</w:t>
      </w:r>
      <w:proofErr w:type="spellEnd"/>
      <w:r>
        <w:rPr>
          <w:i/>
          <w:color w:val="222222"/>
          <w:sz w:val="24"/>
          <w:szCs w:val="24"/>
          <w:highlight w:val="white"/>
        </w:rPr>
        <w:t xml:space="preserve"> </w:t>
      </w:r>
      <w:proofErr w:type="spellStart"/>
      <w:r>
        <w:rPr>
          <w:i/>
          <w:color w:val="222222"/>
          <w:sz w:val="24"/>
          <w:szCs w:val="24"/>
          <w:highlight w:val="white"/>
        </w:rPr>
        <w:t>університету</w:t>
      </w:r>
      <w:proofErr w:type="spellEnd"/>
      <w:r>
        <w:rPr>
          <w:i/>
          <w:color w:val="222222"/>
          <w:sz w:val="24"/>
          <w:szCs w:val="24"/>
          <w:highlight w:val="white"/>
        </w:rPr>
        <w:t xml:space="preserve">. </w:t>
      </w:r>
      <w:proofErr w:type="spellStart"/>
      <w:r>
        <w:rPr>
          <w:i/>
          <w:color w:val="222222"/>
          <w:sz w:val="24"/>
          <w:szCs w:val="24"/>
          <w:highlight w:val="white"/>
        </w:rPr>
        <w:t>Економічні</w:t>
      </w:r>
      <w:proofErr w:type="spellEnd"/>
      <w:r>
        <w:rPr>
          <w:i/>
          <w:color w:val="222222"/>
          <w:sz w:val="24"/>
          <w:szCs w:val="24"/>
          <w:highlight w:val="white"/>
        </w:rPr>
        <w:t xml:space="preserve"> </w:t>
      </w:r>
      <w:proofErr w:type="spellStart"/>
      <w:r>
        <w:rPr>
          <w:i/>
          <w:color w:val="222222"/>
          <w:sz w:val="24"/>
          <w:szCs w:val="24"/>
          <w:highlight w:val="white"/>
        </w:rPr>
        <w:t>науки</w:t>
      </w:r>
      <w:proofErr w:type="spellEnd"/>
      <w:r>
        <w:rPr>
          <w:color w:val="222222"/>
          <w:sz w:val="24"/>
          <w:szCs w:val="24"/>
          <w:highlight w:val="white"/>
        </w:rPr>
        <w:t>, (4), pp.160-164.</w:t>
      </w:r>
    </w:p>
    <w:p w14:paraId="3B072E99" w14:textId="77777777" w:rsidR="00D46DB0" w:rsidRDefault="00D46DB0" w:rsidP="00407620">
      <w:pPr>
        <w:spacing w:line="360" w:lineRule="auto"/>
        <w:rPr>
          <w:sz w:val="24"/>
          <w:szCs w:val="24"/>
        </w:rPr>
      </w:pPr>
      <w:r>
        <w:rPr>
          <w:color w:val="222222"/>
          <w:sz w:val="24"/>
          <w:szCs w:val="24"/>
          <w:highlight w:val="white"/>
        </w:rPr>
        <w:t xml:space="preserve">Edwards, M., 2018. Bridging the gap: an evidence-based approach to employee engagement. </w:t>
      </w:r>
      <w:r>
        <w:rPr>
          <w:i/>
          <w:color w:val="222222"/>
          <w:sz w:val="24"/>
          <w:szCs w:val="24"/>
          <w:highlight w:val="white"/>
        </w:rPr>
        <w:t>IES Perspectives on HR 2018</w:t>
      </w:r>
      <w:r>
        <w:rPr>
          <w:color w:val="222222"/>
          <w:sz w:val="24"/>
          <w:szCs w:val="24"/>
          <w:highlight w:val="white"/>
        </w:rPr>
        <w:t>.</w:t>
      </w:r>
    </w:p>
    <w:p w14:paraId="1D9366CC" w14:textId="77777777" w:rsidR="00D46DB0" w:rsidRDefault="00D46DB0" w:rsidP="00407620">
      <w:pPr>
        <w:spacing w:before="240" w:after="240" w:line="360" w:lineRule="auto"/>
        <w:jc w:val="both"/>
        <w:rPr>
          <w:color w:val="222222"/>
          <w:sz w:val="24"/>
          <w:szCs w:val="24"/>
          <w:highlight w:val="white"/>
        </w:rPr>
      </w:pPr>
      <w:proofErr w:type="spellStart"/>
      <w:r>
        <w:rPr>
          <w:color w:val="222222"/>
          <w:sz w:val="24"/>
          <w:szCs w:val="24"/>
          <w:highlight w:val="white"/>
        </w:rPr>
        <w:t>Itam</w:t>
      </w:r>
      <w:proofErr w:type="spellEnd"/>
      <w:r>
        <w:rPr>
          <w:color w:val="222222"/>
          <w:sz w:val="24"/>
          <w:szCs w:val="24"/>
          <w:highlight w:val="white"/>
        </w:rPr>
        <w:t xml:space="preserve">, U., </w:t>
      </w:r>
      <w:proofErr w:type="spellStart"/>
      <w:r>
        <w:rPr>
          <w:color w:val="222222"/>
          <w:sz w:val="24"/>
          <w:szCs w:val="24"/>
          <w:highlight w:val="white"/>
        </w:rPr>
        <w:t>Misra</w:t>
      </w:r>
      <w:proofErr w:type="spellEnd"/>
      <w:r>
        <w:rPr>
          <w:color w:val="222222"/>
          <w:sz w:val="24"/>
          <w:szCs w:val="24"/>
          <w:highlight w:val="white"/>
        </w:rPr>
        <w:t xml:space="preserve">, S. and Anjum, H., 2020. HRD indicators and branding practices: A viewpoint on the employer brand building process. </w:t>
      </w:r>
      <w:r>
        <w:rPr>
          <w:i/>
          <w:color w:val="222222"/>
          <w:sz w:val="24"/>
          <w:szCs w:val="24"/>
          <w:highlight w:val="white"/>
        </w:rPr>
        <w:t>European Journal of Training and Development</w:t>
      </w:r>
      <w:r>
        <w:rPr>
          <w:color w:val="222222"/>
          <w:sz w:val="24"/>
          <w:szCs w:val="24"/>
          <w:highlight w:val="white"/>
        </w:rPr>
        <w:t xml:space="preserve">, </w:t>
      </w:r>
      <w:r>
        <w:rPr>
          <w:i/>
          <w:color w:val="222222"/>
          <w:sz w:val="24"/>
          <w:szCs w:val="24"/>
          <w:highlight w:val="white"/>
        </w:rPr>
        <w:t>44</w:t>
      </w:r>
      <w:r>
        <w:rPr>
          <w:color w:val="222222"/>
          <w:sz w:val="24"/>
          <w:szCs w:val="24"/>
          <w:highlight w:val="white"/>
        </w:rPr>
        <w:t>(6/7), pp.675-694.</w:t>
      </w:r>
    </w:p>
    <w:p w14:paraId="3ADB50F7"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Johnson, S. and Pike, B., 2018. Employee retention: The state of engagement in public accounting firms and why it matters. </w:t>
      </w:r>
      <w:r>
        <w:rPr>
          <w:i/>
          <w:color w:val="222222"/>
          <w:sz w:val="24"/>
          <w:szCs w:val="24"/>
          <w:highlight w:val="white"/>
        </w:rPr>
        <w:t>The CPA Journal</w:t>
      </w:r>
      <w:r>
        <w:rPr>
          <w:color w:val="222222"/>
          <w:sz w:val="24"/>
          <w:szCs w:val="24"/>
          <w:highlight w:val="white"/>
        </w:rPr>
        <w:t xml:space="preserve">, </w:t>
      </w:r>
      <w:r>
        <w:rPr>
          <w:i/>
          <w:color w:val="222222"/>
          <w:sz w:val="24"/>
          <w:szCs w:val="24"/>
          <w:highlight w:val="white"/>
        </w:rPr>
        <w:t>88</w:t>
      </w:r>
      <w:r>
        <w:rPr>
          <w:color w:val="222222"/>
          <w:sz w:val="24"/>
          <w:szCs w:val="24"/>
          <w:highlight w:val="white"/>
        </w:rPr>
        <w:t>(12), pp.64-66.</w:t>
      </w:r>
    </w:p>
    <w:p w14:paraId="0ABDD7B2"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Jung, Y. and Takeuchi, N., 2018. A lifespan perspective for understanding career self-management and satisfaction: The role of developmental human resource practices and organizational support. </w:t>
      </w:r>
      <w:r>
        <w:rPr>
          <w:i/>
          <w:color w:val="222222"/>
          <w:sz w:val="24"/>
          <w:szCs w:val="24"/>
          <w:highlight w:val="white"/>
        </w:rPr>
        <w:t>Human Relations</w:t>
      </w:r>
      <w:r>
        <w:rPr>
          <w:color w:val="222222"/>
          <w:sz w:val="24"/>
          <w:szCs w:val="24"/>
          <w:highlight w:val="white"/>
        </w:rPr>
        <w:t xml:space="preserve">, </w:t>
      </w:r>
      <w:r>
        <w:rPr>
          <w:i/>
          <w:color w:val="222222"/>
          <w:sz w:val="24"/>
          <w:szCs w:val="24"/>
          <w:highlight w:val="white"/>
        </w:rPr>
        <w:t>71</w:t>
      </w:r>
      <w:r>
        <w:rPr>
          <w:color w:val="222222"/>
          <w:sz w:val="24"/>
          <w:szCs w:val="24"/>
          <w:highlight w:val="white"/>
        </w:rPr>
        <w:t>(1), pp.73-102.</w:t>
      </w:r>
    </w:p>
    <w:p w14:paraId="3008717A"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Lipson, S.D., 2021. Platforming gamification as a means of engagement in employee recruitment and onboarding.</w:t>
      </w:r>
    </w:p>
    <w:p w14:paraId="4EF6166F"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Papa, A., </w:t>
      </w:r>
      <w:proofErr w:type="spellStart"/>
      <w:r>
        <w:rPr>
          <w:color w:val="222222"/>
          <w:sz w:val="24"/>
          <w:szCs w:val="24"/>
          <w:highlight w:val="white"/>
        </w:rPr>
        <w:t>Dezi</w:t>
      </w:r>
      <w:proofErr w:type="spellEnd"/>
      <w:r>
        <w:rPr>
          <w:color w:val="222222"/>
          <w:sz w:val="24"/>
          <w:szCs w:val="24"/>
          <w:highlight w:val="white"/>
        </w:rPr>
        <w:t xml:space="preserve">, L., </w:t>
      </w:r>
      <w:proofErr w:type="spellStart"/>
      <w:r>
        <w:rPr>
          <w:color w:val="222222"/>
          <w:sz w:val="24"/>
          <w:szCs w:val="24"/>
          <w:highlight w:val="white"/>
        </w:rPr>
        <w:t>Gregori</w:t>
      </w:r>
      <w:proofErr w:type="spellEnd"/>
      <w:r>
        <w:rPr>
          <w:color w:val="222222"/>
          <w:sz w:val="24"/>
          <w:szCs w:val="24"/>
          <w:highlight w:val="white"/>
        </w:rPr>
        <w:t xml:space="preserve">, G.L., Mueller, J. and </w:t>
      </w:r>
      <w:proofErr w:type="spellStart"/>
      <w:r>
        <w:rPr>
          <w:color w:val="222222"/>
          <w:sz w:val="24"/>
          <w:szCs w:val="24"/>
          <w:highlight w:val="white"/>
        </w:rPr>
        <w:t>Miglietta</w:t>
      </w:r>
      <w:proofErr w:type="spellEnd"/>
      <w:r>
        <w:rPr>
          <w:color w:val="222222"/>
          <w:sz w:val="24"/>
          <w:szCs w:val="24"/>
          <w:highlight w:val="white"/>
        </w:rPr>
        <w:t xml:space="preserve">, N., 2018. Improving innovation performance through knowledge acquisition: the moderating role of employee retention and human resource management practices. </w:t>
      </w:r>
      <w:r>
        <w:rPr>
          <w:i/>
          <w:color w:val="222222"/>
          <w:sz w:val="24"/>
          <w:szCs w:val="24"/>
          <w:highlight w:val="white"/>
        </w:rPr>
        <w:t>Journal of Knowledge Management</w:t>
      </w:r>
      <w:r>
        <w:rPr>
          <w:color w:val="222222"/>
          <w:sz w:val="24"/>
          <w:szCs w:val="24"/>
          <w:highlight w:val="white"/>
        </w:rPr>
        <w:t>.</w:t>
      </w:r>
    </w:p>
    <w:p w14:paraId="51C7743E"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lastRenderedPageBreak/>
        <w:t xml:space="preserve">Sato, Y., Kobayashi, N. and </w:t>
      </w:r>
      <w:proofErr w:type="spellStart"/>
      <w:r>
        <w:rPr>
          <w:color w:val="222222"/>
          <w:sz w:val="24"/>
          <w:szCs w:val="24"/>
          <w:highlight w:val="white"/>
        </w:rPr>
        <w:t>Shirasaka</w:t>
      </w:r>
      <w:proofErr w:type="spellEnd"/>
      <w:r>
        <w:rPr>
          <w:color w:val="222222"/>
          <w:sz w:val="24"/>
          <w:szCs w:val="24"/>
          <w:highlight w:val="white"/>
        </w:rPr>
        <w:t xml:space="preserve">, S., 2020. An analysis of human resource management for knowledge workers: Using the three axes of target employee, lifecycle stage, and human resource flow. </w:t>
      </w:r>
      <w:r>
        <w:rPr>
          <w:i/>
          <w:color w:val="222222"/>
          <w:sz w:val="24"/>
          <w:szCs w:val="24"/>
          <w:highlight w:val="white"/>
        </w:rPr>
        <w:t>Review of Integrative Business and Economics Research</w:t>
      </w:r>
      <w:r>
        <w:rPr>
          <w:color w:val="222222"/>
          <w:sz w:val="24"/>
          <w:szCs w:val="24"/>
          <w:highlight w:val="white"/>
        </w:rPr>
        <w:t xml:space="preserve">, </w:t>
      </w:r>
      <w:r>
        <w:rPr>
          <w:i/>
          <w:color w:val="222222"/>
          <w:sz w:val="24"/>
          <w:szCs w:val="24"/>
          <w:highlight w:val="white"/>
        </w:rPr>
        <w:t>9</w:t>
      </w:r>
      <w:r>
        <w:rPr>
          <w:color w:val="222222"/>
          <w:sz w:val="24"/>
          <w:szCs w:val="24"/>
          <w:highlight w:val="white"/>
        </w:rPr>
        <w:t>(1), pp.140-156.</w:t>
      </w:r>
    </w:p>
    <w:p w14:paraId="6BC35925"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Schwartz, J., Hatfield, S., Jones, R. and Anderson, S., 2019. What is the future of work. </w:t>
      </w:r>
      <w:r>
        <w:rPr>
          <w:i/>
          <w:color w:val="222222"/>
          <w:sz w:val="24"/>
          <w:szCs w:val="24"/>
          <w:highlight w:val="white"/>
        </w:rPr>
        <w:t>Redefining work, workforces, and workplaces. Part of A Deloitte Series on the Future of Work</w:t>
      </w:r>
      <w:r>
        <w:rPr>
          <w:color w:val="222222"/>
          <w:sz w:val="24"/>
          <w:szCs w:val="24"/>
          <w:highlight w:val="white"/>
        </w:rPr>
        <w:t>.</w:t>
      </w:r>
    </w:p>
    <w:p w14:paraId="403FCC7D"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Singh, D., 2019. A literature review on employee retention with focus on recent trends. </w:t>
      </w:r>
      <w:r>
        <w:rPr>
          <w:i/>
          <w:color w:val="222222"/>
          <w:sz w:val="24"/>
          <w:szCs w:val="24"/>
          <w:highlight w:val="white"/>
        </w:rPr>
        <w:t>International Journal of Scientific Research in Science and Technology</w:t>
      </w:r>
      <w:r>
        <w:rPr>
          <w:color w:val="222222"/>
          <w:sz w:val="24"/>
          <w:szCs w:val="24"/>
          <w:highlight w:val="white"/>
        </w:rPr>
        <w:t xml:space="preserve">, </w:t>
      </w:r>
      <w:r>
        <w:rPr>
          <w:i/>
          <w:color w:val="222222"/>
          <w:sz w:val="24"/>
          <w:szCs w:val="24"/>
          <w:highlight w:val="white"/>
        </w:rPr>
        <w:t>6</w:t>
      </w:r>
      <w:r>
        <w:rPr>
          <w:color w:val="222222"/>
          <w:sz w:val="24"/>
          <w:szCs w:val="24"/>
          <w:highlight w:val="white"/>
        </w:rPr>
        <w:t>(1), pp.425-431.</w:t>
      </w:r>
    </w:p>
    <w:p w14:paraId="6A94AE8D" w14:textId="77777777" w:rsidR="00D46DB0" w:rsidRDefault="00D46DB0" w:rsidP="00407620">
      <w:pPr>
        <w:spacing w:before="240" w:after="240" w:line="360" w:lineRule="auto"/>
        <w:jc w:val="both"/>
        <w:rPr>
          <w:color w:val="222222"/>
          <w:sz w:val="24"/>
          <w:szCs w:val="24"/>
          <w:highlight w:val="white"/>
        </w:rPr>
      </w:pPr>
      <w:proofErr w:type="spellStart"/>
      <w:r>
        <w:rPr>
          <w:color w:val="222222"/>
          <w:sz w:val="24"/>
          <w:szCs w:val="24"/>
          <w:highlight w:val="white"/>
        </w:rPr>
        <w:t>Veldsman</w:t>
      </w:r>
      <w:proofErr w:type="spellEnd"/>
      <w:r>
        <w:rPr>
          <w:color w:val="222222"/>
          <w:sz w:val="24"/>
          <w:szCs w:val="24"/>
          <w:highlight w:val="white"/>
        </w:rPr>
        <w:t xml:space="preserve">, D. and van der Merwe, M., 2022. Designing for Humans: A Revised Consumer Experience-Based Approach Towards People Management Practices. In </w:t>
      </w:r>
      <w:r>
        <w:rPr>
          <w:i/>
          <w:color w:val="222222"/>
          <w:sz w:val="24"/>
          <w:szCs w:val="24"/>
          <w:highlight w:val="white"/>
        </w:rPr>
        <w:t>Managing Human Resources</w:t>
      </w:r>
      <w:r>
        <w:rPr>
          <w:color w:val="222222"/>
          <w:sz w:val="24"/>
          <w:szCs w:val="24"/>
          <w:highlight w:val="white"/>
        </w:rPr>
        <w:t xml:space="preserve"> (pp. 53-73). Springer, Cham.</w:t>
      </w:r>
    </w:p>
    <w:p w14:paraId="64F93A93"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Wilton, N., 2022. An introduction to human resource management. </w:t>
      </w:r>
      <w:r>
        <w:rPr>
          <w:i/>
          <w:color w:val="222222"/>
          <w:sz w:val="24"/>
          <w:szCs w:val="24"/>
          <w:highlight w:val="white"/>
        </w:rPr>
        <w:t>An Introduction to Human Resource Management</w:t>
      </w:r>
      <w:r>
        <w:rPr>
          <w:color w:val="222222"/>
          <w:sz w:val="24"/>
          <w:szCs w:val="24"/>
          <w:highlight w:val="white"/>
        </w:rPr>
        <w:t>, pp.1-100.</w:t>
      </w:r>
    </w:p>
    <w:p w14:paraId="4849140F" w14:textId="77777777" w:rsidR="00D46DB0" w:rsidRDefault="00D46DB0" w:rsidP="00407620">
      <w:pPr>
        <w:spacing w:before="240" w:after="240" w:line="360" w:lineRule="auto"/>
        <w:jc w:val="both"/>
        <w:rPr>
          <w:color w:val="222222"/>
          <w:sz w:val="24"/>
          <w:szCs w:val="24"/>
          <w:highlight w:val="white"/>
        </w:rPr>
      </w:pPr>
      <w:r>
        <w:rPr>
          <w:color w:val="222222"/>
          <w:sz w:val="24"/>
          <w:szCs w:val="24"/>
          <w:highlight w:val="white"/>
        </w:rPr>
        <w:t xml:space="preserve">Zhang, Y., Luo, Y., Zhang, X. and Zhao, J., 2019. </w:t>
      </w:r>
      <w:proofErr w:type="gramStart"/>
      <w:r>
        <w:rPr>
          <w:color w:val="222222"/>
          <w:sz w:val="24"/>
          <w:szCs w:val="24"/>
          <w:highlight w:val="white"/>
        </w:rPr>
        <w:t>How</w:t>
      </w:r>
      <w:proofErr w:type="gramEnd"/>
      <w:r>
        <w:rPr>
          <w:color w:val="222222"/>
          <w:sz w:val="24"/>
          <w:szCs w:val="24"/>
          <w:highlight w:val="white"/>
        </w:rPr>
        <w:t xml:space="preserve"> green human resource management can promote green employee </w:t>
      </w:r>
      <w:proofErr w:type="spellStart"/>
      <w:r>
        <w:rPr>
          <w:color w:val="222222"/>
          <w:sz w:val="24"/>
          <w:szCs w:val="24"/>
          <w:highlight w:val="white"/>
        </w:rPr>
        <w:t>behavior</w:t>
      </w:r>
      <w:proofErr w:type="spellEnd"/>
      <w:r>
        <w:rPr>
          <w:color w:val="222222"/>
          <w:sz w:val="24"/>
          <w:szCs w:val="24"/>
          <w:highlight w:val="white"/>
        </w:rPr>
        <w:t xml:space="preserve"> in China: A technology acceptance model perspective.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11</w:t>
      </w:r>
      <w:r>
        <w:rPr>
          <w:color w:val="222222"/>
          <w:sz w:val="24"/>
          <w:szCs w:val="24"/>
          <w:highlight w:val="white"/>
        </w:rPr>
        <w:t>(19), p.5408.</w:t>
      </w:r>
    </w:p>
    <w:sectPr w:rsidR="00D46DB0" w:rsidSect="00407620">
      <w:headerReference w:type="default" r:id="rId7"/>
      <w:footerReference w:type="default" r:id="rId8"/>
      <w:headerReference w:type="firs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800F4" w14:textId="77777777" w:rsidR="00696313" w:rsidRDefault="00696313">
      <w:pPr>
        <w:spacing w:line="240" w:lineRule="auto"/>
      </w:pPr>
      <w:r>
        <w:separator/>
      </w:r>
    </w:p>
  </w:endnote>
  <w:endnote w:type="continuationSeparator" w:id="0">
    <w:p w14:paraId="46CCA334" w14:textId="77777777" w:rsidR="00696313" w:rsidRDefault="006963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E" w14:textId="035EB259" w:rsidR="00C50753" w:rsidRDefault="008E32C1">
    <w:pPr>
      <w:jc w:val="right"/>
    </w:pPr>
    <w:r>
      <w:fldChar w:fldCharType="begin"/>
    </w:r>
    <w:r>
      <w:instrText>PAGE</w:instrText>
    </w:r>
    <w:r>
      <w:fldChar w:fldCharType="separate"/>
    </w:r>
    <w:r w:rsidR="00407620">
      <w:rPr>
        <w:noProof/>
      </w:rPr>
      <w:t>10</w:t>
    </w:r>
    <w:r>
      <w:fldChar w:fldCharType="end"/>
    </w:r>
  </w:p>
  <w:p w14:paraId="0000004F" w14:textId="77777777" w:rsidR="00C50753" w:rsidRDefault="00C50753">
    <w:pPr>
      <w:widowControl w:val="0"/>
      <w:pBdr>
        <w:top w:val="nil"/>
        <w:left w:val="nil"/>
        <w:bottom w:val="nil"/>
        <w:right w:val="nil"/>
        <w:between w:val="nil"/>
      </w:pBd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003CBE8C" w:rsidR="00C50753" w:rsidRDefault="008E32C1">
    <w:r>
      <w:t xml:space="preserve">                                                                                                                                             </w:t>
    </w:r>
    <w:r>
      <w:fldChar w:fldCharType="begin"/>
    </w:r>
    <w:r>
      <w:instrText>PAGE</w:instrText>
    </w:r>
    <w:r>
      <w:fldChar w:fldCharType="separate"/>
    </w:r>
    <w:r w:rsidR="00407620">
      <w:rPr>
        <w:noProof/>
      </w:rPr>
      <w:t>1</w:t>
    </w:r>
    <w:r>
      <w:fldChar w:fldCharType="end"/>
    </w:r>
  </w:p>
  <w:p w14:paraId="0000004D" w14:textId="77777777" w:rsidR="00C50753" w:rsidRDefault="00C50753">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BBD01" w14:textId="77777777" w:rsidR="00696313" w:rsidRDefault="00696313">
      <w:pPr>
        <w:spacing w:line="240" w:lineRule="auto"/>
      </w:pPr>
      <w:r>
        <w:separator/>
      </w:r>
    </w:p>
  </w:footnote>
  <w:footnote w:type="continuationSeparator" w:id="0">
    <w:p w14:paraId="2D6C98BB" w14:textId="77777777" w:rsidR="00696313" w:rsidRDefault="006963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77777777" w:rsidR="00C50753" w:rsidRDefault="00C50753">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77777777" w:rsidR="00C50753" w:rsidRDefault="00C50753">
    <w:pPr>
      <w:ind w:left="7920" w:firstLine="7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753"/>
    <w:rsid w:val="0036324B"/>
    <w:rsid w:val="00407620"/>
    <w:rsid w:val="00696313"/>
    <w:rsid w:val="006D0697"/>
    <w:rsid w:val="00893CFF"/>
    <w:rsid w:val="008E32C1"/>
    <w:rsid w:val="009A30C3"/>
    <w:rsid w:val="009D37CA"/>
    <w:rsid w:val="00A327BC"/>
    <w:rsid w:val="00C50753"/>
    <w:rsid w:val="00CC60D5"/>
    <w:rsid w:val="00D46D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9E6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b/>
      <w:sz w:val="24"/>
      <w:szCs w:val="24"/>
    </w:rPr>
  </w:style>
  <w:style w:type="paragraph" w:styleId="Heading2">
    <w:name w:val="heading 2"/>
    <w:basedOn w:val="Normal"/>
    <w:next w:val="Normal"/>
    <w:pPr>
      <w:keepNext/>
      <w:keepLines/>
      <w:spacing w:before="360" w:after="120"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421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1AD"/>
    <w:rPr>
      <w:rFonts w:ascii="Tahoma" w:hAnsi="Tahoma" w:cs="Tahoma"/>
      <w:sz w:val="16"/>
      <w:szCs w:val="16"/>
    </w:rPr>
  </w:style>
  <w:style w:type="paragraph" w:styleId="TOC1">
    <w:name w:val="toc 1"/>
    <w:basedOn w:val="Normal"/>
    <w:next w:val="Normal"/>
    <w:autoRedefine/>
    <w:uiPriority w:val="39"/>
    <w:unhideWhenUsed/>
    <w:rsid w:val="00D46DB0"/>
    <w:pPr>
      <w:spacing w:after="100"/>
    </w:pPr>
  </w:style>
  <w:style w:type="character" w:styleId="Hyperlink">
    <w:name w:val="Hyperlink"/>
    <w:basedOn w:val="DefaultParagraphFont"/>
    <w:uiPriority w:val="99"/>
    <w:unhideWhenUsed/>
    <w:rsid w:val="00D46DB0"/>
    <w:rPr>
      <w:color w:val="0000FF" w:themeColor="hyperlink"/>
      <w:u w:val="single"/>
    </w:rPr>
  </w:style>
  <w:style w:type="paragraph" w:styleId="Header">
    <w:name w:val="header"/>
    <w:basedOn w:val="Normal"/>
    <w:link w:val="HeaderChar"/>
    <w:uiPriority w:val="99"/>
    <w:unhideWhenUsed/>
    <w:rsid w:val="009D37CA"/>
    <w:pPr>
      <w:tabs>
        <w:tab w:val="center" w:pos="4513"/>
        <w:tab w:val="right" w:pos="9026"/>
      </w:tabs>
      <w:spacing w:line="240" w:lineRule="auto"/>
    </w:pPr>
  </w:style>
  <w:style w:type="character" w:customStyle="1" w:styleId="HeaderChar">
    <w:name w:val="Header Char"/>
    <w:basedOn w:val="DefaultParagraphFont"/>
    <w:link w:val="Header"/>
    <w:uiPriority w:val="99"/>
    <w:rsid w:val="009D37CA"/>
  </w:style>
  <w:style w:type="paragraph" w:styleId="Footer">
    <w:name w:val="footer"/>
    <w:basedOn w:val="Normal"/>
    <w:link w:val="FooterChar"/>
    <w:uiPriority w:val="99"/>
    <w:unhideWhenUsed/>
    <w:rsid w:val="009D37CA"/>
    <w:pPr>
      <w:tabs>
        <w:tab w:val="center" w:pos="4513"/>
        <w:tab w:val="right" w:pos="9026"/>
      </w:tabs>
      <w:spacing w:line="240" w:lineRule="auto"/>
    </w:pPr>
  </w:style>
  <w:style w:type="character" w:customStyle="1" w:styleId="FooterChar">
    <w:name w:val="Footer Char"/>
    <w:basedOn w:val="DefaultParagraphFont"/>
    <w:link w:val="Footer"/>
    <w:uiPriority w:val="99"/>
    <w:rsid w:val="009D3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q/wjR/ynOmDmOy4huzczeiQv3g==">AMUW2mXkrMIVUEYK28/rsG6cmga29hZkj5aXdmtfMDy+VdRYtKoq7DJviIyTuVjbYaYYiM0m1F8J3r0zTRrA3iHLUkHD+yplXd/cH2NXu8yt1oX/8xtLdkmQQVCC1vRE/cFSkUhj2rh+l3JnBOBRjeMWmSWjFfu3qpQY1oaP0FhOHLm1aBQglV3jJpUyS+pXBYjwOCWcflaptdvXvBFIo2+Gk+7oaZ9cCt0pK3DRG++B+HrLoFswgvJqqQClCjffRH1V+/MBo5YogGO9vy/Z/7S6y72DsPAoI16v6pmoyatCDwLgEZbVU4S5+YdfpixoaOtzYxEwTCp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2496</Words>
  <Characters>14230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2022-10-23T21:56:00Z</dcterms:created>
  <dcterms:modified xsi:type="dcterms:W3CDTF">2022-10-23T21:56:00Z</dcterms:modified>
</cp:coreProperties>
</file>