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544B3" w14:textId="77777777" w:rsidR="00BB0970" w:rsidRDefault="00BB0970" w:rsidP="00CC301B">
      <w:pPr>
        <w:pStyle w:val="Heading1"/>
      </w:pPr>
    </w:p>
    <w:p w14:paraId="379A4E83" w14:textId="383579EF" w:rsidR="00BB0970" w:rsidRPr="00BB0970" w:rsidRDefault="00BB0970" w:rsidP="00BB0970">
      <w:pPr>
        <w:spacing w:after="160" w:line="259" w:lineRule="auto"/>
        <w:ind w:firstLine="0"/>
        <w:jc w:val="right"/>
        <w:rPr>
          <w:lang w:val="en"/>
        </w:rPr>
      </w:pPr>
    </w:p>
    <w:p w14:paraId="3E070D17" w14:textId="77777777" w:rsidR="007B6507" w:rsidRDefault="00D77555" w:rsidP="007B6507">
      <w:pPr>
        <w:spacing w:after="160" w:line="259" w:lineRule="auto"/>
        <w:ind w:firstLine="0"/>
        <w:jc w:val="center"/>
        <w:rPr>
          <w:b/>
          <w:lang w:val="en"/>
        </w:rPr>
      </w:pPr>
      <w:r w:rsidRPr="00BB0970">
        <w:rPr>
          <w:b/>
          <w:lang w:val="en"/>
        </w:rPr>
        <w:t>BMIH5005 Personnel Resourcing and Development</w:t>
      </w:r>
    </w:p>
    <w:p w14:paraId="7FA22BEB" w14:textId="77777777" w:rsidR="007B6507" w:rsidRDefault="007B6507" w:rsidP="007B6507">
      <w:pPr>
        <w:spacing w:after="160" w:line="259" w:lineRule="auto"/>
        <w:ind w:firstLine="0"/>
        <w:jc w:val="center"/>
        <w:rPr>
          <w:bCs/>
        </w:rPr>
      </w:pPr>
      <w:r w:rsidRPr="007B6507">
        <w:rPr>
          <w:bCs/>
          <w:lang w:val="en"/>
        </w:rPr>
        <w:t>Sezen Mustanova</w:t>
      </w:r>
    </w:p>
    <w:p w14:paraId="76F2EF46" w14:textId="77777777" w:rsidR="007B6507" w:rsidRDefault="007B6507" w:rsidP="007B6507">
      <w:pPr>
        <w:spacing w:after="160" w:line="259" w:lineRule="auto"/>
        <w:ind w:firstLine="0"/>
        <w:jc w:val="center"/>
        <w:rPr>
          <w:bCs/>
        </w:rPr>
      </w:pPr>
      <w:r>
        <w:rPr>
          <w:bCs/>
        </w:rPr>
        <w:t>Helen Lee</w:t>
      </w:r>
    </w:p>
    <w:p w14:paraId="13ED93ED" w14:textId="68A4EF85" w:rsidR="005D36BB" w:rsidRDefault="005D36BB" w:rsidP="007B6507">
      <w:pPr>
        <w:spacing w:after="160" w:line="259" w:lineRule="auto"/>
        <w:ind w:firstLine="0"/>
        <w:jc w:val="center"/>
        <w:rPr>
          <w:bCs/>
        </w:rPr>
      </w:pPr>
      <w:r>
        <w:rPr>
          <w:bCs/>
        </w:rPr>
        <w:t>Word Count 2147</w:t>
      </w:r>
    </w:p>
    <w:p w14:paraId="7A4A6F9F" w14:textId="7A0BB579" w:rsidR="00BB0970" w:rsidRPr="007B6507" w:rsidRDefault="00D77555" w:rsidP="007B6507">
      <w:pPr>
        <w:spacing w:after="160" w:line="259" w:lineRule="auto"/>
        <w:ind w:firstLine="0"/>
        <w:jc w:val="center"/>
        <w:rPr>
          <w:bCs/>
        </w:rPr>
      </w:pPr>
      <w:r w:rsidRPr="007B6507">
        <w:rPr>
          <w:bCs/>
        </w:rPr>
        <w:br w:type="page"/>
      </w:r>
    </w:p>
    <w:p w14:paraId="07E069D2" w14:textId="77777777" w:rsidR="007B6507" w:rsidRPr="007B6507" w:rsidRDefault="007B6507" w:rsidP="007B6507">
      <w:pPr>
        <w:spacing w:after="160" w:line="259" w:lineRule="auto"/>
        <w:ind w:firstLine="0"/>
        <w:jc w:val="center"/>
        <w:rPr>
          <w:lang w:val="en"/>
        </w:rPr>
      </w:pPr>
    </w:p>
    <w:p w14:paraId="14A90F84" w14:textId="77777777" w:rsidR="005A366A" w:rsidRPr="00501D92" w:rsidRDefault="00D77555" w:rsidP="00CC301B">
      <w:pPr>
        <w:pStyle w:val="Heading1"/>
      </w:pPr>
      <w:r w:rsidRPr="00501D92">
        <w:t>Introduction</w:t>
      </w:r>
    </w:p>
    <w:p w14:paraId="34C4EC08" w14:textId="77777777" w:rsidR="001C07D4" w:rsidRPr="00501D92" w:rsidRDefault="00D77555" w:rsidP="00CC301B">
      <w:r w:rsidRPr="00501D92">
        <w:t>The workers of Generation Z have grown up using a wide range of technological devices. Thus, it is expected that they will put this expertise to use in their careers. Before "Gen Z" was chosen as the label, other labels such as "Selfie Generation" and "iGen" were used (</w:t>
      </w:r>
      <w:r w:rsidR="004E008F" w:rsidRPr="00501D92">
        <w:t>Dimock, 2019</w:t>
      </w:r>
      <w:r w:rsidRPr="00501D92">
        <w:t>).</w:t>
      </w:r>
      <w:r w:rsidR="00A668E1" w:rsidRPr="00501D92">
        <w:t xml:space="preserve"> </w:t>
      </w:r>
      <w:r w:rsidR="001C2581" w:rsidRPr="00501D92">
        <w:t xml:space="preserve">If businesses want to connect with members of Generation Z in the workplace, they may need to find </w:t>
      </w:r>
      <w:r w:rsidR="00A668E1" w:rsidRPr="00501D92">
        <w:t>ways to engage them.</w:t>
      </w:r>
      <w:r w:rsidR="00DC3F3B" w:rsidRPr="00501D92">
        <w:t xml:space="preserve"> </w:t>
      </w:r>
      <w:r w:rsidR="00AF54F9" w:rsidRPr="00501D92">
        <w:t xml:space="preserve">Thus, </w:t>
      </w:r>
      <w:r w:rsidRPr="00501D92">
        <w:t>people</w:t>
      </w:r>
      <w:r w:rsidR="00AF54F9" w:rsidRPr="00501D92">
        <w:t xml:space="preserve"> professional </w:t>
      </w:r>
      <w:r w:rsidRPr="00501D92">
        <w:t>embraces</w:t>
      </w:r>
      <w:r w:rsidR="00AF54F9" w:rsidRPr="00501D92">
        <w:t xml:space="preserve"> the employee lifecycle to run the </w:t>
      </w:r>
      <w:r w:rsidRPr="00501D92">
        <w:t>hiring</w:t>
      </w:r>
      <w:r w:rsidR="00AF54F9" w:rsidRPr="00501D92">
        <w:t xml:space="preserve"> and exiting procedure smoothly. </w:t>
      </w:r>
      <w:r w:rsidR="009A2BCE" w:rsidRPr="00501D92">
        <w:t xml:space="preserve">The seven stages of an employee's lifespan include </w:t>
      </w:r>
      <w:r w:rsidRPr="00501D92">
        <w:t>Attraction, Recruitment, Onboarding, Development, Retention, and Separation</w:t>
      </w:r>
      <w:r w:rsidR="009A2BCE" w:rsidRPr="00501D92">
        <w:t>. All of a worker's time spent at a company falls under these categories</w:t>
      </w:r>
      <w:r w:rsidR="00C33FA1" w:rsidRPr="00501D92">
        <w:t xml:space="preserve"> (</w:t>
      </w:r>
      <w:r w:rsidR="004E008F" w:rsidRPr="00501D92">
        <w:t>Schroth, 2019</w:t>
      </w:r>
      <w:r w:rsidR="00C33FA1" w:rsidRPr="00501D92">
        <w:t xml:space="preserve">). </w:t>
      </w:r>
    </w:p>
    <w:p w14:paraId="019FC7C6" w14:textId="77777777" w:rsidR="00EF5BA8" w:rsidRPr="00501D92" w:rsidRDefault="00D77555" w:rsidP="00CC301B">
      <w:r w:rsidRPr="00501D92">
        <w:t xml:space="preserve">In this essence, this study aims to </w:t>
      </w:r>
      <w:r w:rsidR="003211ED" w:rsidRPr="00501D92">
        <w:t>illustrate</w:t>
      </w:r>
      <w:r w:rsidRPr="00501D92">
        <w:t xml:space="preserve"> what the </w:t>
      </w:r>
      <w:bookmarkStart w:id="0" w:name="_Hlk148295404"/>
      <w:r w:rsidRPr="00501D92">
        <w:t xml:space="preserve">HR department should employ to engage employees </w:t>
      </w:r>
      <w:bookmarkEnd w:id="0"/>
      <w:r w:rsidRPr="00501D92">
        <w:t>(</w:t>
      </w:r>
      <w:bookmarkStart w:id="1" w:name="_Hlk148297980"/>
      <w:r w:rsidRPr="00501D92">
        <w:t>Generation Zs) throughout the employee lifecycle within a large hotel</w:t>
      </w:r>
      <w:bookmarkEnd w:id="1"/>
      <w:r w:rsidRPr="00501D92">
        <w:t xml:space="preserve">. </w:t>
      </w:r>
      <w:r w:rsidR="00311C26" w:rsidRPr="00501D92">
        <w:t>The study will</w:t>
      </w:r>
      <w:bookmarkStart w:id="2" w:name="_Hlk148286806"/>
      <w:r w:rsidR="00311C26" w:rsidRPr="00501D92">
        <w:t xml:space="preserve"> define the role of </w:t>
      </w:r>
      <w:r w:rsidR="00C80571" w:rsidRPr="00501D92">
        <w:t>HR</w:t>
      </w:r>
      <w:r w:rsidR="00311C26" w:rsidRPr="00501D92">
        <w:t xml:space="preserve"> in engaging employees</w:t>
      </w:r>
      <w:r w:rsidR="00C80571" w:rsidRPr="00501D92">
        <w:t xml:space="preserve">, the characteristics of Gen Z, ways of </w:t>
      </w:r>
      <w:r w:rsidR="007C0D3B" w:rsidRPr="00501D92">
        <w:t>engaging</w:t>
      </w:r>
      <w:r w:rsidR="00C80571" w:rsidRPr="00501D92">
        <w:t xml:space="preserve"> a team, and its </w:t>
      </w:r>
      <w:r w:rsidR="007C0D3B" w:rsidRPr="00501D92">
        <w:t>advantages</w:t>
      </w:r>
      <w:r w:rsidR="00C80571" w:rsidRPr="00501D92">
        <w:t xml:space="preserve">. </w:t>
      </w:r>
      <w:r w:rsidR="007C0D3B" w:rsidRPr="00501D92">
        <w:t>Moreover,</w:t>
      </w:r>
      <w:r w:rsidR="00252610" w:rsidRPr="00501D92">
        <w:t xml:space="preserve"> the study wil</w:t>
      </w:r>
      <w:r w:rsidR="007C0D3B" w:rsidRPr="00501D92">
        <w:t>l</w:t>
      </w:r>
      <w:r w:rsidR="00252610" w:rsidRPr="00501D92">
        <w:t xml:space="preserve"> employ </w:t>
      </w:r>
      <w:r w:rsidR="007C0D3B" w:rsidRPr="00501D92">
        <w:t>steps</w:t>
      </w:r>
      <w:r w:rsidR="00252610" w:rsidRPr="00501D92">
        <w:t xml:space="preserve"> of the employee lifecycle and techniques suitable for Generation Z in each employee life cycle element. </w:t>
      </w:r>
      <w:r w:rsidR="00AB0E64" w:rsidRPr="00501D92">
        <w:t xml:space="preserve">Two </w:t>
      </w:r>
      <w:r w:rsidR="007C0D3B" w:rsidRPr="00501D92">
        <w:t>examples</w:t>
      </w:r>
      <w:r w:rsidR="00AB0E64" w:rsidRPr="00501D92">
        <w:t xml:space="preserve"> will be </w:t>
      </w:r>
      <w:r w:rsidR="007C0D3B" w:rsidRPr="00501D92">
        <w:t>provid</w:t>
      </w:r>
      <w:r w:rsidR="00AB0E64" w:rsidRPr="00501D92">
        <w:t xml:space="preserve">ed to engage a team effectively, along with the Deloitte Model for employee </w:t>
      </w:r>
      <w:r w:rsidR="007C0D3B" w:rsidRPr="00501D92">
        <w:t>e</w:t>
      </w:r>
      <w:r w:rsidR="00AB0E64" w:rsidRPr="00501D92">
        <w:t>nga</w:t>
      </w:r>
      <w:r w:rsidR="007C0D3B" w:rsidRPr="00501D92">
        <w:t>ge</w:t>
      </w:r>
      <w:r w:rsidR="00AB0E64" w:rsidRPr="00501D92">
        <w:t xml:space="preserve">ment and its </w:t>
      </w:r>
      <w:r w:rsidR="007C0D3B" w:rsidRPr="00501D92">
        <w:t>implementation</w:t>
      </w:r>
      <w:r w:rsidR="00F57929" w:rsidRPr="00501D92">
        <w:t xml:space="preserve">. The essay will provide examples of </w:t>
      </w:r>
      <w:r w:rsidR="007C0D3B" w:rsidRPr="00501D92">
        <w:t>Premier</w:t>
      </w:r>
      <w:r w:rsidR="00F57929" w:rsidRPr="00501D92">
        <w:t xml:space="preserve"> Inn and </w:t>
      </w:r>
      <w:r w:rsidR="007C0D3B" w:rsidRPr="00501D92">
        <w:t>Marriott</w:t>
      </w:r>
      <w:r w:rsidR="00F57929" w:rsidRPr="00501D92">
        <w:t xml:space="preserve"> Hotels to </w:t>
      </w:r>
      <w:r w:rsidR="007C0D3B" w:rsidRPr="00501D92">
        <w:t>illustrate</w:t>
      </w:r>
      <w:r w:rsidR="00F57929" w:rsidRPr="00501D92">
        <w:t xml:space="preserve"> </w:t>
      </w:r>
      <w:r w:rsidR="007C0D3B" w:rsidRPr="00501D92">
        <w:t>their</w:t>
      </w:r>
      <w:r w:rsidR="00F57929" w:rsidRPr="00501D92">
        <w:t xml:space="preserve"> contribution to employee </w:t>
      </w:r>
      <w:r w:rsidR="007C0D3B" w:rsidRPr="00501D92">
        <w:t>engagement.</w:t>
      </w:r>
      <w:r w:rsidR="00F57929" w:rsidRPr="00501D92">
        <w:t xml:space="preserve"> </w:t>
      </w:r>
      <w:bookmarkEnd w:id="2"/>
    </w:p>
    <w:p w14:paraId="69BFBABD" w14:textId="77777777" w:rsidR="007C0D3B" w:rsidRPr="00501D92" w:rsidRDefault="007C0D3B" w:rsidP="00CC301B"/>
    <w:p w14:paraId="7B6BCD42" w14:textId="77777777" w:rsidR="005A366A" w:rsidRPr="00501D92" w:rsidRDefault="00D77555" w:rsidP="00CC301B">
      <w:pPr>
        <w:pStyle w:val="Heading1"/>
      </w:pPr>
      <w:r w:rsidRPr="00501D92">
        <w:t xml:space="preserve">Main body </w:t>
      </w:r>
    </w:p>
    <w:p w14:paraId="71AE5828" w14:textId="77777777" w:rsidR="00CD3F91" w:rsidRPr="00501D92" w:rsidRDefault="00D77555" w:rsidP="00CC301B">
      <w:r w:rsidRPr="00501D92">
        <w:rPr>
          <w:lang w:val="en"/>
        </w:rPr>
        <w:t xml:space="preserve">Human Resources manages </w:t>
      </w:r>
      <w:r w:rsidRPr="00501D92">
        <w:t>five</w:t>
      </w:r>
      <w:r w:rsidRPr="00501D92">
        <w:rPr>
          <w:lang w:val="en"/>
        </w:rPr>
        <w:t xml:space="preserve"> main </w:t>
      </w:r>
      <w:r w:rsidRPr="00501D92">
        <w:t>roles</w:t>
      </w:r>
      <w:r w:rsidR="009B56BF" w:rsidRPr="00501D92">
        <w:t>,</w:t>
      </w:r>
      <w:r w:rsidRPr="00501D92">
        <w:t xml:space="preserve"> </w:t>
      </w:r>
      <w:r w:rsidR="009B56BF" w:rsidRPr="00501D92">
        <w:t>including</w:t>
      </w:r>
      <w:r w:rsidRPr="00501D92">
        <w:t xml:space="preserve"> </w:t>
      </w:r>
      <w:r w:rsidRPr="00501D92">
        <w:rPr>
          <w:lang w:val="en"/>
        </w:rPr>
        <w:t xml:space="preserve">compensation and employee benefits, talent management, compliance, training and development, and workplace safety. </w:t>
      </w:r>
      <w:r w:rsidR="009B56BF" w:rsidRPr="00501D92">
        <w:t>An HR department's ability to provide organizational structure and the ability to fulfill business needs is directly tied to how well it manages the employee lifecycle</w:t>
      </w:r>
      <w:r w:rsidR="00035307" w:rsidRPr="00501D92">
        <w:t xml:space="preserve"> (</w:t>
      </w:r>
      <w:r w:rsidR="00C2244F" w:rsidRPr="00501D92">
        <w:t>Malik et al., 2020</w:t>
      </w:r>
      <w:r w:rsidR="00035307" w:rsidRPr="00501D92">
        <w:t xml:space="preserve">). </w:t>
      </w:r>
      <w:r w:rsidR="005266EE" w:rsidRPr="00501D92">
        <w:t xml:space="preserve">One key </w:t>
      </w:r>
      <w:r w:rsidR="00D13B15" w:rsidRPr="00501D92">
        <w:t>characteristic</w:t>
      </w:r>
      <w:r w:rsidR="005266EE" w:rsidRPr="00501D92">
        <w:t xml:space="preserve"> is that Generation </w:t>
      </w:r>
      <w:r w:rsidR="00D13B15" w:rsidRPr="00501D92">
        <w:t>Z</w:t>
      </w:r>
      <w:r w:rsidR="005266EE" w:rsidRPr="00501D92">
        <w:t xml:space="preserve"> prefers in-person interactions </w:t>
      </w:r>
      <w:r w:rsidR="00D13B15" w:rsidRPr="00501D92">
        <w:t>in</w:t>
      </w:r>
      <w:r w:rsidR="005266EE" w:rsidRPr="00501D92">
        <w:t xml:space="preserve"> </w:t>
      </w:r>
      <w:r w:rsidR="00D13B15" w:rsidRPr="00501D92">
        <w:t xml:space="preserve">the </w:t>
      </w:r>
      <w:r w:rsidR="005266EE" w:rsidRPr="00501D92">
        <w:t xml:space="preserve">workplace. </w:t>
      </w:r>
      <w:r w:rsidR="00D13B15" w:rsidRPr="00501D92">
        <w:t>They may look at the hiring process as the first step in making friends at work. Seventy-five percent of millennials and Generation Zs surveyed said they value rapid, in-person feedback from their managers (</w:t>
      </w:r>
      <w:r w:rsidR="004E008F" w:rsidRPr="00501D92">
        <w:t>Seemiller and Grace, 2018</w:t>
      </w:r>
      <w:r w:rsidR="00D13B15" w:rsidRPr="00501D92">
        <w:t>).</w:t>
      </w:r>
      <w:r w:rsidR="001B4F7F" w:rsidRPr="00501D92">
        <w:t xml:space="preserve"> In addition, </w:t>
      </w:r>
      <w:r w:rsidR="003D297F" w:rsidRPr="00501D92">
        <w:t xml:space="preserve">another </w:t>
      </w:r>
      <w:r w:rsidR="00F756DD" w:rsidRPr="00501D92">
        <w:t>characteristic</w:t>
      </w:r>
      <w:r w:rsidR="003D297F" w:rsidRPr="00501D92">
        <w:t xml:space="preserve"> of Gen Z is that they are</w:t>
      </w:r>
      <w:r w:rsidR="00F756DD" w:rsidRPr="00501D92">
        <w:t xml:space="preserve"> </w:t>
      </w:r>
      <w:r w:rsidR="003D297F" w:rsidRPr="00501D92">
        <w:t>entrepreneurial</w:t>
      </w:r>
      <w:r w:rsidR="00F756DD" w:rsidRPr="00501D92">
        <w:t>.</w:t>
      </w:r>
      <w:r w:rsidR="003D297F" w:rsidRPr="00501D92">
        <w:t xml:space="preserve"> </w:t>
      </w:r>
      <w:r w:rsidR="00F756DD" w:rsidRPr="00501D92">
        <w:t>A</w:t>
      </w:r>
      <w:r w:rsidR="009169F7" w:rsidRPr="00501D92">
        <w:t>s</w:t>
      </w:r>
      <w:r w:rsidR="007A5827" w:rsidRPr="00501D92">
        <w:t xml:space="preserve"> they </w:t>
      </w:r>
      <w:r w:rsidR="007A5827" w:rsidRPr="00501D92">
        <w:lastRenderedPageBreak/>
        <w:t>grew up, members of Generation Z saw successful companies expand their use of technology to compete in new markets</w:t>
      </w:r>
      <w:r w:rsidRPr="00501D92">
        <w:t xml:space="preserve"> (</w:t>
      </w:r>
      <w:r w:rsidR="004E008F" w:rsidRPr="00501D92">
        <w:t>Agustina and Fauzia, 2021</w:t>
      </w:r>
      <w:r w:rsidRPr="00501D92">
        <w:t>).</w:t>
      </w:r>
    </w:p>
    <w:p w14:paraId="4878E80C" w14:textId="77777777" w:rsidR="00DC02D1" w:rsidRPr="00501D92" w:rsidRDefault="00D77555" w:rsidP="00CC301B">
      <w:r w:rsidRPr="00501D92">
        <w:t xml:space="preserve">There are several </w:t>
      </w:r>
      <w:r w:rsidR="005A366A" w:rsidRPr="00501D92">
        <w:t>ways of engaging</w:t>
      </w:r>
      <w:r w:rsidR="002A7208" w:rsidRPr="00501D92">
        <w:t>; o</w:t>
      </w:r>
      <w:r w:rsidR="0038482F" w:rsidRPr="00501D92">
        <w:t xml:space="preserve">ne effective way to engage employees in the hospitality business is to </w:t>
      </w:r>
      <w:r w:rsidR="00EB4882" w:rsidRPr="00501D92">
        <w:t>establish</w:t>
      </w:r>
      <w:r w:rsidR="0038482F" w:rsidRPr="00501D92">
        <w:t xml:space="preserve"> and communicate corporate value. </w:t>
      </w:r>
      <w:r w:rsidR="006F5110" w:rsidRPr="00501D92">
        <w:t>An organization's core values and beliefs serve as a unifying force for the hospitality business and its staff. They are the cornerstone of a strong company culture. Furthermore, these values increase participation rates by promoting a feeling of belonging among workers</w:t>
      </w:r>
      <w:r w:rsidR="006204E1" w:rsidRPr="00501D92">
        <w:t>.</w:t>
      </w:r>
      <w:r w:rsidR="00094582" w:rsidRPr="00501D92">
        <w:t xml:space="preserve"> However, the way to boost staff engagement is to have united, real, and properly defined corporate beliefs. In this way, all internal communications</w:t>
      </w:r>
      <w:r w:rsidR="00342C39" w:rsidRPr="00501D92">
        <w:t xml:space="preserve"> </w:t>
      </w:r>
      <w:r w:rsidR="00094582" w:rsidRPr="00501D92">
        <w:t>should reflect the organization's core principles (</w:t>
      </w:r>
      <w:r w:rsidR="00C2244F" w:rsidRPr="00501D92">
        <w:t>Sun and Bunchapattanasakda, 2019</w:t>
      </w:r>
      <w:r w:rsidR="00094582" w:rsidRPr="00501D92">
        <w:t xml:space="preserve">). </w:t>
      </w:r>
    </w:p>
    <w:p w14:paraId="616AF564" w14:textId="77777777" w:rsidR="00A11556" w:rsidRPr="00501D92" w:rsidRDefault="00D77555" w:rsidP="00CC301B">
      <w:r w:rsidRPr="00501D92">
        <w:t xml:space="preserve">Another </w:t>
      </w:r>
      <w:r w:rsidR="00621AFB" w:rsidRPr="00501D92">
        <w:t xml:space="preserve">way of engaging a team in the hospitality business is </w:t>
      </w:r>
      <w:r w:rsidR="009A41A8" w:rsidRPr="00501D92">
        <w:t xml:space="preserve">to ensure strong leadership. </w:t>
      </w:r>
      <w:r w:rsidR="007B0FDC" w:rsidRPr="00501D92">
        <w:t>Managers may choose from a number of methods to boost employees. Checking in on teams on a regular basis and giving new hires personalized orientations are two good examples of boosting employee engagement. This ensures that supervisors are accessible and fosters an environment of encouragement and trust among workers</w:t>
      </w:r>
      <w:r w:rsidR="00910B83" w:rsidRPr="00501D92">
        <w:t xml:space="preserve"> (</w:t>
      </w:r>
      <w:r w:rsidR="00C2244F" w:rsidRPr="00501D92">
        <w:t>Eldor and Vigoda-Gadot, 2017</w:t>
      </w:r>
      <w:r w:rsidR="00910B83" w:rsidRPr="00501D92">
        <w:t>)</w:t>
      </w:r>
      <w:r w:rsidR="007B0FDC" w:rsidRPr="00501D92">
        <w:t xml:space="preserve">. </w:t>
      </w:r>
      <w:r w:rsidR="00910B83" w:rsidRPr="00501D92">
        <w:t xml:space="preserve">In this </w:t>
      </w:r>
      <w:r w:rsidR="00E31171" w:rsidRPr="00501D92">
        <w:t>essence</w:t>
      </w:r>
      <w:r w:rsidR="00910B83" w:rsidRPr="00501D92">
        <w:t xml:space="preserve">, </w:t>
      </w:r>
      <w:r w:rsidR="007C433C" w:rsidRPr="00501D92">
        <w:t>Leaders should make listening to and responding to workers' opinions a top priority. It is because this shows workers that upper management appreciates their opinions and encourages them to succeed.</w:t>
      </w:r>
      <w:r w:rsidRPr="00501D92">
        <w:t xml:space="preserve"> </w:t>
      </w:r>
      <w:r w:rsidR="004B5D24" w:rsidRPr="00501D92">
        <w:t>Whilst using these ways of engaging a team will serve several advantages, including better performance, productivity, and achievement of team objectives</w:t>
      </w:r>
      <w:r w:rsidRPr="00501D92">
        <w:t xml:space="preserve"> (</w:t>
      </w:r>
      <w:r w:rsidR="00C2244F" w:rsidRPr="00501D92">
        <w:t>Osborne and Hammoud, 2017</w:t>
      </w:r>
      <w:r w:rsidRPr="00501D92">
        <w:t xml:space="preserve">). </w:t>
      </w:r>
    </w:p>
    <w:p w14:paraId="5F54DFC8" w14:textId="77777777" w:rsidR="00A01C28" w:rsidRPr="00501D92" w:rsidRDefault="00D77555" w:rsidP="00CC301B">
      <w:r w:rsidRPr="00501D92">
        <w:t>For instance, e</w:t>
      </w:r>
      <w:r w:rsidR="006F7FA8" w:rsidRPr="00501D92">
        <w:t>ngaging a team in the hospitality sector is advantageous for both businesses and workers. This may be explained by the fact that more motivated workers provide better results. While high motivation is when a group of dedicated workers works together, extraordinary things may happen on their own</w:t>
      </w:r>
      <w:r w:rsidR="004F165B" w:rsidRPr="00501D92">
        <w:t xml:space="preserve"> (</w:t>
      </w:r>
      <w:r w:rsidR="00C2244F" w:rsidRPr="00501D92">
        <w:t>Ahmed et al., 2020</w:t>
      </w:r>
      <w:r w:rsidR="004F165B" w:rsidRPr="00501D92">
        <w:t xml:space="preserve">). On the other hand, </w:t>
      </w:r>
      <w:r w:rsidRPr="00501D92">
        <w:t>e</w:t>
      </w:r>
      <w:r w:rsidR="00003857" w:rsidRPr="00501D92">
        <w:t>mployees who are engaged in their jobs will do their best and get more to achieve the best possible results. It is because they may take pride in their job and see it as important at large. However, employees have an obligation to carry out their responsibilities in a manner consistent with the team's and company's goals while also taking ownership of their own contributions. This as a result, hospitality companies will reap the rewards of greater productivity and income as a result</w:t>
      </w:r>
      <w:r w:rsidRPr="00501D92">
        <w:t xml:space="preserve"> </w:t>
      </w:r>
      <w:r w:rsidR="001E0B01" w:rsidRPr="00501D92">
        <w:t>(</w:t>
      </w:r>
      <w:r w:rsidR="009D3A08" w:rsidRPr="00501D92">
        <w:t>Antony, 2018</w:t>
      </w:r>
      <w:r w:rsidR="001E0B01" w:rsidRPr="00501D92">
        <w:t xml:space="preserve">). </w:t>
      </w:r>
    </w:p>
    <w:p w14:paraId="5619EF6B" w14:textId="77777777" w:rsidR="001A745D" w:rsidRPr="00501D92" w:rsidRDefault="00D77555" w:rsidP="00CC301B">
      <w:r w:rsidRPr="00501D92">
        <w:lastRenderedPageBreak/>
        <w:t>Contrarily</w:t>
      </w:r>
      <w:r w:rsidR="00396D5E" w:rsidRPr="00501D92">
        <w:t>, various human resource department now employs to engage employees</w:t>
      </w:r>
      <w:r w:rsidR="00301260" w:rsidRPr="00501D92">
        <w:t xml:space="preserve"> </w:t>
      </w:r>
      <w:r w:rsidR="00396D5E" w:rsidRPr="00501D92">
        <w:t>throughout the employee lifecycle within a large hotel</w:t>
      </w:r>
      <w:r w:rsidR="00F43708" w:rsidRPr="00501D92">
        <w:t>.</w:t>
      </w:r>
      <w:r w:rsidR="00E43CBB" w:rsidRPr="00501D92">
        <w:t xml:space="preserve"> </w:t>
      </w:r>
      <w:bookmarkStart w:id="3" w:name="_Hlk148288194"/>
      <w:r w:rsidR="00B13528" w:rsidRPr="00501D92">
        <w:t xml:space="preserve">The HR, </w:t>
      </w:r>
      <w:r w:rsidR="00624F0C" w:rsidRPr="00501D92">
        <w:t xml:space="preserve">in order to keep </w:t>
      </w:r>
      <w:r w:rsidR="00B13528" w:rsidRPr="00501D92">
        <w:t>employees</w:t>
      </w:r>
      <w:r w:rsidR="00624F0C" w:rsidRPr="00501D92">
        <w:t xml:space="preserve"> engage</w:t>
      </w:r>
      <w:r w:rsidR="00B13528" w:rsidRPr="00501D92">
        <w:t>d</w:t>
      </w:r>
      <w:r w:rsidR="00624F0C" w:rsidRPr="00501D92">
        <w:t xml:space="preserve">, includes 5 phases </w:t>
      </w:r>
      <w:r w:rsidR="00A05303" w:rsidRPr="00501D92">
        <w:t xml:space="preserve">of the employee lifecycle, </w:t>
      </w:r>
      <w:r w:rsidR="00624F0C" w:rsidRPr="00501D92">
        <w:t xml:space="preserve">including attraction, </w:t>
      </w:r>
      <w:r w:rsidR="00B13528" w:rsidRPr="00501D92">
        <w:t xml:space="preserve">recruitment, onboarding, development, retention, and separation. </w:t>
      </w:r>
      <w:r w:rsidR="00DF7DC8" w:rsidRPr="00501D92">
        <w:t xml:space="preserve">However, HR, using these five </w:t>
      </w:r>
      <w:r w:rsidR="00B674A9" w:rsidRPr="00501D92">
        <w:t>phases of the employee life cycle</w:t>
      </w:r>
      <w:r w:rsidR="00DF7DC8" w:rsidRPr="00501D92">
        <w:t xml:space="preserve">, </w:t>
      </w:r>
      <w:r w:rsidR="00B674A9" w:rsidRPr="00501D92">
        <w:t>opts</w:t>
      </w:r>
      <w:r w:rsidR="00DF7DC8" w:rsidRPr="00501D92">
        <w:t xml:space="preserve"> for </w:t>
      </w:r>
      <w:r w:rsidR="00B674A9" w:rsidRPr="00501D92">
        <w:t>specific</w:t>
      </w:r>
      <w:r w:rsidR="00DF7DC8" w:rsidRPr="00501D92">
        <w:t xml:space="preserve"> methods/techniques to keep engaged Generation Zs</w:t>
      </w:r>
      <w:r w:rsidR="001E0B01" w:rsidRPr="00501D92">
        <w:t xml:space="preserve"> (Lapoint and Liprie-Spence, 2017). </w:t>
      </w:r>
      <w:r w:rsidR="003C1FD6" w:rsidRPr="00501D92">
        <w:t xml:space="preserve">Though the first phase is attraction, </w:t>
      </w:r>
      <w:r w:rsidR="00DA7024" w:rsidRPr="00501D92">
        <w:t>an employee's life cycle does not begin when they first start working for the company. When</w:t>
      </w:r>
      <w:r w:rsidR="00BD4DB4" w:rsidRPr="00501D92">
        <w:t xml:space="preserve"> consumers first get familiar with a company, it is their starting point (</w:t>
      </w:r>
      <w:r w:rsidR="00B97E18" w:rsidRPr="00501D92">
        <w:t>Kwon and Park, 2019</w:t>
      </w:r>
      <w:r w:rsidR="00BD4DB4" w:rsidRPr="00501D92">
        <w:t>). Nowadays, competition for jobs is fierce. Therefore, the goal of the attraction stage is to foresee how to acquire top-tier talent. It is important to think about how hospitality business actions may affect the company's image.</w:t>
      </w:r>
      <w:r w:rsidR="009B60DD" w:rsidRPr="00501D92">
        <w:t xml:space="preserve"> In this essence, the most effective way </w:t>
      </w:r>
      <w:r w:rsidR="00DF0FB6" w:rsidRPr="00501D92">
        <w:t>suitable for Generation Z</w:t>
      </w:r>
      <w:r w:rsidR="001154AC" w:rsidRPr="00501D92">
        <w:t xml:space="preserve"> in the Attraction phase of </w:t>
      </w:r>
      <w:r w:rsidR="0023590F" w:rsidRPr="00501D92">
        <w:t>the employee</w:t>
      </w:r>
      <w:r w:rsidR="001154AC" w:rsidRPr="00501D92">
        <w:t xml:space="preserve"> life </w:t>
      </w:r>
      <w:r w:rsidR="0023590F" w:rsidRPr="00501D92">
        <w:t>cycle</w:t>
      </w:r>
      <w:r w:rsidR="001154AC" w:rsidRPr="00501D92">
        <w:t xml:space="preserve"> is the use of online platforms like </w:t>
      </w:r>
      <w:r w:rsidR="00BC46FD" w:rsidRPr="00501D92">
        <w:t>Reed</w:t>
      </w:r>
      <w:r w:rsidR="0023590F" w:rsidRPr="00501D92">
        <w:t xml:space="preserve"> and LinkedIn</w:t>
      </w:r>
      <w:r w:rsidR="001154AC" w:rsidRPr="00501D92">
        <w:t xml:space="preserve">. </w:t>
      </w:r>
    </w:p>
    <w:p w14:paraId="3C02CE10" w14:textId="77777777" w:rsidR="005A366A" w:rsidRPr="00501D92" w:rsidRDefault="00D77555" w:rsidP="00CC301B">
      <w:r w:rsidRPr="00501D92">
        <w:t>Positive reviews have a discernible effect on the popularity of these platforms and websites. The power of recommendations from current workers may be enormous. They are, in reality, a brand's most vocal supporters</w:t>
      </w:r>
      <w:r w:rsidR="00D55AC1" w:rsidRPr="00501D92">
        <w:t xml:space="preserve"> (</w:t>
      </w:r>
      <w:r w:rsidR="00B97E18" w:rsidRPr="00501D92">
        <w:t>Cattermole, 2019</w:t>
      </w:r>
      <w:r w:rsidR="00D55AC1" w:rsidRPr="00501D92">
        <w:t>)</w:t>
      </w:r>
      <w:r w:rsidR="00603D8D" w:rsidRPr="00501D92">
        <w:t>.</w:t>
      </w:r>
      <w:r w:rsidR="001A745D" w:rsidRPr="00501D92">
        <w:t xml:space="preserve"> </w:t>
      </w:r>
      <w:r w:rsidR="00EF5C46" w:rsidRPr="00501D92">
        <w:t xml:space="preserve">At </w:t>
      </w:r>
      <w:r w:rsidR="00E21589" w:rsidRPr="00501D92">
        <w:t>the r</w:t>
      </w:r>
      <w:r w:rsidR="00EF5C46" w:rsidRPr="00501D92">
        <w:t xml:space="preserve">ecruitment stage, hospitality corporations are responsible for initiating contact with prospective personnel. Interviews, postings, and application reviews are all part of this stage. For instance, for </w:t>
      </w:r>
      <w:bookmarkStart w:id="4" w:name="_Hlk148297161"/>
      <w:r w:rsidR="00EF5C46" w:rsidRPr="00501D92">
        <w:t xml:space="preserve">Generation Z, </w:t>
      </w:r>
      <w:bookmarkEnd w:id="4"/>
      <w:r w:rsidR="00EF5C46" w:rsidRPr="00501D92">
        <w:t>a video posting on social media is more likely to resonate compared to an advertisement on an industry job board</w:t>
      </w:r>
      <w:r w:rsidR="0033772A" w:rsidRPr="00501D92">
        <w:t xml:space="preserve"> (</w:t>
      </w:r>
      <w:r w:rsidR="000A6C46" w:rsidRPr="00501D92">
        <w:t>MADAN, 2017</w:t>
      </w:r>
      <w:r w:rsidR="0033772A" w:rsidRPr="00501D92">
        <w:t>).</w:t>
      </w:r>
      <w:r w:rsidR="0016789A" w:rsidRPr="00501D92">
        <w:t xml:space="preserve"> nowadays</w:t>
      </w:r>
      <w:r w:rsidR="006956FB" w:rsidRPr="00501D92">
        <w:t>, it is essential to submit applications online. Due to the high volume of applications expected to be submitted through mobile devices, only short, simple forms will be accepted.</w:t>
      </w:r>
      <w:r w:rsidR="009806B2" w:rsidRPr="00501D92">
        <w:t xml:space="preserve"> The most appropriate method of application in recruiting Generation Z is that applicants must be kept well-informed throughout the whole hiring process</w:t>
      </w:r>
      <w:r w:rsidR="009A24CD" w:rsidRPr="00501D92">
        <w:t xml:space="preserve"> (</w:t>
      </w:r>
      <w:r w:rsidR="000A6C46" w:rsidRPr="00501D92">
        <w:t>Dinh, 2020</w:t>
      </w:r>
      <w:r w:rsidR="009A24CD" w:rsidRPr="00501D92">
        <w:t xml:space="preserve">). </w:t>
      </w:r>
    </w:p>
    <w:p w14:paraId="52A80EC2" w14:textId="77777777" w:rsidR="005A366A" w:rsidRPr="00501D92" w:rsidRDefault="00D77555" w:rsidP="00CC301B">
      <w:r w:rsidRPr="00501D92">
        <w:t>As soon as employees start working hospitality sector, they must go through an intensive training programme. During the onboarding process, the company provides the employee with all of the equipment and materials they will need to do a good job. People grow familiar with coworkers and important stakeholders as they integrate into the company's culture. In the onboarding phase, Generation Zs must be entertained with an induction checklist onboarding.</w:t>
      </w:r>
      <w:r w:rsidR="00F503E1" w:rsidRPr="00501D92">
        <w:t xml:space="preserve"> </w:t>
      </w:r>
      <w:r w:rsidR="00DC486B" w:rsidRPr="00501D92">
        <w:t xml:space="preserve">This will include pre-boarding, in which </w:t>
      </w:r>
      <w:r w:rsidR="00815166" w:rsidRPr="00501D92">
        <w:t>the company culture, mission, and value should be introduced to employee</w:t>
      </w:r>
      <w:r w:rsidR="00F503E1" w:rsidRPr="00501D92">
        <w:t xml:space="preserve">s </w:t>
      </w:r>
      <w:r w:rsidR="00EB443E" w:rsidRPr="00501D92">
        <w:t>(</w:t>
      </w:r>
      <w:r w:rsidR="005D2650" w:rsidRPr="00501D92">
        <w:t>Cattermole, 2019</w:t>
      </w:r>
      <w:r w:rsidR="00EB443E" w:rsidRPr="00501D92">
        <w:t>)</w:t>
      </w:r>
      <w:r w:rsidRPr="00D87D40">
        <w:rPr>
          <w:lang w:val="en-US"/>
        </w:rPr>
        <w:t>.</w:t>
      </w:r>
    </w:p>
    <w:p w14:paraId="144B053E" w14:textId="77777777" w:rsidR="001A745D" w:rsidRPr="00501D92" w:rsidRDefault="00D77555" w:rsidP="00CC301B">
      <w:r w:rsidRPr="00501D92">
        <w:lastRenderedPageBreak/>
        <w:t xml:space="preserve">Development is a tried-and-true means of enhancing the working conditions of a company's </w:t>
      </w:r>
      <w:bookmarkStart w:id="5" w:name="_Hlk148297764"/>
      <w:r w:rsidRPr="00501D92">
        <w:t xml:space="preserve">Generation Z </w:t>
      </w:r>
      <w:bookmarkEnd w:id="5"/>
      <w:r w:rsidRPr="00501D92">
        <w:t>employees. According to a LinkedIn poll, 94 percent of job seekers want to work for companies that contribute to their further development. It helps the company in several ways, including sharing information, preparing for the future, and promoting from within. Developing one's career may be done in a wide variety of ways. Mentoring and coaching stand out as great, easy alternatives to traditional career advancement mechanisms in the setting of smaller firms with fewer available positions</w:t>
      </w:r>
      <w:r w:rsidR="009F13DF" w:rsidRPr="00501D92">
        <w:t xml:space="preserve"> (</w:t>
      </w:r>
      <w:r w:rsidR="00350E9F" w:rsidRPr="00501D92">
        <w:t>Lapoint and Liprie-Spence, 2017</w:t>
      </w:r>
      <w:r w:rsidR="009F13DF" w:rsidRPr="00501D92">
        <w:t>)</w:t>
      </w:r>
      <w:r w:rsidRPr="00501D92">
        <w:t xml:space="preserve">. </w:t>
      </w:r>
      <w:r w:rsidR="00D16687" w:rsidRPr="00501D92">
        <w:rPr>
          <w:lang w:val="en-US"/>
        </w:rPr>
        <w:t xml:space="preserve">In </w:t>
      </w:r>
      <w:r w:rsidR="00C768F9" w:rsidRPr="00501D92">
        <w:t>the</w:t>
      </w:r>
      <w:r w:rsidR="00D16687" w:rsidRPr="00501D92">
        <w:t xml:space="preserve"> retention of </w:t>
      </w:r>
      <w:bookmarkStart w:id="6" w:name="_Hlk148295563"/>
      <w:r w:rsidR="00D16687" w:rsidRPr="00501D92">
        <w:t>Generation Z</w:t>
      </w:r>
      <w:bookmarkStart w:id="7" w:name="_Hlk148295452"/>
      <w:bookmarkEnd w:id="6"/>
      <w:r w:rsidR="00D16687" w:rsidRPr="00501D92">
        <w:t xml:space="preserve"> employees throughout the employee lifecycle within a large hotel</w:t>
      </w:r>
      <w:bookmarkEnd w:id="7"/>
      <w:r w:rsidR="00D16687" w:rsidRPr="00501D92">
        <w:rPr>
          <w:lang w:val="en-US"/>
        </w:rPr>
        <w:t>, keeping present staff together is paramount</w:t>
      </w:r>
      <w:r w:rsidR="007D609F" w:rsidRPr="00501D92">
        <w:t xml:space="preserve">. </w:t>
      </w:r>
      <w:r w:rsidR="0026267C" w:rsidRPr="00501D92">
        <w:t>In this way</w:t>
      </w:r>
      <w:r w:rsidR="0026267C" w:rsidRPr="00501D92">
        <w:rPr>
          <w:lang w:val="en-US"/>
        </w:rPr>
        <w:t xml:space="preserve">, </w:t>
      </w:r>
      <w:r w:rsidR="0026267C" w:rsidRPr="00501D92">
        <w:t>Generation Z employees</w:t>
      </w:r>
      <w:r w:rsidR="0026267C" w:rsidRPr="00501D92">
        <w:rPr>
          <w:lang w:val="en-US"/>
        </w:rPr>
        <w:t xml:space="preserve"> will be affected by their surroundings at work, the people they work with, and the team's overall personality</w:t>
      </w:r>
      <w:r w:rsidR="007A2AE0" w:rsidRPr="00501D92">
        <w:t xml:space="preserve"> (</w:t>
      </w:r>
      <w:r w:rsidR="00572B20" w:rsidRPr="00501D92">
        <w:t>Singh, 2019</w:t>
      </w:r>
      <w:r w:rsidR="007A2AE0" w:rsidRPr="00501D92">
        <w:t>)</w:t>
      </w:r>
      <w:r w:rsidR="0026267C" w:rsidRPr="00501D92">
        <w:rPr>
          <w:lang w:val="en-US"/>
        </w:rPr>
        <w:t>.</w:t>
      </w:r>
      <w:r w:rsidR="0032395F" w:rsidRPr="00501D92">
        <w:t xml:space="preserve"> </w:t>
      </w:r>
    </w:p>
    <w:p w14:paraId="1D14CA0E" w14:textId="77777777" w:rsidR="001A745D" w:rsidRPr="00501D92" w:rsidRDefault="00D77555" w:rsidP="00CC301B">
      <w:r w:rsidRPr="00501D92">
        <w:t xml:space="preserve">To retain Generation Z employees, </w:t>
      </w:r>
      <w:r w:rsidR="007D609F" w:rsidRPr="00501D92">
        <w:rPr>
          <w:lang w:val="en-US"/>
        </w:rPr>
        <w:t>compensation, bonuses, and prospects for professional progress may be the most important factors in motivating certain employees</w:t>
      </w:r>
      <w:r w:rsidR="007D609F" w:rsidRPr="00501D92">
        <w:t xml:space="preserve"> in hospitality sectors </w:t>
      </w:r>
      <w:r w:rsidR="00C27BC9" w:rsidRPr="00501D92">
        <w:t>(</w:t>
      </w:r>
      <w:r w:rsidR="00350E9F" w:rsidRPr="00501D92">
        <w:t>Kwon and Park, 2019</w:t>
      </w:r>
      <w:r w:rsidR="00C27BC9" w:rsidRPr="00501D92">
        <w:t xml:space="preserve">). </w:t>
      </w:r>
      <w:r w:rsidR="001525BD" w:rsidRPr="00501D92">
        <w:rPr>
          <w:lang w:val="en-US"/>
        </w:rPr>
        <w:t xml:space="preserve">Employees might leave for a variety of reasons, such as retirement, relocation, or a better offer from a rival company. Exit and offboarding procedures include detailed instructions that are critical </w:t>
      </w:r>
      <w:r w:rsidR="001525BD" w:rsidRPr="00501D92">
        <w:t>to making a clean break</w:t>
      </w:r>
      <w:r w:rsidR="001525BD" w:rsidRPr="00501D92">
        <w:rPr>
          <w:lang w:val="en-US"/>
        </w:rPr>
        <w:t>. The intention is to end things on good terms</w:t>
      </w:r>
      <w:r w:rsidR="001525BD" w:rsidRPr="00501D92">
        <w:t>; even</w:t>
      </w:r>
      <w:r w:rsidR="001525BD" w:rsidRPr="00501D92">
        <w:rPr>
          <w:lang w:val="en-US"/>
        </w:rPr>
        <w:t xml:space="preserve"> if employees leave the company, they may still suffer reputational damage. This phase is crucial and has to be watched carefully</w:t>
      </w:r>
      <w:r w:rsidR="001525BD" w:rsidRPr="00501D92">
        <w:t xml:space="preserve"> (</w:t>
      </w:r>
      <w:r w:rsidR="00350E9F" w:rsidRPr="00501D92">
        <w:t>Cattermole, 2019</w:t>
      </w:r>
      <w:r w:rsidR="00895F4E" w:rsidRPr="00501D92">
        <w:t xml:space="preserve">). </w:t>
      </w:r>
    </w:p>
    <w:p w14:paraId="41984D35" w14:textId="77777777" w:rsidR="00895F4E" w:rsidRPr="00501D92" w:rsidRDefault="00D77555" w:rsidP="00CC301B">
      <w:r w:rsidRPr="00501D92">
        <w:t>The</w:t>
      </w:r>
      <w:r w:rsidRPr="00501D92">
        <w:rPr>
          <w:lang w:val="en-US"/>
        </w:rPr>
        <w:t xml:space="preserve"> exit interview </w:t>
      </w:r>
      <w:r w:rsidRPr="00501D92">
        <w:t>can be</w:t>
      </w:r>
      <w:r w:rsidRPr="00501D92">
        <w:rPr>
          <w:lang w:val="en-US"/>
        </w:rPr>
        <w:t xml:space="preserve"> a significant aspect of any organization's offboarding procedure</w:t>
      </w:r>
      <w:r w:rsidRPr="00501D92">
        <w:t xml:space="preserve"> in Generation Z employees' workplace</w:t>
      </w:r>
      <w:r w:rsidRPr="00501D92">
        <w:rPr>
          <w:lang w:val="en-US"/>
        </w:rPr>
        <w:t xml:space="preserve">. Even if the employee leaves with some unresolved issues, honest feedback is </w:t>
      </w:r>
      <w:r w:rsidRPr="00501D92">
        <w:t>effective</w:t>
      </w:r>
      <w:r w:rsidRPr="00501D92">
        <w:rPr>
          <w:lang w:val="en-US"/>
        </w:rPr>
        <w:t xml:space="preserve">. </w:t>
      </w:r>
      <w:r w:rsidRPr="00501D92">
        <w:t>Because the hospitality company will</w:t>
      </w:r>
      <w:r w:rsidRPr="00501D92">
        <w:rPr>
          <w:lang w:val="en-US"/>
        </w:rPr>
        <w:t xml:space="preserve"> be able to better understand the issues </w:t>
      </w:r>
      <w:r w:rsidRPr="00501D92">
        <w:t>they</w:t>
      </w:r>
      <w:r w:rsidRPr="00501D92">
        <w:rPr>
          <w:lang w:val="en-US"/>
        </w:rPr>
        <w:t xml:space="preserve"> face and the benefits and drawbacks of its culture</w:t>
      </w:r>
      <w:r w:rsidR="00350E9F" w:rsidRPr="00501D92">
        <w:rPr>
          <w:lang w:val="en-US"/>
        </w:rPr>
        <w:t xml:space="preserve"> (</w:t>
      </w:r>
      <w:r w:rsidR="00F25BB9" w:rsidRPr="00501D92">
        <w:t>Dinh, 2020</w:t>
      </w:r>
      <w:r w:rsidR="00350E9F" w:rsidRPr="00501D92">
        <w:rPr>
          <w:lang w:val="en-US"/>
        </w:rPr>
        <w:t>)</w:t>
      </w:r>
      <w:r w:rsidRPr="00501D92">
        <w:rPr>
          <w:lang w:val="en-US"/>
        </w:rPr>
        <w:t xml:space="preserve">. </w:t>
      </w:r>
      <w:r w:rsidR="007D6EEC" w:rsidRPr="00501D92">
        <w:t xml:space="preserve">One example to keep the team </w:t>
      </w:r>
      <w:r w:rsidR="00B06D9C" w:rsidRPr="00501D92">
        <w:t>engaging</w:t>
      </w:r>
      <w:r w:rsidR="007D6EEC" w:rsidRPr="00501D92">
        <w:t xml:space="preserve"> is to develop a culture of recognition. </w:t>
      </w:r>
      <w:r w:rsidR="00B06D9C" w:rsidRPr="00501D92">
        <w:rPr>
          <w:lang w:val="en-US"/>
        </w:rPr>
        <w:t xml:space="preserve">The significance of </w:t>
      </w:r>
      <w:r w:rsidR="00B06D9C" w:rsidRPr="00B10740">
        <w:rPr>
          <w:lang w:val="en-US"/>
        </w:rPr>
        <w:t xml:space="preserve">monetary </w:t>
      </w:r>
      <w:r w:rsidR="00B06D9C" w:rsidRPr="00501D92">
        <w:rPr>
          <w:lang w:val="en-US"/>
        </w:rPr>
        <w:t xml:space="preserve">recognition cannot be overstated. However, there is more than one way to reward hard-working personnel. </w:t>
      </w:r>
      <w:r w:rsidR="00B06D9C" w:rsidRPr="00501D92">
        <w:t>In this essence, t</w:t>
      </w:r>
      <w:r w:rsidR="00B06D9C" w:rsidRPr="00501D92">
        <w:rPr>
          <w:lang w:val="en-US"/>
        </w:rPr>
        <w:t xml:space="preserve">he recommendations of both subordinates and superiors are persuasive. </w:t>
      </w:r>
      <w:r w:rsidR="00B06D9C" w:rsidRPr="00501D92">
        <w:t xml:space="preserve">It is necessary to open communication in </w:t>
      </w:r>
      <w:r w:rsidR="00B06D9C" w:rsidRPr="00501D92">
        <w:rPr>
          <w:lang w:val="en-US"/>
        </w:rPr>
        <w:t>group</w:t>
      </w:r>
      <w:r w:rsidR="00B06D9C" w:rsidRPr="00501D92">
        <w:t>s and</w:t>
      </w:r>
      <w:r w:rsidR="00B06D9C" w:rsidRPr="00501D92">
        <w:rPr>
          <w:lang w:val="en-US"/>
        </w:rPr>
        <w:t xml:space="preserve"> </w:t>
      </w:r>
      <w:r w:rsidR="00B06D9C" w:rsidRPr="00501D92">
        <w:t>celebrate the success together</w:t>
      </w:r>
      <w:r w:rsidR="00B06D9C" w:rsidRPr="00501D92">
        <w:rPr>
          <w:lang w:val="en-US"/>
        </w:rPr>
        <w:t>. A unique culture may help attract and retain top employees. One further advantage is that it helps keep star employees around</w:t>
      </w:r>
      <w:r w:rsidR="00B06D9C" w:rsidRPr="00501D92">
        <w:t xml:space="preserve"> (</w:t>
      </w:r>
      <w:r w:rsidR="00350E9F" w:rsidRPr="00501D92">
        <w:t>Sunn and Bunchapattanasakda, 2019</w:t>
      </w:r>
      <w:r w:rsidR="00B06D9C" w:rsidRPr="00501D92">
        <w:t>)</w:t>
      </w:r>
      <w:r w:rsidR="00B06D9C" w:rsidRPr="00501D92">
        <w:rPr>
          <w:lang w:val="en-US"/>
        </w:rPr>
        <w:t>.</w:t>
      </w:r>
    </w:p>
    <w:p w14:paraId="0AD6C718" w14:textId="77777777" w:rsidR="001A745D" w:rsidRPr="00501D92" w:rsidRDefault="00D77555" w:rsidP="00CC301B">
      <w:r w:rsidRPr="00501D92">
        <w:lastRenderedPageBreak/>
        <w:t xml:space="preserve">Another example to keep the team engaging is to set </w:t>
      </w:r>
      <w:r w:rsidR="00B4033E" w:rsidRPr="00501D92">
        <w:t>activity</w:t>
      </w:r>
      <w:r w:rsidRPr="00501D92">
        <w:t xml:space="preserve"> walls. </w:t>
      </w:r>
      <w:r w:rsidR="00B4033E" w:rsidRPr="00501D92">
        <w:rPr>
          <w:lang w:val="en-US"/>
        </w:rPr>
        <w:t xml:space="preserve">Activity walls are a modern social device that may be used by individuals or groups. Encourage team members to provide project updates, inspire creative ideas, and publicize company news by using activity boards. Employees' interest in following notable people or topics may mirror </w:t>
      </w:r>
      <w:r w:rsidR="00B4033E" w:rsidRPr="00501D92">
        <w:t xml:space="preserve">Generation Z's </w:t>
      </w:r>
      <w:r w:rsidR="00B4033E" w:rsidRPr="00501D92">
        <w:rPr>
          <w:lang w:val="en-US"/>
        </w:rPr>
        <w:t>preferences on social media</w:t>
      </w:r>
      <w:r w:rsidR="00583A62" w:rsidRPr="00501D92">
        <w:t xml:space="preserve"> (</w:t>
      </w:r>
      <w:r w:rsidR="00350E9F" w:rsidRPr="00501D92">
        <w:t>Saks, 2022</w:t>
      </w:r>
      <w:r w:rsidR="00583A62" w:rsidRPr="00501D92">
        <w:t>).</w:t>
      </w:r>
      <w:r w:rsidRPr="00501D92">
        <w:t xml:space="preserve"> </w:t>
      </w:r>
      <w:r w:rsidR="0051202A" w:rsidRPr="00501D92">
        <w:t>However, t</w:t>
      </w:r>
      <w:r w:rsidR="00583A62" w:rsidRPr="00501D92">
        <w:t xml:space="preserve">he Deloitte Model can be an effective </w:t>
      </w:r>
      <w:r w:rsidR="005A366A" w:rsidRPr="00501D92">
        <w:t>employee engagement model</w:t>
      </w:r>
      <w:r w:rsidR="009A5A33" w:rsidRPr="00501D92">
        <w:t xml:space="preserve">. </w:t>
      </w:r>
      <w:r w:rsidR="00502A28" w:rsidRPr="00501D92">
        <w:t>This model helps in creating cultures</w:t>
      </w:r>
      <w:r w:rsidR="00502A28" w:rsidRPr="00501D92">
        <w:rPr>
          <w:lang w:val="en-US"/>
        </w:rPr>
        <w:t xml:space="preserve"> of collaboration</w:t>
      </w:r>
      <w:r w:rsidR="00502A28" w:rsidRPr="00501D92">
        <w:t xml:space="preserve"> and</w:t>
      </w:r>
      <w:r w:rsidR="00502A28" w:rsidRPr="00501D92">
        <w:rPr>
          <w:lang w:val="en-US"/>
        </w:rPr>
        <w:t xml:space="preserve"> esteem</w:t>
      </w:r>
      <w:r w:rsidR="00502A28" w:rsidRPr="00501D92">
        <w:t xml:space="preserve"> </w:t>
      </w:r>
      <w:r w:rsidR="00502A28" w:rsidRPr="00501D92">
        <w:rPr>
          <w:lang w:val="en-US"/>
        </w:rPr>
        <w:t xml:space="preserve">in energizing personnel. Deloitte's employee engagement approach seeks to create a workplace where workers find their employment </w:t>
      </w:r>
      <w:r w:rsidR="00502A28" w:rsidRPr="00501D92">
        <w:t>“</w:t>
      </w:r>
      <w:r w:rsidR="00502A28" w:rsidRPr="00501D92">
        <w:rPr>
          <w:lang w:val="en-US"/>
        </w:rPr>
        <w:t xml:space="preserve">irresistible ."According to Deloitte, a strong cultural foundation is essential for success in </w:t>
      </w:r>
      <w:r w:rsidR="00502A28" w:rsidRPr="00501D92">
        <w:t>employee engagement</w:t>
      </w:r>
      <w:r w:rsidR="003A0735" w:rsidRPr="00501D92">
        <w:t xml:space="preserve"> (</w:t>
      </w:r>
      <w:r w:rsidR="00350E9F" w:rsidRPr="00501D92">
        <w:t>Albrecht et al., 2018.</w:t>
      </w:r>
      <w:r w:rsidR="003A0735" w:rsidRPr="00501D92">
        <w:t xml:space="preserve">). </w:t>
      </w:r>
    </w:p>
    <w:p w14:paraId="6CA09937" w14:textId="77777777" w:rsidR="001A745D" w:rsidRPr="00501D92" w:rsidRDefault="00D77555" w:rsidP="00CC301B">
      <w:r w:rsidRPr="00501D92">
        <w:t xml:space="preserve">The first way to implement the Deloitte Model is to set clear and </w:t>
      </w:r>
      <w:r w:rsidR="00BD0C7B" w:rsidRPr="00501D92">
        <w:t>transparent</w:t>
      </w:r>
      <w:r w:rsidRPr="00501D92">
        <w:t xml:space="preserve"> goals.</w:t>
      </w:r>
      <w:r w:rsidR="00E7165C" w:rsidRPr="00501D92">
        <w:t xml:space="preserve"> </w:t>
      </w:r>
      <w:bookmarkEnd w:id="3"/>
      <w:r w:rsidR="005A366A" w:rsidRPr="003A08C3">
        <w:rPr>
          <w:lang w:val="en-US"/>
        </w:rPr>
        <w:t xml:space="preserve">The </w:t>
      </w:r>
      <w:r w:rsidR="00E7165C" w:rsidRPr="00501D92">
        <w:t>objectives</w:t>
      </w:r>
      <w:r w:rsidR="005A366A" w:rsidRPr="003A08C3">
        <w:rPr>
          <w:lang w:val="en-US"/>
        </w:rPr>
        <w:t xml:space="preserve"> that </w:t>
      </w:r>
      <w:r w:rsidR="00E7165C" w:rsidRPr="00501D92">
        <w:t>employers</w:t>
      </w:r>
      <w:r w:rsidR="005A366A" w:rsidRPr="003A08C3">
        <w:rPr>
          <w:lang w:val="en-US"/>
        </w:rPr>
        <w:t xml:space="preserve"> set for employees must be </w:t>
      </w:r>
      <w:r w:rsidR="00E7165C" w:rsidRPr="00501D92">
        <w:t>modest</w:t>
      </w:r>
      <w:r w:rsidR="005A366A" w:rsidRPr="003A08C3">
        <w:rPr>
          <w:lang w:val="en-US"/>
        </w:rPr>
        <w:t xml:space="preserve"> and </w:t>
      </w:r>
      <w:r w:rsidR="00E7165C" w:rsidRPr="00501D92">
        <w:t>frequently</w:t>
      </w:r>
      <w:r w:rsidR="005A366A" w:rsidRPr="003A08C3">
        <w:rPr>
          <w:lang w:val="en-US"/>
        </w:rPr>
        <w:t xml:space="preserve"> revisited</w:t>
      </w:r>
      <w:r w:rsidR="00321671" w:rsidRPr="00501D92">
        <w:t xml:space="preserve">. In this essence, managers can consider </w:t>
      </w:r>
      <w:r w:rsidR="00321671" w:rsidRPr="003A08C3">
        <w:rPr>
          <w:lang w:val="en-US"/>
        </w:rPr>
        <w:t>goal-setting process</w:t>
      </w:r>
      <w:r w:rsidR="00321671" w:rsidRPr="00501D92">
        <w:t xml:space="preserve">es </w:t>
      </w:r>
      <w:r w:rsidR="005A366A" w:rsidRPr="003A08C3">
        <w:rPr>
          <w:lang w:val="en-US"/>
        </w:rPr>
        <w:t xml:space="preserve">like objectives and key results (OKRs) </w:t>
      </w:r>
      <w:r w:rsidR="0073723B" w:rsidRPr="00501D92">
        <w:t>supported</w:t>
      </w:r>
      <w:r w:rsidR="005A366A" w:rsidRPr="003A08C3">
        <w:rPr>
          <w:lang w:val="en-US"/>
        </w:rPr>
        <w:t xml:space="preserve"> by </w:t>
      </w:r>
      <w:r w:rsidR="0073723B" w:rsidRPr="00501D92">
        <w:t>businesses</w:t>
      </w:r>
      <w:r w:rsidR="005A366A" w:rsidRPr="003A08C3">
        <w:rPr>
          <w:lang w:val="en-US"/>
        </w:rPr>
        <w:t xml:space="preserve"> like Intel</w:t>
      </w:r>
      <w:r w:rsidR="00AB2697" w:rsidRPr="00501D92">
        <w:t xml:space="preserve"> and </w:t>
      </w:r>
      <w:r w:rsidR="00094653" w:rsidRPr="00501D92">
        <w:t>Google</w:t>
      </w:r>
      <w:r w:rsidR="009A3EFF" w:rsidRPr="00501D92">
        <w:t xml:space="preserve"> (</w:t>
      </w:r>
      <w:r w:rsidR="003E7EC4" w:rsidRPr="00501D92">
        <w:t>Oktanofa et al., 2022</w:t>
      </w:r>
      <w:r w:rsidR="009A3EFF" w:rsidRPr="00501D92">
        <w:t>)</w:t>
      </w:r>
      <w:r w:rsidR="00AB2697" w:rsidRPr="00501D92">
        <w:t>.</w:t>
      </w:r>
      <w:r w:rsidRPr="00501D92">
        <w:t xml:space="preserve"> </w:t>
      </w:r>
      <w:r w:rsidR="00244FB6" w:rsidRPr="00501D92">
        <w:t>In addition, coaching would be effective in implementing the Deloitte Model in practice.</w:t>
      </w:r>
      <w:r w:rsidR="00A94CBD" w:rsidRPr="00501D92">
        <w:t xml:space="preserve"> </w:t>
      </w:r>
      <w:r w:rsidR="00A94CBD" w:rsidRPr="00501D92">
        <w:rPr>
          <w:lang w:val="en-US"/>
        </w:rPr>
        <w:t xml:space="preserve">When managers keep in touch with their teams and provide constructive criticism, they boost productivity and employee engagement. </w:t>
      </w:r>
      <w:r w:rsidR="00A94CBD" w:rsidRPr="00501D92">
        <w:t>Thus, the most effective way is t</w:t>
      </w:r>
      <w:r w:rsidR="00512D01" w:rsidRPr="00501D92">
        <w:t xml:space="preserve">o </w:t>
      </w:r>
      <w:r w:rsidR="006F1E71" w:rsidRPr="00501D92">
        <w:t>improve</w:t>
      </w:r>
      <w:r w:rsidR="00512D01" w:rsidRPr="00501D92">
        <w:t xml:space="preserve"> </w:t>
      </w:r>
      <w:r w:rsidR="00A94CBD" w:rsidRPr="00501D92">
        <w:rPr>
          <w:lang w:val="en-US"/>
        </w:rPr>
        <w:t>employee engagement by equipping and training managers to effectively counsel their staff</w:t>
      </w:r>
      <w:r w:rsidR="00A86F22" w:rsidRPr="00501D92">
        <w:t xml:space="preserve"> (</w:t>
      </w:r>
      <w:r w:rsidR="004608E9" w:rsidRPr="00501D92">
        <w:t>Jain and Khurana, 2017</w:t>
      </w:r>
      <w:r w:rsidR="00A86F22" w:rsidRPr="00501D92">
        <w:t>)</w:t>
      </w:r>
      <w:r w:rsidR="007D609F" w:rsidRPr="00501D92">
        <w:t>.</w:t>
      </w:r>
      <w:r w:rsidR="006A1521" w:rsidRPr="00501D92">
        <w:t xml:space="preserve"> </w:t>
      </w:r>
    </w:p>
    <w:p w14:paraId="6822C758" w14:textId="77777777" w:rsidR="001A745D" w:rsidRPr="00501D92" w:rsidRDefault="00D77555" w:rsidP="00CC301B">
      <w:r w:rsidRPr="00501D92">
        <w:t xml:space="preserve">Whilst there are several </w:t>
      </w:r>
      <w:bookmarkStart w:id="8" w:name="_Hlk148290592"/>
      <w:r w:rsidRPr="00501D92">
        <w:t>examples from the industry</w:t>
      </w:r>
      <w:bookmarkEnd w:id="8"/>
      <w:r w:rsidRPr="00501D92">
        <w:t>, for instance, P</w:t>
      </w:r>
      <w:r w:rsidR="005A366A" w:rsidRPr="00501D92">
        <w:t xml:space="preserve">remium </w:t>
      </w:r>
      <w:r w:rsidRPr="00501D92">
        <w:t>I</w:t>
      </w:r>
      <w:r w:rsidR="005A366A" w:rsidRPr="00501D92">
        <w:t>nn's use of employee engagement techniques</w:t>
      </w:r>
      <w:r w:rsidRPr="00501D92">
        <w:t xml:space="preserve">. </w:t>
      </w:r>
      <w:r w:rsidR="001C67F4" w:rsidRPr="00501D92">
        <w:t xml:space="preserve">Premier Inn acknowledges that its employees are the driving force behind its success and puts a premium on them in every respect. </w:t>
      </w:r>
      <w:r w:rsidR="006F1E71" w:rsidRPr="00501D92">
        <w:t>Premium Inn</w:t>
      </w:r>
      <w:r w:rsidR="001C67F4" w:rsidRPr="00501D92">
        <w:t xml:space="preserve"> uses the WINcard, an indicator of success, to appease the interests of its staff, customers, and shareholders</w:t>
      </w:r>
      <w:r w:rsidR="006A1521" w:rsidRPr="00501D92">
        <w:t xml:space="preserve"> (</w:t>
      </w:r>
      <w:r w:rsidRPr="00501D92">
        <w:t>Heyes, 2017</w:t>
      </w:r>
      <w:r w:rsidR="006A1521" w:rsidRPr="00501D92">
        <w:t>)</w:t>
      </w:r>
      <w:r w:rsidR="001C67F4" w:rsidRPr="00501D92">
        <w:t>. Moreover, employees are given goals to strive towards and are given the resources and encouragement they need to succeed. Individual, group, and hotel successes are recognized and celebrated throughout the year, with the culmination coming at an annual conference when awards are presented. The WINcard includes a tool specifically designed to gauge staff participation</w:t>
      </w:r>
      <w:r w:rsidR="006A1521" w:rsidRPr="00501D92">
        <w:t xml:space="preserve"> (</w:t>
      </w:r>
      <w:r w:rsidR="008338B7" w:rsidRPr="00501D92">
        <w:t>Berry, 2022</w:t>
      </w:r>
      <w:r w:rsidR="006A1521" w:rsidRPr="00501D92">
        <w:t xml:space="preserve">). </w:t>
      </w:r>
    </w:p>
    <w:p w14:paraId="19465842" w14:textId="77777777" w:rsidR="00C0751F" w:rsidRPr="00501D92" w:rsidRDefault="00D77555" w:rsidP="00CC301B">
      <w:r w:rsidRPr="00501D92">
        <w:t xml:space="preserve">Another </w:t>
      </w:r>
      <w:r w:rsidR="00DB3466" w:rsidRPr="00501D92">
        <w:t>example</w:t>
      </w:r>
      <w:r w:rsidRPr="00501D92">
        <w:t xml:space="preserve"> from the industry that uses employee engagement techniques is </w:t>
      </w:r>
      <w:r w:rsidR="000D697E" w:rsidRPr="00501D92">
        <w:t xml:space="preserve">Marriott </w:t>
      </w:r>
      <w:r w:rsidR="00D6751D" w:rsidRPr="00501D92">
        <w:t>International</w:t>
      </w:r>
      <w:r w:rsidR="000D697E" w:rsidRPr="00501D92">
        <w:t>.</w:t>
      </w:r>
      <w:r w:rsidRPr="00501D92">
        <w:t xml:space="preserve"> Marriott's "TakeCare Movement" is built on the firm's established </w:t>
      </w:r>
      <w:r w:rsidRPr="00501D92">
        <w:lastRenderedPageBreak/>
        <w:t>culture. TakeCare's mission is to foster an environment where all employees, from housekeeping at the hotels to the CEO at Marriott's headquarters, are inspired to reach their full potential in their work and in life. It goes beyond plans and schedules. Additionally, the word "TakeCare" comprises more than just a person's physical, mental, and financial well; it also includes their connection to their community and their feeling of belonging at work</w:t>
      </w:r>
      <w:r w:rsidR="00C250D6" w:rsidRPr="00501D92">
        <w:t xml:space="preserve"> (Jackson, 2023)</w:t>
      </w:r>
      <w:r w:rsidRPr="00501D92">
        <w:t>.</w:t>
      </w:r>
    </w:p>
    <w:p w14:paraId="3AB494EC" w14:textId="77777777" w:rsidR="005A366A" w:rsidRPr="00501D92" w:rsidRDefault="005A366A" w:rsidP="00CC301B">
      <w:pPr>
        <w:shd w:val="clear" w:color="auto" w:fill="FFFFFF"/>
        <w:ind w:firstLine="0"/>
        <w:rPr>
          <w:rFonts w:ascii="Lato" w:eastAsia="Times New Roman" w:hAnsi="Lato" w:cs="Times New Roman"/>
          <w:spacing w:val="15"/>
          <w:sz w:val="27"/>
          <w:szCs w:val="27"/>
          <w:lang w:val="en-US"/>
          <w14:ligatures w14:val="none"/>
        </w:rPr>
      </w:pPr>
    </w:p>
    <w:p w14:paraId="3CC1FD5F" w14:textId="77777777" w:rsidR="00382151" w:rsidRPr="00501D92" w:rsidRDefault="00D77555" w:rsidP="00CC301B">
      <w:pPr>
        <w:pStyle w:val="Heading1"/>
        <w:rPr>
          <w:rFonts w:eastAsia="Times New Roman"/>
        </w:rPr>
      </w:pPr>
      <w:r w:rsidRPr="00501D92">
        <w:rPr>
          <w:rFonts w:eastAsia="Times New Roman"/>
        </w:rPr>
        <w:t>Conclusion</w:t>
      </w:r>
    </w:p>
    <w:p w14:paraId="792204F8" w14:textId="77777777" w:rsidR="00DA6ECD" w:rsidRPr="00501D92" w:rsidRDefault="00D77555" w:rsidP="00CC301B">
      <w:r w:rsidRPr="00501D92">
        <w:rPr>
          <w:lang w:val="en-US"/>
        </w:rPr>
        <w:t xml:space="preserve">It can be concluded that </w:t>
      </w:r>
      <w:r w:rsidR="006F1E71" w:rsidRPr="00501D92">
        <w:t xml:space="preserve">HR manages five main functions, </w:t>
      </w:r>
      <w:r w:rsidR="006F1E71" w:rsidRPr="00501D92">
        <w:rPr>
          <w:lang w:val="en"/>
          <w14:ligatures w14:val="none"/>
        </w:rPr>
        <w:t>including talent management, compensation and employee benefits, training and development, compliance, and workplace safety</w:t>
      </w:r>
      <w:r w:rsidR="006F1E71" w:rsidRPr="00501D92">
        <w:t>. Generation Z workers prefer virtual techniques and interaction</w:t>
      </w:r>
      <w:r w:rsidR="00A83F49" w:rsidRPr="00501D92">
        <w:t>s</w:t>
      </w:r>
      <w:r w:rsidR="006F1E71" w:rsidRPr="00501D92">
        <w:t xml:space="preserve">. </w:t>
      </w:r>
      <w:r w:rsidR="00A83F49" w:rsidRPr="00501D92">
        <w:t>M</w:t>
      </w:r>
      <w:r w:rsidR="006F1E71" w:rsidRPr="00501D92">
        <w:t>illennials</w:t>
      </w:r>
      <w:r w:rsidR="00A83F49" w:rsidRPr="00501D92">
        <w:t xml:space="preserve"> contain an </w:t>
      </w:r>
      <w:r w:rsidR="002E63DA" w:rsidRPr="00501D92">
        <w:t>enterprising characteristic</w:t>
      </w:r>
      <w:r w:rsidR="006F1E71" w:rsidRPr="00501D92">
        <w:t xml:space="preserve">s. </w:t>
      </w:r>
      <w:r w:rsidR="002E63DA" w:rsidRPr="00501D92">
        <w:t>In addition, e</w:t>
      </w:r>
      <w:r w:rsidR="006F1E71" w:rsidRPr="00501D92">
        <w:t xml:space="preserve">stablishing and expressing the company's value may boost hospitality employee engagement. Excellent leadership is another way to encourage hotel workers. </w:t>
      </w:r>
      <w:r w:rsidR="00C51BF7" w:rsidRPr="00501D92">
        <w:t>Using t</w:t>
      </w:r>
      <w:r w:rsidR="006F1E71" w:rsidRPr="00501D92">
        <w:t xml:space="preserve">hese involvement approaches </w:t>
      </w:r>
      <w:r w:rsidR="00C51BF7" w:rsidRPr="00501D92">
        <w:t xml:space="preserve">team may </w:t>
      </w:r>
      <w:r w:rsidR="006F1E71" w:rsidRPr="00501D92">
        <w:t>boost efficiency, production, and goal achievement. HR covers five phases of the employee lifecycle to retain engagement</w:t>
      </w:r>
      <w:r w:rsidR="00C51BF7" w:rsidRPr="00501D92">
        <w:t xml:space="preserve">- </w:t>
      </w:r>
      <w:r w:rsidR="006F1E71" w:rsidRPr="00501D92">
        <w:t xml:space="preserve">recruitment, recruiting, onboarding, development, retention, and separation. The Attraction stage of the employee life cycle </w:t>
      </w:r>
      <w:r w:rsidR="00736FCE" w:rsidRPr="00501D92">
        <w:t>may use hiring sites like</w:t>
      </w:r>
      <w:r w:rsidR="006F1E71" w:rsidRPr="00501D92">
        <w:t xml:space="preserve"> Reed and LinkedIn. </w:t>
      </w:r>
    </w:p>
    <w:p w14:paraId="292587AB" w14:textId="77777777" w:rsidR="00D94AA5" w:rsidRPr="00501D92" w:rsidRDefault="00D77555" w:rsidP="00CC301B">
      <w:r w:rsidRPr="00501D92">
        <w:t>Hospitality companies must recruit fresh staff. The company gives new hires everything they need to succeed during the onboarding</w:t>
      </w:r>
      <w:r w:rsidR="007957F1" w:rsidRPr="00501D92">
        <w:t xml:space="preserve"> phase</w:t>
      </w:r>
      <w:r w:rsidRPr="00501D92">
        <w:t xml:space="preserve">. Career advancement </w:t>
      </w:r>
      <w:r w:rsidR="007957F1" w:rsidRPr="00501D92">
        <w:t xml:space="preserve">includes several ways, like </w:t>
      </w:r>
      <w:r w:rsidR="00100FAE" w:rsidRPr="00501D92">
        <w:t>compensation</w:t>
      </w:r>
      <w:r w:rsidR="007957F1" w:rsidRPr="00501D92">
        <w:t>, rewards, and recognition</w:t>
      </w:r>
      <w:r w:rsidRPr="00501D92">
        <w:t xml:space="preserve">. </w:t>
      </w:r>
      <w:r w:rsidR="000C2FCF" w:rsidRPr="00501D92">
        <w:t>In retention, an inclusive and diverse culture may be effective</w:t>
      </w:r>
      <w:r w:rsidRPr="00501D92">
        <w:t>. The exit interview may be significant for offboarding Gen Z.</w:t>
      </w:r>
      <w:r w:rsidR="00DA6ECD" w:rsidRPr="00501D92">
        <w:t xml:space="preserve"> </w:t>
      </w:r>
      <w:r w:rsidR="007E6BF2" w:rsidRPr="00501D92">
        <w:t xml:space="preserve">One example of employee engagement is </w:t>
      </w:r>
      <w:r w:rsidR="0007672A" w:rsidRPr="00501D92">
        <w:t>to serve a recognition culture</w:t>
      </w:r>
      <w:r w:rsidRPr="00501D92">
        <w:t>.</w:t>
      </w:r>
      <w:r w:rsidR="0007672A" w:rsidRPr="00501D92">
        <w:t xml:space="preserve"> In addition, a</w:t>
      </w:r>
      <w:r w:rsidRPr="00501D92">
        <w:t xml:space="preserve">ctivity </w:t>
      </w:r>
      <w:r w:rsidR="0007672A" w:rsidRPr="00501D92">
        <w:rPr>
          <w14:ligatures w14:val="none"/>
        </w:rPr>
        <w:t>walls</w:t>
      </w:r>
      <w:r w:rsidR="0007672A" w:rsidRPr="00501D92">
        <w:t xml:space="preserve"> and boards </w:t>
      </w:r>
      <w:r w:rsidRPr="00501D92">
        <w:t xml:space="preserve">may also engage the workers. However, the Deloitte Model may encourage worker involvement. Premium Inn also employs the WINcard, a performance indicator, to please staff, visitors, and investors. </w:t>
      </w:r>
    </w:p>
    <w:p w14:paraId="1FD2826A" w14:textId="77777777" w:rsidR="00D94AA5" w:rsidRPr="00501D92" w:rsidRDefault="00D77555" w:rsidP="00CC301B">
      <w:pPr>
        <w:spacing w:after="160"/>
        <w:ind w:firstLine="0"/>
      </w:pPr>
      <w:r w:rsidRPr="00501D92">
        <w:br w:type="page"/>
      </w:r>
    </w:p>
    <w:p w14:paraId="69E1E76F" w14:textId="77777777" w:rsidR="00D94AA5" w:rsidRPr="00CC301B" w:rsidRDefault="00D77555" w:rsidP="00CC301B">
      <w:pPr>
        <w:pStyle w:val="Heading1"/>
      </w:pPr>
      <w:r w:rsidRPr="00CC301B">
        <w:lastRenderedPageBreak/>
        <w:t xml:space="preserve">References </w:t>
      </w:r>
    </w:p>
    <w:p w14:paraId="1A787FBE" w14:textId="77777777" w:rsidR="00D94AA5" w:rsidRPr="00501D92" w:rsidRDefault="00D77555" w:rsidP="00CC301B">
      <w:pPr>
        <w:ind w:left="720" w:hanging="720"/>
        <w:rPr>
          <w:rFonts w:cs="Arial"/>
          <w:shd w:val="clear" w:color="auto" w:fill="FFFFFF"/>
        </w:rPr>
      </w:pPr>
      <w:r w:rsidRPr="00501D92">
        <w:rPr>
          <w:rFonts w:cs="Arial"/>
          <w:shd w:val="clear" w:color="auto" w:fill="FFFFFF"/>
        </w:rPr>
        <w:t>Agustina, T.S. and Fauzia, D.S., 2021. The need for achievement, risk-taking propensity, and entrepreneurial intention of the generation Z. </w:t>
      </w:r>
      <w:r w:rsidRPr="00501D92">
        <w:rPr>
          <w:rFonts w:cs="Arial"/>
          <w:i/>
          <w:iCs/>
          <w:shd w:val="clear" w:color="auto" w:fill="FFFFFF"/>
        </w:rPr>
        <w:t>Risenologi</w:t>
      </w:r>
      <w:r w:rsidRPr="00501D92">
        <w:rPr>
          <w:rFonts w:cs="Arial"/>
          <w:shd w:val="clear" w:color="auto" w:fill="FFFFFF"/>
        </w:rPr>
        <w:t>, </w:t>
      </w:r>
      <w:r w:rsidRPr="00501D92">
        <w:rPr>
          <w:rFonts w:cs="Arial"/>
          <w:i/>
          <w:iCs/>
          <w:shd w:val="clear" w:color="auto" w:fill="FFFFFF"/>
        </w:rPr>
        <w:t>6</w:t>
      </w:r>
      <w:r w:rsidRPr="00501D92">
        <w:rPr>
          <w:rFonts w:cs="Arial"/>
          <w:shd w:val="clear" w:color="auto" w:fill="FFFFFF"/>
        </w:rPr>
        <w:t>(1), pp.96-106.</w:t>
      </w:r>
    </w:p>
    <w:p w14:paraId="1BC95D83" w14:textId="77777777" w:rsidR="00D94AA5" w:rsidRPr="00501D92" w:rsidRDefault="00D77555" w:rsidP="00CC301B">
      <w:pPr>
        <w:ind w:left="720" w:hanging="720"/>
        <w:rPr>
          <w:rFonts w:cs="Arial"/>
          <w:shd w:val="clear" w:color="auto" w:fill="FFFFFF"/>
        </w:rPr>
      </w:pPr>
      <w:r w:rsidRPr="00501D92">
        <w:rPr>
          <w:rFonts w:cs="Arial"/>
          <w:shd w:val="clear" w:color="auto" w:fill="FFFFFF"/>
        </w:rPr>
        <w:t>Ahmed, T., Khan, M.S., Thitivesa, D., Siraphatthada, Y. and Phumdara, T., 2020. Impact of employees engagement and knowledge sharing on organizational performance: Study of HR challenges in COVID-19 pandemic. </w:t>
      </w:r>
      <w:r w:rsidRPr="00501D92">
        <w:rPr>
          <w:rFonts w:cs="Arial"/>
          <w:i/>
          <w:iCs/>
          <w:shd w:val="clear" w:color="auto" w:fill="FFFFFF"/>
        </w:rPr>
        <w:t>Human Systems Management</w:t>
      </w:r>
      <w:r w:rsidRPr="00501D92">
        <w:rPr>
          <w:rFonts w:cs="Arial"/>
          <w:shd w:val="clear" w:color="auto" w:fill="FFFFFF"/>
        </w:rPr>
        <w:t>, </w:t>
      </w:r>
      <w:r w:rsidRPr="00501D92">
        <w:rPr>
          <w:rFonts w:cs="Arial"/>
          <w:i/>
          <w:iCs/>
          <w:shd w:val="clear" w:color="auto" w:fill="FFFFFF"/>
        </w:rPr>
        <w:t>39</w:t>
      </w:r>
      <w:r w:rsidRPr="00501D92">
        <w:rPr>
          <w:rFonts w:cs="Arial"/>
          <w:shd w:val="clear" w:color="auto" w:fill="FFFFFF"/>
        </w:rPr>
        <w:t>(4), pp.589-601.</w:t>
      </w:r>
    </w:p>
    <w:p w14:paraId="17153AFE" w14:textId="77777777" w:rsidR="00D94AA5" w:rsidRPr="00501D92" w:rsidRDefault="00D77555" w:rsidP="00CC301B">
      <w:pPr>
        <w:ind w:left="720" w:hanging="720"/>
        <w:rPr>
          <w:rFonts w:cs="Arial"/>
          <w:shd w:val="clear" w:color="auto" w:fill="FFFFFF"/>
        </w:rPr>
      </w:pPr>
      <w:r w:rsidRPr="00501D92">
        <w:rPr>
          <w:rFonts w:cs="Arial"/>
          <w:shd w:val="clear" w:color="auto" w:fill="FFFFFF"/>
        </w:rPr>
        <w:t>Albrecht, S., Breidahl, E. and Marty, A., 2018. Organizational resources, organizational engagement climate, and employee engagement. </w:t>
      </w:r>
      <w:r w:rsidRPr="00501D92">
        <w:rPr>
          <w:rFonts w:cs="Arial"/>
          <w:i/>
          <w:iCs/>
          <w:shd w:val="clear" w:color="auto" w:fill="FFFFFF"/>
        </w:rPr>
        <w:t>Career Development International</w:t>
      </w:r>
      <w:r w:rsidRPr="00501D92">
        <w:rPr>
          <w:rFonts w:cs="Arial"/>
          <w:shd w:val="clear" w:color="auto" w:fill="FFFFFF"/>
        </w:rPr>
        <w:t>, </w:t>
      </w:r>
      <w:r w:rsidRPr="00501D92">
        <w:rPr>
          <w:rFonts w:cs="Arial"/>
          <w:i/>
          <w:iCs/>
          <w:shd w:val="clear" w:color="auto" w:fill="FFFFFF"/>
        </w:rPr>
        <w:t>23</w:t>
      </w:r>
      <w:r w:rsidRPr="00501D92">
        <w:rPr>
          <w:rFonts w:cs="Arial"/>
          <w:shd w:val="clear" w:color="auto" w:fill="FFFFFF"/>
        </w:rPr>
        <w:t>(1), pp.67-85.</w:t>
      </w:r>
    </w:p>
    <w:p w14:paraId="2484D1EE" w14:textId="77777777" w:rsidR="00D94AA5" w:rsidRPr="00501D92" w:rsidRDefault="00D77555" w:rsidP="00CC301B">
      <w:pPr>
        <w:ind w:left="720" w:hanging="720"/>
        <w:rPr>
          <w:rFonts w:cs="Arial"/>
          <w:shd w:val="clear" w:color="auto" w:fill="FFFFFF"/>
        </w:rPr>
      </w:pPr>
      <w:r w:rsidRPr="00501D92">
        <w:rPr>
          <w:rFonts w:cs="Arial"/>
          <w:shd w:val="clear" w:color="auto" w:fill="FFFFFF"/>
        </w:rPr>
        <w:t xml:space="preserve">Antony, M.R., 2018. The paradigm shift in employee engagement–A critical analysis on the drivers of employee engagement. </w:t>
      </w:r>
      <w:r w:rsidRPr="00501D92">
        <w:rPr>
          <w:rFonts w:cs="Arial"/>
          <w:i/>
          <w:iCs/>
          <w:shd w:val="clear" w:color="auto" w:fill="FFFFFF"/>
        </w:rPr>
        <w:t>International Journal of Information, Business and Management</w:t>
      </w:r>
      <w:r w:rsidRPr="00501D92">
        <w:rPr>
          <w:rFonts w:cs="Arial"/>
          <w:shd w:val="clear" w:color="auto" w:fill="FFFFFF"/>
        </w:rPr>
        <w:t>, </w:t>
      </w:r>
      <w:r w:rsidRPr="00501D92">
        <w:rPr>
          <w:rFonts w:cs="Arial"/>
          <w:i/>
          <w:iCs/>
          <w:shd w:val="clear" w:color="auto" w:fill="FFFFFF"/>
        </w:rPr>
        <w:t>10</w:t>
      </w:r>
      <w:r w:rsidRPr="00501D92">
        <w:rPr>
          <w:rFonts w:cs="Arial"/>
          <w:shd w:val="clear" w:color="auto" w:fill="FFFFFF"/>
        </w:rPr>
        <w:t>(2), pp.32-46.</w:t>
      </w:r>
    </w:p>
    <w:p w14:paraId="16765F05" w14:textId="77777777" w:rsidR="00D94AA5" w:rsidRPr="00501D92" w:rsidRDefault="00D77555" w:rsidP="00CC301B">
      <w:pPr>
        <w:ind w:left="720" w:hanging="720"/>
        <w:rPr>
          <w:rFonts w:cs="Arial"/>
          <w:shd w:val="clear" w:color="auto" w:fill="FFFFFF"/>
        </w:rPr>
      </w:pPr>
      <w:r w:rsidRPr="00501D92">
        <w:rPr>
          <w:rFonts w:cs="Arial"/>
          <w:shd w:val="clear" w:color="auto" w:fill="FFFFFF"/>
        </w:rPr>
        <w:t>Berry, C.T.P., 2022. </w:t>
      </w:r>
      <w:r w:rsidRPr="00501D92">
        <w:rPr>
          <w:rFonts w:cs="Arial"/>
          <w:i/>
          <w:iCs/>
          <w:shd w:val="clear" w:color="auto" w:fill="FFFFFF"/>
        </w:rPr>
        <w:t>Equity research-Whitbread PLC</w:t>
      </w:r>
      <w:r w:rsidRPr="00501D92">
        <w:rPr>
          <w:rFonts w:cs="Arial"/>
          <w:shd w:val="clear" w:color="auto" w:fill="FFFFFF"/>
        </w:rPr>
        <w:t> (Doctoral dissertation, Instituto Superior de Economia e Gestão).</w:t>
      </w:r>
    </w:p>
    <w:p w14:paraId="56280833" w14:textId="77777777" w:rsidR="00D94AA5" w:rsidRPr="00501D92" w:rsidRDefault="00D77555" w:rsidP="00CC301B">
      <w:pPr>
        <w:ind w:left="720" w:hanging="720"/>
        <w:rPr>
          <w:rFonts w:cs="Arial"/>
          <w:shd w:val="clear" w:color="auto" w:fill="FFFFFF"/>
        </w:rPr>
      </w:pPr>
      <w:r w:rsidRPr="00501D92">
        <w:rPr>
          <w:rFonts w:cs="Arial"/>
          <w:shd w:val="clear" w:color="auto" w:fill="FFFFFF"/>
        </w:rPr>
        <w:t>Cattermole, G., 2019. Developing the employee lifecycle to keep top talent. </w:t>
      </w:r>
      <w:r w:rsidRPr="00501D92">
        <w:rPr>
          <w:rFonts w:cs="Arial"/>
          <w:i/>
          <w:iCs/>
          <w:shd w:val="clear" w:color="auto" w:fill="FFFFFF"/>
        </w:rPr>
        <w:t>Strategic HR review</w:t>
      </w:r>
      <w:r w:rsidRPr="00501D92">
        <w:rPr>
          <w:rFonts w:cs="Arial"/>
          <w:shd w:val="clear" w:color="auto" w:fill="FFFFFF"/>
        </w:rPr>
        <w:t>, </w:t>
      </w:r>
      <w:r w:rsidRPr="00501D92">
        <w:rPr>
          <w:rFonts w:cs="Arial"/>
          <w:i/>
          <w:iCs/>
          <w:shd w:val="clear" w:color="auto" w:fill="FFFFFF"/>
        </w:rPr>
        <w:t>18</w:t>
      </w:r>
      <w:r w:rsidRPr="00501D92">
        <w:rPr>
          <w:rFonts w:cs="Arial"/>
          <w:shd w:val="clear" w:color="auto" w:fill="FFFFFF"/>
        </w:rPr>
        <w:t>(6), pp.258-262.</w:t>
      </w:r>
    </w:p>
    <w:p w14:paraId="58CF6E02" w14:textId="77777777" w:rsidR="00D94AA5" w:rsidRPr="00501D92" w:rsidRDefault="00D77555" w:rsidP="00CC301B">
      <w:pPr>
        <w:ind w:left="720" w:hanging="720"/>
        <w:rPr>
          <w:rFonts w:cs="Arial"/>
          <w:shd w:val="clear" w:color="auto" w:fill="FFFFFF"/>
        </w:rPr>
      </w:pPr>
      <w:r w:rsidRPr="00501D92">
        <w:rPr>
          <w:rFonts w:cs="Arial"/>
          <w:shd w:val="clear" w:color="auto" w:fill="FFFFFF"/>
        </w:rPr>
        <w:t>Dimock, M., 2019. Defining generations: Where Millennials end and Generation Z begins. </w:t>
      </w:r>
      <w:r w:rsidRPr="00501D92">
        <w:rPr>
          <w:rFonts w:cs="Arial"/>
          <w:i/>
          <w:iCs/>
          <w:shd w:val="clear" w:color="auto" w:fill="FFFFFF"/>
        </w:rPr>
        <w:t>Pew Research Center</w:t>
      </w:r>
      <w:r w:rsidRPr="00501D92">
        <w:rPr>
          <w:rFonts w:cs="Arial"/>
          <w:shd w:val="clear" w:color="auto" w:fill="FFFFFF"/>
        </w:rPr>
        <w:t>, </w:t>
      </w:r>
      <w:r w:rsidRPr="00501D92">
        <w:rPr>
          <w:rFonts w:cs="Arial"/>
          <w:i/>
          <w:iCs/>
          <w:shd w:val="clear" w:color="auto" w:fill="FFFFFF"/>
        </w:rPr>
        <w:t>17</w:t>
      </w:r>
      <w:r w:rsidRPr="00501D92">
        <w:rPr>
          <w:rFonts w:cs="Arial"/>
          <w:shd w:val="clear" w:color="auto" w:fill="FFFFFF"/>
        </w:rPr>
        <w:t>(1), pp.1-7.</w:t>
      </w:r>
    </w:p>
    <w:p w14:paraId="28BC28A1" w14:textId="77777777" w:rsidR="00D94AA5" w:rsidRPr="00501D92" w:rsidRDefault="00D77555" w:rsidP="00CC301B">
      <w:pPr>
        <w:ind w:left="720" w:hanging="720"/>
        <w:rPr>
          <w:rFonts w:cs="Arial"/>
          <w:shd w:val="clear" w:color="auto" w:fill="FFFFFF"/>
        </w:rPr>
      </w:pPr>
      <w:r w:rsidRPr="00501D92">
        <w:rPr>
          <w:rFonts w:cs="Arial"/>
          <w:shd w:val="clear" w:color="auto" w:fill="FFFFFF"/>
        </w:rPr>
        <w:t>Dinh, L., 2020. Determinants of employee engagement mediated by work-life balance and work stress. </w:t>
      </w:r>
      <w:r w:rsidRPr="00501D92">
        <w:rPr>
          <w:rFonts w:cs="Arial"/>
          <w:i/>
          <w:iCs/>
          <w:shd w:val="clear" w:color="auto" w:fill="FFFFFF"/>
        </w:rPr>
        <w:t>Management Science Letters</w:t>
      </w:r>
      <w:r w:rsidRPr="00501D92">
        <w:rPr>
          <w:rFonts w:cs="Arial"/>
          <w:shd w:val="clear" w:color="auto" w:fill="FFFFFF"/>
        </w:rPr>
        <w:t>, </w:t>
      </w:r>
      <w:r w:rsidRPr="00501D92">
        <w:rPr>
          <w:rFonts w:cs="Arial"/>
          <w:i/>
          <w:iCs/>
          <w:shd w:val="clear" w:color="auto" w:fill="FFFFFF"/>
        </w:rPr>
        <w:t>10</w:t>
      </w:r>
      <w:r w:rsidRPr="00501D92">
        <w:rPr>
          <w:rFonts w:cs="Arial"/>
          <w:shd w:val="clear" w:color="auto" w:fill="FFFFFF"/>
        </w:rPr>
        <w:t>(4), pp.923-928.</w:t>
      </w:r>
    </w:p>
    <w:p w14:paraId="556F8386" w14:textId="77777777" w:rsidR="00D94AA5" w:rsidRPr="00501D92" w:rsidRDefault="00D77555" w:rsidP="00CC301B">
      <w:pPr>
        <w:ind w:left="720" w:hanging="720"/>
        <w:rPr>
          <w:rFonts w:cs="Arial"/>
          <w:shd w:val="clear" w:color="auto" w:fill="FFFFFF"/>
        </w:rPr>
      </w:pPr>
      <w:r w:rsidRPr="00501D92">
        <w:rPr>
          <w:rFonts w:cs="Arial"/>
          <w:shd w:val="clear" w:color="auto" w:fill="FFFFFF"/>
        </w:rPr>
        <w:t>Eldor, L. and Vigoda-Gadot, E., 2017. The nature of employee engagement: Rethinking the employee–organization relationship. </w:t>
      </w:r>
      <w:r w:rsidRPr="00501D92">
        <w:rPr>
          <w:rFonts w:cs="Arial"/>
          <w:i/>
          <w:iCs/>
          <w:shd w:val="clear" w:color="auto" w:fill="FFFFFF"/>
        </w:rPr>
        <w:t>The International Journal of Human Resource Management</w:t>
      </w:r>
      <w:r w:rsidRPr="00501D92">
        <w:rPr>
          <w:rFonts w:cs="Arial"/>
          <w:shd w:val="clear" w:color="auto" w:fill="FFFFFF"/>
        </w:rPr>
        <w:t>, </w:t>
      </w:r>
      <w:r w:rsidRPr="00501D92">
        <w:rPr>
          <w:rFonts w:cs="Arial"/>
          <w:i/>
          <w:iCs/>
          <w:shd w:val="clear" w:color="auto" w:fill="FFFFFF"/>
        </w:rPr>
        <w:t>28</w:t>
      </w:r>
      <w:r w:rsidRPr="00501D92">
        <w:rPr>
          <w:rFonts w:cs="Arial"/>
          <w:shd w:val="clear" w:color="auto" w:fill="FFFFFF"/>
        </w:rPr>
        <w:t>(3), pp.526-552.</w:t>
      </w:r>
    </w:p>
    <w:p w14:paraId="3215A01F" w14:textId="77777777" w:rsidR="00D94AA5" w:rsidRPr="00501D92" w:rsidRDefault="00D77555" w:rsidP="00CC301B">
      <w:pPr>
        <w:ind w:left="720" w:hanging="720"/>
        <w:rPr>
          <w:rFonts w:cs="Arial"/>
          <w:shd w:val="clear" w:color="auto" w:fill="FFFFFF"/>
        </w:rPr>
      </w:pPr>
      <w:r w:rsidRPr="00501D92">
        <w:rPr>
          <w:rFonts w:cs="Arial"/>
          <w:shd w:val="clear" w:color="auto" w:fill="FFFFFF"/>
        </w:rPr>
        <w:t>Heyes, A., 2017. Hotel front office management. In </w:t>
      </w:r>
      <w:r w:rsidRPr="00501D92">
        <w:rPr>
          <w:rFonts w:cs="Arial"/>
          <w:i/>
          <w:iCs/>
          <w:shd w:val="clear" w:color="auto" w:fill="FFFFFF"/>
        </w:rPr>
        <w:t>Hotel Accommodation Management</w:t>
      </w:r>
      <w:r w:rsidRPr="00501D92">
        <w:rPr>
          <w:rFonts w:cs="Arial"/>
          <w:shd w:val="clear" w:color="auto" w:fill="FFFFFF"/>
        </w:rPr>
        <w:t> (pp. 57-69). Routledge.</w:t>
      </w:r>
    </w:p>
    <w:p w14:paraId="02AC8315" w14:textId="77777777" w:rsidR="00D94AA5" w:rsidRPr="00501D92" w:rsidRDefault="00D77555" w:rsidP="00CC301B">
      <w:pPr>
        <w:ind w:left="720" w:hanging="720"/>
        <w:rPr>
          <w:rFonts w:cs="Arial"/>
          <w:shd w:val="clear" w:color="auto" w:fill="FFFFFF"/>
        </w:rPr>
      </w:pPr>
      <w:r w:rsidRPr="00501D92">
        <w:rPr>
          <w:rFonts w:cs="Arial"/>
          <w:shd w:val="clear" w:color="auto" w:fill="FFFFFF"/>
        </w:rPr>
        <w:t>Jackson Jr, P.M., 2023. </w:t>
      </w:r>
      <w:r w:rsidRPr="00501D92">
        <w:rPr>
          <w:rFonts w:cs="Arial"/>
          <w:i/>
          <w:iCs/>
          <w:shd w:val="clear" w:color="auto" w:fill="FFFFFF"/>
        </w:rPr>
        <w:t>Employee Retention and Turnover within the Hospitality and Tourism Industry: A Quantitative Correlational Study</w:t>
      </w:r>
      <w:r w:rsidRPr="00501D92">
        <w:rPr>
          <w:rFonts w:cs="Arial"/>
          <w:shd w:val="clear" w:color="auto" w:fill="FFFFFF"/>
        </w:rPr>
        <w:t> (Doctoral dissertation, Northcentral University).</w:t>
      </w:r>
    </w:p>
    <w:p w14:paraId="2F2D6A7D" w14:textId="77777777" w:rsidR="00D94AA5" w:rsidRPr="00501D92" w:rsidRDefault="00D77555" w:rsidP="00CC301B">
      <w:pPr>
        <w:ind w:left="720" w:hanging="720"/>
        <w:rPr>
          <w:rFonts w:cs="Arial"/>
          <w:shd w:val="clear" w:color="auto" w:fill="FFFFFF"/>
        </w:rPr>
      </w:pPr>
      <w:r w:rsidRPr="00501D92">
        <w:rPr>
          <w:rFonts w:cs="Arial"/>
          <w:shd w:val="clear" w:color="auto" w:fill="FFFFFF"/>
        </w:rPr>
        <w:t>Jain, S. and Khurana, N., 2017. Enhancing employee engagement through training and development. </w:t>
      </w:r>
      <w:r w:rsidRPr="00501D92">
        <w:rPr>
          <w:rFonts w:cs="Arial"/>
          <w:i/>
          <w:iCs/>
          <w:shd w:val="clear" w:color="auto" w:fill="FFFFFF"/>
        </w:rPr>
        <w:t>Asian Journal of Management</w:t>
      </w:r>
      <w:r w:rsidRPr="00501D92">
        <w:rPr>
          <w:rFonts w:cs="Arial"/>
          <w:shd w:val="clear" w:color="auto" w:fill="FFFFFF"/>
        </w:rPr>
        <w:t>, </w:t>
      </w:r>
      <w:r w:rsidRPr="00501D92">
        <w:rPr>
          <w:rFonts w:cs="Arial"/>
          <w:i/>
          <w:iCs/>
          <w:shd w:val="clear" w:color="auto" w:fill="FFFFFF"/>
        </w:rPr>
        <w:t>8</w:t>
      </w:r>
      <w:r w:rsidRPr="00501D92">
        <w:rPr>
          <w:rFonts w:cs="Arial"/>
          <w:shd w:val="clear" w:color="auto" w:fill="FFFFFF"/>
        </w:rPr>
        <w:t>(1), pp.1-6.</w:t>
      </w:r>
    </w:p>
    <w:p w14:paraId="7C5AF72E" w14:textId="77777777" w:rsidR="00D94AA5" w:rsidRPr="00501D92" w:rsidRDefault="00D77555" w:rsidP="00CC301B">
      <w:pPr>
        <w:ind w:left="720" w:hanging="720"/>
        <w:rPr>
          <w:rFonts w:cs="Arial"/>
          <w:shd w:val="clear" w:color="auto" w:fill="FFFFFF"/>
        </w:rPr>
      </w:pPr>
      <w:r w:rsidRPr="00501D92">
        <w:rPr>
          <w:rFonts w:cs="Arial"/>
          <w:shd w:val="clear" w:color="auto" w:fill="FFFFFF"/>
        </w:rPr>
        <w:lastRenderedPageBreak/>
        <w:t>Kwon, K. and Park, J., 2019. The life cycle of employee engagement theory in HRD research. </w:t>
      </w:r>
      <w:r w:rsidRPr="00501D92">
        <w:rPr>
          <w:rFonts w:cs="Arial"/>
          <w:i/>
          <w:iCs/>
          <w:shd w:val="clear" w:color="auto" w:fill="FFFFFF"/>
        </w:rPr>
        <w:t>Advances in Developing Human Resources</w:t>
      </w:r>
      <w:r w:rsidRPr="00501D92">
        <w:rPr>
          <w:rFonts w:cs="Arial"/>
          <w:shd w:val="clear" w:color="auto" w:fill="FFFFFF"/>
        </w:rPr>
        <w:t>, </w:t>
      </w:r>
      <w:r w:rsidRPr="00501D92">
        <w:rPr>
          <w:rFonts w:cs="Arial"/>
          <w:i/>
          <w:iCs/>
          <w:shd w:val="clear" w:color="auto" w:fill="FFFFFF"/>
        </w:rPr>
        <w:t>21</w:t>
      </w:r>
      <w:r w:rsidRPr="00501D92">
        <w:rPr>
          <w:rFonts w:cs="Arial"/>
          <w:shd w:val="clear" w:color="auto" w:fill="FFFFFF"/>
        </w:rPr>
        <w:t>(3), pp.352-370.</w:t>
      </w:r>
    </w:p>
    <w:p w14:paraId="48C99247" w14:textId="77777777" w:rsidR="00D94AA5" w:rsidRPr="00501D92" w:rsidRDefault="00D77555" w:rsidP="00CC301B">
      <w:pPr>
        <w:ind w:left="720" w:hanging="720"/>
        <w:rPr>
          <w:rFonts w:cs="Arial"/>
          <w:shd w:val="clear" w:color="auto" w:fill="FFFFFF"/>
        </w:rPr>
      </w:pPr>
      <w:r w:rsidRPr="00501D92">
        <w:rPr>
          <w:rFonts w:cs="Arial"/>
          <w:shd w:val="clear" w:color="auto" w:fill="FFFFFF"/>
        </w:rPr>
        <w:t>Lapoint, P.A. and Liprie-Spence, A., 2017. Employee Engagement: Generational Differences in the Workforce. </w:t>
      </w:r>
      <w:r w:rsidRPr="00501D92">
        <w:rPr>
          <w:rFonts w:cs="Arial"/>
          <w:i/>
          <w:iCs/>
          <w:shd w:val="clear" w:color="auto" w:fill="FFFFFF"/>
        </w:rPr>
        <w:t>Journal of Organizational Psychology</w:t>
      </w:r>
      <w:r w:rsidRPr="00501D92">
        <w:rPr>
          <w:rFonts w:cs="Arial"/>
          <w:shd w:val="clear" w:color="auto" w:fill="FFFFFF"/>
        </w:rPr>
        <w:t>, </w:t>
      </w:r>
      <w:r w:rsidRPr="00501D92">
        <w:rPr>
          <w:rFonts w:cs="Arial"/>
          <w:i/>
          <w:iCs/>
          <w:shd w:val="clear" w:color="auto" w:fill="FFFFFF"/>
        </w:rPr>
        <w:t>17</w:t>
      </w:r>
      <w:r w:rsidRPr="00501D92">
        <w:rPr>
          <w:rFonts w:cs="Arial"/>
          <w:shd w:val="clear" w:color="auto" w:fill="FFFFFF"/>
        </w:rPr>
        <w:t>(5).</w:t>
      </w:r>
    </w:p>
    <w:p w14:paraId="77FD7D4A" w14:textId="77777777" w:rsidR="00D94AA5" w:rsidRPr="00501D92" w:rsidRDefault="00D77555" w:rsidP="00CC301B">
      <w:pPr>
        <w:ind w:left="720" w:hanging="720"/>
        <w:rPr>
          <w:rFonts w:cs="Arial"/>
          <w:shd w:val="clear" w:color="auto" w:fill="FFFFFF"/>
        </w:rPr>
      </w:pPr>
      <w:r w:rsidRPr="00501D92">
        <w:rPr>
          <w:rFonts w:cs="Arial"/>
          <w:shd w:val="clear" w:color="auto" w:fill="FFFFFF"/>
        </w:rPr>
        <w:t>MADAN, S., 2017. MOVING FROM EMPLOYEE SATISFACTION TO EMPLOYEE ENGAGEMENT. </w:t>
      </w:r>
      <w:r w:rsidRPr="00501D92">
        <w:rPr>
          <w:rFonts w:cs="Arial"/>
          <w:i/>
          <w:iCs/>
          <w:shd w:val="clear" w:color="auto" w:fill="FFFFFF"/>
        </w:rPr>
        <w:t>CLEAR International Journal of Research in Commerce &amp; Management</w:t>
      </w:r>
      <w:r w:rsidRPr="00501D92">
        <w:rPr>
          <w:rFonts w:cs="Arial"/>
          <w:shd w:val="clear" w:color="auto" w:fill="FFFFFF"/>
        </w:rPr>
        <w:t>, </w:t>
      </w:r>
      <w:r w:rsidRPr="00501D92">
        <w:rPr>
          <w:rFonts w:cs="Arial"/>
          <w:i/>
          <w:iCs/>
          <w:shd w:val="clear" w:color="auto" w:fill="FFFFFF"/>
        </w:rPr>
        <w:t>8</w:t>
      </w:r>
      <w:r w:rsidRPr="00501D92">
        <w:rPr>
          <w:rFonts w:cs="Arial"/>
          <w:shd w:val="clear" w:color="auto" w:fill="FFFFFF"/>
        </w:rPr>
        <w:t>(6).</w:t>
      </w:r>
    </w:p>
    <w:p w14:paraId="52BC755F" w14:textId="77777777" w:rsidR="00D94AA5" w:rsidRPr="00501D92" w:rsidRDefault="00D77555" w:rsidP="00CC301B">
      <w:pPr>
        <w:ind w:left="720" w:hanging="720"/>
        <w:rPr>
          <w:rFonts w:cs="Arial"/>
          <w:shd w:val="clear" w:color="auto" w:fill="FFFFFF"/>
        </w:rPr>
      </w:pPr>
      <w:r w:rsidRPr="00501D92">
        <w:rPr>
          <w:rFonts w:cs="Arial"/>
          <w:shd w:val="clear" w:color="auto" w:fill="FFFFFF"/>
        </w:rPr>
        <w:t>Malik, A., Froese, F.J. and Sharma, P., 2020. Role of HRM in knowledge integration: Towards a conceptual framework. </w:t>
      </w:r>
      <w:r w:rsidRPr="00501D92">
        <w:rPr>
          <w:rFonts w:cs="Arial"/>
          <w:i/>
          <w:iCs/>
          <w:shd w:val="clear" w:color="auto" w:fill="FFFFFF"/>
        </w:rPr>
        <w:t>Journal of Business Research</w:t>
      </w:r>
      <w:r w:rsidRPr="00501D92">
        <w:rPr>
          <w:rFonts w:cs="Arial"/>
          <w:shd w:val="clear" w:color="auto" w:fill="FFFFFF"/>
        </w:rPr>
        <w:t>, </w:t>
      </w:r>
      <w:r w:rsidRPr="00501D92">
        <w:rPr>
          <w:rFonts w:cs="Arial"/>
          <w:i/>
          <w:iCs/>
          <w:shd w:val="clear" w:color="auto" w:fill="FFFFFF"/>
        </w:rPr>
        <w:t>109</w:t>
      </w:r>
      <w:r w:rsidRPr="00501D92">
        <w:rPr>
          <w:rFonts w:cs="Arial"/>
          <w:shd w:val="clear" w:color="auto" w:fill="FFFFFF"/>
        </w:rPr>
        <w:t>, pp.524-535.</w:t>
      </w:r>
    </w:p>
    <w:p w14:paraId="22EF9029" w14:textId="77777777" w:rsidR="00D94AA5" w:rsidRPr="00501D92" w:rsidRDefault="00D77555" w:rsidP="00CC301B">
      <w:pPr>
        <w:ind w:left="720" w:hanging="720"/>
        <w:rPr>
          <w:rFonts w:cs="Arial"/>
          <w:shd w:val="clear" w:color="auto" w:fill="FFFFFF"/>
        </w:rPr>
      </w:pPr>
      <w:r w:rsidRPr="00501D92">
        <w:rPr>
          <w:rFonts w:cs="Arial"/>
          <w:shd w:val="clear" w:color="auto" w:fill="FFFFFF"/>
        </w:rPr>
        <w:t>Oktanofa, A.K., Arliawan, F.A. and Gustomo, A., 2022. Measuring and Improving Employee Engagement (A Study in PT. Svara Inovasi Indonesia). </w:t>
      </w:r>
      <w:r w:rsidRPr="00501D92">
        <w:rPr>
          <w:rFonts w:cs="Arial"/>
          <w:i/>
          <w:iCs/>
          <w:shd w:val="clear" w:color="auto" w:fill="FFFFFF"/>
        </w:rPr>
        <w:t>IPTEK Journal of Proceedings Series</w:t>
      </w:r>
      <w:r w:rsidRPr="00501D92">
        <w:rPr>
          <w:rFonts w:cs="Arial"/>
          <w:shd w:val="clear" w:color="auto" w:fill="FFFFFF"/>
        </w:rPr>
        <w:t>, (1), pp.425-431.</w:t>
      </w:r>
    </w:p>
    <w:p w14:paraId="5B7A35C8" w14:textId="77777777" w:rsidR="00D94AA5" w:rsidRPr="00501D92" w:rsidRDefault="00D77555" w:rsidP="00CC301B">
      <w:pPr>
        <w:ind w:left="720" w:hanging="720"/>
        <w:rPr>
          <w:rFonts w:cs="Arial"/>
          <w:shd w:val="clear" w:color="auto" w:fill="FFFFFF"/>
        </w:rPr>
      </w:pPr>
      <w:r w:rsidRPr="00501D92">
        <w:rPr>
          <w:rFonts w:cs="Arial"/>
          <w:shd w:val="clear" w:color="auto" w:fill="FFFFFF"/>
        </w:rPr>
        <w:t>Osborne, S. and Hammoud, M.S., 2017. Effective employee engagement in the workplace. </w:t>
      </w:r>
      <w:r w:rsidRPr="00501D92">
        <w:rPr>
          <w:rFonts w:cs="Arial"/>
          <w:i/>
          <w:iCs/>
          <w:shd w:val="clear" w:color="auto" w:fill="FFFFFF"/>
        </w:rPr>
        <w:t>International Journal of Applied Management and Technology</w:t>
      </w:r>
      <w:r w:rsidRPr="00501D92">
        <w:rPr>
          <w:rFonts w:cs="Arial"/>
          <w:shd w:val="clear" w:color="auto" w:fill="FFFFFF"/>
        </w:rPr>
        <w:t>, </w:t>
      </w:r>
      <w:r w:rsidRPr="00501D92">
        <w:rPr>
          <w:rFonts w:cs="Arial"/>
          <w:i/>
          <w:iCs/>
          <w:shd w:val="clear" w:color="auto" w:fill="FFFFFF"/>
        </w:rPr>
        <w:t>16</w:t>
      </w:r>
      <w:r w:rsidRPr="00501D92">
        <w:rPr>
          <w:rFonts w:cs="Arial"/>
          <w:shd w:val="clear" w:color="auto" w:fill="FFFFFF"/>
        </w:rPr>
        <w:t>(1), p.4.</w:t>
      </w:r>
    </w:p>
    <w:p w14:paraId="7A6E1F08" w14:textId="77777777" w:rsidR="00D94AA5" w:rsidRPr="00501D92" w:rsidRDefault="00D77555" w:rsidP="00CC301B">
      <w:pPr>
        <w:ind w:left="720" w:hanging="720"/>
        <w:rPr>
          <w:rFonts w:cs="Arial"/>
          <w:shd w:val="clear" w:color="auto" w:fill="FFFFFF"/>
        </w:rPr>
      </w:pPr>
      <w:r w:rsidRPr="00501D92">
        <w:rPr>
          <w:rFonts w:cs="Arial"/>
          <w:shd w:val="clear" w:color="auto" w:fill="FFFFFF"/>
        </w:rPr>
        <w:t>Saks, A.M., 2022. Caring human resources management and employee engagement. </w:t>
      </w:r>
      <w:r w:rsidRPr="00501D92">
        <w:rPr>
          <w:rFonts w:cs="Arial"/>
          <w:i/>
          <w:iCs/>
          <w:shd w:val="clear" w:color="auto" w:fill="FFFFFF"/>
        </w:rPr>
        <w:t>Human Resource Management Review</w:t>
      </w:r>
      <w:r w:rsidRPr="00501D92">
        <w:rPr>
          <w:rFonts w:cs="Arial"/>
          <w:shd w:val="clear" w:color="auto" w:fill="FFFFFF"/>
        </w:rPr>
        <w:t>, </w:t>
      </w:r>
      <w:r w:rsidRPr="00501D92">
        <w:rPr>
          <w:rFonts w:cs="Arial"/>
          <w:i/>
          <w:iCs/>
          <w:shd w:val="clear" w:color="auto" w:fill="FFFFFF"/>
        </w:rPr>
        <w:t>32</w:t>
      </w:r>
      <w:r w:rsidRPr="00501D92">
        <w:rPr>
          <w:rFonts w:cs="Arial"/>
          <w:shd w:val="clear" w:color="auto" w:fill="FFFFFF"/>
        </w:rPr>
        <w:t>(3), p.100835.</w:t>
      </w:r>
    </w:p>
    <w:p w14:paraId="6DA96CE4" w14:textId="77777777" w:rsidR="00D94AA5" w:rsidRPr="00501D92" w:rsidRDefault="00D77555" w:rsidP="00CC301B">
      <w:pPr>
        <w:ind w:left="720" w:hanging="720"/>
        <w:rPr>
          <w:rFonts w:cs="Arial"/>
          <w:shd w:val="clear" w:color="auto" w:fill="FFFFFF"/>
        </w:rPr>
      </w:pPr>
      <w:r w:rsidRPr="00501D92">
        <w:rPr>
          <w:rFonts w:cs="Arial"/>
          <w:shd w:val="clear" w:color="auto" w:fill="FFFFFF"/>
        </w:rPr>
        <w:t>Schroth, H., 2019. Are you ready for Gen Z in the workplace? </w:t>
      </w:r>
      <w:r w:rsidRPr="00501D92">
        <w:rPr>
          <w:rFonts w:cs="Arial"/>
          <w:i/>
          <w:iCs/>
          <w:shd w:val="clear" w:color="auto" w:fill="FFFFFF"/>
        </w:rPr>
        <w:t>California Management Review</w:t>
      </w:r>
      <w:r w:rsidRPr="00501D92">
        <w:rPr>
          <w:rFonts w:cs="Arial"/>
          <w:shd w:val="clear" w:color="auto" w:fill="FFFFFF"/>
        </w:rPr>
        <w:t>, </w:t>
      </w:r>
      <w:r w:rsidRPr="00501D92">
        <w:rPr>
          <w:rFonts w:cs="Arial"/>
          <w:i/>
          <w:iCs/>
          <w:shd w:val="clear" w:color="auto" w:fill="FFFFFF"/>
        </w:rPr>
        <w:t>61</w:t>
      </w:r>
      <w:r w:rsidRPr="00501D92">
        <w:rPr>
          <w:rFonts w:cs="Arial"/>
          <w:shd w:val="clear" w:color="auto" w:fill="FFFFFF"/>
        </w:rPr>
        <w:t>(3), pp.5-18.</w:t>
      </w:r>
    </w:p>
    <w:p w14:paraId="17C351C1" w14:textId="77777777" w:rsidR="00D94AA5" w:rsidRPr="00501D92" w:rsidRDefault="00D77555" w:rsidP="00CC301B">
      <w:pPr>
        <w:ind w:left="720" w:hanging="720"/>
        <w:rPr>
          <w:rFonts w:cs="Arial"/>
          <w:shd w:val="clear" w:color="auto" w:fill="FFFFFF"/>
        </w:rPr>
      </w:pPr>
      <w:r w:rsidRPr="00501D92">
        <w:rPr>
          <w:rFonts w:cs="Arial"/>
          <w:shd w:val="clear" w:color="auto" w:fill="FFFFFF"/>
        </w:rPr>
        <w:t>Seemiller, C. and Grace, M., 2018. </w:t>
      </w:r>
      <w:r w:rsidRPr="00501D92">
        <w:rPr>
          <w:rFonts w:cs="Arial"/>
          <w:i/>
          <w:iCs/>
          <w:shd w:val="clear" w:color="auto" w:fill="FFFFFF"/>
        </w:rPr>
        <w:t>Generation Z: A century in the making</w:t>
      </w:r>
      <w:r w:rsidRPr="00501D92">
        <w:rPr>
          <w:rFonts w:cs="Arial"/>
          <w:shd w:val="clear" w:color="auto" w:fill="FFFFFF"/>
        </w:rPr>
        <w:t>. Routledge.</w:t>
      </w:r>
    </w:p>
    <w:p w14:paraId="3B241462" w14:textId="77777777" w:rsidR="00D94AA5" w:rsidRPr="00501D92" w:rsidRDefault="00D77555" w:rsidP="00CC301B">
      <w:pPr>
        <w:ind w:left="720" w:hanging="720"/>
        <w:rPr>
          <w:rFonts w:cs="Arial"/>
          <w:shd w:val="clear" w:color="auto" w:fill="FFFFFF"/>
        </w:rPr>
      </w:pPr>
      <w:r w:rsidRPr="00501D92">
        <w:rPr>
          <w:rFonts w:cs="Arial"/>
          <w:shd w:val="clear" w:color="auto" w:fill="FFFFFF"/>
        </w:rPr>
        <w:t>Singh, D., 2019. A literature review on employee retention with focus on recent trends. </w:t>
      </w:r>
      <w:r w:rsidRPr="00501D92">
        <w:rPr>
          <w:rFonts w:cs="Arial"/>
          <w:i/>
          <w:iCs/>
          <w:shd w:val="clear" w:color="auto" w:fill="FFFFFF"/>
        </w:rPr>
        <w:t>International Journal of Scientific Research in Science and Technology</w:t>
      </w:r>
      <w:r w:rsidRPr="00501D92">
        <w:rPr>
          <w:rFonts w:cs="Arial"/>
          <w:shd w:val="clear" w:color="auto" w:fill="FFFFFF"/>
        </w:rPr>
        <w:t>, </w:t>
      </w:r>
      <w:r w:rsidRPr="00501D92">
        <w:rPr>
          <w:rFonts w:cs="Arial"/>
          <w:i/>
          <w:iCs/>
          <w:shd w:val="clear" w:color="auto" w:fill="FFFFFF"/>
        </w:rPr>
        <w:t>6</w:t>
      </w:r>
      <w:r w:rsidRPr="00501D92">
        <w:rPr>
          <w:rFonts w:cs="Arial"/>
          <w:shd w:val="clear" w:color="auto" w:fill="FFFFFF"/>
        </w:rPr>
        <w:t>(1), pp.425-431.</w:t>
      </w:r>
    </w:p>
    <w:p w14:paraId="722EC113" w14:textId="77777777" w:rsidR="00D94AA5" w:rsidRPr="00501D92" w:rsidRDefault="00D77555" w:rsidP="00CC301B">
      <w:pPr>
        <w:ind w:left="720" w:hanging="720"/>
        <w:rPr>
          <w:rFonts w:cs="Arial"/>
          <w:shd w:val="clear" w:color="auto" w:fill="FFFFFF"/>
        </w:rPr>
      </w:pPr>
      <w:r w:rsidRPr="00501D92">
        <w:rPr>
          <w:rFonts w:cs="Arial"/>
          <w:shd w:val="clear" w:color="auto" w:fill="FFFFFF"/>
        </w:rPr>
        <w:t>Sun, L. and Bunchapattanasakda, C., 2019. Employee engagement: A literature review. </w:t>
      </w:r>
      <w:r w:rsidRPr="00501D92">
        <w:rPr>
          <w:rFonts w:cs="Arial"/>
          <w:i/>
          <w:iCs/>
          <w:shd w:val="clear" w:color="auto" w:fill="FFFFFF"/>
        </w:rPr>
        <w:t>International Journal of Human Resource Studies</w:t>
      </w:r>
      <w:r w:rsidRPr="00501D92">
        <w:rPr>
          <w:rFonts w:cs="Arial"/>
          <w:shd w:val="clear" w:color="auto" w:fill="FFFFFF"/>
        </w:rPr>
        <w:t>, </w:t>
      </w:r>
      <w:r w:rsidRPr="00501D92">
        <w:rPr>
          <w:rFonts w:cs="Arial"/>
          <w:i/>
          <w:iCs/>
          <w:shd w:val="clear" w:color="auto" w:fill="FFFFFF"/>
        </w:rPr>
        <w:t>9</w:t>
      </w:r>
      <w:r w:rsidRPr="00501D92">
        <w:rPr>
          <w:rFonts w:cs="Arial"/>
          <w:shd w:val="clear" w:color="auto" w:fill="FFFFFF"/>
        </w:rPr>
        <w:t>(1), pp.63-80.</w:t>
      </w:r>
    </w:p>
    <w:p w14:paraId="06B1EF11" w14:textId="77777777" w:rsidR="00D94AA5" w:rsidRPr="00501D92" w:rsidRDefault="00D94AA5" w:rsidP="00CC301B">
      <w:pPr>
        <w:rPr>
          <w:lang w:val="en-US"/>
        </w:rPr>
      </w:pPr>
    </w:p>
    <w:sectPr w:rsidR="00D94AA5" w:rsidRPr="00501D92" w:rsidSect="00155544">
      <w:headerReference w:type="default" r:id="rId7"/>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6E62A" w14:textId="77777777" w:rsidR="00D77555" w:rsidRDefault="00D77555">
      <w:pPr>
        <w:spacing w:line="240" w:lineRule="auto"/>
      </w:pPr>
      <w:r>
        <w:separator/>
      </w:r>
    </w:p>
  </w:endnote>
  <w:endnote w:type="continuationSeparator" w:id="0">
    <w:p w14:paraId="1D4EF402" w14:textId="77777777" w:rsidR="00D77555" w:rsidRDefault="00D775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242048"/>
      <w:docPartObj>
        <w:docPartGallery w:val="Page Numbers (Bottom of Page)"/>
        <w:docPartUnique/>
      </w:docPartObj>
    </w:sdtPr>
    <w:sdtEndPr>
      <w:rPr>
        <w:noProof/>
      </w:rPr>
    </w:sdtEndPr>
    <w:sdtContent>
      <w:p w14:paraId="7BB6934E" w14:textId="77777777" w:rsidR="00155544" w:rsidRDefault="00D775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E040F" w14:textId="77777777" w:rsidR="00155544" w:rsidRDefault="00155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07B6" w14:textId="77777777" w:rsidR="00D77555" w:rsidRDefault="00D77555">
      <w:pPr>
        <w:spacing w:line="240" w:lineRule="auto"/>
      </w:pPr>
      <w:r>
        <w:separator/>
      </w:r>
    </w:p>
  </w:footnote>
  <w:footnote w:type="continuationSeparator" w:id="0">
    <w:p w14:paraId="546E18F5" w14:textId="77777777" w:rsidR="00D77555" w:rsidRDefault="00D775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458F8" w14:textId="77777777" w:rsidR="00155544" w:rsidRDefault="00D77555">
    <w:pPr>
      <w:pStyle w:val="Header"/>
    </w:pPr>
    <w:r>
      <w:rPr>
        <w:noProof/>
      </w:rPr>
      <w:drawing>
        <wp:anchor distT="0" distB="0" distL="114300" distR="114300" simplePos="0" relativeHeight="251659264" behindDoc="0" locked="0" layoutInCell="1" allowOverlap="1" wp14:anchorId="66B4DB53" wp14:editId="434EF95C">
          <wp:simplePos x="0" y="0"/>
          <wp:positionH relativeFrom="column">
            <wp:posOffset>-542925</wp:posOffset>
          </wp:positionH>
          <wp:positionV relativeFrom="paragraph">
            <wp:posOffset>-295275</wp:posOffset>
          </wp:positionV>
          <wp:extent cx="1552575" cy="561975"/>
          <wp:effectExtent l="0" t="0" r="9525" b="9525"/>
          <wp:wrapThrough wrapText="bothSides">
            <wp:wrapPolygon edited="0">
              <wp:start x="0" y="0"/>
              <wp:lineTo x="0" y="21234"/>
              <wp:lineTo x="21467" y="21234"/>
              <wp:lineTo x="21467" y="0"/>
              <wp:lineTo x="0" y="0"/>
            </wp:wrapPolygon>
          </wp:wrapThrough>
          <wp:docPr id="596107832" name="Picture 596107832" descr="UWTSD new Logo"/>
          <wp:cNvGraphicFramePr/>
          <a:graphic xmlns:a="http://schemas.openxmlformats.org/drawingml/2006/main">
            <a:graphicData uri="http://schemas.openxmlformats.org/drawingml/2006/picture">
              <pic:pic xmlns:pic="http://schemas.openxmlformats.org/drawingml/2006/picture">
                <pic:nvPicPr>
                  <pic:cNvPr id="596107832" name="Picture 5264"/>
                  <pic:cNvPicPr/>
                </pic:nvPicPr>
                <pic:blipFill>
                  <a:blip r:embed="rId1">
                    <a:extLst>
                      <a:ext uri="{28A0092B-C50C-407E-A947-70E740481C1C}">
                        <a14:useLocalDpi xmlns:a14="http://schemas.microsoft.com/office/drawing/2010/main" val="0"/>
                      </a:ext>
                    </a:extLst>
                  </a:blip>
                  <a:stretch>
                    <a:fillRect/>
                  </a:stretch>
                </pic:blipFill>
                <pic:spPr>
                  <a:xfrm>
                    <a:off x="0" y="0"/>
                    <a:ext cx="1552575" cy="56197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B3E85" w14:textId="77777777" w:rsidR="00155544" w:rsidRDefault="00D77555">
    <w:pPr>
      <w:pStyle w:val="Header"/>
    </w:pPr>
    <w:r>
      <w:rPr>
        <w:noProof/>
      </w:rPr>
      <w:drawing>
        <wp:anchor distT="0" distB="0" distL="114300" distR="114300" simplePos="0" relativeHeight="251658240" behindDoc="0" locked="0" layoutInCell="1" allowOverlap="1" wp14:anchorId="47C12214" wp14:editId="57452312">
          <wp:simplePos x="0" y="0"/>
          <wp:positionH relativeFrom="column">
            <wp:posOffset>-400050</wp:posOffset>
          </wp:positionH>
          <wp:positionV relativeFrom="paragraph">
            <wp:posOffset>-247650</wp:posOffset>
          </wp:positionV>
          <wp:extent cx="1552575" cy="561975"/>
          <wp:effectExtent l="0" t="0" r="9525" b="9525"/>
          <wp:wrapThrough wrapText="bothSides">
            <wp:wrapPolygon edited="0">
              <wp:start x="0" y="0"/>
              <wp:lineTo x="0" y="21234"/>
              <wp:lineTo x="21467" y="21234"/>
              <wp:lineTo x="21467" y="0"/>
              <wp:lineTo x="0" y="0"/>
            </wp:wrapPolygon>
          </wp:wrapThrough>
          <wp:docPr id="2085108316" name="Picture 2085108316" descr="UWTSD new Logo"/>
          <wp:cNvGraphicFramePr/>
          <a:graphic xmlns:a="http://schemas.openxmlformats.org/drawingml/2006/main">
            <a:graphicData uri="http://schemas.openxmlformats.org/drawingml/2006/picture">
              <pic:pic xmlns:pic="http://schemas.openxmlformats.org/drawingml/2006/picture">
                <pic:nvPicPr>
                  <pic:cNvPr id="2085108316" name="Picture 5264"/>
                  <pic:cNvPicPr/>
                </pic:nvPicPr>
                <pic:blipFill>
                  <a:blip r:embed="rId1">
                    <a:extLst>
                      <a:ext uri="{28A0092B-C50C-407E-A947-70E740481C1C}">
                        <a14:useLocalDpi xmlns:a14="http://schemas.microsoft.com/office/drawing/2010/main" val="0"/>
                      </a:ext>
                    </a:extLst>
                  </a:blip>
                  <a:stretch>
                    <a:fillRect/>
                  </a:stretch>
                </pic:blipFill>
                <pic:spPr>
                  <a:xfrm>
                    <a:off x="0" y="0"/>
                    <a:ext cx="1552575" cy="561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7358"/>
    <w:multiLevelType w:val="multilevel"/>
    <w:tmpl w:val="985EC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A9516D"/>
    <w:multiLevelType w:val="hybridMultilevel"/>
    <w:tmpl w:val="FFFFFFFF"/>
    <w:lvl w:ilvl="0" w:tplc="1B362E2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DEF7B6">
      <w:start w:val="1"/>
      <w:numFmt w:val="bullet"/>
      <w:lvlText w:val="o"/>
      <w:lvlJc w:val="left"/>
      <w:pPr>
        <w:ind w:left="1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68E8AE">
      <w:start w:val="1"/>
      <w:numFmt w:val="bullet"/>
      <w:lvlText w:val="▪"/>
      <w:lvlJc w:val="left"/>
      <w:pPr>
        <w:ind w:left="2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D2DC48">
      <w:start w:val="1"/>
      <w:numFmt w:val="bullet"/>
      <w:lvlText w:val="•"/>
      <w:lvlJc w:val="left"/>
      <w:pPr>
        <w:ind w:left="2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643DDE">
      <w:start w:val="1"/>
      <w:numFmt w:val="bullet"/>
      <w:lvlText w:val="o"/>
      <w:lvlJc w:val="left"/>
      <w:pPr>
        <w:ind w:left="3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24A2AC">
      <w:start w:val="1"/>
      <w:numFmt w:val="bullet"/>
      <w:lvlText w:val="▪"/>
      <w:lvlJc w:val="left"/>
      <w:pPr>
        <w:ind w:left="4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5C8EF2">
      <w:start w:val="1"/>
      <w:numFmt w:val="bullet"/>
      <w:lvlText w:val="•"/>
      <w:lvlJc w:val="left"/>
      <w:pPr>
        <w:ind w:left="5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328E54">
      <w:start w:val="1"/>
      <w:numFmt w:val="bullet"/>
      <w:lvlText w:val="o"/>
      <w:lvlJc w:val="left"/>
      <w:pPr>
        <w:ind w:left="5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A2C52A">
      <w:start w:val="1"/>
      <w:numFmt w:val="bullet"/>
      <w:lvlText w:val="▪"/>
      <w:lvlJc w:val="left"/>
      <w:pPr>
        <w:ind w:left="6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9164DE1"/>
    <w:multiLevelType w:val="multilevel"/>
    <w:tmpl w:val="E5D2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1E5765"/>
    <w:multiLevelType w:val="multilevel"/>
    <w:tmpl w:val="F06E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24267">
    <w:abstractNumId w:val="1"/>
  </w:num>
  <w:num w:numId="2" w16cid:durableId="33581919">
    <w:abstractNumId w:val="0"/>
  </w:num>
  <w:num w:numId="3" w16cid:durableId="1145777891">
    <w:abstractNumId w:val="2"/>
  </w:num>
  <w:num w:numId="4" w16cid:durableId="1884756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66A"/>
    <w:rsid w:val="00003857"/>
    <w:rsid w:val="00035307"/>
    <w:rsid w:val="000521CF"/>
    <w:rsid w:val="0007672A"/>
    <w:rsid w:val="00094582"/>
    <w:rsid w:val="00094653"/>
    <w:rsid w:val="000A2277"/>
    <w:rsid w:val="000A6C46"/>
    <w:rsid w:val="000C2FCF"/>
    <w:rsid w:val="000D697E"/>
    <w:rsid w:val="00100FAE"/>
    <w:rsid w:val="00106BDD"/>
    <w:rsid w:val="001154AC"/>
    <w:rsid w:val="001525BD"/>
    <w:rsid w:val="00155544"/>
    <w:rsid w:val="0016789A"/>
    <w:rsid w:val="00176351"/>
    <w:rsid w:val="001A745D"/>
    <w:rsid w:val="001B4F7F"/>
    <w:rsid w:val="001C07D4"/>
    <w:rsid w:val="001C0CC9"/>
    <w:rsid w:val="001C2581"/>
    <w:rsid w:val="001C67F4"/>
    <w:rsid w:val="001D659F"/>
    <w:rsid w:val="001E0B01"/>
    <w:rsid w:val="002211D7"/>
    <w:rsid w:val="0023590F"/>
    <w:rsid w:val="00237A33"/>
    <w:rsid w:val="00244FB6"/>
    <w:rsid w:val="00252610"/>
    <w:rsid w:val="0025300D"/>
    <w:rsid w:val="0026267C"/>
    <w:rsid w:val="00270DBD"/>
    <w:rsid w:val="00272714"/>
    <w:rsid w:val="002A7208"/>
    <w:rsid w:val="002D5470"/>
    <w:rsid w:val="002E63DA"/>
    <w:rsid w:val="002E689A"/>
    <w:rsid w:val="00301260"/>
    <w:rsid w:val="00311C26"/>
    <w:rsid w:val="003211ED"/>
    <w:rsid w:val="00321671"/>
    <w:rsid w:val="0032395F"/>
    <w:rsid w:val="0033772A"/>
    <w:rsid w:val="00342C39"/>
    <w:rsid w:val="003441F4"/>
    <w:rsid w:val="00350E9F"/>
    <w:rsid w:val="00382151"/>
    <w:rsid w:val="0038482F"/>
    <w:rsid w:val="00396D5E"/>
    <w:rsid w:val="003A0735"/>
    <w:rsid w:val="003A08C3"/>
    <w:rsid w:val="003C1FD6"/>
    <w:rsid w:val="003C7809"/>
    <w:rsid w:val="003D11EF"/>
    <w:rsid w:val="003D297F"/>
    <w:rsid w:val="003E1C2D"/>
    <w:rsid w:val="003E2C5C"/>
    <w:rsid w:val="003E7EC4"/>
    <w:rsid w:val="003F61FE"/>
    <w:rsid w:val="00406EF8"/>
    <w:rsid w:val="00422DF2"/>
    <w:rsid w:val="00426F9E"/>
    <w:rsid w:val="00432452"/>
    <w:rsid w:val="00454304"/>
    <w:rsid w:val="004608E9"/>
    <w:rsid w:val="0048408E"/>
    <w:rsid w:val="004A519A"/>
    <w:rsid w:val="004B5D24"/>
    <w:rsid w:val="004C26EB"/>
    <w:rsid w:val="004C48EA"/>
    <w:rsid w:val="004D55B4"/>
    <w:rsid w:val="004E008F"/>
    <w:rsid w:val="004F165B"/>
    <w:rsid w:val="00501D92"/>
    <w:rsid w:val="00502A28"/>
    <w:rsid w:val="0051202A"/>
    <w:rsid w:val="00512D01"/>
    <w:rsid w:val="00520CB1"/>
    <w:rsid w:val="00524222"/>
    <w:rsid w:val="005266EE"/>
    <w:rsid w:val="00563EAE"/>
    <w:rsid w:val="00572B20"/>
    <w:rsid w:val="005736FF"/>
    <w:rsid w:val="00583A62"/>
    <w:rsid w:val="005A366A"/>
    <w:rsid w:val="005D2650"/>
    <w:rsid w:val="005D36BB"/>
    <w:rsid w:val="00603D8D"/>
    <w:rsid w:val="006204E1"/>
    <w:rsid w:val="00621AFB"/>
    <w:rsid w:val="00624F0C"/>
    <w:rsid w:val="00667B08"/>
    <w:rsid w:val="00680049"/>
    <w:rsid w:val="006956FB"/>
    <w:rsid w:val="006A1521"/>
    <w:rsid w:val="006B588E"/>
    <w:rsid w:val="006F1E71"/>
    <w:rsid w:val="006F5110"/>
    <w:rsid w:val="006F7FA8"/>
    <w:rsid w:val="00723383"/>
    <w:rsid w:val="0072567C"/>
    <w:rsid w:val="00731EFD"/>
    <w:rsid w:val="00736FCE"/>
    <w:rsid w:val="0073723B"/>
    <w:rsid w:val="007957F1"/>
    <w:rsid w:val="007A2AE0"/>
    <w:rsid w:val="007A5827"/>
    <w:rsid w:val="007B0FDC"/>
    <w:rsid w:val="007B6507"/>
    <w:rsid w:val="007C0D3B"/>
    <w:rsid w:val="007C433C"/>
    <w:rsid w:val="007D609F"/>
    <w:rsid w:val="007D6EEC"/>
    <w:rsid w:val="007E6BF2"/>
    <w:rsid w:val="00804917"/>
    <w:rsid w:val="00815166"/>
    <w:rsid w:val="008338B7"/>
    <w:rsid w:val="008375E3"/>
    <w:rsid w:val="00856670"/>
    <w:rsid w:val="008715A3"/>
    <w:rsid w:val="00895F4E"/>
    <w:rsid w:val="008C239B"/>
    <w:rsid w:val="008C2E1E"/>
    <w:rsid w:val="008C492D"/>
    <w:rsid w:val="008E09B4"/>
    <w:rsid w:val="008F5090"/>
    <w:rsid w:val="00910B83"/>
    <w:rsid w:val="009169F7"/>
    <w:rsid w:val="00944254"/>
    <w:rsid w:val="00946D49"/>
    <w:rsid w:val="0097476D"/>
    <w:rsid w:val="009806B2"/>
    <w:rsid w:val="009A1F0A"/>
    <w:rsid w:val="009A24CD"/>
    <w:rsid w:val="009A2BCE"/>
    <w:rsid w:val="009A3EFF"/>
    <w:rsid w:val="009A41A8"/>
    <w:rsid w:val="009A5A33"/>
    <w:rsid w:val="009B56BF"/>
    <w:rsid w:val="009B60DD"/>
    <w:rsid w:val="009D3A08"/>
    <w:rsid w:val="009F13DF"/>
    <w:rsid w:val="009F5660"/>
    <w:rsid w:val="00A01B19"/>
    <w:rsid w:val="00A01C28"/>
    <w:rsid w:val="00A02832"/>
    <w:rsid w:val="00A037FE"/>
    <w:rsid w:val="00A05303"/>
    <w:rsid w:val="00A11556"/>
    <w:rsid w:val="00A27535"/>
    <w:rsid w:val="00A668E1"/>
    <w:rsid w:val="00A678CD"/>
    <w:rsid w:val="00A83F49"/>
    <w:rsid w:val="00A86F22"/>
    <w:rsid w:val="00A94CBD"/>
    <w:rsid w:val="00AB0E64"/>
    <w:rsid w:val="00AB2697"/>
    <w:rsid w:val="00AB3B1A"/>
    <w:rsid w:val="00AF54F9"/>
    <w:rsid w:val="00B06D9C"/>
    <w:rsid w:val="00B10740"/>
    <w:rsid w:val="00B1193F"/>
    <w:rsid w:val="00B13528"/>
    <w:rsid w:val="00B4033E"/>
    <w:rsid w:val="00B674A9"/>
    <w:rsid w:val="00B859E7"/>
    <w:rsid w:val="00B97E18"/>
    <w:rsid w:val="00BB0970"/>
    <w:rsid w:val="00BC46FD"/>
    <w:rsid w:val="00BD0C7B"/>
    <w:rsid w:val="00BD4DB4"/>
    <w:rsid w:val="00BF2089"/>
    <w:rsid w:val="00C0751F"/>
    <w:rsid w:val="00C2244F"/>
    <w:rsid w:val="00C250D6"/>
    <w:rsid w:val="00C27BC9"/>
    <w:rsid w:val="00C33FA1"/>
    <w:rsid w:val="00C51BF7"/>
    <w:rsid w:val="00C5546A"/>
    <w:rsid w:val="00C61615"/>
    <w:rsid w:val="00C71528"/>
    <w:rsid w:val="00C768F9"/>
    <w:rsid w:val="00C80571"/>
    <w:rsid w:val="00CA734F"/>
    <w:rsid w:val="00CC301B"/>
    <w:rsid w:val="00CD3F91"/>
    <w:rsid w:val="00D13B15"/>
    <w:rsid w:val="00D16687"/>
    <w:rsid w:val="00D55AC1"/>
    <w:rsid w:val="00D6751D"/>
    <w:rsid w:val="00D77555"/>
    <w:rsid w:val="00D83E38"/>
    <w:rsid w:val="00D87D40"/>
    <w:rsid w:val="00D94AA5"/>
    <w:rsid w:val="00DA6ECD"/>
    <w:rsid w:val="00DA7024"/>
    <w:rsid w:val="00DB3466"/>
    <w:rsid w:val="00DC02D1"/>
    <w:rsid w:val="00DC3F3B"/>
    <w:rsid w:val="00DC486B"/>
    <w:rsid w:val="00DD6A84"/>
    <w:rsid w:val="00DF0FB6"/>
    <w:rsid w:val="00DF7DC8"/>
    <w:rsid w:val="00E17B2A"/>
    <w:rsid w:val="00E21589"/>
    <w:rsid w:val="00E31171"/>
    <w:rsid w:val="00E43CBB"/>
    <w:rsid w:val="00E50EF2"/>
    <w:rsid w:val="00E7165C"/>
    <w:rsid w:val="00EB443E"/>
    <w:rsid w:val="00EB4882"/>
    <w:rsid w:val="00EF5BA8"/>
    <w:rsid w:val="00EF5C46"/>
    <w:rsid w:val="00F25BB9"/>
    <w:rsid w:val="00F35DE2"/>
    <w:rsid w:val="00F368D1"/>
    <w:rsid w:val="00F41919"/>
    <w:rsid w:val="00F428B0"/>
    <w:rsid w:val="00F43708"/>
    <w:rsid w:val="00F503E1"/>
    <w:rsid w:val="00F57929"/>
    <w:rsid w:val="00F756DD"/>
    <w:rsid w:val="00F86A28"/>
    <w:rsid w:val="00F9320F"/>
    <w:rsid w:val="00FA4655"/>
    <w:rsid w:val="00FC2B76"/>
    <w:rsid w:val="00FD2504"/>
    <w:rsid w:val="00FE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2D17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66A"/>
    <w:pPr>
      <w:spacing w:after="0" w:line="360" w:lineRule="auto"/>
      <w:ind w:firstLine="720"/>
      <w:jc w:val="both"/>
    </w:pPr>
    <w:rPr>
      <w:rFonts w:ascii="Arial" w:hAnsi="Arial"/>
      <w:kern w:val="0"/>
      <w:sz w:val="24"/>
      <w:szCs w:val="24"/>
      <w:lang w:val="en-GB"/>
    </w:rPr>
  </w:style>
  <w:style w:type="paragraph" w:styleId="Heading1">
    <w:name w:val="heading 1"/>
    <w:basedOn w:val="Normal"/>
    <w:next w:val="Normal"/>
    <w:link w:val="Heading1Char"/>
    <w:uiPriority w:val="9"/>
    <w:qFormat/>
    <w:rsid w:val="00CC301B"/>
    <w:pPr>
      <w:keepNext/>
      <w:keepLines/>
      <w:pBdr>
        <w:top w:val="nil"/>
        <w:left w:val="nil"/>
        <w:bottom w:val="nil"/>
        <w:right w:val="nil"/>
        <w:between w:val="nil"/>
        <w:bar w:val="nil"/>
      </w:pBdr>
      <w:ind w:firstLine="0"/>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A27535"/>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C61615"/>
    <w:pPr>
      <w:keepNext/>
      <w:keepLines/>
      <w:ind w:firstLine="0"/>
      <w:jc w:val="left"/>
      <w:outlineLvl w:val="2"/>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01B"/>
    <w:rPr>
      <w:rFonts w:ascii="Arial" w:eastAsiaTheme="majorEastAsia" w:hAnsi="Arial" w:cstheme="majorBidi"/>
      <w:b/>
      <w:kern w:val="0"/>
      <w:sz w:val="24"/>
      <w:szCs w:val="32"/>
    </w:rPr>
  </w:style>
  <w:style w:type="character" w:customStyle="1" w:styleId="Heading2Char">
    <w:name w:val="Heading 2 Char"/>
    <w:basedOn w:val="DefaultParagraphFont"/>
    <w:link w:val="Heading2"/>
    <w:uiPriority w:val="9"/>
    <w:rsid w:val="00A27535"/>
    <w:rPr>
      <w:rFonts w:ascii="Arial" w:eastAsiaTheme="majorEastAsia" w:hAnsi="Arial" w:cstheme="majorBidi"/>
      <w:b/>
      <w:i/>
      <w:sz w:val="24"/>
      <w:szCs w:val="26"/>
      <w:lang w:eastAsia="en-GB"/>
    </w:rPr>
  </w:style>
  <w:style w:type="character" w:customStyle="1" w:styleId="Heading3Char">
    <w:name w:val="Heading 3 Char"/>
    <w:basedOn w:val="DefaultParagraphFont"/>
    <w:link w:val="Heading3"/>
    <w:uiPriority w:val="9"/>
    <w:rsid w:val="00C61615"/>
    <w:rPr>
      <w:rFonts w:ascii="Arial" w:eastAsiaTheme="majorEastAsia" w:hAnsi="Arial" w:cstheme="majorBidi"/>
      <w:i/>
      <w:kern w:val="0"/>
      <w:sz w:val="24"/>
      <w:szCs w:val="24"/>
      <w:lang w:val="en-GB"/>
    </w:rPr>
  </w:style>
  <w:style w:type="paragraph" w:styleId="NoSpacing">
    <w:name w:val="No Spacing"/>
    <w:uiPriority w:val="1"/>
    <w:qFormat/>
    <w:rsid w:val="00F35DE2"/>
    <w:pPr>
      <w:spacing w:after="0" w:line="360" w:lineRule="auto"/>
      <w:ind w:left="720" w:hanging="720"/>
      <w:jc w:val="both"/>
    </w:pPr>
    <w:rPr>
      <w:rFonts w:ascii="Times New Roman" w:hAnsi="Times New Roman"/>
      <w:sz w:val="20"/>
    </w:rPr>
  </w:style>
  <w:style w:type="paragraph" w:styleId="BodyText">
    <w:name w:val="Body Text"/>
    <w:basedOn w:val="Normal"/>
    <w:link w:val="BodyTextChar"/>
    <w:uiPriority w:val="1"/>
    <w:qFormat/>
    <w:rsid w:val="004A519A"/>
    <w:pPr>
      <w:ind w:left="720" w:hanging="720"/>
    </w:pPr>
  </w:style>
  <w:style w:type="character" w:customStyle="1" w:styleId="BodyTextChar">
    <w:name w:val="Body Text Char"/>
    <w:basedOn w:val="DefaultParagraphFont"/>
    <w:link w:val="BodyText"/>
    <w:uiPriority w:val="1"/>
    <w:rsid w:val="004A519A"/>
    <w:rPr>
      <w:rFonts w:ascii="Arial" w:hAnsi="Arial"/>
      <w:sz w:val="24"/>
      <w:szCs w:val="24"/>
      <w:lang w:val="en-GB"/>
    </w:rPr>
  </w:style>
  <w:style w:type="paragraph" w:styleId="ListParagraph">
    <w:name w:val="List Paragraph"/>
    <w:basedOn w:val="Normal"/>
    <w:uiPriority w:val="34"/>
    <w:qFormat/>
    <w:rsid w:val="005A366A"/>
    <w:pPr>
      <w:ind w:left="720"/>
      <w:contextualSpacing/>
    </w:pPr>
  </w:style>
  <w:style w:type="paragraph" w:customStyle="1" w:styleId="rich-text-component">
    <w:name w:val="rich-text-component"/>
    <w:basedOn w:val="Normal"/>
    <w:rsid w:val="005A366A"/>
    <w:pPr>
      <w:spacing w:before="100" w:beforeAutospacing="1" w:after="100" w:afterAutospacing="1" w:line="240" w:lineRule="auto"/>
      <w:ind w:firstLine="0"/>
      <w:jc w:val="left"/>
    </w:pPr>
    <w:rPr>
      <w:rFonts w:ascii="Times New Roman" w:eastAsia="Times New Roman" w:hAnsi="Times New Roman" w:cs="Times New Roman"/>
      <w:lang w:val="en-US"/>
    </w:rPr>
  </w:style>
  <w:style w:type="character" w:styleId="Hyperlink">
    <w:name w:val="Hyperlink"/>
    <w:basedOn w:val="DefaultParagraphFont"/>
    <w:uiPriority w:val="99"/>
    <w:unhideWhenUsed/>
    <w:rsid w:val="005A366A"/>
    <w:rPr>
      <w:color w:val="0000FF"/>
      <w:u w:val="single"/>
    </w:rPr>
  </w:style>
  <w:style w:type="paragraph" w:styleId="NormalWeb">
    <w:name w:val="Normal (Web)"/>
    <w:basedOn w:val="Normal"/>
    <w:uiPriority w:val="99"/>
    <w:semiHidden/>
    <w:unhideWhenUsed/>
    <w:rsid w:val="005A366A"/>
    <w:pPr>
      <w:spacing w:before="100" w:beforeAutospacing="1" w:after="100" w:afterAutospacing="1" w:line="240" w:lineRule="auto"/>
      <w:ind w:firstLine="0"/>
      <w:jc w:val="left"/>
    </w:pPr>
    <w:rPr>
      <w:rFonts w:ascii="Times New Roman" w:eastAsia="Times New Roman" w:hAnsi="Times New Roman" w:cs="Times New Roman"/>
      <w:lang w:val="en-US"/>
    </w:rPr>
  </w:style>
  <w:style w:type="character" w:styleId="Strong">
    <w:name w:val="Strong"/>
    <w:basedOn w:val="DefaultParagraphFont"/>
    <w:uiPriority w:val="22"/>
    <w:qFormat/>
    <w:rsid w:val="005A366A"/>
    <w:rPr>
      <w:b/>
      <w:bCs/>
    </w:rPr>
  </w:style>
  <w:style w:type="paragraph" w:styleId="Header">
    <w:name w:val="header"/>
    <w:basedOn w:val="Normal"/>
    <w:link w:val="HeaderChar"/>
    <w:uiPriority w:val="99"/>
    <w:unhideWhenUsed/>
    <w:rsid w:val="00155544"/>
    <w:pPr>
      <w:tabs>
        <w:tab w:val="center" w:pos="4680"/>
        <w:tab w:val="right" w:pos="9360"/>
      </w:tabs>
      <w:spacing w:line="240" w:lineRule="auto"/>
    </w:pPr>
  </w:style>
  <w:style w:type="character" w:customStyle="1" w:styleId="HeaderChar">
    <w:name w:val="Header Char"/>
    <w:basedOn w:val="DefaultParagraphFont"/>
    <w:link w:val="Header"/>
    <w:uiPriority w:val="99"/>
    <w:rsid w:val="00155544"/>
    <w:rPr>
      <w:rFonts w:ascii="Arial" w:hAnsi="Arial"/>
      <w:kern w:val="0"/>
      <w:sz w:val="24"/>
      <w:szCs w:val="24"/>
      <w:lang w:val="en-GB"/>
    </w:rPr>
  </w:style>
  <w:style w:type="paragraph" w:styleId="Footer">
    <w:name w:val="footer"/>
    <w:basedOn w:val="Normal"/>
    <w:link w:val="FooterChar"/>
    <w:uiPriority w:val="99"/>
    <w:unhideWhenUsed/>
    <w:rsid w:val="00155544"/>
    <w:pPr>
      <w:tabs>
        <w:tab w:val="center" w:pos="4680"/>
        <w:tab w:val="right" w:pos="9360"/>
      </w:tabs>
      <w:spacing w:line="240" w:lineRule="auto"/>
    </w:pPr>
  </w:style>
  <w:style w:type="character" w:customStyle="1" w:styleId="FooterChar">
    <w:name w:val="Footer Char"/>
    <w:basedOn w:val="DefaultParagraphFont"/>
    <w:link w:val="Footer"/>
    <w:uiPriority w:val="99"/>
    <w:rsid w:val="00155544"/>
    <w:rPr>
      <w:rFonts w:ascii="Arial" w:hAnsi="Arial"/>
      <w:kern w:val="0"/>
      <w:sz w:val="24"/>
      <w:szCs w:val="24"/>
      <w:lang w:val="en-GB"/>
    </w:rPr>
  </w:style>
  <w:style w:type="character" w:styleId="UnresolvedMention">
    <w:name w:val="Unresolved Mention"/>
    <w:basedOn w:val="DefaultParagraphFont"/>
    <w:uiPriority w:val="99"/>
    <w:semiHidden/>
    <w:unhideWhenUsed/>
    <w:rsid w:val="00BB0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2679</Words>
  <Characters>15271</Characters>
  <Application>Microsoft Office Word</Application>
  <DocSecurity>0</DocSecurity>
  <Lines>127</Lines>
  <Paragraphs>35</Paragraphs>
  <ScaleCrop>false</ScaleCrop>
  <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2023-10-17T16:58:00Z</dcterms:created>
  <dcterms:modified xsi:type="dcterms:W3CDTF">2023-10-20T21:19:00Z</dcterms:modified>
</cp:coreProperties>
</file>