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FF07606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784488">
        <w:rPr>
          <w:rFonts w:ascii="Arial" w:eastAsia="Times New Roman" w:hAnsi="Arial" w:cs="Arial"/>
          <w:b/>
          <w:bCs/>
          <w:color w:val="222222"/>
          <w:lang w:eastAsia="en-GB"/>
        </w:rPr>
        <w:t>HARMONY: THEORY AND PRACTICE</w:t>
      </w:r>
    </w:p>
    <w:p w14:paraId="16EC879E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222222"/>
          <w:lang w:eastAsia="en-GB"/>
        </w:rPr>
      </w:pPr>
    </w:p>
    <w:p w14:paraId="0B1B7E29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784488">
        <w:rPr>
          <w:rFonts w:ascii="Arial" w:eastAsia="Times New Roman" w:hAnsi="Arial" w:cs="Arial"/>
          <w:b/>
          <w:bCs/>
          <w:color w:val="222222"/>
          <w:lang w:eastAsia="en-GB"/>
        </w:rPr>
        <w:t>WEEK 3 READING</w:t>
      </w:r>
    </w:p>
    <w:p w14:paraId="38C3A27E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222222"/>
          <w:lang w:eastAsia="en-GB"/>
        </w:rPr>
      </w:pPr>
    </w:p>
    <w:p w14:paraId="443D8D12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eastAsia="Times New Roman" w:hAnsi="Arial" w:cs="Arial"/>
          <w:b/>
          <w:bCs/>
          <w:color w:val="222222"/>
          <w:lang w:eastAsia="en-GB"/>
        </w:rPr>
      </w:pPr>
      <w:r w:rsidRPr="00784488">
        <w:rPr>
          <w:rFonts w:ascii="Arial" w:eastAsia="Times New Roman" w:hAnsi="Arial" w:cs="Arial"/>
          <w:b/>
          <w:bCs/>
          <w:color w:val="222222"/>
          <w:lang w:eastAsia="en-GB"/>
        </w:rPr>
        <w:t>NICK CAMPION</w:t>
      </w:r>
    </w:p>
    <w:p w14:paraId="0859C874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776BC69B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FOR DISCUSSION ON THE FORUM</w:t>
      </w:r>
    </w:p>
    <w:p w14:paraId="7CAF188C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  <w:shd w:val="clear" w:color="auto" w:fill="FFFFFF"/>
        </w:rPr>
        <w:t xml:space="preserve">Li, </w:t>
      </w:r>
      <w:proofErr w:type="spellStart"/>
      <w:r w:rsidRPr="00784488">
        <w:rPr>
          <w:rFonts w:ascii="Arial" w:hAnsi="Arial" w:cs="Arial"/>
          <w:shd w:val="clear" w:color="auto" w:fill="FFFFFF"/>
        </w:rPr>
        <w:t>Chenyang</w:t>
      </w:r>
      <w:proofErr w:type="spellEnd"/>
      <w:r w:rsidRPr="00784488">
        <w:rPr>
          <w:rFonts w:ascii="Arial" w:hAnsi="Arial" w:cs="Arial"/>
          <w:shd w:val="clear" w:color="auto" w:fill="FFFFFF"/>
        </w:rPr>
        <w:t>. ‘The Confucian Ideal of Harmony’. </w:t>
      </w:r>
      <w:r w:rsidRPr="00784488">
        <w:rPr>
          <w:rFonts w:ascii="Arial" w:hAnsi="Arial" w:cs="Arial"/>
          <w:i/>
          <w:iCs/>
          <w:shd w:val="clear" w:color="auto" w:fill="FFFFFF"/>
        </w:rPr>
        <w:t>Philosophy East and West</w:t>
      </w:r>
      <w:r w:rsidRPr="00784488">
        <w:rPr>
          <w:rFonts w:ascii="Arial" w:hAnsi="Arial" w:cs="Arial"/>
          <w:shd w:val="clear" w:color="auto" w:fill="FFFFFF"/>
        </w:rPr>
        <w:t xml:space="preserve"> 56, no. 4 (2006) pp. 583–603.</w:t>
      </w:r>
    </w:p>
    <w:p w14:paraId="231D06BD" w14:textId="77777777" w:rsidR="00784488" w:rsidRDefault="00784488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644DB6F5" w14:textId="02521C87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SECONDARY SOURCES</w:t>
      </w:r>
    </w:p>
    <w:p w14:paraId="0DE0742C" w14:textId="77777777" w:rsidR="00784488" w:rsidRDefault="00784488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1470B7D6" w14:textId="2B985422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REQUIRED READING</w:t>
      </w:r>
    </w:p>
    <w:p w14:paraId="4349569F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</w:rPr>
        <w:t>The required reading for this week is less than in previous weeks, which gives you a chance to catch up with reading from weeks 1 and 2.</w:t>
      </w:r>
    </w:p>
    <w:p w14:paraId="74755B4C" w14:textId="77777777" w:rsidR="00784488" w:rsidRDefault="00784488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6F8CEF58" w14:textId="76D56AF6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 xml:space="preserve">CHINA </w:t>
      </w:r>
    </w:p>
    <w:p w14:paraId="0CC6FE28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Fang, T. ‘Yin yang: A new perspective on culture’. </w:t>
      </w:r>
      <w:r w:rsidRPr="00784488">
        <w:rPr>
          <w:rFonts w:ascii="Arial" w:hAnsi="Arial" w:cs="Arial"/>
          <w:i/>
          <w:iCs/>
        </w:rPr>
        <w:t>Management and Organisation Review</w:t>
      </w:r>
      <w:r w:rsidRPr="00784488">
        <w:rPr>
          <w:rFonts w:ascii="Arial" w:hAnsi="Arial" w:cs="Arial"/>
        </w:rPr>
        <w:t xml:space="preserve"> 81, no. 1 (2012): pp. 25–50.</w:t>
      </w:r>
    </w:p>
    <w:p w14:paraId="4910E952" w14:textId="77777777" w:rsidR="00854A45" w:rsidRPr="00784488" w:rsidRDefault="00854A45" w:rsidP="00784488">
      <w:pPr>
        <w:pStyle w:val="nova-legacy-e-listitem"/>
        <w:shd w:val="clear" w:color="auto" w:fill="FFFFFF"/>
        <w:spacing w:before="0" w:beforeAutospacing="0" w:after="160" w:afterAutospacing="0"/>
        <w:contextualSpacing/>
        <w:rPr>
          <w:rFonts w:ascii="Arial" w:hAnsi="Arial" w:cs="Arial"/>
          <w:sz w:val="22"/>
          <w:szCs w:val="22"/>
        </w:rPr>
      </w:pPr>
      <w:r w:rsidRPr="00784488">
        <w:rPr>
          <w:rFonts w:ascii="Arial" w:hAnsi="Arial" w:cs="Arial"/>
          <w:sz w:val="22"/>
          <w:szCs w:val="22"/>
          <w:shd w:val="clear" w:color="auto" w:fill="FFFFFF"/>
        </w:rPr>
        <w:t>Gentz, Joachim. ‘</w:t>
      </w:r>
      <w:r w:rsidRPr="00784488">
        <w:rPr>
          <w:rFonts w:ascii="Arial" w:hAnsi="Arial" w:cs="Arial"/>
          <w:sz w:val="22"/>
          <w:szCs w:val="22"/>
        </w:rPr>
        <w:t xml:space="preserve">Chinese he </w:t>
      </w:r>
      <w:r w:rsidRPr="00784488">
        <w:rPr>
          <w:rFonts w:ascii="Arial" w:eastAsia="MS Gothic" w:hAnsi="Arial" w:cs="Arial"/>
          <w:sz w:val="22"/>
          <w:szCs w:val="22"/>
        </w:rPr>
        <w:t>和</w:t>
      </w:r>
      <w:r w:rsidRPr="00784488">
        <w:rPr>
          <w:rFonts w:ascii="Arial" w:hAnsi="Arial" w:cs="Arial"/>
          <w:sz w:val="22"/>
          <w:szCs w:val="22"/>
        </w:rPr>
        <w:t xml:space="preserve"> in many keys, harmonized in Europe’. </w:t>
      </w:r>
      <w:r w:rsidRPr="00784488">
        <w:rPr>
          <w:rFonts w:ascii="Arial" w:hAnsi="Arial" w:cs="Arial"/>
          <w:sz w:val="22"/>
          <w:szCs w:val="22"/>
          <w:shd w:val="clear" w:color="auto" w:fill="FFFFFF"/>
        </w:rPr>
        <w:t xml:space="preserve">in </w:t>
      </w:r>
      <w:r w:rsidRPr="00784488">
        <w:rPr>
          <w:rFonts w:ascii="Arial" w:hAnsi="Arial" w:cs="Arial"/>
          <w:i/>
          <w:iCs/>
          <w:sz w:val="22"/>
          <w:szCs w:val="22"/>
        </w:rPr>
        <w:t>Keywords in Chinese Thought and Literature</w:t>
      </w:r>
      <w:r w:rsidRPr="00784488">
        <w:rPr>
          <w:rFonts w:ascii="Arial" w:hAnsi="Arial" w:cs="Arial"/>
          <w:sz w:val="22"/>
          <w:szCs w:val="22"/>
        </w:rPr>
        <w:t xml:space="preserve">, edited by </w:t>
      </w:r>
      <w:r w:rsidRPr="00784488">
        <w:rPr>
          <w:rFonts w:ascii="Arial" w:hAnsi="Arial" w:cs="Arial"/>
          <w:sz w:val="22"/>
          <w:szCs w:val="22"/>
          <w:shd w:val="clear" w:color="auto" w:fill="FFFFFF"/>
        </w:rPr>
        <w:t>Yuri Pines and Wai-</w:t>
      </w:r>
      <w:proofErr w:type="spellStart"/>
      <w:r w:rsidRPr="00784488">
        <w:rPr>
          <w:rFonts w:ascii="Arial" w:hAnsi="Arial" w:cs="Arial"/>
          <w:sz w:val="22"/>
          <w:szCs w:val="22"/>
          <w:shd w:val="clear" w:color="auto" w:fill="FFFFFF"/>
        </w:rPr>
        <w:t>yee</w:t>
      </w:r>
      <w:proofErr w:type="spellEnd"/>
      <w:r w:rsidRPr="0078448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gramStart"/>
      <w:r w:rsidRPr="00784488">
        <w:rPr>
          <w:rFonts w:ascii="Arial" w:hAnsi="Arial" w:cs="Arial"/>
          <w:sz w:val="22"/>
          <w:szCs w:val="22"/>
          <w:shd w:val="clear" w:color="auto" w:fill="FFFFFF"/>
        </w:rPr>
        <w:t>Li, </w:t>
      </w:r>
      <w:r w:rsidRPr="00784488">
        <w:rPr>
          <w:rFonts w:ascii="Arial" w:hAnsi="Arial" w:cs="Arial"/>
          <w:sz w:val="22"/>
          <w:szCs w:val="22"/>
        </w:rPr>
        <w:t xml:space="preserve"> pp.</w:t>
      </w:r>
      <w:proofErr w:type="gramEnd"/>
      <w:r w:rsidRPr="00784488">
        <w:rPr>
          <w:rFonts w:ascii="Arial" w:hAnsi="Arial" w:cs="Arial"/>
          <w:sz w:val="22"/>
          <w:szCs w:val="22"/>
        </w:rPr>
        <w:t xml:space="preserve"> 37–84. Hong Kong: Chinese University of Hong Kong Press, 2020. </w:t>
      </w:r>
      <w:hyperlink r:id="rId4" w:history="1">
        <w:r w:rsidRPr="00784488">
          <w:rPr>
            <w:rStyle w:val="Hyperlink"/>
            <w:rFonts w:ascii="Arial" w:eastAsiaTheme="majorEastAsia" w:hAnsi="Arial" w:cs="Arial"/>
            <w:sz w:val="22"/>
            <w:szCs w:val="22"/>
          </w:rPr>
          <w:t>https://www.researchgate.net/publication/342643853_Gentz_Harmony</w:t>
        </w:r>
      </w:hyperlink>
      <w:r w:rsidRPr="00784488">
        <w:rPr>
          <w:rStyle w:val="Hyperlink"/>
          <w:rFonts w:ascii="Arial" w:eastAsiaTheme="majorEastAsia" w:hAnsi="Arial" w:cs="Arial"/>
          <w:sz w:val="22"/>
          <w:szCs w:val="22"/>
        </w:rPr>
        <w:t>.</w:t>
      </w:r>
    </w:p>
    <w:p w14:paraId="28D3CFBF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hAnsi="Arial" w:cs="Arial"/>
          <w:spacing w:val="-5"/>
          <w:shd w:val="clear" w:color="auto" w:fill="FFFFFF"/>
        </w:rPr>
      </w:pPr>
      <w:r w:rsidRPr="00784488">
        <w:rPr>
          <w:rFonts w:ascii="Arial" w:hAnsi="Arial" w:cs="Arial"/>
          <w:spacing w:val="-5"/>
          <w:shd w:val="clear" w:color="auto" w:fill="FFFFFF"/>
        </w:rPr>
        <w:t xml:space="preserve">Li, </w:t>
      </w:r>
      <w:proofErr w:type="spellStart"/>
      <w:r w:rsidRPr="00784488">
        <w:rPr>
          <w:rFonts w:ascii="Arial" w:hAnsi="Arial" w:cs="Arial"/>
          <w:spacing w:val="-5"/>
          <w:shd w:val="clear" w:color="auto" w:fill="FFFFFF"/>
        </w:rPr>
        <w:t>Chenyang</w:t>
      </w:r>
      <w:proofErr w:type="spellEnd"/>
      <w:r w:rsidRPr="00784488">
        <w:rPr>
          <w:rFonts w:ascii="Arial" w:hAnsi="Arial" w:cs="Arial"/>
          <w:spacing w:val="-5"/>
          <w:shd w:val="clear" w:color="auto" w:fill="FFFFFF"/>
        </w:rPr>
        <w:t xml:space="preserve">. ‘In </w:t>
      </w:r>
      <w:proofErr w:type="spellStart"/>
      <w:r w:rsidRPr="00784488">
        <w:rPr>
          <w:rFonts w:ascii="Arial" w:hAnsi="Arial" w:cs="Arial"/>
          <w:spacing w:val="-5"/>
          <w:shd w:val="clear" w:color="auto" w:fill="FFFFFF"/>
        </w:rPr>
        <w:t>Defense</w:t>
      </w:r>
      <w:proofErr w:type="spellEnd"/>
      <w:r w:rsidRPr="00784488">
        <w:rPr>
          <w:rFonts w:ascii="Arial" w:hAnsi="Arial" w:cs="Arial"/>
          <w:spacing w:val="-5"/>
          <w:shd w:val="clear" w:color="auto" w:fill="FFFFFF"/>
        </w:rPr>
        <w:t xml:space="preserve"> of a Conception of Confucian Harmony’. </w:t>
      </w:r>
      <w:r w:rsidRPr="00784488">
        <w:rPr>
          <w:rFonts w:ascii="Arial" w:hAnsi="Arial" w:cs="Arial"/>
          <w:i/>
          <w:iCs/>
          <w:spacing w:val="-5"/>
          <w:shd w:val="clear" w:color="auto" w:fill="FFFFFF"/>
        </w:rPr>
        <w:t xml:space="preserve">Philosophy East and West </w:t>
      </w:r>
      <w:r w:rsidRPr="00784488">
        <w:rPr>
          <w:rFonts w:ascii="Arial" w:hAnsi="Arial" w:cs="Arial"/>
          <w:spacing w:val="-5"/>
          <w:shd w:val="clear" w:color="auto" w:fill="FFFFFF"/>
        </w:rPr>
        <w:t>67, no. 1 (2017) pp. 256–66. </w:t>
      </w:r>
      <w:r w:rsidRPr="00784488">
        <w:rPr>
          <w:rFonts w:ascii="Arial" w:hAnsi="Arial" w:cs="Arial"/>
          <w:i/>
          <w:iCs/>
          <w:spacing w:val="-5"/>
          <w:shd w:val="clear" w:color="auto" w:fill="FFFFFF"/>
        </w:rPr>
        <w:t>JSTOR</w:t>
      </w:r>
      <w:r w:rsidRPr="00784488">
        <w:rPr>
          <w:rFonts w:ascii="Arial" w:hAnsi="Arial" w:cs="Arial"/>
          <w:spacing w:val="-5"/>
          <w:shd w:val="clear" w:color="auto" w:fill="FFFFFF"/>
        </w:rPr>
        <w:t>.</w:t>
      </w:r>
    </w:p>
    <w:p w14:paraId="07D18C8F" w14:textId="77777777" w:rsidR="00784488" w:rsidRDefault="00784488" w:rsidP="00784488">
      <w:pPr>
        <w:spacing w:line="240" w:lineRule="auto"/>
        <w:contextualSpacing/>
        <w:rPr>
          <w:rFonts w:ascii="Arial" w:hAnsi="Arial" w:cs="Arial"/>
        </w:rPr>
      </w:pPr>
    </w:p>
    <w:p w14:paraId="60D5ADDF" w14:textId="553C5D3B" w:rsidR="00854A45" w:rsidRPr="00784488" w:rsidRDefault="00854A45" w:rsidP="00784488">
      <w:pPr>
        <w:spacing w:line="240" w:lineRule="auto"/>
        <w:contextualSpacing/>
        <w:rPr>
          <w:rFonts w:ascii="Arial" w:eastAsia="Times New Roman" w:hAnsi="Arial" w:cs="Arial"/>
          <w:lang w:eastAsia="en-GB"/>
        </w:rPr>
      </w:pPr>
      <w:r w:rsidRPr="00784488">
        <w:rPr>
          <w:rFonts w:ascii="Arial" w:hAnsi="Arial" w:cs="Arial"/>
        </w:rPr>
        <w:t xml:space="preserve">Li,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784488">
        <w:rPr>
          <w:rFonts w:ascii="Arial" w:eastAsia="Times New Roman" w:hAnsi="Arial" w:cs="Arial"/>
          <w:lang w:eastAsia="en-GB"/>
        </w:rPr>
        <w:t>Düring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. ‘Harmony as a Virtue in Confucianism’, in </w:t>
      </w:r>
      <w:r w:rsidRPr="00784488">
        <w:rPr>
          <w:rFonts w:ascii="Arial" w:hAnsi="Arial" w:cs="Arial"/>
        </w:rPr>
        <w:t xml:space="preserve">Li,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784488">
        <w:rPr>
          <w:rFonts w:ascii="Arial" w:eastAsia="Times New Roman" w:hAnsi="Arial" w:cs="Arial"/>
          <w:lang w:eastAsia="en-GB"/>
        </w:rPr>
        <w:t>Düri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</w:t>
      </w:r>
      <w:r w:rsidRPr="00784488">
        <w:rPr>
          <w:rFonts w:ascii="Arial" w:eastAsia="Times New Roman" w:hAnsi="Arial" w:cs="Arial"/>
          <w:i/>
          <w:iCs/>
          <w:lang w:eastAsia="en-GB"/>
        </w:rPr>
        <w:t>The Virtue of Harmony</w:t>
      </w:r>
      <w:r w:rsidRPr="00784488">
        <w:rPr>
          <w:rFonts w:ascii="Arial" w:eastAsia="Times New Roman" w:hAnsi="Arial" w:cs="Arial"/>
          <w:lang w:eastAsia="en-GB"/>
        </w:rPr>
        <w:t xml:space="preserve"> (Oxford: Oxford University Press, 2022), pp. 21-42.</w:t>
      </w:r>
    </w:p>
    <w:p w14:paraId="53EA2928" w14:textId="77777777" w:rsidR="00784488" w:rsidRDefault="00784488" w:rsidP="00784488">
      <w:pPr>
        <w:spacing w:line="240" w:lineRule="auto"/>
        <w:contextualSpacing/>
        <w:rPr>
          <w:rFonts w:ascii="Arial" w:hAnsi="Arial" w:cs="Arial"/>
        </w:rPr>
      </w:pPr>
    </w:p>
    <w:p w14:paraId="007C3BE7" w14:textId="0D0A018D" w:rsidR="00854A45" w:rsidRPr="00784488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Wang, Robin R., </w:t>
      </w:r>
      <w:proofErr w:type="spellStart"/>
      <w:r w:rsidRPr="00784488">
        <w:rPr>
          <w:rFonts w:ascii="Arial" w:hAnsi="Arial" w:cs="Arial"/>
          <w:i/>
          <w:iCs/>
        </w:rPr>
        <w:t>Yinyang</w:t>
      </w:r>
      <w:proofErr w:type="spellEnd"/>
      <w:r w:rsidRPr="00784488">
        <w:rPr>
          <w:rFonts w:ascii="Arial" w:hAnsi="Arial" w:cs="Arial"/>
          <w:i/>
          <w:iCs/>
        </w:rPr>
        <w:t xml:space="preserve">: the way of heaven and earth in Chinese thought and culture </w:t>
      </w:r>
      <w:r w:rsidRPr="00784488">
        <w:rPr>
          <w:rFonts w:ascii="Arial" w:hAnsi="Arial" w:cs="Arial"/>
        </w:rPr>
        <w:t xml:space="preserve">(Cambridge: Cambridge University Press, 2012), </w:t>
      </w:r>
      <w:proofErr w:type="spellStart"/>
      <w:r w:rsidRPr="00784488">
        <w:rPr>
          <w:rFonts w:ascii="Arial" w:hAnsi="Arial" w:cs="Arial"/>
        </w:rPr>
        <w:t>esp</w:t>
      </w:r>
      <w:proofErr w:type="spellEnd"/>
      <w:r w:rsidRPr="00784488">
        <w:rPr>
          <w:rFonts w:ascii="Arial" w:hAnsi="Arial" w:cs="Arial"/>
        </w:rPr>
        <w:t xml:space="preserve"> ‘Introduction’ and chapter 2, ‘</w:t>
      </w:r>
      <w:proofErr w:type="spellStart"/>
      <w:r w:rsidRPr="00784488">
        <w:rPr>
          <w:rFonts w:ascii="Arial" w:hAnsi="Arial" w:cs="Arial"/>
        </w:rPr>
        <w:t>Yinyang</w:t>
      </w:r>
      <w:proofErr w:type="spellEnd"/>
      <w:r w:rsidRPr="00784488">
        <w:rPr>
          <w:rFonts w:ascii="Arial" w:hAnsi="Arial" w:cs="Arial"/>
        </w:rPr>
        <w:t xml:space="preserve"> cosmology’. </w:t>
      </w:r>
    </w:p>
    <w:p w14:paraId="3912B202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</w:rPr>
      </w:pPr>
    </w:p>
    <w:p w14:paraId="1D43CD33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INDIA</w:t>
      </w:r>
    </w:p>
    <w:p w14:paraId="4D23CDA1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Schlieter, Jens, ‘Harmony as Virtue in Buddhist Ethics’, in Li,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784488">
        <w:rPr>
          <w:rFonts w:ascii="Arial" w:eastAsia="Times New Roman" w:hAnsi="Arial" w:cs="Arial"/>
          <w:lang w:eastAsia="en-GB"/>
        </w:rPr>
        <w:t>Düri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</w:t>
      </w:r>
      <w:r w:rsidRPr="00784488">
        <w:rPr>
          <w:rFonts w:ascii="Arial" w:eastAsia="Times New Roman" w:hAnsi="Arial" w:cs="Arial"/>
          <w:i/>
          <w:iCs/>
          <w:lang w:eastAsia="en-GB"/>
        </w:rPr>
        <w:t>The Virtue of Harmony</w:t>
      </w:r>
      <w:r w:rsidRPr="00784488">
        <w:rPr>
          <w:rFonts w:ascii="Arial" w:eastAsia="Times New Roman" w:hAnsi="Arial" w:cs="Arial"/>
          <w:lang w:eastAsia="en-GB"/>
        </w:rPr>
        <w:t xml:space="preserve"> (Oxford: Oxford University Press, 2022), pp. 93-115.</w:t>
      </w:r>
    </w:p>
    <w:p w14:paraId="71948ADA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6A9FC694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SPIRITUAL, PHILOSOPHICAL AND RELIGIOUS TRADITIONS</w:t>
      </w:r>
    </w:p>
    <w:p w14:paraId="4434C976" w14:textId="77777777" w:rsidR="00784488" w:rsidRDefault="00784488" w:rsidP="00784488">
      <w:pPr>
        <w:spacing w:after="240" w:line="240" w:lineRule="auto"/>
        <w:contextualSpacing/>
        <w:rPr>
          <w:rFonts w:ascii="Arial" w:hAnsi="Arial" w:cs="Arial"/>
        </w:rPr>
      </w:pPr>
    </w:p>
    <w:p w14:paraId="12037BEA" w14:textId="2BF72AE1" w:rsidR="00854A45" w:rsidRPr="00784488" w:rsidRDefault="00854A45" w:rsidP="00784488">
      <w:pPr>
        <w:spacing w:after="240" w:line="240" w:lineRule="auto"/>
        <w:contextualSpacing/>
        <w:rPr>
          <w:rFonts w:ascii="Arial" w:hAnsi="Arial" w:cs="Arial"/>
          <w:shd w:val="clear" w:color="auto" w:fill="FFFFFF"/>
        </w:rPr>
      </w:pPr>
      <w:proofErr w:type="spellStart"/>
      <w:r w:rsidRPr="00784488">
        <w:rPr>
          <w:rFonts w:ascii="Arial" w:hAnsi="Arial" w:cs="Arial"/>
        </w:rPr>
        <w:t>Ereira</w:t>
      </w:r>
      <w:proofErr w:type="spellEnd"/>
      <w:r w:rsidRPr="00784488">
        <w:rPr>
          <w:rFonts w:ascii="Arial" w:hAnsi="Arial" w:cs="Arial"/>
        </w:rPr>
        <w:t xml:space="preserve">, Alan, ‘Finding Sea Level: The concept of harmony in the culture of the </w:t>
      </w:r>
      <w:proofErr w:type="spellStart"/>
      <w:r w:rsidRPr="00784488">
        <w:rPr>
          <w:rFonts w:ascii="Arial" w:hAnsi="Arial" w:cs="Arial"/>
        </w:rPr>
        <w:t>Kággaba</w:t>
      </w:r>
      <w:proofErr w:type="spellEnd"/>
      <w:r w:rsidRPr="00784488">
        <w:rPr>
          <w:rFonts w:ascii="Arial" w:hAnsi="Arial" w:cs="Arial"/>
        </w:rPr>
        <w:t xml:space="preserve"> (Kogi) people of Colombia’. in Nicholas Campion, ed., </w:t>
      </w:r>
      <w:r w:rsidRPr="00784488">
        <w:rPr>
          <w:rFonts w:ascii="Arial" w:hAnsi="Arial" w:cs="Arial"/>
          <w:i/>
        </w:rPr>
        <w:t>The Harmony Debates:</w:t>
      </w:r>
      <w:r w:rsidRPr="00784488">
        <w:rPr>
          <w:rFonts w:ascii="Arial" w:hAnsi="Arial" w:cs="Arial"/>
        </w:rPr>
        <w:t xml:space="preserve"> </w:t>
      </w:r>
      <w:r w:rsidRPr="00784488">
        <w:rPr>
          <w:rFonts w:ascii="Arial" w:hAnsi="Arial" w:cs="Arial"/>
          <w:i/>
          <w:shd w:val="clear" w:color="auto" w:fill="FFFFFF"/>
        </w:rPr>
        <w:t>Exploring a practical philosophy for a sustainable future</w:t>
      </w:r>
      <w:r w:rsidRPr="00784488">
        <w:rPr>
          <w:rFonts w:ascii="Arial" w:hAnsi="Arial" w:cs="Arial"/>
        </w:rPr>
        <w:t xml:space="preserve"> (Lampeter: Sophia Centre Press, 2020), pp. 379–96.</w:t>
      </w:r>
    </w:p>
    <w:p w14:paraId="179891E2" w14:textId="77777777" w:rsidR="00784488" w:rsidRDefault="00784488" w:rsidP="00784488">
      <w:pPr>
        <w:spacing w:after="240" w:line="240" w:lineRule="auto"/>
        <w:contextualSpacing/>
        <w:rPr>
          <w:rFonts w:ascii="Arial" w:hAnsi="Arial" w:cs="Arial"/>
          <w:shd w:val="clear" w:color="auto" w:fill="FFFFFF"/>
        </w:rPr>
      </w:pPr>
    </w:p>
    <w:p w14:paraId="2AB56C24" w14:textId="5939C071" w:rsidR="00854A45" w:rsidRPr="00784488" w:rsidRDefault="00854A45" w:rsidP="00784488">
      <w:pPr>
        <w:spacing w:after="240"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  <w:shd w:val="clear" w:color="auto" w:fill="FFFFFF"/>
        </w:rPr>
        <w:t>Leaman, Trevor, ‘</w:t>
      </w:r>
      <w:r w:rsidRPr="00784488">
        <w:rPr>
          <w:rFonts w:ascii="Arial" w:hAnsi="Arial" w:cs="Arial"/>
        </w:rPr>
        <w:t xml:space="preserve">Harmonising the Land and Sky in Aboriginal </w:t>
      </w:r>
      <w:proofErr w:type="spellStart"/>
      <w:r w:rsidRPr="00784488">
        <w:rPr>
          <w:rFonts w:ascii="Arial" w:hAnsi="Arial" w:cs="Arial"/>
        </w:rPr>
        <w:t>Dreamings</w:t>
      </w:r>
      <w:proofErr w:type="spellEnd"/>
      <w:r w:rsidRPr="00784488">
        <w:rPr>
          <w:rFonts w:ascii="Arial" w:hAnsi="Arial" w:cs="Arial"/>
        </w:rPr>
        <w:t xml:space="preserve">’, in Nicholas Campion, ed., </w:t>
      </w:r>
      <w:r w:rsidRPr="00784488">
        <w:rPr>
          <w:rFonts w:ascii="Arial" w:hAnsi="Arial" w:cs="Arial"/>
          <w:i/>
        </w:rPr>
        <w:t>The Harmony Debates:</w:t>
      </w:r>
      <w:r w:rsidRPr="00784488">
        <w:rPr>
          <w:rFonts w:ascii="Arial" w:hAnsi="Arial" w:cs="Arial"/>
        </w:rPr>
        <w:t xml:space="preserve"> </w:t>
      </w:r>
      <w:r w:rsidRPr="00784488">
        <w:rPr>
          <w:rFonts w:ascii="Arial" w:hAnsi="Arial" w:cs="Arial"/>
          <w:i/>
          <w:shd w:val="clear" w:color="auto" w:fill="FFFFFF"/>
        </w:rPr>
        <w:t>Exploring a practical philosophy for a sustainable future</w:t>
      </w:r>
      <w:r w:rsidRPr="00784488">
        <w:rPr>
          <w:rFonts w:ascii="Arial" w:hAnsi="Arial" w:cs="Arial"/>
        </w:rPr>
        <w:t xml:space="preserve"> (Lampeter: Sophia Centre Press, 2020), pp. 397–406.</w:t>
      </w:r>
    </w:p>
    <w:p w14:paraId="40C5FEC5" w14:textId="77777777" w:rsidR="00784488" w:rsidRDefault="00784488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0D027A65" w14:textId="532154FB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OPTIONAL READING</w:t>
      </w:r>
    </w:p>
    <w:p w14:paraId="4CD4C11E" w14:textId="77777777" w:rsidR="00784488" w:rsidRDefault="00784488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331E3BF3" w14:textId="06CBA064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CHINA</w:t>
      </w:r>
    </w:p>
    <w:p w14:paraId="29EEA927" w14:textId="77777777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b/>
          <w:bCs/>
        </w:rPr>
      </w:pPr>
    </w:p>
    <w:p w14:paraId="43DC08C5" w14:textId="77777777" w:rsidR="00854A45" w:rsidRPr="00784488" w:rsidRDefault="00854A45" w:rsidP="00784488">
      <w:pPr>
        <w:spacing w:line="240" w:lineRule="auto"/>
        <w:contextualSpacing/>
        <w:rPr>
          <w:rFonts w:ascii="Arial" w:eastAsia="Times New Roman" w:hAnsi="Arial" w:cs="Arial"/>
          <w:lang w:eastAsia="en-GB"/>
        </w:rPr>
      </w:pPr>
      <w:r w:rsidRPr="00784488">
        <w:rPr>
          <w:rFonts w:ascii="Arial" w:eastAsia="Times New Roman" w:hAnsi="Arial" w:cs="Arial"/>
          <w:lang w:eastAsia="en-GB"/>
        </w:rPr>
        <w:lastRenderedPageBreak/>
        <w:t xml:space="preserve">Chiu, Wai </w:t>
      </w:r>
      <w:proofErr w:type="spellStart"/>
      <w:r w:rsidRPr="00784488">
        <w:rPr>
          <w:rFonts w:ascii="Arial" w:eastAsia="Times New Roman" w:hAnsi="Arial" w:cs="Arial"/>
          <w:lang w:eastAsia="en-GB"/>
        </w:rPr>
        <w:t>Wai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. ‘Tension and Harmony: A Comment on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 Li’s ‘The Confucian Philosophy of Harmony”’. </w:t>
      </w:r>
      <w:r w:rsidRPr="00784488">
        <w:rPr>
          <w:rFonts w:ascii="Arial" w:eastAsia="Times New Roman" w:hAnsi="Arial" w:cs="Arial"/>
          <w:i/>
          <w:iCs/>
          <w:lang w:eastAsia="en-GB"/>
        </w:rPr>
        <w:t xml:space="preserve">Philosophy East and West </w:t>
      </w:r>
      <w:r w:rsidRPr="00784488">
        <w:rPr>
          <w:rFonts w:ascii="Arial" w:eastAsia="Times New Roman" w:hAnsi="Arial" w:cs="Arial"/>
          <w:lang w:eastAsia="en-GB"/>
        </w:rPr>
        <w:t xml:space="preserve">67, no. 1 (2017): pp. 237–45. </w:t>
      </w:r>
      <w:r w:rsidRPr="00784488">
        <w:rPr>
          <w:rFonts w:ascii="Arial" w:eastAsia="Times New Roman" w:hAnsi="Arial" w:cs="Arial"/>
          <w:i/>
          <w:iCs/>
          <w:lang w:eastAsia="en-GB"/>
        </w:rPr>
        <w:t>JSTOR</w:t>
      </w:r>
      <w:r w:rsidRPr="00784488">
        <w:rPr>
          <w:rFonts w:ascii="Arial" w:eastAsia="Times New Roman" w:hAnsi="Arial" w:cs="Arial"/>
          <w:lang w:eastAsia="en-GB"/>
        </w:rPr>
        <w:t xml:space="preserve">, </w:t>
      </w:r>
      <w:hyperlink r:id="rId5" w:history="1">
        <w:r w:rsidRPr="00784488">
          <w:rPr>
            <w:rStyle w:val="Hyperlink"/>
            <w:rFonts w:ascii="Arial" w:eastAsia="Times New Roman" w:hAnsi="Arial" w:cs="Arial"/>
            <w:color w:val="auto"/>
            <w:lang w:eastAsia="en-GB"/>
          </w:rPr>
          <w:t>http://www.jstor.org/stable/44135557</w:t>
        </w:r>
      </w:hyperlink>
      <w:r w:rsidRPr="00784488">
        <w:rPr>
          <w:rFonts w:ascii="Arial" w:eastAsia="Times New Roman" w:hAnsi="Arial" w:cs="Arial"/>
          <w:lang w:eastAsia="en-GB"/>
        </w:rPr>
        <w:t xml:space="preserve"> [accessed 5 Oct. 2023].</w:t>
      </w:r>
    </w:p>
    <w:p w14:paraId="691FB90B" w14:textId="77777777" w:rsidR="00784488" w:rsidRDefault="00784488" w:rsidP="00784488">
      <w:pPr>
        <w:spacing w:line="240" w:lineRule="auto"/>
        <w:contextualSpacing/>
        <w:rPr>
          <w:rFonts w:ascii="Arial" w:hAnsi="Arial" w:cs="Arial"/>
          <w:spacing w:val="-5"/>
          <w:shd w:val="clear" w:color="auto" w:fill="FFFFFF"/>
        </w:rPr>
      </w:pPr>
    </w:p>
    <w:p w14:paraId="6B4951F8" w14:textId="19017CDC" w:rsidR="00854A45" w:rsidRPr="00784488" w:rsidRDefault="00854A45" w:rsidP="00784488">
      <w:pPr>
        <w:spacing w:line="240" w:lineRule="auto"/>
        <w:contextualSpacing/>
        <w:rPr>
          <w:rFonts w:ascii="Arial" w:eastAsia="Times New Roman" w:hAnsi="Arial" w:cs="Arial"/>
          <w:lang w:eastAsia="en-GB"/>
        </w:rPr>
      </w:pPr>
      <w:r w:rsidRPr="00784488">
        <w:rPr>
          <w:rFonts w:ascii="Arial" w:hAnsi="Arial" w:cs="Arial"/>
          <w:spacing w:val="-5"/>
          <w:shd w:val="clear" w:color="auto" w:fill="FFFFFF"/>
        </w:rPr>
        <w:t>Cook, Daniel J., and Henry Rosemont. ‘The Pre-Established Harmony between Leibniz and Chinese Thought’. </w:t>
      </w:r>
      <w:r w:rsidRPr="00784488">
        <w:rPr>
          <w:rFonts w:ascii="Arial" w:hAnsi="Arial" w:cs="Arial"/>
          <w:i/>
          <w:iCs/>
          <w:spacing w:val="-5"/>
          <w:shd w:val="clear" w:color="auto" w:fill="FFFFFF"/>
        </w:rPr>
        <w:t>Journal of the History of Ideas</w:t>
      </w:r>
      <w:r w:rsidRPr="00784488">
        <w:rPr>
          <w:rFonts w:ascii="Arial" w:hAnsi="Arial" w:cs="Arial"/>
          <w:spacing w:val="-5"/>
          <w:shd w:val="clear" w:color="auto" w:fill="FFFFFF"/>
        </w:rPr>
        <w:t xml:space="preserve"> 42, no. 2 (1981): pp. 253–67. </w:t>
      </w:r>
      <w:r w:rsidRPr="00784488">
        <w:rPr>
          <w:rFonts w:ascii="Arial" w:hAnsi="Arial" w:cs="Arial"/>
          <w:i/>
          <w:iCs/>
          <w:spacing w:val="-5"/>
          <w:shd w:val="clear" w:color="auto" w:fill="FFFFFF"/>
        </w:rPr>
        <w:t>JSTOR</w:t>
      </w:r>
      <w:r w:rsidRPr="00784488">
        <w:rPr>
          <w:rFonts w:ascii="Arial" w:hAnsi="Arial" w:cs="Arial"/>
          <w:spacing w:val="-5"/>
          <w:shd w:val="clear" w:color="auto" w:fill="FFFFFF"/>
        </w:rPr>
        <w:t>,</w:t>
      </w:r>
    </w:p>
    <w:p w14:paraId="76DA8037" w14:textId="77777777" w:rsidR="00854A45" w:rsidRPr="00784488" w:rsidRDefault="00854A45" w:rsidP="00784488">
      <w:pPr>
        <w:pStyle w:val="nova-legacy-e-listitem"/>
        <w:shd w:val="clear" w:color="auto" w:fill="FFFFFF"/>
        <w:spacing w:before="0" w:beforeAutospacing="0" w:after="160" w:afterAutospacing="0"/>
        <w:contextualSpacing/>
        <w:rPr>
          <w:rFonts w:ascii="Arial" w:hAnsi="Arial" w:cs="Arial"/>
          <w:sz w:val="22"/>
          <w:szCs w:val="22"/>
        </w:rPr>
      </w:pPr>
      <w:r w:rsidRPr="00784488">
        <w:rPr>
          <w:rFonts w:ascii="Arial" w:hAnsi="Arial" w:cs="Arial"/>
          <w:sz w:val="22"/>
          <w:szCs w:val="22"/>
          <w:shd w:val="clear" w:color="auto" w:fill="FFFFFF"/>
        </w:rPr>
        <w:t>Gentz, Joachim. ‘</w:t>
      </w:r>
      <w:r w:rsidRPr="00784488">
        <w:rPr>
          <w:rFonts w:ascii="Arial" w:hAnsi="Arial" w:cs="Arial"/>
          <w:sz w:val="22"/>
          <w:szCs w:val="22"/>
        </w:rPr>
        <w:t xml:space="preserve">Chinese he </w:t>
      </w:r>
      <w:r w:rsidRPr="00784488">
        <w:rPr>
          <w:rFonts w:ascii="Arial" w:eastAsia="MS Gothic" w:hAnsi="Arial" w:cs="Arial"/>
          <w:sz w:val="22"/>
          <w:szCs w:val="22"/>
        </w:rPr>
        <w:t>和</w:t>
      </w:r>
      <w:r w:rsidRPr="00784488">
        <w:rPr>
          <w:rFonts w:ascii="Arial" w:hAnsi="Arial" w:cs="Arial"/>
          <w:sz w:val="22"/>
          <w:szCs w:val="22"/>
        </w:rPr>
        <w:t xml:space="preserve"> in many keys, harmonized in Europe’. </w:t>
      </w:r>
      <w:r w:rsidRPr="00784488">
        <w:rPr>
          <w:rFonts w:ascii="Arial" w:hAnsi="Arial" w:cs="Arial"/>
          <w:sz w:val="22"/>
          <w:szCs w:val="22"/>
          <w:shd w:val="clear" w:color="auto" w:fill="FFFFFF"/>
        </w:rPr>
        <w:t xml:space="preserve">in </w:t>
      </w:r>
      <w:r w:rsidRPr="00784488">
        <w:rPr>
          <w:rFonts w:ascii="Arial" w:hAnsi="Arial" w:cs="Arial"/>
          <w:i/>
          <w:iCs/>
          <w:sz w:val="22"/>
          <w:szCs w:val="22"/>
        </w:rPr>
        <w:t>Keywords in Chinese Thought and Literature</w:t>
      </w:r>
      <w:r w:rsidRPr="00784488">
        <w:rPr>
          <w:rFonts w:ascii="Arial" w:hAnsi="Arial" w:cs="Arial"/>
          <w:sz w:val="22"/>
          <w:szCs w:val="22"/>
        </w:rPr>
        <w:t xml:space="preserve">, edited by </w:t>
      </w:r>
      <w:r w:rsidRPr="00784488">
        <w:rPr>
          <w:rFonts w:ascii="Arial" w:hAnsi="Arial" w:cs="Arial"/>
          <w:sz w:val="22"/>
          <w:szCs w:val="22"/>
          <w:shd w:val="clear" w:color="auto" w:fill="FFFFFF"/>
        </w:rPr>
        <w:t>Yuri Pines and Wai-</w:t>
      </w:r>
      <w:proofErr w:type="spellStart"/>
      <w:r w:rsidRPr="00784488">
        <w:rPr>
          <w:rFonts w:ascii="Arial" w:hAnsi="Arial" w:cs="Arial"/>
          <w:sz w:val="22"/>
          <w:szCs w:val="22"/>
          <w:shd w:val="clear" w:color="auto" w:fill="FFFFFF"/>
        </w:rPr>
        <w:t>yee</w:t>
      </w:r>
      <w:proofErr w:type="spellEnd"/>
      <w:r w:rsidRPr="00784488">
        <w:rPr>
          <w:rFonts w:ascii="Arial" w:hAnsi="Arial" w:cs="Arial"/>
          <w:sz w:val="22"/>
          <w:szCs w:val="22"/>
          <w:shd w:val="clear" w:color="auto" w:fill="FFFFFF"/>
        </w:rPr>
        <w:t xml:space="preserve"> </w:t>
      </w:r>
      <w:proofErr w:type="gramStart"/>
      <w:r w:rsidRPr="00784488">
        <w:rPr>
          <w:rFonts w:ascii="Arial" w:hAnsi="Arial" w:cs="Arial"/>
          <w:sz w:val="22"/>
          <w:szCs w:val="22"/>
          <w:shd w:val="clear" w:color="auto" w:fill="FFFFFF"/>
        </w:rPr>
        <w:t>Li, </w:t>
      </w:r>
      <w:r w:rsidRPr="00784488">
        <w:rPr>
          <w:rFonts w:ascii="Arial" w:hAnsi="Arial" w:cs="Arial"/>
          <w:sz w:val="22"/>
          <w:szCs w:val="22"/>
        </w:rPr>
        <w:t xml:space="preserve"> pp.</w:t>
      </w:r>
      <w:proofErr w:type="gramEnd"/>
      <w:r w:rsidRPr="00784488">
        <w:rPr>
          <w:rFonts w:ascii="Arial" w:hAnsi="Arial" w:cs="Arial"/>
          <w:sz w:val="22"/>
          <w:szCs w:val="22"/>
        </w:rPr>
        <w:t xml:space="preserve"> 37–84. Hong Kong: Chinese University of Hong Kong Press, 2020. </w:t>
      </w:r>
      <w:hyperlink r:id="rId6" w:history="1">
        <w:r w:rsidRPr="00784488">
          <w:rPr>
            <w:rStyle w:val="Hyperlink"/>
            <w:rFonts w:ascii="Arial" w:eastAsiaTheme="majorEastAsia" w:hAnsi="Arial" w:cs="Arial"/>
            <w:color w:val="auto"/>
            <w:sz w:val="22"/>
            <w:szCs w:val="22"/>
          </w:rPr>
          <w:t>https://www.researchgate.net/publication/342643853_Gentz_Harmony</w:t>
        </w:r>
      </w:hyperlink>
      <w:r w:rsidRPr="00784488">
        <w:rPr>
          <w:rStyle w:val="Hyperlink"/>
          <w:rFonts w:ascii="Arial" w:eastAsiaTheme="majorEastAsia" w:hAnsi="Arial" w:cs="Arial"/>
          <w:color w:val="auto"/>
          <w:sz w:val="22"/>
          <w:szCs w:val="22"/>
        </w:rPr>
        <w:t>.</w:t>
      </w:r>
    </w:p>
    <w:p w14:paraId="3775B830" w14:textId="77777777" w:rsidR="00854A45" w:rsidRPr="00784488" w:rsidRDefault="00854A45" w:rsidP="00784488">
      <w:pPr>
        <w:shd w:val="clear" w:color="auto" w:fill="FFFFFF"/>
        <w:spacing w:line="240" w:lineRule="auto"/>
        <w:contextualSpacing/>
        <w:rPr>
          <w:rFonts w:ascii="Arial" w:hAnsi="Arial" w:cs="Arial"/>
          <w:spacing w:val="2"/>
          <w:kern w:val="36"/>
          <w:lang w:eastAsia="en-GB"/>
        </w:rPr>
      </w:pPr>
      <w:r w:rsidRPr="00784488">
        <w:rPr>
          <w:rFonts w:ascii="Arial" w:hAnsi="Arial" w:cs="Arial"/>
        </w:rPr>
        <w:t xml:space="preserve">Li, </w:t>
      </w:r>
      <w:proofErr w:type="spellStart"/>
      <w:r w:rsidRPr="00784488">
        <w:rPr>
          <w:rFonts w:ascii="Arial" w:hAnsi="Arial" w:cs="Arial"/>
        </w:rPr>
        <w:t>Chenyang</w:t>
      </w:r>
      <w:proofErr w:type="spellEnd"/>
      <w:r w:rsidRPr="00784488">
        <w:rPr>
          <w:rFonts w:ascii="Arial" w:hAnsi="Arial" w:cs="Arial"/>
        </w:rPr>
        <w:t>. ‘</w:t>
      </w:r>
      <w:r w:rsidRPr="00784488">
        <w:rPr>
          <w:rFonts w:ascii="Arial" w:hAnsi="Arial" w:cs="Arial"/>
          <w:spacing w:val="2"/>
          <w:kern w:val="36"/>
          <w:lang w:eastAsia="en-GB"/>
        </w:rPr>
        <w:t xml:space="preserve">The Ideal of Harmony in Ancient Chinese and Greek Philosophy’. </w:t>
      </w:r>
      <w:r w:rsidRPr="00784488">
        <w:rPr>
          <w:rFonts w:ascii="Arial" w:hAnsi="Arial" w:cs="Arial"/>
          <w:i/>
          <w:spacing w:val="2"/>
          <w:kern w:val="36"/>
          <w:lang w:eastAsia="en-GB"/>
        </w:rPr>
        <w:t>Dao</w:t>
      </w:r>
      <w:r w:rsidRPr="00784488">
        <w:rPr>
          <w:rFonts w:ascii="Arial" w:hAnsi="Arial" w:cs="Arial"/>
          <w:spacing w:val="2"/>
          <w:kern w:val="36"/>
          <w:lang w:eastAsia="en-GB"/>
        </w:rPr>
        <w:t xml:space="preserve"> 7, issue 1 (</w:t>
      </w:r>
      <w:r w:rsidRPr="00784488">
        <w:rPr>
          <w:rFonts w:ascii="Arial" w:hAnsi="Arial" w:cs="Arial"/>
          <w:spacing w:val="4"/>
          <w:lang w:eastAsia="en-GB"/>
        </w:rPr>
        <w:t xml:space="preserve">March 2008): pp 81–98. </w:t>
      </w:r>
      <w:r w:rsidRPr="00784488">
        <w:rPr>
          <w:rFonts w:ascii="Arial" w:hAnsi="Arial" w:cs="Arial"/>
          <w:i/>
          <w:iCs/>
          <w:spacing w:val="4"/>
          <w:lang w:eastAsia="en-GB"/>
        </w:rPr>
        <w:t>JSTOR</w:t>
      </w:r>
      <w:r w:rsidRPr="00784488">
        <w:rPr>
          <w:rFonts w:ascii="Arial" w:hAnsi="Arial" w:cs="Arial"/>
          <w:spacing w:val="4"/>
          <w:lang w:eastAsia="en-GB"/>
        </w:rPr>
        <w:t>.</w:t>
      </w:r>
    </w:p>
    <w:p w14:paraId="1748F38F" w14:textId="77777777" w:rsidR="00784488" w:rsidRDefault="00784488" w:rsidP="00784488">
      <w:pPr>
        <w:spacing w:line="240" w:lineRule="auto"/>
        <w:contextualSpacing/>
        <w:rPr>
          <w:rFonts w:ascii="Arial" w:hAnsi="Arial" w:cs="Arial"/>
        </w:rPr>
      </w:pPr>
    </w:p>
    <w:p w14:paraId="3A27ED2B" w14:textId="010AD2E3" w:rsidR="00854A45" w:rsidRPr="00784488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Li, </w:t>
      </w:r>
      <w:proofErr w:type="spellStart"/>
      <w:r w:rsidRPr="00784488">
        <w:rPr>
          <w:rFonts w:ascii="Arial" w:hAnsi="Arial" w:cs="Arial"/>
        </w:rPr>
        <w:t>Chenyang</w:t>
      </w:r>
      <w:proofErr w:type="spellEnd"/>
      <w:r w:rsidRPr="00784488">
        <w:rPr>
          <w:rFonts w:ascii="Arial" w:hAnsi="Arial" w:cs="Arial"/>
        </w:rPr>
        <w:t xml:space="preserve">, ‘Confucian Harmony, Greek Harmony and Liberal Harmony’, </w:t>
      </w:r>
      <w:r w:rsidRPr="00784488">
        <w:rPr>
          <w:rFonts w:ascii="Arial" w:hAnsi="Arial" w:cs="Arial"/>
          <w:i/>
          <w:iCs/>
        </w:rPr>
        <w:t>Dao: a journal of comparative philosophy</w:t>
      </w:r>
      <w:r w:rsidRPr="00784488">
        <w:rPr>
          <w:rFonts w:ascii="Arial" w:hAnsi="Arial" w:cs="Arial"/>
        </w:rPr>
        <w:t>, 2016, Vol 15 (3), pp. 427-435.</w:t>
      </w:r>
    </w:p>
    <w:p w14:paraId="7795A096" w14:textId="77777777" w:rsidR="00784488" w:rsidRPr="00BF78E4" w:rsidRDefault="00784488" w:rsidP="00784488">
      <w:pPr>
        <w:spacing w:line="240" w:lineRule="auto"/>
        <w:contextualSpacing/>
        <w:rPr>
          <w:rFonts w:ascii="Arial" w:hAnsi="Arial" w:cs="Arial"/>
          <w:shd w:val="clear" w:color="auto" w:fill="FFFFFF"/>
        </w:rPr>
      </w:pPr>
    </w:p>
    <w:p w14:paraId="28C25B65" w14:textId="64B4650D" w:rsidR="00854A45" w:rsidRPr="00BF78E4" w:rsidRDefault="00854A45" w:rsidP="00784488">
      <w:pPr>
        <w:spacing w:line="240" w:lineRule="auto"/>
        <w:contextualSpacing/>
        <w:rPr>
          <w:rFonts w:ascii="Arial" w:hAnsi="Arial" w:cs="Arial"/>
          <w:shd w:val="clear" w:color="auto" w:fill="FFFFFF"/>
        </w:rPr>
      </w:pPr>
      <w:r w:rsidRPr="00BF78E4">
        <w:rPr>
          <w:rFonts w:ascii="Arial" w:hAnsi="Arial" w:cs="Arial"/>
          <w:shd w:val="clear" w:color="auto" w:fill="FFFFFF"/>
        </w:rPr>
        <w:t xml:space="preserve">Perkins, ‘Harmony through Diversity in the </w:t>
      </w:r>
      <w:proofErr w:type="spellStart"/>
      <w:r w:rsidRPr="00BF78E4">
        <w:rPr>
          <w:rFonts w:ascii="Arial" w:hAnsi="Arial" w:cs="Arial"/>
          <w:i/>
          <w:iCs/>
          <w:shd w:val="clear" w:color="auto" w:fill="FFFFFF"/>
        </w:rPr>
        <w:t>Huainanzi</w:t>
      </w:r>
      <w:proofErr w:type="spellEnd"/>
      <w:r w:rsidRPr="00BF78E4">
        <w:rPr>
          <w:rFonts w:ascii="Arial" w:hAnsi="Arial" w:cs="Arial"/>
          <w:shd w:val="clear" w:color="auto" w:fill="FFFFFF"/>
        </w:rPr>
        <w:t xml:space="preserve">’, in </w:t>
      </w:r>
      <w:r w:rsidRPr="00BF78E4">
        <w:rPr>
          <w:rFonts w:ascii="Arial" w:hAnsi="Arial" w:cs="Arial"/>
        </w:rPr>
        <w:t xml:space="preserve">Li, </w:t>
      </w:r>
      <w:proofErr w:type="spellStart"/>
      <w:r w:rsidRPr="00BF78E4">
        <w:rPr>
          <w:rFonts w:ascii="Arial" w:eastAsia="Times New Roman" w:hAnsi="Arial" w:cs="Arial"/>
          <w:lang w:eastAsia="en-GB"/>
        </w:rPr>
        <w:t>Chenyang</w:t>
      </w:r>
      <w:proofErr w:type="spellEnd"/>
      <w:r w:rsidRPr="00BF78E4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BF78E4">
        <w:rPr>
          <w:rFonts w:ascii="Arial" w:eastAsia="Times New Roman" w:hAnsi="Arial" w:cs="Arial"/>
          <w:lang w:eastAsia="en-GB"/>
        </w:rPr>
        <w:t>Düri</w:t>
      </w:r>
      <w:proofErr w:type="spellEnd"/>
      <w:r w:rsidRPr="00BF78E4">
        <w:rPr>
          <w:rFonts w:ascii="Arial" w:eastAsia="Times New Roman" w:hAnsi="Arial" w:cs="Arial"/>
          <w:lang w:eastAsia="en-GB"/>
        </w:rPr>
        <w:t xml:space="preserve">, </w:t>
      </w:r>
      <w:r w:rsidRPr="00BF78E4">
        <w:rPr>
          <w:rFonts w:ascii="Arial" w:eastAsia="Times New Roman" w:hAnsi="Arial" w:cs="Arial"/>
          <w:i/>
          <w:iCs/>
          <w:lang w:eastAsia="en-GB"/>
        </w:rPr>
        <w:t>The Virtue of Harmony</w:t>
      </w:r>
      <w:r w:rsidRPr="00BF78E4">
        <w:rPr>
          <w:rFonts w:ascii="Arial" w:eastAsia="Times New Roman" w:hAnsi="Arial" w:cs="Arial"/>
          <w:lang w:eastAsia="en-GB"/>
        </w:rPr>
        <w:t xml:space="preserve"> (Oxford: Oxford University Press, 2022), pp. 43-67.</w:t>
      </w:r>
    </w:p>
    <w:p w14:paraId="77EF42C1" w14:textId="77777777" w:rsidR="00784488" w:rsidRPr="00BF78E4" w:rsidRDefault="00784488" w:rsidP="00784488">
      <w:pPr>
        <w:spacing w:line="240" w:lineRule="auto"/>
        <w:contextualSpacing/>
        <w:rPr>
          <w:rFonts w:ascii="Arial" w:hAnsi="Arial" w:cs="Arial"/>
        </w:rPr>
      </w:pPr>
    </w:p>
    <w:p w14:paraId="43390430" w14:textId="423EA290" w:rsidR="00854A45" w:rsidRPr="00BF78E4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BF78E4">
        <w:rPr>
          <w:rFonts w:ascii="Arial" w:hAnsi="Arial" w:cs="Arial"/>
        </w:rPr>
        <w:t xml:space="preserve">Swanton, Christine, ‘Harmony, Reverence, and Attention’, </w:t>
      </w:r>
      <w:r w:rsidRPr="00BF78E4">
        <w:rPr>
          <w:rFonts w:ascii="Arial" w:hAnsi="Arial" w:cs="Arial"/>
          <w:i/>
          <w:iCs/>
        </w:rPr>
        <w:t>Dao: a journal of comparative philosophy</w:t>
      </w:r>
      <w:r w:rsidRPr="00BF78E4">
        <w:rPr>
          <w:rFonts w:ascii="Arial" w:hAnsi="Arial" w:cs="Arial"/>
        </w:rPr>
        <w:t xml:space="preserve"> (2013), Vol 12 (3), pp 351-358.</w:t>
      </w:r>
    </w:p>
    <w:p w14:paraId="3D443684" w14:textId="77777777" w:rsidR="00784488" w:rsidRPr="00BF78E4" w:rsidRDefault="00784488" w:rsidP="00784488">
      <w:pPr>
        <w:spacing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41169DCD" w14:textId="77777777" w:rsidR="009B3DB2" w:rsidRPr="00BF78E4" w:rsidRDefault="009B3DB2" w:rsidP="009B3DB2">
      <w:pPr>
        <w:rPr>
          <w:rFonts w:ascii="Arial" w:hAnsi="Arial" w:cs="Arial"/>
        </w:rPr>
      </w:pPr>
      <w:r w:rsidRPr="00BF78E4">
        <w:rPr>
          <w:rFonts w:ascii="Arial" w:hAnsi="Arial" w:cs="Arial"/>
        </w:rPr>
        <w:t xml:space="preserve">Tak-Lap Yeung, ‘Two Conceptions of Harmony in Ancient Western and Eastern Aesthetics: “Dialectic Harmony” and “Ambiguous Harmony”’, </w:t>
      </w:r>
      <w:r w:rsidRPr="00BF78E4">
        <w:rPr>
          <w:rFonts w:ascii="Arial" w:hAnsi="Arial" w:cs="Arial"/>
          <w:i/>
          <w:iCs/>
          <w:color w:val="131314"/>
          <w:shd w:val="clear" w:color="auto" w:fill="FFFFFF"/>
        </w:rPr>
        <w:t>The Journal of East-West Thought</w:t>
      </w:r>
      <w:r w:rsidRPr="00BF78E4">
        <w:rPr>
          <w:rFonts w:ascii="Arial" w:hAnsi="Arial" w:cs="Arial"/>
          <w:color w:val="131314"/>
          <w:shd w:val="clear" w:color="auto" w:fill="FFFFFF"/>
        </w:rPr>
        <w:t xml:space="preserve">, Vol 10, no 2, June 2020, </w:t>
      </w:r>
      <w:r w:rsidRPr="00BF78E4">
        <w:rPr>
          <w:rFonts w:ascii="Arial" w:hAnsi="Arial" w:cs="Arial"/>
        </w:rPr>
        <w:t>pp. 65-84.</w:t>
      </w:r>
    </w:p>
    <w:p w14:paraId="7D627EC0" w14:textId="30E0DB27" w:rsidR="00854A45" w:rsidRPr="00BF78E4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BF78E4">
        <w:rPr>
          <w:rFonts w:ascii="Arial" w:eastAsia="Times New Roman" w:hAnsi="Arial" w:cs="Arial"/>
          <w:lang w:eastAsia="en-GB"/>
        </w:rPr>
        <w:t xml:space="preserve">Yu, </w:t>
      </w:r>
      <w:proofErr w:type="spellStart"/>
      <w:r w:rsidRPr="00BF78E4">
        <w:rPr>
          <w:rFonts w:ascii="Arial" w:eastAsia="Times New Roman" w:hAnsi="Arial" w:cs="Arial"/>
          <w:lang w:eastAsia="en-GB"/>
        </w:rPr>
        <w:t>Jiyuan</w:t>
      </w:r>
      <w:proofErr w:type="spellEnd"/>
      <w:r w:rsidRPr="00BF78E4">
        <w:rPr>
          <w:rFonts w:ascii="Arial" w:eastAsia="Times New Roman" w:hAnsi="Arial" w:cs="Arial"/>
          <w:lang w:eastAsia="en-GB"/>
        </w:rPr>
        <w:t>, ‘Chinese harmony, and Greek Harmony – on L</w:t>
      </w:r>
      <w:r w:rsidRPr="00BF78E4">
        <w:rPr>
          <w:rFonts w:ascii="Arial" w:hAnsi="Arial" w:cs="Arial"/>
        </w:rPr>
        <w:t xml:space="preserve">i </w:t>
      </w:r>
      <w:proofErr w:type="spellStart"/>
      <w:r w:rsidRPr="00BF78E4">
        <w:rPr>
          <w:rFonts w:ascii="Arial" w:hAnsi="Arial" w:cs="Arial"/>
        </w:rPr>
        <w:t>Chenyang</w:t>
      </w:r>
      <w:r w:rsidRPr="00BF78E4">
        <w:rPr>
          <w:rFonts w:ascii="Arial" w:eastAsia="Times New Roman" w:hAnsi="Arial" w:cs="Arial"/>
          <w:lang w:eastAsia="en-GB"/>
        </w:rPr>
        <w:t>’s</w:t>
      </w:r>
      <w:proofErr w:type="spellEnd"/>
      <w:r w:rsidRPr="00BF78E4">
        <w:rPr>
          <w:rFonts w:ascii="Arial" w:eastAsia="Times New Roman" w:hAnsi="Arial" w:cs="Arial"/>
          <w:lang w:eastAsia="en-GB"/>
        </w:rPr>
        <w:t xml:space="preserve">, The Confucian Philosophy of Harmony’, </w:t>
      </w:r>
      <w:r w:rsidRPr="00BF78E4">
        <w:rPr>
          <w:rFonts w:ascii="Arial" w:hAnsi="Arial" w:cs="Arial"/>
          <w:i/>
          <w:iCs/>
        </w:rPr>
        <w:t>Dao: a journal of comparative philosophy</w:t>
      </w:r>
      <w:r w:rsidRPr="00BF78E4">
        <w:rPr>
          <w:rFonts w:ascii="Arial" w:hAnsi="Arial" w:cs="Arial"/>
        </w:rPr>
        <w:t>, 2016, Vol 15 (3), pp. 413-19.</w:t>
      </w:r>
    </w:p>
    <w:p w14:paraId="106628C1" w14:textId="77777777" w:rsidR="00784488" w:rsidRPr="00BF78E4" w:rsidRDefault="00784488" w:rsidP="00784488">
      <w:pPr>
        <w:spacing w:line="240" w:lineRule="auto"/>
        <w:contextualSpacing/>
        <w:rPr>
          <w:rFonts w:ascii="Arial" w:hAnsi="Arial" w:cs="Arial"/>
          <w:shd w:val="clear" w:color="auto" w:fill="FFFFFF"/>
        </w:rPr>
      </w:pPr>
    </w:p>
    <w:p w14:paraId="46A5795F" w14:textId="7CEC4D80" w:rsidR="00854A45" w:rsidRPr="00784488" w:rsidRDefault="00854A45" w:rsidP="00784488">
      <w:pPr>
        <w:spacing w:line="240" w:lineRule="auto"/>
        <w:contextualSpacing/>
        <w:rPr>
          <w:rFonts w:ascii="Arial" w:hAnsi="Arial" w:cs="Arial"/>
          <w:spacing w:val="4"/>
        </w:rPr>
      </w:pPr>
      <w:r w:rsidRPr="00BF78E4">
        <w:rPr>
          <w:rFonts w:ascii="Arial" w:hAnsi="Arial" w:cs="Arial"/>
          <w:shd w:val="clear" w:color="auto" w:fill="FFFFFF"/>
        </w:rPr>
        <w:t xml:space="preserve">Yu, Kam-por. ‘The Confucian conception of harmony’. In </w:t>
      </w:r>
      <w:r w:rsidRPr="00BF78E4">
        <w:rPr>
          <w:rFonts w:ascii="Arial" w:hAnsi="Arial" w:cs="Arial"/>
          <w:i/>
          <w:spacing w:val="4"/>
        </w:rPr>
        <w:t>Governance for Harmony in Asia</w:t>
      </w:r>
      <w:r w:rsidRPr="00784488">
        <w:rPr>
          <w:rFonts w:ascii="Arial" w:hAnsi="Arial" w:cs="Arial"/>
          <w:i/>
          <w:spacing w:val="4"/>
        </w:rPr>
        <w:t xml:space="preserve"> and Beyond</w:t>
      </w:r>
      <w:r w:rsidRPr="00784488">
        <w:rPr>
          <w:rFonts w:ascii="Arial" w:hAnsi="Arial" w:cs="Arial"/>
          <w:bCs/>
          <w:spacing w:val="4"/>
        </w:rPr>
        <w:t xml:space="preserve">, edited by </w:t>
      </w:r>
      <w:r w:rsidRPr="00784488">
        <w:rPr>
          <w:rStyle w:val="product-banner-author-name"/>
          <w:rFonts w:ascii="Arial" w:hAnsi="Arial" w:cs="Arial"/>
          <w:iCs/>
          <w:spacing w:val="3"/>
          <w:shd w:val="clear" w:color="auto" w:fill="FFFFFF"/>
        </w:rPr>
        <w:t xml:space="preserve">Julia Tao, Anthony B. L. Cheung, Martin Painter and </w:t>
      </w:r>
      <w:proofErr w:type="spellStart"/>
      <w:r w:rsidRPr="00784488">
        <w:rPr>
          <w:rStyle w:val="product-banner-author-name"/>
          <w:rFonts w:ascii="Arial" w:hAnsi="Arial" w:cs="Arial"/>
          <w:iCs/>
          <w:spacing w:val="3"/>
          <w:shd w:val="clear" w:color="auto" w:fill="FFFFFF"/>
        </w:rPr>
        <w:t>Chenyang</w:t>
      </w:r>
      <w:proofErr w:type="spellEnd"/>
      <w:r w:rsidRPr="00784488">
        <w:rPr>
          <w:rStyle w:val="product-banner-author-name"/>
          <w:rFonts w:ascii="Arial" w:hAnsi="Arial" w:cs="Arial"/>
          <w:iCs/>
          <w:spacing w:val="3"/>
          <w:shd w:val="clear" w:color="auto" w:fill="FFFFFF"/>
        </w:rPr>
        <w:t xml:space="preserve"> Li, </w:t>
      </w:r>
      <w:r w:rsidRPr="00784488">
        <w:rPr>
          <w:rFonts w:ascii="Arial" w:hAnsi="Arial" w:cs="Arial"/>
          <w:bCs/>
          <w:spacing w:val="4"/>
        </w:rPr>
        <w:t>pp. 15–36.</w:t>
      </w:r>
      <w:r w:rsidRPr="00784488">
        <w:rPr>
          <w:rStyle w:val="product-banner-author-name"/>
          <w:rFonts w:ascii="Arial" w:hAnsi="Arial" w:cs="Arial"/>
          <w:iCs/>
          <w:spacing w:val="3"/>
          <w:shd w:val="clear" w:color="auto" w:fill="FFFFFF"/>
        </w:rPr>
        <w:t xml:space="preserve"> </w:t>
      </w:r>
      <w:r w:rsidRPr="00784488">
        <w:rPr>
          <w:rFonts w:ascii="Arial" w:hAnsi="Arial" w:cs="Arial"/>
          <w:bCs/>
          <w:spacing w:val="4"/>
        </w:rPr>
        <w:t>London: Routledge, 2010.</w:t>
      </w:r>
      <w:r w:rsidRPr="00784488">
        <w:rPr>
          <w:rStyle w:val="product-banner-author-name"/>
          <w:rFonts w:ascii="Arial" w:hAnsi="Arial" w:cs="Arial"/>
          <w:iCs/>
          <w:spacing w:val="3"/>
          <w:shd w:val="clear" w:color="auto" w:fill="FFFFFF"/>
        </w:rPr>
        <w:t xml:space="preserve"> </w:t>
      </w:r>
    </w:p>
    <w:p w14:paraId="4C82478B" w14:textId="77777777" w:rsidR="00784488" w:rsidRDefault="00784488" w:rsidP="00784488">
      <w:pPr>
        <w:spacing w:line="240" w:lineRule="auto"/>
        <w:contextualSpacing/>
        <w:rPr>
          <w:rFonts w:ascii="Arial" w:hAnsi="Arial" w:cs="Arial"/>
        </w:rPr>
      </w:pPr>
    </w:p>
    <w:p w14:paraId="552E0176" w14:textId="3A363454" w:rsidR="00854A45" w:rsidRPr="00784488" w:rsidRDefault="00854A45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>Yu, Kam-</w:t>
      </w:r>
      <w:proofErr w:type="spellStart"/>
      <w:r w:rsidRPr="00784488">
        <w:rPr>
          <w:rFonts w:ascii="Arial" w:hAnsi="Arial" w:cs="Arial"/>
        </w:rPr>
        <w:t>por</w:t>
      </w:r>
      <w:proofErr w:type="spellEnd"/>
      <w:r w:rsidRPr="00784488">
        <w:rPr>
          <w:rFonts w:ascii="Arial" w:hAnsi="Arial" w:cs="Arial"/>
        </w:rPr>
        <w:t>, ‘</w:t>
      </w:r>
      <w:r w:rsidRPr="00784488">
        <w:rPr>
          <w:rFonts w:ascii="Arial" w:eastAsia="Times New Roman" w:hAnsi="Arial" w:cs="Arial"/>
          <w:lang w:eastAsia="en-GB"/>
        </w:rPr>
        <w:t xml:space="preserve">Harmony: Super Value or Multiple Values? A Review of </w:t>
      </w:r>
      <w:r w:rsidRPr="00784488">
        <w:rPr>
          <w:rFonts w:ascii="Arial" w:hAnsi="Arial" w:cs="Arial"/>
        </w:rPr>
        <w:t xml:space="preserve">Li </w:t>
      </w:r>
      <w:proofErr w:type="spellStart"/>
      <w:r w:rsidRPr="00784488">
        <w:rPr>
          <w:rFonts w:ascii="Arial" w:hAnsi="Arial" w:cs="Arial"/>
        </w:rPr>
        <w:t>Chenyang</w:t>
      </w:r>
      <w:r w:rsidRPr="00784488">
        <w:rPr>
          <w:rFonts w:ascii="Arial" w:eastAsia="Times New Roman" w:hAnsi="Arial" w:cs="Arial"/>
          <w:lang w:eastAsia="en-GB"/>
        </w:rPr>
        <w:t>’s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The Confucian Philosophy of Harmony’, </w:t>
      </w:r>
      <w:r w:rsidRPr="00784488">
        <w:rPr>
          <w:rFonts w:ascii="Arial" w:hAnsi="Arial" w:cs="Arial"/>
          <w:i/>
          <w:iCs/>
        </w:rPr>
        <w:t>Dao: a journal of comparative philosophy</w:t>
      </w:r>
      <w:r w:rsidRPr="00784488">
        <w:rPr>
          <w:rFonts w:ascii="Arial" w:hAnsi="Arial" w:cs="Arial"/>
        </w:rPr>
        <w:t>, 2016, Vol 15 (3), pp. 421-26.</w:t>
      </w:r>
    </w:p>
    <w:p w14:paraId="2E4C3C05" w14:textId="77777777" w:rsidR="00784488" w:rsidRDefault="00784488" w:rsidP="00784488">
      <w:p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60FADE70" w14:textId="5A1BEDE4" w:rsidR="00854A45" w:rsidRPr="00784488" w:rsidRDefault="00854A45" w:rsidP="00784488">
      <w:p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784488">
        <w:rPr>
          <w:rFonts w:ascii="Arial" w:eastAsia="Times New Roman" w:hAnsi="Arial" w:cs="Arial"/>
          <w:lang w:eastAsia="en-GB"/>
        </w:rPr>
        <w:t xml:space="preserve">Wong, Pak-Hang, ‘Dao, Harmony and Personhood: Towards a Confucian Ethics of Technology’, </w:t>
      </w:r>
      <w:r w:rsidRPr="00784488">
        <w:rPr>
          <w:rFonts w:ascii="Arial" w:eastAsia="Times New Roman" w:hAnsi="Arial" w:cs="Arial"/>
          <w:i/>
          <w:iCs/>
          <w:lang w:eastAsia="en-GB"/>
        </w:rPr>
        <w:t>Philosophy &amp; Technology</w:t>
      </w:r>
      <w:r w:rsidRPr="00784488">
        <w:rPr>
          <w:rFonts w:ascii="Arial" w:eastAsia="Times New Roman" w:hAnsi="Arial" w:cs="Arial"/>
          <w:lang w:eastAsia="en-GB"/>
        </w:rPr>
        <w:t>, 2012, Vol.25 (1), p.67-86</w:t>
      </w:r>
    </w:p>
    <w:p w14:paraId="2981DAB9" w14:textId="77777777" w:rsidR="00784488" w:rsidRDefault="00784488" w:rsidP="00784488">
      <w:pPr>
        <w:pStyle w:val="Default"/>
        <w:adjustRightInd/>
        <w:spacing w:after="160"/>
        <w:contextualSpacing/>
        <w:rPr>
          <w:rFonts w:ascii="Arial" w:hAnsi="Arial" w:cs="Arial"/>
          <w:color w:val="auto"/>
          <w:sz w:val="22"/>
          <w:szCs w:val="22"/>
        </w:rPr>
      </w:pPr>
    </w:p>
    <w:p w14:paraId="13344EF9" w14:textId="7C82303F" w:rsidR="00854A45" w:rsidRPr="00784488" w:rsidRDefault="00854A45" w:rsidP="00784488">
      <w:pPr>
        <w:pStyle w:val="Default"/>
        <w:adjustRightInd/>
        <w:spacing w:after="160"/>
        <w:contextualSpacing/>
        <w:rPr>
          <w:rFonts w:ascii="Arial" w:hAnsi="Arial" w:cs="Arial"/>
          <w:color w:val="auto"/>
          <w:sz w:val="22"/>
          <w:szCs w:val="22"/>
        </w:rPr>
      </w:pPr>
      <w:r w:rsidRPr="00784488">
        <w:rPr>
          <w:rFonts w:ascii="Arial" w:hAnsi="Arial" w:cs="Arial"/>
          <w:color w:val="auto"/>
          <w:sz w:val="22"/>
          <w:szCs w:val="22"/>
        </w:rPr>
        <w:t xml:space="preserve">Zhang, Liwen. ‘Harmony and Justice’. </w:t>
      </w:r>
      <w:r w:rsidRPr="00784488">
        <w:rPr>
          <w:rFonts w:ascii="Arial" w:hAnsi="Arial" w:cs="Arial"/>
          <w:i/>
          <w:color w:val="auto"/>
          <w:sz w:val="22"/>
          <w:szCs w:val="22"/>
        </w:rPr>
        <w:t>Frontiers of Philosophy in China</w:t>
      </w:r>
      <w:r w:rsidRPr="00784488">
        <w:rPr>
          <w:rFonts w:ascii="Arial" w:hAnsi="Arial" w:cs="Arial"/>
          <w:color w:val="auto"/>
          <w:sz w:val="22"/>
          <w:szCs w:val="22"/>
        </w:rPr>
        <w:t xml:space="preserve"> 10, No. 4 (December 2015): pp. 533–46. </w:t>
      </w:r>
    </w:p>
    <w:p w14:paraId="58C66997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</w:p>
    <w:p w14:paraId="4ECDBC77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INDIA</w:t>
      </w:r>
    </w:p>
    <w:p w14:paraId="45C40FAD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Bhargava, Rajeev, ‘Harmony as a Collective Virtue in Ashokan Inscriptions’, in Li,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784488">
        <w:rPr>
          <w:rFonts w:ascii="Arial" w:eastAsia="Times New Roman" w:hAnsi="Arial" w:cs="Arial"/>
          <w:lang w:eastAsia="en-GB"/>
        </w:rPr>
        <w:t>Düri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</w:t>
      </w:r>
      <w:r w:rsidRPr="00784488">
        <w:rPr>
          <w:rFonts w:ascii="Arial" w:eastAsia="Times New Roman" w:hAnsi="Arial" w:cs="Arial"/>
          <w:i/>
          <w:iCs/>
          <w:lang w:eastAsia="en-GB"/>
        </w:rPr>
        <w:t>The Virtue of Harmony</w:t>
      </w:r>
      <w:r w:rsidRPr="00784488">
        <w:rPr>
          <w:rFonts w:ascii="Arial" w:eastAsia="Times New Roman" w:hAnsi="Arial" w:cs="Arial"/>
          <w:lang w:eastAsia="en-GB"/>
        </w:rPr>
        <w:t xml:space="preserve"> (Oxford: Oxford University Press, 2022), pp. 68-92.</w:t>
      </w:r>
    </w:p>
    <w:p w14:paraId="0D9A2FA6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</w:p>
    <w:p w14:paraId="6F22B7F0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</w:p>
    <w:p w14:paraId="21F75AB7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SPIRITUAL, PHILOSOPHICAL AND RELIGIOUS TRADITIONS</w:t>
      </w:r>
    </w:p>
    <w:p w14:paraId="5E455BCF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</w:rPr>
      </w:pPr>
      <w:r w:rsidRPr="00784488">
        <w:rPr>
          <w:rFonts w:ascii="Arial" w:eastAsia="Times New Roman" w:hAnsi="Arial" w:cs="Arial"/>
          <w:lang w:eastAsia="en-GB"/>
        </w:rPr>
        <w:t xml:space="preserve">Metz, Thaddeus, ‘Virtue in African Ethics as Living Harmoniously’, in </w:t>
      </w:r>
      <w:r w:rsidRPr="00784488">
        <w:rPr>
          <w:rFonts w:ascii="Arial" w:hAnsi="Arial" w:cs="Arial"/>
        </w:rPr>
        <w:t xml:space="preserve">Li,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784488">
        <w:rPr>
          <w:rFonts w:ascii="Arial" w:eastAsia="Times New Roman" w:hAnsi="Arial" w:cs="Arial"/>
          <w:lang w:eastAsia="en-GB"/>
        </w:rPr>
        <w:t>Düri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</w:t>
      </w:r>
      <w:r w:rsidRPr="00784488">
        <w:rPr>
          <w:rFonts w:ascii="Arial" w:eastAsia="Times New Roman" w:hAnsi="Arial" w:cs="Arial"/>
          <w:i/>
          <w:iCs/>
          <w:lang w:eastAsia="en-GB"/>
        </w:rPr>
        <w:t>The Virtue of Harmony</w:t>
      </w:r>
      <w:r w:rsidRPr="00784488">
        <w:rPr>
          <w:rFonts w:ascii="Arial" w:eastAsia="Times New Roman" w:hAnsi="Arial" w:cs="Arial"/>
          <w:lang w:eastAsia="en-GB"/>
        </w:rPr>
        <w:t xml:space="preserve"> (Oxford: Oxford University Press, 2022), pp. 206-228.</w:t>
      </w:r>
    </w:p>
    <w:p w14:paraId="25E0015F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</w:p>
    <w:p w14:paraId="1DA165F1" w14:textId="77777777" w:rsidR="00854A45" w:rsidRPr="00784488" w:rsidRDefault="00854A45" w:rsidP="00784488">
      <w:p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  <w:r w:rsidRPr="00784488">
        <w:rPr>
          <w:rFonts w:ascii="Arial" w:hAnsi="Arial" w:cs="Arial"/>
        </w:rPr>
        <w:lastRenderedPageBreak/>
        <w:t>Noodin, Margaret, ‘</w:t>
      </w:r>
      <w:proofErr w:type="spellStart"/>
      <w:r w:rsidRPr="00784488">
        <w:rPr>
          <w:rFonts w:ascii="Arial" w:hAnsi="Arial" w:cs="Arial"/>
          <w:i/>
          <w:iCs/>
        </w:rPr>
        <w:t>Bizanaate</w:t>
      </w:r>
      <w:proofErr w:type="spellEnd"/>
      <w:r w:rsidRPr="00784488">
        <w:rPr>
          <w:rFonts w:ascii="Arial" w:hAnsi="Arial" w:cs="Arial"/>
          <w:i/>
          <w:iCs/>
        </w:rPr>
        <w:t xml:space="preserve">, </w:t>
      </w:r>
      <w:proofErr w:type="spellStart"/>
      <w:r w:rsidRPr="00784488">
        <w:rPr>
          <w:rFonts w:ascii="Arial" w:hAnsi="Arial" w:cs="Arial"/>
          <w:i/>
          <w:iCs/>
        </w:rPr>
        <w:t>Bangan</w:t>
      </w:r>
      <w:proofErr w:type="spellEnd"/>
      <w:r w:rsidRPr="00784488">
        <w:rPr>
          <w:rFonts w:ascii="Arial" w:hAnsi="Arial" w:cs="Arial"/>
          <w:i/>
          <w:iCs/>
        </w:rPr>
        <w:t xml:space="preserve">, </w:t>
      </w:r>
      <w:proofErr w:type="spellStart"/>
      <w:r w:rsidRPr="00784488">
        <w:rPr>
          <w:rFonts w:ascii="Arial" w:hAnsi="Arial" w:cs="Arial"/>
          <w:i/>
          <w:iCs/>
        </w:rPr>
        <w:t>Waanaki</w:t>
      </w:r>
      <w:proofErr w:type="spellEnd"/>
      <w:r w:rsidRPr="00784488">
        <w:rPr>
          <w:rFonts w:ascii="Arial" w:hAnsi="Arial" w:cs="Arial"/>
        </w:rPr>
        <w:t xml:space="preserve">: An </w:t>
      </w:r>
      <w:proofErr w:type="spellStart"/>
      <w:r w:rsidRPr="00784488">
        <w:rPr>
          <w:rFonts w:ascii="Arial" w:hAnsi="Arial" w:cs="Arial"/>
        </w:rPr>
        <w:t>Ashinaabe</w:t>
      </w:r>
      <w:proofErr w:type="spellEnd"/>
      <w:r w:rsidRPr="00784488">
        <w:rPr>
          <w:rFonts w:ascii="Arial" w:hAnsi="Arial" w:cs="Arial"/>
        </w:rPr>
        <w:t xml:space="preserve"> Theory of Harmony’, in Li, </w:t>
      </w:r>
      <w:proofErr w:type="spellStart"/>
      <w:r w:rsidRPr="00784488">
        <w:rPr>
          <w:rFonts w:ascii="Arial" w:eastAsia="Times New Roman" w:hAnsi="Arial" w:cs="Arial"/>
          <w:lang w:eastAsia="en-GB"/>
        </w:rPr>
        <w:t>Chenyang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and Dascha </w:t>
      </w:r>
      <w:proofErr w:type="spellStart"/>
      <w:r w:rsidRPr="00784488">
        <w:rPr>
          <w:rFonts w:ascii="Arial" w:eastAsia="Times New Roman" w:hAnsi="Arial" w:cs="Arial"/>
          <w:lang w:eastAsia="en-GB"/>
        </w:rPr>
        <w:t>Düri</w:t>
      </w:r>
      <w:proofErr w:type="spellEnd"/>
      <w:r w:rsidRPr="00784488">
        <w:rPr>
          <w:rFonts w:ascii="Arial" w:eastAsia="Times New Roman" w:hAnsi="Arial" w:cs="Arial"/>
          <w:lang w:eastAsia="en-GB"/>
        </w:rPr>
        <w:t xml:space="preserve">, </w:t>
      </w:r>
      <w:r w:rsidRPr="00784488">
        <w:rPr>
          <w:rFonts w:ascii="Arial" w:eastAsia="Times New Roman" w:hAnsi="Arial" w:cs="Arial"/>
          <w:i/>
          <w:iCs/>
          <w:lang w:eastAsia="en-GB"/>
        </w:rPr>
        <w:t>The Virtue of Harmony</w:t>
      </w:r>
      <w:r w:rsidRPr="00784488">
        <w:rPr>
          <w:rFonts w:ascii="Arial" w:eastAsia="Times New Roman" w:hAnsi="Arial" w:cs="Arial"/>
          <w:lang w:eastAsia="en-GB"/>
        </w:rPr>
        <w:t xml:space="preserve"> (Oxford: Oxford University Press, 2022), pp. 182-205.</w:t>
      </w:r>
    </w:p>
    <w:p w14:paraId="53D08C84" w14:textId="77777777" w:rsidR="00854A45" w:rsidRPr="00784488" w:rsidRDefault="00854A45" w:rsidP="00784488">
      <w:pPr>
        <w:spacing w:after="0" w:line="240" w:lineRule="auto"/>
        <w:contextualSpacing/>
        <w:rPr>
          <w:rFonts w:ascii="Arial" w:eastAsia="Times New Roman" w:hAnsi="Arial" w:cs="Arial"/>
          <w:lang w:eastAsia="en-GB"/>
        </w:rPr>
      </w:pPr>
    </w:p>
    <w:p w14:paraId="02AB861D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  <w:r w:rsidRPr="00784488">
        <w:rPr>
          <w:rFonts w:ascii="Arial" w:hAnsi="Arial" w:cs="Arial"/>
          <w:b/>
          <w:bCs/>
        </w:rPr>
        <w:t>PRIMARY SOURCES: CHINA AND INDIA</w:t>
      </w:r>
    </w:p>
    <w:p w14:paraId="0944B811" w14:textId="77777777" w:rsidR="00854A45" w:rsidRPr="00784488" w:rsidRDefault="00854A45" w:rsidP="00784488">
      <w:pPr>
        <w:spacing w:after="0" w:line="240" w:lineRule="auto"/>
        <w:contextualSpacing/>
        <w:rPr>
          <w:rFonts w:ascii="Arial" w:hAnsi="Arial" w:cs="Arial"/>
          <w:b/>
          <w:bCs/>
        </w:rPr>
      </w:pPr>
    </w:p>
    <w:p w14:paraId="2C561A21" w14:textId="301C440D" w:rsidR="00854A45" w:rsidRPr="00784488" w:rsidRDefault="0089597B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We may consider the primary sources on Harmony in China and India </w:t>
      </w:r>
      <w:r w:rsidR="004A53F4" w:rsidRPr="00784488">
        <w:rPr>
          <w:rFonts w:ascii="Arial" w:hAnsi="Arial" w:cs="Arial"/>
        </w:rPr>
        <w:t>under two categories.</w:t>
      </w:r>
    </w:p>
    <w:p w14:paraId="7EF40B3A" w14:textId="6371F514" w:rsidR="004A53F4" w:rsidRPr="00784488" w:rsidRDefault="004A53F4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First are the original philosophical and religious texts in the Taoist, Confucian, </w:t>
      </w:r>
      <w:proofErr w:type="gramStart"/>
      <w:r w:rsidRPr="00784488">
        <w:rPr>
          <w:rFonts w:ascii="Arial" w:hAnsi="Arial" w:cs="Arial"/>
        </w:rPr>
        <w:t>Buddhist</w:t>
      </w:r>
      <w:proofErr w:type="gramEnd"/>
      <w:r w:rsidRPr="00784488">
        <w:rPr>
          <w:rFonts w:ascii="Arial" w:hAnsi="Arial" w:cs="Arial"/>
        </w:rPr>
        <w:t xml:space="preserve"> and </w:t>
      </w:r>
      <w:r w:rsidR="00651A2E" w:rsidRPr="00784488">
        <w:rPr>
          <w:rFonts w:ascii="Arial" w:hAnsi="Arial" w:cs="Arial"/>
        </w:rPr>
        <w:t xml:space="preserve">Hindu traditions. There are no anthologies of these in English and </w:t>
      </w:r>
      <w:r w:rsidR="00E01792" w:rsidRPr="00784488">
        <w:rPr>
          <w:rFonts w:ascii="Arial" w:hAnsi="Arial" w:cs="Arial"/>
        </w:rPr>
        <w:t>so there is scope for original work exploring these texts.</w:t>
      </w:r>
    </w:p>
    <w:p w14:paraId="15C9D9F8" w14:textId="77777777" w:rsidR="00784488" w:rsidRDefault="00784488" w:rsidP="00784488">
      <w:pPr>
        <w:spacing w:line="240" w:lineRule="auto"/>
        <w:contextualSpacing/>
        <w:rPr>
          <w:rFonts w:ascii="Arial" w:hAnsi="Arial" w:cs="Arial"/>
        </w:rPr>
      </w:pPr>
    </w:p>
    <w:p w14:paraId="4E8ACB24" w14:textId="75B0AC2B" w:rsidR="00E01792" w:rsidRPr="00784488" w:rsidRDefault="00E01792" w:rsidP="00784488">
      <w:pPr>
        <w:spacing w:line="240" w:lineRule="auto"/>
        <w:contextualSpacing/>
        <w:rPr>
          <w:rFonts w:ascii="Arial" w:hAnsi="Arial" w:cs="Arial"/>
        </w:rPr>
      </w:pPr>
      <w:r w:rsidRPr="00784488">
        <w:rPr>
          <w:rFonts w:ascii="Arial" w:hAnsi="Arial" w:cs="Arial"/>
        </w:rPr>
        <w:t xml:space="preserve">Second </w:t>
      </w:r>
      <w:r w:rsidR="00E62D7C" w:rsidRPr="00784488">
        <w:rPr>
          <w:rFonts w:ascii="Arial" w:hAnsi="Arial" w:cs="Arial"/>
        </w:rPr>
        <w:t xml:space="preserve">are the </w:t>
      </w:r>
      <w:r w:rsidR="00ED085D" w:rsidRPr="00784488">
        <w:rPr>
          <w:rFonts w:ascii="Arial" w:hAnsi="Arial" w:cs="Arial"/>
        </w:rPr>
        <w:t xml:space="preserve">texts both </w:t>
      </w:r>
      <w:r w:rsidR="005E63E6" w:rsidRPr="00784488">
        <w:rPr>
          <w:rFonts w:ascii="Arial" w:hAnsi="Arial" w:cs="Arial"/>
        </w:rPr>
        <w:t>in</w:t>
      </w:r>
      <w:r w:rsidR="00ED085D" w:rsidRPr="00784488">
        <w:rPr>
          <w:rFonts w:ascii="Arial" w:hAnsi="Arial" w:cs="Arial"/>
        </w:rPr>
        <w:t xml:space="preserve"> print and, increasingly on the web </w:t>
      </w:r>
      <w:r w:rsidR="009C22B7" w:rsidRPr="00784488">
        <w:rPr>
          <w:rFonts w:ascii="Arial" w:hAnsi="Arial" w:cs="Arial"/>
        </w:rPr>
        <w:t xml:space="preserve">which consider </w:t>
      </w:r>
      <w:r w:rsidR="005E63E6" w:rsidRPr="00784488">
        <w:rPr>
          <w:rFonts w:ascii="Arial" w:hAnsi="Arial" w:cs="Arial"/>
        </w:rPr>
        <w:t xml:space="preserve">Taoism and Buddhism (web searches reveal these) in relation to Harmony. These are legitimate </w:t>
      </w:r>
      <w:r w:rsidR="00784488" w:rsidRPr="00784488">
        <w:rPr>
          <w:rFonts w:ascii="Arial" w:hAnsi="Arial" w:cs="Arial"/>
        </w:rPr>
        <w:t>sources for the examination of modern views and sometimes point to earlier texts.</w:t>
      </w:r>
    </w:p>
    <w:p w14:paraId="3CBA9F1B" w14:textId="77777777" w:rsidR="00E01792" w:rsidRDefault="00E01792" w:rsidP="008924F6">
      <w:pPr>
        <w:spacing w:line="240" w:lineRule="auto"/>
        <w:contextualSpacing/>
        <w:rPr>
          <w:rFonts w:ascii="Arial" w:hAnsi="Arial" w:cs="Arial"/>
        </w:rPr>
      </w:pPr>
    </w:p>
    <w:p w14:paraId="255A5FF2" w14:textId="7AEEB196" w:rsidR="00242F62" w:rsidRPr="008924F6" w:rsidRDefault="00242F62" w:rsidP="008924F6">
      <w:pPr>
        <w:spacing w:line="240" w:lineRule="auto"/>
        <w:contextualSpacing/>
        <w:rPr>
          <w:rFonts w:ascii="Arial" w:hAnsi="Arial" w:cs="Arial"/>
        </w:rPr>
      </w:pPr>
      <w:r>
        <w:rPr>
          <w:rFonts w:ascii="Arial" w:hAnsi="Arial" w:cs="Arial"/>
        </w:rPr>
        <w:t>Three examples include:</w:t>
      </w:r>
    </w:p>
    <w:p w14:paraId="5C414564" w14:textId="77777777" w:rsidR="004A53F4" w:rsidRPr="008924F6" w:rsidRDefault="004A53F4" w:rsidP="008924F6">
      <w:pPr>
        <w:spacing w:line="240" w:lineRule="auto"/>
        <w:contextualSpacing/>
        <w:rPr>
          <w:rFonts w:ascii="Arial" w:hAnsi="Arial" w:cs="Arial"/>
        </w:rPr>
      </w:pPr>
    </w:p>
    <w:p w14:paraId="0F078856" w14:textId="20E3C04D" w:rsidR="00A016D6" w:rsidRPr="006A2344" w:rsidRDefault="00A016D6" w:rsidP="006A2344">
      <w:pPr>
        <w:shd w:val="clear" w:color="auto" w:fill="FAFAFA"/>
        <w:spacing w:after="135" w:line="240" w:lineRule="auto"/>
        <w:outlineLvl w:val="0"/>
        <w:rPr>
          <w:rFonts w:ascii="Arial" w:eastAsia="Times New Roman" w:hAnsi="Arial" w:cs="Arial"/>
          <w:color w:val="333333"/>
          <w:lang w:eastAsia="en-GB"/>
        </w:rPr>
      </w:pPr>
      <w:r w:rsidRPr="00A016D6">
        <w:rPr>
          <w:rFonts w:ascii="Arial" w:eastAsia="Times New Roman" w:hAnsi="Arial" w:cs="Arial"/>
          <w:color w:val="333333"/>
          <w:kern w:val="36"/>
          <w:lang w:eastAsia="en-GB"/>
        </w:rPr>
        <w:t>Bhikkhu Bodhi</w:t>
      </w:r>
      <w:r w:rsidR="006A2344" w:rsidRPr="006A2344">
        <w:rPr>
          <w:rFonts w:ascii="Arial" w:eastAsia="Times New Roman" w:hAnsi="Arial" w:cs="Arial"/>
          <w:color w:val="333333"/>
          <w:kern w:val="36"/>
          <w:lang w:eastAsia="en-GB"/>
        </w:rPr>
        <w:t>, ‘</w:t>
      </w:r>
      <w:r w:rsidRPr="00A016D6">
        <w:rPr>
          <w:rFonts w:ascii="Arial" w:eastAsia="Times New Roman" w:hAnsi="Arial" w:cs="Arial"/>
          <w:color w:val="333333"/>
          <w:kern w:val="36"/>
          <w:lang w:eastAsia="en-GB"/>
        </w:rPr>
        <w:t>The Buddha on Social Harmony</w:t>
      </w:r>
      <w:r w:rsidR="006A2344" w:rsidRPr="006A2344">
        <w:rPr>
          <w:rFonts w:ascii="Arial" w:eastAsia="Times New Roman" w:hAnsi="Arial" w:cs="Arial"/>
          <w:color w:val="333333"/>
          <w:kern w:val="36"/>
          <w:lang w:eastAsia="en-GB"/>
        </w:rPr>
        <w:t xml:space="preserve">’, </w:t>
      </w:r>
      <w:r w:rsidRPr="00A016D6">
        <w:rPr>
          <w:rFonts w:ascii="Arial" w:eastAsia="Times New Roman" w:hAnsi="Arial" w:cs="Arial"/>
          <w:color w:val="333333"/>
          <w:lang w:eastAsia="en-GB"/>
        </w:rPr>
        <w:t>Posted April 1, 2016</w:t>
      </w:r>
      <w:r w:rsidR="00E7125E" w:rsidRPr="006A2344">
        <w:rPr>
          <w:rFonts w:ascii="Arial" w:eastAsia="Times New Roman" w:hAnsi="Arial" w:cs="Arial"/>
          <w:color w:val="333333"/>
          <w:lang w:eastAsia="en-GB"/>
        </w:rPr>
        <w:t xml:space="preserve">, </w:t>
      </w:r>
      <w:hyperlink r:id="rId7" w:history="1">
        <w:r w:rsidR="00E7125E" w:rsidRPr="006A2344">
          <w:rPr>
            <w:rStyle w:val="Hyperlink"/>
            <w:rFonts w:ascii="Arial" w:eastAsia="Times New Roman" w:hAnsi="Arial" w:cs="Arial"/>
            <w:lang w:eastAsia="en-GB"/>
          </w:rPr>
          <w:t>https://wisdomexperience.org/wisdom-podcast/bhikkhu-bodhi-2/</w:t>
        </w:r>
      </w:hyperlink>
      <w:r w:rsidR="006A2344" w:rsidRPr="006A2344">
        <w:rPr>
          <w:rFonts w:ascii="Arial" w:eastAsia="Times New Roman" w:hAnsi="Arial" w:cs="Arial"/>
          <w:color w:val="333333"/>
          <w:lang w:eastAsia="en-GB"/>
        </w:rPr>
        <w:t xml:space="preserve"> [accessed 14 January 2024].</w:t>
      </w:r>
    </w:p>
    <w:p w14:paraId="329C91D8" w14:textId="77777777" w:rsidR="004A53F4" w:rsidRPr="006A2344" w:rsidRDefault="004A53F4" w:rsidP="008924F6">
      <w:pPr>
        <w:spacing w:line="240" w:lineRule="auto"/>
        <w:contextualSpacing/>
        <w:rPr>
          <w:rFonts w:ascii="Arial" w:hAnsi="Arial" w:cs="Arial"/>
        </w:rPr>
      </w:pPr>
    </w:p>
    <w:p w14:paraId="376C09B5" w14:textId="2548BE80" w:rsidR="0035419F" w:rsidRPr="006A2344" w:rsidRDefault="00C80017" w:rsidP="008924F6">
      <w:pPr>
        <w:pStyle w:val="Heading1"/>
        <w:shd w:val="clear" w:color="auto" w:fill="FFFFFF"/>
        <w:spacing w:before="0" w:after="225" w:line="240" w:lineRule="auto"/>
        <w:rPr>
          <w:rFonts w:ascii="Arial" w:hAnsi="Arial" w:cs="Arial"/>
          <w:sz w:val="22"/>
          <w:szCs w:val="22"/>
        </w:rPr>
      </w:pPr>
      <w:r w:rsidRPr="006A2344">
        <w:rPr>
          <w:rFonts w:ascii="Arial" w:hAnsi="Arial" w:cs="Arial"/>
          <w:color w:val="3D3D3D"/>
          <w:sz w:val="22"/>
          <w:szCs w:val="22"/>
        </w:rPr>
        <w:t xml:space="preserve">Winne Nazarko, interview, </w:t>
      </w:r>
      <w:r w:rsidR="0046762C" w:rsidRPr="006A2344">
        <w:rPr>
          <w:rFonts w:ascii="Arial" w:hAnsi="Arial" w:cs="Arial"/>
          <w:color w:val="3D3D3D"/>
          <w:sz w:val="22"/>
          <w:szCs w:val="22"/>
        </w:rPr>
        <w:t>‘</w:t>
      </w:r>
      <w:r w:rsidR="0085283F" w:rsidRPr="006A2344">
        <w:rPr>
          <w:rFonts w:ascii="Arial" w:hAnsi="Arial" w:cs="Arial"/>
          <w:color w:val="3D3D3D"/>
          <w:sz w:val="22"/>
          <w:szCs w:val="22"/>
        </w:rPr>
        <w:t>The Buddha’s Teachings on Social and Communal Harmony</w:t>
      </w:r>
      <w:r w:rsidR="0046762C" w:rsidRPr="006A2344">
        <w:rPr>
          <w:rFonts w:ascii="Arial" w:hAnsi="Arial" w:cs="Arial"/>
          <w:color w:val="3D3D3D"/>
          <w:sz w:val="22"/>
          <w:szCs w:val="22"/>
        </w:rPr>
        <w:t>’</w:t>
      </w:r>
      <w:r w:rsidRPr="006A2344">
        <w:rPr>
          <w:rFonts w:ascii="Arial" w:hAnsi="Arial" w:cs="Arial"/>
          <w:color w:val="3D3D3D"/>
          <w:sz w:val="22"/>
          <w:szCs w:val="22"/>
        </w:rPr>
        <w:t>, Insight Journal</w:t>
      </w:r>
      <w:r w:rsidR="008924F6" w:rsidRPr="006A2344">
        <w:rPr>
          <w:rFonts w:ascii="Arial" w:hAnsi="Arial" w:cs="Arial"/>
          <w:color w:val="3D3D3D"/>
          <w:sz w:val="22"/>
          <w:szCs w:val="22"/>
        </w:rPr>
        <w:t xml:space="preserve">, 2018 </w:t>
      </w:r>
      <w:hyperlink r:id="rId8" w:history="1">
        <w:r w:rsidR="00BD7D23" w:rsidRPr="006A2344">
          <w:rPr>
            <w:rStyle w:val="Hyperlink"/>
            <w:rFonts w:ascii="Arial" w:hAnsi="Arial" w:cs="Arial"/>
            <w:sz w:val="22"/>
            <w:szCs w:val="22"/>
          </w:rPr>
          <w:t>https://www.buddhistinquiry.org/article/the-buddhas-teachings-on-social-and-communal-harmony/</w:t>
        </w:r>
      </w:hyperlink>
      <w:r w:rsidR="006A2344" w:rsidRPr="006A2344">
        <w:rPr>
          <w:rFonts w:ascii="Arial" w:hAnsi="Arial" w:cs="Arial"/>
          <w:sz w:val="22"/>
          <w:szCs w:val="22"/>
        </w:rPr>
        <w:t xml:space="preserve"> </w:t>
      </w:r>
      <w:r w:rsidR="006A2344" w:rsidRPr="006A2344">
        <w:rPr>
          <w:rFonts w:ascii="Arial" w:eastAsia="Times New Roman" w:hAnsi="Arial" w:cs="Arial"/>
          <w:color w:val="333333"/>
          <w:sz w:val="22"/>
          <w:szCs w:val="22"/>
          <w:lang w:eastAsia="en-GB"/>
        </w:rPr>
        <w:t>[accessed 14 January</w:t>
      </w:r>
      <w:r w:rsidR="00242F62">
        <w:rPr>
          <w:rFonts w:ascii="Arial" w:eastAsia="Times New Roman" w:hAnsi="Arial" w:cs="Arial"/>
          <w:color w:val="333333"/>
          <w:sz w:val="22"/>
          <w:szCs w:val="22"/>
          <w:lang w:eastAsia="en-GB"/>
        </w:rPr>
        <w:t xml:space="preserve"> 2024]</w:t>
      </w:r>
    </w:p>
    <w:p w14:paraId="405E44D2" w14:textId="77777777" w:rsidR="000529EE" w:rsidRPr="006A2344" w:rsidRDefault="000529EE" w:rsidP="008924F6">
      <w:pPr>
        <w:spacing w:line="240" w:lineRule="auto"/>
        <w:rPr>
          <w:rFonts w:ascii="Arial" w:hAnsi="Arial" w:cs="Arial"/>
        </w:rPr>
      </w:pPr>
    </w:p>
    <w:p w14:paraId="157086C1" w14:textId="04FA4686" w:rsidR="00BD7D23" w:rsidRPr="006A2344" w:rsidRDefault="0046762C" w:rsidP="008924F6">
      <w:pPr>
        <w:spacing w:line="240" w:lineRule="auto"/>
        <w:rPr>
          <w:rFonts w:ascii="Arial" w:hAnsi="Arial" w:cs="Arial"/>
        </w:rPr>
      </w:pPr>
      <w:r w:rsidRPr="006A2344">
        <w:rPr>
          <w:rFonts w:ascii="Arial" w:hAnsi="Arial" w:cs="Arial"/>
        </w:rPr>
        <w:t xml:space="preserve">‘Harmony in Daoism’, Green Dragon Books, </w:t>
      </w:r>
      <w:hyperlink r:id="rId9" w:history="1">
        <w:r w:rsidR="006A2344" w:rsidRPr="006A2344">
          <w:rPr>
            <w:rStyle w:val="Hyperlink"/>
            <w:rFonts w:ascii="Arial" w:hAnsi="Arial" w:cs="Arial"/>
          </w:rPr>
          <w:t>https://greendragonbooks.com/harmony-in-taoism/</w:t>
        </w:r>
      </w:hyperlink>
      <w:r w:rsidR="006A2344" w:rsidRPr="006A2344">
        <w:rPr>
          <w:rFonts w:ascii="Arial" w:hAnsi="Arial" w:cs="Arial"/>
        </w:rPr>
        <w:t xml:space="preserve"> </w:t>
      </w:r>
      <w:r w:rsidR="006A2344" w:rsidRPr="006A2344">
        <w:rPr>
          <w:rFonts w:ascii="Arial" w:eastAsia="Times New Roman" w:hAnsi="Arial" w:cs="Arial"/>
          <w:color w:val="333333"/>
          <w:lang w:eastAsia="en-GB"/>
        </w:rPr>
        <w:t>[accessed 14 January</w:t>
      </w:r>
      <w:r w:rsidR="00242F62">
        <w:rPr>
          <w:rFonts w:ascii="Arial" w:eastAsia="Times New Roman" w:hAnsi="Arial" w:cs="Arial"/>
          <w:color w:val="333333"/>
          <w:lang w:eastAsia="en-GB"/>
        </w:rPr>
        <w:t xml:space="preserve"> 2024]</w:t>
      </w:r>
    </w:p>
    <w:sectPr w:rsidR="00BD7D23" w:rsidRPr="006A2344" w:rsidSect="004B076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ode">
    <w:altName w:val="Code"/>
    <w:panose1 w:val="00000000000000000000"/>
    <w:charset w:val="00"/>
    <w:family w:val="swiss"/>
    <w:notTrueType/>
    <w:pitch w:val="default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4A45"/>
    <w:rsid w:val="000529EE"/>
    <w:rsid w:val="000C3E24"/>
    <w:rsid w:val="00242F62"/>
    <w:rsid w:val="0035419F"/>
    <w:rsid w:val="0046762C"/>
    <w:rsid w:val="004A53F4"/>
    <w:rsid w:val="004B0763"/>
    <w:rsid w:val="00597570"/>
    <w:rsid w:val="005E63E6"/>
    <w:rsid w:val="00651A2E"/>
    <w:rsid w:val="006A2344"/>
    <w:rsid w:val="00784488"/>
    <w:rsid w:val="0085283F"/>
    <w:rsid w:val="00854A45"/>
    <w:rsid w:val="008924F6"/>
    <w:rsid w:val="0089597B"/>
    <w:rsid w:val="009B3DB2"/>
    <w:rsid w:val="009C22B7"/>
    <w:rsid w:val="00A016D6"/>
    <w:rsid w:val="00BD7D23"/>
    <w:rsid w:val="00BF78E4"/>
    <w:rsid w:val="00C80017"/>
    <w:rsid w:val="00E01792"/>
    <w:rsid w:val="00E13370"/>
    <w:rsid w:val="00E62D7C"/>
    <w:rsid w:val="00E7125E"/>
    <w:rsid w:val="00ED08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652A49"/>
  <w15:chartTrackingRefBased/>
  <w15:docId w15:val="{52B85E13-0479-4608-BBD5-27852093CE0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4A45"/>
    <w:rPr>
      <w:kern w:val="0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854A4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54A4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54A4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kern w:val="2"/>
      <w:sz w:val="28"/>
      <w:szCs w:val="28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54A4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kern w:val="2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54A4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kern w:val="2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54A4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kern w:val="2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54A4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kern w:val="2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54A4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kern w:val="2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54A4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kern w:val="2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54A4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54A4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54A4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54A4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54A4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54A4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54A4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54A4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54A4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54A4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854A4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54A4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kern w:val="2"/>
      <w:sz w:val="28"/>
      <w:szCs w:val="28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854A4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54A45"/>
    <w:pPr>
      <w:spacing w:before="160"/>
      <w:jc w:val="center"/>
    </w:pPr>
    <w:rPr>
      <w:i/>
      <w:iCs/>
      <w:color w:val="404040" w:themeColor="text1" w:themeTint="BF"/>
      <w:kern w:val="2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854A4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54A45"/>
    <w:pPr>
      <w:ind w:left="720"/>
      <w:contextualSpacing/>
    </w:pPr>
    <w:rPr>
      <w:kern w:val="2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854A4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54A4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  <w:kern w:val="2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54A4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54A45"/>
    <w:rPr>
      <w:b/>
      <w:bCs/>
      <w:smallCaps/>
      <w:color w:val="0F4761" w:themeColor="accent1" w:themeShade="BF"/>
      <w:spacing w:val="5"/>
    </w:rPr>
  </w:style>
  <w:style w:type="character" w:customStyle="1" w:styleId="product-banner-author-name">
    <w:name w:val="product-banner-author-name"/>
    <w:basedOn w:val="DefaultParagraphFont"/>
    <w:rsid w:val="00854A45"/>
  </w:style>
  <w:style w:type="paragraph" w:customStyle="1" w:styleId="Default">
    <w:name w:val="Default"/>
    <w:rsid w:val="00854A45"/>
    <w:pPr>
      <w:autoSpaceDE w:val="0"/>
      <w:autoSpaceDN w:val="0"/>
      <w:adjustRightInd w:val="0"/>
      <w:spacing w:after="0" w:line="240" w:lineRule="auto"/>
    </w:pPr>
    <w:rPr>
      <w:rFonts w:ascii="Code" w:hAnsi="Code" w:cs="Code"/>
      <w:color w:val="000000"/>
      <w:kern w:val="0"/>
      <w:sz w:val="24"/>
      <w:szCs w:val="24"/>
      <w14:ligatures w14:val="none"/>
    </w:rPr>
  </w:style>
  <w:style w:type="character" w:styleId="Hyperlink">
    <w:name w:val="Hyperlink"/>
    <w:basedOn w:val="DefaultParagraphFont"/>
    <w:uiPriority w:val="99"/>
    <w:unhideWhenUsed/>
    <w:rsid w:val="00854A45"/>
    <w:rPr>
      <w:color w:val="0000FF"/>
      <w:u w:val="single"/>
    </w:rPr>
  </w:style>
  <w:style w:type="paragraph" w:customStyle="1" w:styleId="nova-legacy-e-listitem">
    <w:name w:val="nova-legacy-e-list__item"/>
    <w:basedOn w:val="Normal"/>
    <w:rsid w:val="00854A4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customStyle="1" w:styleId="podcast-singletime">
    <w:name w:val="podcast-single__time"/>
    <w:basedOn w:val="Normal"/>
    <w:rsid w:val="00A016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UnresolvedMention">
    <w:name w:val="Unresolved Mention"/>
    <w:basedOn w:val="DefaultParagraphFont"/>
    <w:uiPriority w:val="99"/>
    <w:semiHidden/>
    <w:unhideWhenUsed/>
    <w:rsid w:val="00E7125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6610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52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4003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87092951">
          <w:marLeft w:val="0"/>
          <w:marRight w:val="0"/>
          <w:marTop w:val="0"/>
          <w:marBottom w:val="51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uddhistinquiry.org/article/the-buddhas-teachings-on-social-and-communal-harmony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isdomexperience.org/wisdom-podcast/bhikkhu-bodhi-2/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about:blank" TargetMode="External"/><Relationship Id="rId11" Type="http://schemas.openxmlformats.org/officeDocument/2006/relationships/theme" Target="theme/theme1.xml"/><Relationship Id="rId5" Type="http://schemas.openxmlformats.org/officeDocument/2006/relationships/hyperlink" Target="about:blank" TargetMode="External"/><Relationship Id="rId10" Type="http://schemas.openxmlformats.org/officeDocument/2006/relationships/fontTable" Target="fontTable.xml"/><Relationship Id="rId4" Type="http://schemas.openxmlformats.org/officeDocument/2006/relationships/hyperlink" Target="about:blank" TargetMode="External"/><Relationship Id="rId9" Type="http://schemas.openxmlformats.org/officeDocument/2006/relationships/hyperlink" Target="https://greendragonbooks.com/harmony-in-taois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24</TotalTime>
  <Pages>3</Pages>
  <Words>1179</Words>
  <Characters>5202</Characters>
  <Application>Microsoft Office Word</Application>
  <DocSecurity>0</DocSecurity>
  <Lines>104</Lines>
  <Paragraphs>37</Paragraphs>
  <ScaleCrop>false</ScaleCrop>
  <Company/>
  <LinksUpToDate>false</LinksUpToDate>
  <CharactersWithSpaces>6344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Nicholas Campion</dc:creator>
  <cp:keywords/>
  <dc:description/>
  <cp:lastModifiedBy>Nicholas Campion</cp:lastModifiedBy>
  <cp:revision>22</cp:revision>
  <dcterms:created xsi:type="dcterms:W3CDTF">2024-01-21T12:42:00Z</dcterms:created>
  <dcterms:modified xsi:type="dcterms:W3CDTF">2024-01-31T13:38:00Z</dcterms:modified>
</cp:coreProperties>
</file>