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96F16C" w14:textId="1A9DD67B" w:rsidR="00076D54" w:rsidRPr="00E14A0A" w:rsidRDefault="00680F22">
      <w:pPr>
        <w:rPr>
          <w:sz w:val="22"/>
          <w:szCs w:val="22"/>
        </w:rPr>
      </w:pPr>
      <w:r w:rsidRPr="00E14A0A">
        <w:rPr>
          <w:sz w:val="22"/>
          <w:szCs w:val="22"/>
        </w:rPr>
        <w:t>Peace is a concept which is often associated in a variety of ways. One s</w:t>
      </w:r>
      <w:r w:rsidR="006E023F">
        <w:rPr>
          <w:sz w:val="22"/>
          <w:szCs w:val="22"/>
        </w:rPr>
        <w:t>cholar</w:t>
      </w:r>
      <w:r w:rsidRPr="00E14A0A">
        <w:rPr>
          <w:sz w:val="22"/>
          <w:szCs w:val="22"/>
        </w:rPr>
        <w:t xml:space="preserve"> one can look to for a clear definition of peace is</w:t>
      </w:r>
      <w:r w:rsidR="00740DAE" w:rsidRPr="00E14A0A">
        <w:rPr>
          <w:sz w:val="22"/>
          <w:szCs w:val="22"/>
        </w:rPr>
        <w:t xml:space="preserve"> the Sociologist and Peace Professor,</w:t>
      </w:r>
      <w:r w:rsidRPr="00E14A0A">
        <w:rPr>
          <w:sz w:val="22"/>
          <w:szCs w:val="22"/>
        </w:rPr>
        <w:t xml:space="preserve"> Johan Galtung, whom defines peace in two ways. One way is positive peace, which can be defined as the absence of physical violence.</w:t>
      </w:r>
      <w:r w:rsidRPr="00E14A0A">
        <w:rPr>
          <w:rStyle w:val="FootnoteReference"/>
          <w:sz w:val="22"/>
          <w:szCs w:val="22"/>
        </w:rPr>
        <w:footnoteReference w:id="1"/>
      </w:r>
      <w:r w:rsidRPr="00E14A0A">
        <w:rPr>
          <w:sz w:val="22"/>
          <w:szCs w:val="22"/>
        </w:rPr>
        <w:t xml:space="preserve"> The second being negative peace, or the absence of structural violence, which is considered to less physical and direct, but harms an individual or group all the same.</w:t>
      </w:r>
      <w:r w:rsidRPr="00E14A0A">
        <w:rPr>
          <w:rStyle w:val="FootnoteReference"/>
          <w:sz w:val="22"/>
          <w:szCs w:val="22"/>
        </w:rPr>
        <w:footnoteReference w:id="2"/>
      </w:r>
      <w:r w:rsidR="00740DAE" w:rsidRPr="00E14A0A">
        <w:rPr>
          <w:sz w:val="22"/>
          <w:szCs w:val="22"/>
        </w:rPr>
        <w:t xml:space="preserve"> Both of these are indeed necessary for a state or individual to achieve true peace. However, in order for true peace to be achieved, it is debatable as</w:t>
      </w:r>
      <w:r w:rsidR="00AA58F3">
        <w:rPr>
          <w:sz w:val="22"/>
          <w:szCs w:val="22"/>
        </w:rPr>
        <w:t xml:space="preserve"> to whether</w:t>
      </w:r>
      <w:r w:rsidR="00740DAE" w:rsidRPr="00E14A0A">
        <w:rPr>
          <w:sz w:val="22"/>
          <w:szCs w:val="22"/>
        </w:rPr>
        <w:t xml:space="preserve"> peace can always be achieved through peaceful means. Throughout history, oppression and violence have frequently been used in attempts to deny groups and individuals their basic human rights. </w:t>
      </w:r>
      <w:r w:rsidR="004C079D" w:rsidRPr="00E14A0A">
        <w:rPr>
          <w:sz w:val="22"/>
          <w:szCs w:val="22"/>
        </w:rPr>
        <w:t>One example</w:t>
      </w:r>
      <w:r w:rsidR="00AA58F3">
        <w:rPr>
          <w:sz w:val="22"/>
          <w:szCs w:val="22"/>
        </w:rPr>
        <w:t xml:space="preserve"> of this</w:t>
      </w:r>
      <w:r w:rsidR="00B42CF0" w:rsidRPr="00E14A0A">
        <w:rPr>
          <w:sz w:val="22"/>
          <w:szCs w:val="22"/>
        </w:rPr>
        <w:t>,</w:t>
      </w:r>
      <w:r w:rsidR="00AA58F3">
        <w:rPr>
          <w:sz w:val="22"/>
          <w:szCs w:val="22"/>
        </w:rPr>
        <w:t xml:space="preserve"> would be the treatment of multiple groups,</w:t>
      </w:r>
      <w:r w:rsidR="00B42CF0" w:rsidRPr="00E14A0A">
        <w:rPr>
          <w:sz w:val="22"/>
          <w:szCs w:val="22"/>
        </w:rPr>
        <w:t xml:space="preserve"> most notably Jews</w:t>
      </w:r>
      <w:r w:rsidR="006D53B3" w:rsidRPr="00E14A0A">
        <w:rPr>
          <w:sz w:val="22"/>
          <w:szCs w:val="22"/>
        </w:rPr>
        <w:t>,</w:t>
      </w:r>
      <w:r w:rsidR="00B42CF0" w:rsidRPr="00E14A0A">
        <w:rPr>
          <w:sz w:val="22"/>
          <w:szCs w:val="22"/>
        </w:rPr>
        <w:t xml:space="preserve"> </w:t>
      </w:r>
      <w:r w:rsidR="006D53B3" w:rsidRPr="00E14A0A">
        <w:rPr>
          <w:sz w:val="22"/>
          <w:szCs w:val="22"/>
        </w:rPr>
        <w:t>dur</w:t>
      </w:r>
      <w:r w:rsidR="00B42CF0" w:rsidRPr="00E14A0A">
        <w:rPr>
          <w:sz w:val="22"/>
          <w:szCs w:val="22"/>
        </w:rPr>
        <w:t>in</w:t>
      </w:r>
      <w:r w:rsidR="006D53B3" w:rsidRPr="00E14A0A">
        <w:rPr>
          <w:sz w:val="22"/>
          <w:szCs w:val="22"/>
        </w:rPr>
        <w:t>g</w:t>
      </w:r>
      <w:r w:rsidR="00B42CF0" w:rsidRPr="00E14A0A">
        <w:rPr>
          <w:sz w:val="22"/>
          <w:szCs w:val="22"/>
        </w:rPr>
        <w:t xml:space="preserve"> the</w:t>
      </w:r>
      <w:r w:rsidR="004C079D" w:rsidRPr="00E14A0A">
        <w:rPr>
          <w:sz w:val="22"/>
          <w:szCs w:val="22"/>
        </w:rPr>
        <w:t xml:space="preserve"> </w:t>
      </w:r>
      <w:r w:rsidR="00B42CF0" w:rsidRPr="00E14A0A">
        <w:rPr>
          <w:sz w:val="22"/>
          <w:szCs w:val="22"/>
        </w:rPr>
        <w:t>Holocaust in Nazi Germany,</w:t>
      </w:r>
      <w:r w:rsidR="006D53B3" w:rsidRPr="00E14A0A">
        <w:rPr>
          <w:sz w:val="22"/>
          <w:szCs w:val="22"/>
        </w:rPr>
        <w:t xml:space="preserve"> and</w:t>
      </w:r>
      <w:r w:rsidR="00AA58F3">
        <w:rPr>
          <w:sz w:val="22"/>
          <w:szCs w:val="22"/>
        </w:rPr>
        <w:t xml:space="preserve"> in</w:t>
      </w:r>
      <w:r w:rsidR="006D53B3" w:rsidRPr="00E14A0A">
        <w:rPr>
          <w:sz w:val="22"/>
          <w:szCs w:val="22"/>
        </w:rPr>
        <w:t xml:space="preserve"> other states under the rule of the Third Reich.</w:t>
      </w:r>
      <w:r w:rsidR="00B42CF0" w:rsidRPr="00E14A0A">
        <w:rPr>
          <w:sz w:val="22"/>
          <w:szCs w:val="22"/>
        </w:rPr>
        <w:t xml:space="preserve"> </w:t>
      </w:r>
      <w:r w:rsidR="006D53B3" w:rsidRPr="00E14A0A">
        <w:rPr>
          <w:sz w:val="22"/>
          <w:szCs w:val="22"/>
        </w:rPr>
        <w:t>T</w:t>
      </w:r>
      <w:r w:rsidR="00B42CF0" w:rsidRPr="00E14A0A">
        <w:rPr>
          <w:sz w:val="22"/>
          <w:szCs w:val="22"/>
        </w:rPr>
        <w:t>hough</w:t>
      </w:r>
      <w:r w:rsidR="006D53B3" w:rsidRPr="00E14A0A">
        <w:rPr>
          <w:sz w:val="22"/>
          <w:szCs w:val="22"/>
        </w:rPr>
        <w:t>,</w:t>
      </w:r>
      <w:r w:rsidR="00B42CF0" w:rsidRPr="00E14A0A">
        <w:rPr>
          <w:sz w:val="22"/>
          <w:szCs w:val="22"/>
        </w:rPr>
        <w:t xml:space="preserve"> of course this is not the only example, it is certainly one of the most notable</w:t>
      </w:r>
      <w:r w:rsidR="00740DAE" w:rsidRPr="00E14A0A">
        <w:rPr>
          <w:sz w:val="22"/>
          <w:szCs w:val="22"/>
        </w:rPr>
        <w:t xml:space="preserve">. This think-piece will consider </w:t>
      </w:r>
      <w:r w:rsidR="00D429B3">
        <w:rPr>
          <w:sz w:val="22"/>
          <w:szCs w:val="22"/>
        </w:rPr>
        <w:t xml:space="preserve">the case of the Civil Rights Movement in the United States </w:t>
      </w:r>
      <w:r w:rsidR="00D429B3" w:rsidRPr="00E14A0A">
        <w:rPr>
          <w:sz w:val="22"/>
          <w:szCs w:val="22"/>
        </w:rPr>
        <w:t>throughout the 1950s and 1960s</w:t>
      </w:r>
      <w:r w:rsidR="00D429B3">
        <w:rPr>
          <w:sz w:val="22"/>
          <w:szCs w:val="22"/>
        </w:rPr>
        <w:t xml:space="preserve"> and consider how violent actions impacted the course of peaceful groups, and how they impacted the course of peace as a whole.</w:t>
      </w:r>
    </w:p>
    <w:p w14:paraId="60CB3C3D" w14:textId="7EFFF7E4" w:rsidR="00BE3775" w:rsidRDefault="006D53B3">
      <w:pPr>
        <w:rPr>
          <w:sz w:val="22"/>
          <w:szCs w:val="22"/>
        </w:rPr>
      </w:pPr>
      <w:r w:rsidRPr="00E14A0A">
        <w:rPr>
          <w:sz w:val="22"/>
          <w:szCs w:val="22"/>
        </w:rPr>
        <w:t xml:space="preserve">Firstly, when discussing </w:t>
      </w:r>
      <w:r w:rsidR="00D429B3">
        <w:rPr>
          <w:sz w:val="22"/>
          <w:szCs w:val="22"/>
        </w:rPr>
        <w:t>the American Civil Rights Movement, one must consider</w:t>
      </w:r>
      <w:r w:rsidR="00224AA2" w:rsidRPr="00E14A0A">
        <w:rPr>
          <w:sz w:val="22"/>
          <w:szCs w:val="22"/>
        </w:rPr>
        <w:t xml:space="preserve"> </w:t>
      </w:r>
      <w:r w:rsidR="00D429B3">
        <w:rPr>
          <w:sz w:val="22"/>
          <w:szCs w:val="22"/>
        </w:rPr>
        <w:t>a</w:t>
      </w:r>
      <w:r w:rsidR="00224AA2" w:rsidRPr="00E14A0A">
        <w:rPr>
          <w:sz w:val="22"/>
          <w:szCs w:val="22"/>
        </w:rPr>
        <w:t xml:space="preserve">rguably the most </w:t>
      </w:r>
      <w:r w:rsidR="00AA58F3">
        <w:rPr>
          <w:sz w:val="22"/>
          <w:szCs w:val="22"/>
        </w:rPr>
        <w:t>famous</w:t>
      </w:r>
      <w:r w:rsidR="00224AA2" w:rsidRPr="00E14A0A">
        <w:rPr>
          <w:sz w:val="22"/>
          <w:szCs w:val="22"/>
        </w:rPr>
        <w:t xml:space="preserve"> group involved in the Movement</w:t>
      </w:r>
      <w:r w:rsidR="00D429B3">
        <w:rPr>
          <w:sz w:val="22"/>
          <w:szCs w:val="22"/>
        </w:rPr>
        <w:t>,</w:t>
      </w:r>
      <w:r w:rsidR="00224AA2" w:rsidRPr="00E14A0A">
        <w:rPr>
          <w:sz w:val="22"/>
          <w:szCs w:val="22"/>
        </w:rPr>
        <w:t xml:space="preserve"> the Southern Christian Leadership Conference</w:t>
      </w:r>
      <w:r w:rsidR="00E14A0A" w:rsidRPr="00E14A0A">
        <w:rPr>
          <w:sz w:val="22"/>
          <w:szCs w:val="22"/>
        </w:rPr>
        <w:t xml:space="preserve"> (SCLC)</w:t>
      </w:r>
      <w:r w:rsidR="00224AA2" w:rsidRPr="00E14A0A">
        <w:rPr>
          <w:sz w:val="22"/>
          <w:szCs w:val="22"/>
        </w:rPr>
        <w:t>, and its leader from 1957, Martain Luther King Jr.</w:t>
      </w:r>
      <w:r w:rsidR="00224AA2" w:rsidRPr="00E14A0A">
        <w:rPr>
          <w:rStyle w:val="FootnoteReference"/>
          <w:sz w:val="22"/>
          <w:szCs w:val="22"/>
        </w:rPr>
        <w:footnoteReference w:id="3"/>
      </w:r>
      <w:r w:rsidR="00224AA2" w:rsidRPr="00E14A0A">
        <w:rPr>
          <w:sz w:val="22"/>
          <w:szCs w:val="22"/>
        </w:rPr>
        <w:t xml:space="preserve"> King was especially notable for his non-violent means of achieving peace</w:t>
      </w:r>
      <w:r w:rsidR="00EC684B" w:rsidRPr="00E14A0A">
        <w:rPr>
          <w:sz w:val="22"/>
          <w:szCs w:val="22"/>
        </w:rPr>
        <w:t>, even when met with violent acts of retaliation for their peaceful resistance to the oppression.</w:t>
      </w:r>
      <w:r w:rsidR="00EC684B" w:rsidRPr="00E14A0A">
        <w:rPr>
          <w:rStyle w:val="FootnoteReference"/>
          <w:sz w:val="22"/>
          <w:szCs w:val="22"/>
        </w:rPr>
        <w:footnoteReference w:id="4"/>
      </w:r>
      <w:r w:rsidR="00EC684B" w:rsidRPr="00E14A0A">
        <w:rPr>
          <w:sz w:val="22"/>
          <w:szCs w:val="22"/>
        </w:rPr>
        <w:t xml:space="preserve"> King was awarded the Nobel Peace Prize in 1964 for his work</w:t>
      </w:r>
      <w:r w:rsidR="00AA58F3">
        <w:rPr>
          <w:sz w:val="22"/>
          <w:szCs w:val="22"/>
        </w:rPr>
        <w:t>,</w:t>
      </w:r>
      <w:r w:rsidR="005B362B" w:rsidRPr="00E14A0A">
        <w:rPr>
          <w:sz w:val="22"/>
          <w:szCs w:val="22"/>
        </w:rPr>
        <w:t xml:space="preserve"> though he acknowledged that even then there was still much more work to be done for Black Rights at the time.</w:t>
      </w:r>
      <w:r w:rsidR="005B362B" w:rsidRPr="00E14A0A">
        <w:rPr>
          <w:rStyle w:val="FootnoteReference"/>
          <w:sz w:val="22"/>
          <w:szCs w:val="22"/>
        </w:rPr>
        <w:footnoteReference w:id="5"/>
      </w:r>
      <w:r w:rsidR="005B362B" w:rsidRPr="00E14A0A">
        <w:rPr>
          <w:sz w:val="22"/>
          <w:szCs w:val="22"/>
        </w:rPr>
        <w:t xml:space="preserve"> </w:t>
      </w:r>
      <w:r w:rsidR="00E14A0A" w:rsidRPr="00E14A0A">
        <w:rPr>
          <w:sz w:val="22"/>
          <w:szCs w:val="22"/>
        </w:rPr>
        <w:t>King’</w:t>
      </w:r>
      <w:r w:rsidR="005B362B" w:rsidRPr="00E14A0A">
        <w:rPr>
          <w:sz w:val="22"/>
          <w:szCs w:val="22"/>
        </w:rPr>
        <w:t>s wife, Coletta states that upon receiving the award King said ‘I feel as though this award has been given to me for something that really has not yet been achieved.’</w:t>
      </w:r>
      <w:r w:rsidR="005B362B" w:rsidRPr="00E14A0A">
        <w:rPr>
          <w:rStyle w:val="FootnoteReference"/>
          <w:sz w:val="22"/>
          <w:szCs w:val="22"/>
        </w:rPr>
        <w:footnoteReference w:id="6"/>
      </w:r>
      <w:r w:rsidR="005B362B" w:rsidRPr="00E14A0A">
        <w:rPr>
          <w:sz w:val="22"/>
          <w:szCs w:val="22"/>
        </w:rPr>
        <w:t xml:space="preserve"> This shows that though the work of King and the SCLC was certainly making progress in achieving peace, this was a slow moving progress, that King was being rewarded for something which he could not yet say for himself he had accomplished. Though, at the very least his work was undoubtedly having some impact</w:t>
      </w:r>
      <w:r w:rsidR="00E14A0A" w:rsidRPr="00E14A0A">
        <w:rPr>
          <w:sz w:val="22"/>
          <w:szCs w:val="22"/>
        </w:rPr>
        <w:t xml:space="preserve">, a sentiment which King maintained up until his assassination in 1968, where he was shot and killed in retaliation of his work for </w:t>
      </w:r>
      <w:r w:rsidR="00AA58F3">
        <w:rPr>
          <w:sz w:val="22"/>
          <w:szCs w:val="22"/>
        </w:rPr>
        <w:t>Black rights</w:t>
      </w:r>
      <w:r w:rsidR="005B362B" w:rsidRPr="00E14A0A">
        <w:rPr>
          <w:sz w:val="22"/>
          <w:szCs w:val="22"/>
        </w:rPr>
        <w:t>.</w:t>
      </w:r>
      <w:r w:rsidR="00F66EB9">
        <w:rPr>
          <w:rStyle w:val="FootnoteReference"/>
          <w:sz w:val="22"/>
          <w:szCs w:val="22"/>
        </w:rPr>
        <w:footnoteReference w:id="7"/>
      </w:r>
      <w:r w:rsidR="005B362B" w:rsidRPr="00E14A0A">
        <w:rPr>
          <w:sz w:val="22"/>
          <w:szCs w:val="22"/>
        </w:rPr>
        <w:t xml:space="preserve"> </w:t>
      </w:r>
      <w:r w:rsidR="00E14A0A" w:rsidRPr="00E14A0A">
        <w:rPr>
          <w:sz w:val="22"/>
          <w:szCs w:val="22"/>
        </w:rPr>
        <w:t>Whilst King’s work is undoubtedly commendable, and how he managed to achieve so much success through his peaceful marches and speeches, there is another factor to consider, King and the SCLC were not the only organi</w:t>
      </w:r>
      <w:r w:rsidR="00E14A0A">
        <w:rPr>
          <w:sz w:val="22"/>
          <w:szCs w:val="22"/>
        </w:rPr>
        <w:t>s</w:t>
      </w:r>
      <w:r w:rsidR="00E14A0A" w:rsidRPr="00E14A0A">
        <w:rPr>
          <w:sz w:val="22"/>
          <w:szCs w:val="22"/>
        </w:rPr>
        <w:t xml:space="preserve">ation </w:t>
      </w:r>
      <w:r w:rsidR="00E14A0A">
        <w:rPr>
          <w:sz w:val="22"/>
          <w:szCs w:val="22"/>
        </w:rPr>
        <w:t xml:space="preserve">fighting for change, and by extension fighting for peace. </w:t>
      </w:r>
    </w:p>
    <w:p w14:paraId="17D117BB" w14:textId="6B616AF0" w:rsidR="00346B5B" w:rsidRDefault="00E14A0A">
      <w:pPr>
        <w:rPr>
          <w:sz w:val="22"/>
          <w:szCs w:val="22"/>
        </w:rPr>
      </w:pPr>
      <w:r>
        <w:rPr>
          <w:sz w:val="22"/>
          <w:szCs w:val="22"/>
        </w:rPr>
        <w:t xml:space="preserve">There were a number of organisations </w:t>
      </w:r>
      <w:r w:rsidR="004E23D2">
        <w:rPr>
          <w:sz w:val="22"/>
          <w:szCs w:val="22"/>
        </w:rPr>
        <w:t xml:space="preserve">which did use violent means to resist the oppression, for example the Black Panther </w:t>
      </w:r>
      <w:r w:rsidR="00AA58F3">
        <w:rPr>
          <w:sz w:val="22"/>
          <w:szCs w:val="22"/>
        </w:rPr>
        <w:t>Party</w:t>
      </w:r>
      <w:r w:rsidR="004E23D2">
        <w:rPr>
          <w:sz w:val="22"/>
          <w:szCs w:val="22"/>
        </w:rPr>
        <w:t>, who believed in the Marxist ideology that ‘the only response to the violence of the ruling class is the revolutionary violence of the people.’</w:t>
      </w:r>
      <w:r w:rsidR="004E23D2">
        <w:rPr>
          <w:rStyle w:val="FootnoteReference"/>
          <w:sz w:val="22"/>
          <w:szCs w:val="22"/>
        </w:rPr>
        <w:footnoteReference w:id="8"/>
      </w:r>
      <w:r w:rsidR="00743B56">
        <w:rPr>
          <w:sz w:val="22"/>
          <w:szCs w:val="22"/>
        </w:rPr>
        <w:t xml:space="preserve"> It is important to also note the work of groups such as these a</w:t>
      </w:r>
      <w:r w:rsidR="00C74516">
        <w:rPr>
          <w:sz w:val="22"/>
          <w:szCs w:val="22"/>
        </w:rPr>
        <w:t>s well</w:t>
      </w:r>
      <w:r w:rsidR="00743B56">
        <w:rPr>
          <w:sz w:val="22"/>
          <w:szCs w:val="22"/>
        </w:rPr>
        <w:t xml:space="preserve">, as it is difficult to say for certain how big of an impact King’s work would have had, if not for the additional work of organisations such as the Black Panther Party. Though this is not to undermine the </w:t>
      </w:r>
      <w:r w:rsidR="00AA58F3">
        <w:rPr>
          <w:sz w:val="22"/>
          <w:szCs w:val="22"/>
        </w:rPr>
        <w:t>efforts</w:t>
      </w:r>
      <w:r w:rsidR="00743B56">
        <w:rPr>
          <w:sz w:val="22"/>
          <w:szCs w:val="22"/>
        </w:rPr>
        <w:t xml:space="preserve"> of King, it is instead simply an observation that, given the </w:t>
      </w:r>
      <w:r w:rsidR="00743B56">
        <w:rPr>
          <w:sz w:val="22"/>
          <w:szCs w:val="22"/>
        </w:rPr>
        <w:lastRenderedPageBreak/>
        <w:t>violent acts of certain government figures, such as Eugene “Bull” Connor who</w:t>
      </w:r>
      <w:r w:rsidR="00D3056E">
        <w:rPr>
          <w:sz w:val="22"/>
          <w:szCs w:val="22"/>
        </w:rPr>
        <w:t>m in May 1963</w:t>
      </w:r>
      <w:r w:rsidR="005F7B94">
        <w:rPr>
          <w:sz w:val="22"/>
          <w:szCs w:val="22"/>
        </w:rPr>
        <w:t>,</w:t>
      </w:r>
      <w:r w:rsidR="00743B56">
        <w:rPr>
          <w:sz w:val="22"/>
          <w:szCs w:val="22"/>
        </w:rPr>
        <w:t xml:space="preserve"> ordered peaceful black protesters, many of whom were children, to be attacked by police dogs and fire hoses;</w:t>
      </w:r>
      <w:r w:rsidR="00D3056E">
        <w:rPr>
          <w:rStyle w:val="FootnoteReference"/>
          <w:sz w:val="22"/>
          <w:szCs w:val="22"/>
        </w:rPr>
        <w:footnoteReference w:id="9"/>
      </w:r>
      <w:r w:rsidR="00743B56">
        <w:rPr>
          <w:sz w:val="22"/>
          <w:szCs w:val="22"/>
        </w:rPr>
        <w:t xml:space="preserve"> it becomes possible that groups such as the Black Panthers may have even been somewhat justified in their violen</w:t>
      </w:r>
      <w:r w:rsidR="00D3056E">
        <w:rPr>
          <w:sz w:val="22"/>
          <w:szCs w:val="22"/>
        </w:rPr>
        <w:t>t retaliation</w:t>
      </w:r>
      <w:r w:rsidR="00346B5B">
        <w:rPr>
          <w:sz w:val="22"/>
          <w:szCs w:val="22"/>
        </w:rPr>
        <w:t>. Though</w:t>
      </w:r>
      <w:r w:rsidR="0059331B">
        <w:rPr>
          <w:sz w:val="22"/>
          <w:szCs w:val="22"/>
        </w:rPr>
        <w:t>, many scholars, for example John Locke, argue all humans have the right to defend themselves.</w:t>
      </w:r>
      <w:r w:rsidR="0059331B">
        <w:rPr>
          <w:rStyle w:val="FootnoteReference"/>
          <w:sz w:val="22"/>
          <w:szCs w:val="22"/>
        </w:rPr>
        <w:footnoteReference w:id="10"/>
      </w:r>
      <w:r w:rsidR="002C0937">
        <w:rPr>
          <w:sz w:val="22"/>
          <w:szCs w:val="22"/>
        </w:rPr>
        <w:t xml:space="preserve"> </w:t>
      </w:r>
      <w:r w:rsidR="0059331B">
        <w:rPr>
          <w:sz w:val="22"/>
          <w:szCs w:val="22"/>
        </w:rPr>
        <w:t>I</w:t>
      </w:r>
      <w:r w:rsidR="00346B5B">
        <w:rPr>
          <w:sz w:val="22"/>
          <w:szCs w:val="22"/>
        </w:rPr>
        <w:t>t could be argued that had Connor seen the protest as a threat to his own, or the lives of his people, from a certain point of view his acts could be justified in certain circumstances</w:t>
      </w:r>
      <w:r w:rsidR="00D3056E">
        <w:rPr>
          <w:sz w:val="22"/>
          <w:szCs w:val="22"/>
        </w:rPr>
        <w:t xml:space="preserve">. </w:t>
      </w:r>
      <w:r w:rsidR="00AA58F3">
        <w:rPr>
          <w:sz w:val="22"/>
          <w:szCs w:val="22"/>
        </w:rPr>
        <w:t>Though, of course the argument that the Black Panthers would have the right to defend themselves</w:t>
      </w:r>
      <w:r w:rsidR="005F7B94">
        <w:rPr>
          <w:sz w:val="22"/>
          <w:szCs w:val="22"/>
        </w:rPr>
        <w:t>,</w:t>
      </w:r>
      <w:r w:rsidR="00AA58F3">
        <w:rPr>
          <w:sz w:val="22"/>
          <w:szCs w:val="22"/>
        </w:rPr>
        <w:t xml:space="preserve"> also still stands</w:t>
      </w:r>
      <w:r w:rsidR="005F7B94">
        <w:rPr>
          <w:sz w:val="22"/>
          <w:szCs w:val="22"/>
        </w:rPr>
        <w:t>;</w:t>
      </w:r>
      <w:r w:rsidR="00AA58F3">
        <w:rPr>
          <w:sz w:val="22"/>
          <w:szCs w:val="22"/>
        </w:rPr>
        <w:t xml:space="preserve"> even though at the time, the U.S. Government </w:t>
      </w:r>
      <w:r w:rsidR="00355784">
        <w:rPr>
          <w:sz w:val="22"/>
          <w:szCs w:val="22"/>
        </w:rPr>
        <w:t>did</w:t>
      </w:r>
      <w:r w:rsidR="00AA58F3">
        <w:rPr>
          <w:sz w:val="22"/>
          <w:szCs w:val="22"/>
        </w:rPr>
        <w:t xml:space="preserve"> not recognise this.</w:t>
      </w:r>
      <w:r w:rsidR="003F290E">
        <w:rPr>
          <w:rStyle w:val="FootnoteReference"/>
          <w:sz w:val="22"/>
          <w:szCs w:val="22"/>
        </w:rPr>
        <w:footnoteReference w:id="11"/>
      </w:r>
    </w:p>
    <w:p w14:paraId="773583AA" w14:textId="7A85EF41" w:rsidR="00346B5B" w:rsidRDefault="00AA58F3">
      <w:pPr>
        <w:rPr>
          <w:sz w:val="22"/>
          <w:szCs w:val="22"/>
        </w:rPr>
      </w:pPr>
      <w:r>
        <w:rPr>
          <w:sz w:val="22"/>
          <w:szCs w:val="22"/>
        </w:rPr>
        <w:t>Nonetheless</w:t>
      </w:r>
      <w:r w:rsidR="00D3056E">
        <w:rPr>
          <w:sz w:val="22"/>
          <w:szCs w:val="22"/>
        </w:rPr>
        <w:t>, this is problematic in achieving peace, when there are multiple organisations, whom all want the same goal</w:t>
      </w:r>
      <w:r w:rsidR="00C74516">
        <w:rPr>
          <w:sz w:val="22"/>
          <w:szCs w:val="22"/>
        </w:rPr>
        <w:t xml:space="preserve">- to achieve </w:t>
      </w:r>
      <w:r w:rsidR="00D3056E">
        <w:rPr>
          <w:sz w:val="22"/>
          <w:szCs w:val="22"/>
        </w:rPr>
        <w:t>equal rights</w:t>
      </w:r>
      <w:r w:rsidR="00C74516">
        <w:rPr>
          <w:sz w:val="22"/>
          <w:szCs w:val="22"/>
        </w:rPr>
        <w:t>- as i</w:t>
      </w:r>
      <w:r w:rsidR="00D3056E">
        <w:rPr>
          <w:sz w:val="22"/>
          <w:szCs w:val="22"/>
        </w:rPr>
        <w:t>t may become hard to identify which groups act through peaceful means, and which groups act through violence. Though, of course</w:t>
      </w:r>
      <w:r w:rsidR="00C74516">
        <w:rPr>
          <w:sz w:val="22"/>
          <w:szCs w:val="22"/>
        </w:rPr>
        <w:t>,</w:t>
      </w:r>
      <w:r w:rsidR="00D3056E">
        <w:rPr>
          <w:sz w:val="22"/>
          <w:szCs w:val="22"/>
        </w:rPr>
        <w:t xml:space="preserve"> this does not excuse </w:t>
      </w:r>
      <w:r w:rsidR="006E023F">
        <w:rPr>
          <w:sz w:val="22"/>
          <w:szCs w:val="22"/>
        </w:rPr>
        <w:t>Connor’s</w:t>
      </w:r>
      <w:r w:rsidR="00D3056E">
        <w:rPr>
          <w:sz w:val="22"/>
          <w:szCs w:val="22"/>
        </w:rPr>
        <w:t xml:space="preserve"> actions in May 1963, had the protest been seen as a threat, then perhaps there is some justification for the order. Furthermore, due to the actions of groups such as the Black Panthers, there is also the argument that giving in to the demands of any groups could be considered giving in to terrorist organisations</w:t>
      </w:r>
      <w:r w:rsidR="00C74516">
        <w:rPr>
          <w:sz w:val="22"/>
          <w:szCs w:val="22"/>
        </w:rPr>
        <w:t>. Tho</w:t>
      </w:r>
      <w:r w:rsidR="00D3056E">
        <w:rPr>
          <w:sz w:val="22"/>
          <w:szCs w:val="22"/>
        </w:rPr>
        <w:t>ugh it is undeniable that there is a clear line between the actions of the Black Panthers and the SCLC, since both groups demanded the same rights, the US government simply could not give in to one groups demands and not the other</w:t>
      </w:r>
      <w:r w:rsidR="004922DA">
        <w:rPr>
          <w:sz w:val="22"/>
          <w:szCs w:val="22"/>
        </w:rPr>
        <w:t>;</w:t>
      </w:r>
      <w:r w:rsidR="00D3056E">
        <w:rPr>
          <w:sz w:val="22"/>
          <w:szCs w:val="22"/>
        </w:rPr>
        <w:t xml:space="preserve"> making a peace deal a much more complex matter than perhaps was necessary</w:t>
      </w:r>
      <w:r w:rsidR="003F290E">
        <w:rPr>
          <w:sz w:val="22"/>
          <w:szCs w:val="22"/>
        </w:rPr>
        <w:t>, d</w:t>
      </w:r>
      <w:r w:rsidR="00D3056E">
        <w:rPr>
          <w:sz w:val="22"/>
          <w:szCs w:val="22"/>
        </w:rPr>
        <w:t xml:space="preserve">ue to the </w:t>
      </w:r>
      <w:r w:rsidR="003F290E">
        <w:rPr>
          <w:sz w:val="22"/>
          <w:szCs w:val="22"/>
        </w:rPr>
        <w:t xml:space="preserve">fact </w:t>
      </w:r>
      <w:r w:rsidR="00D3056E">
        <w:rPr>
          <w:sz w:val="22"/>
          <w:szCs w:val="22"/>
        </w:rPr>
        <w:t>that</w:t>
      </w:r>
      <w:r w:rsidR="00BE3775">
        <w:rPr>
          <w:sz w:val="22"/>
          <w:szCs w:val="22"/>
        </w:rPr>
        <w:t xml:space="preserve"> both were utilising very different methods. This </w:t>
      </w:r>
      <w:r w:rsidR="003F290E">
        <w:rPr>
          <w:sz w:val="22"/>
          <w:szCs w:val="22"/>
        </w:rPr>
        <w:t>means</w:t>
      </w:r>
      <w:r w:rsidR="00BE3775">
        <w:rPr>
          <w:sz w:val="22"/>
          <w:szCs w:val="22"/>
        </w:rPr>
        <w:t xml:space="preserve"> that, an agreement would be hard to reach without both the SCLC and the Black Panthers present</w:t>
      </w:r>
      <w:r w:rsidR="003F290E">
        <w:rPr>
          <w:sz w:val="22"/>
          <w:szCs w:val="22"/>
        </w:rPr>
        <w:t xml:space="preserve"> for discussions</w:t>
      </w:r>
      <w:r w:rsidR="00BE3775">
        <w:rPr>
          <w:sz w:val="22"/>
          <w:szCs w:val="22"/>
        </w:rPr>
        <w:t xml:space="preserve">. </w:t>
      </w:r>
      <w:r w:rsidR="002C0937">
        <w:rPr>
          <w:sz w:val="22"/>
          <w:szCs w:val="22"/>
        </w:rPr>
        <w:t>T</w:t>
      </w:r>
      <w:r w:rsidR="00BE3775">
        <w:rPr>
          <w:sz w:val="22"/>
          <w:szCs w:val="22"/>
        </w:rPr>
        <w:t xml:space="preserve">his </w:t>
      </w:r>
      <w:r w:rsidR="00346B5B">
        <w:rPr>
          <w:sz w:val="22"/>
          <w:szCs w:val="22"/>
        </w:rPr>
        <w:t>is not to say that individuals such as</w:t>
      </w:r>
      <w:r w:rsidR="002C0937">
        <w:rPr>
          <w:sz w:val="22"/>
          <w:szCs w:val="22"/>
        </w:rPr>
        <w:t xml:space="preserve"> Eugene</w:t>
      </w:r>
      <w:r w:rsidR="00346B5B">
        <w:rPr>
          <w:sz w:val="22"/>
          <w:szCs w:val="22"/>
        </w:rPr>
        <w:t xml:space="preserve"> Connor </w:t>
      </w:r>
      <w:r w:rsidR="003F290E">
        <w:rPr>
          <w:sz w:val="22"/>
          <w:szCs w:val="22"/>
        </w:rPr>
        <w:t>were justified</w:t>
      </w:r>
      <w:r w:rsidR="00346B5B">
        <w:rPr>
          <w:sz w:val="22"/>
          <w:szCs w:val="22"/>
        </w:rPr>
        <w:t xml:space="preserve"> </w:t>
      </w:r>
      <w:r w:rsidR="003F290E">
        <w:rPr>
          <w:sz w:val="22"/>
          <w:szCs w:val="22"/>
        </w:rPr>
        <w:t>in</w:t>
      </w:r>
      <w:r w:rsidR="00346B5B">
        <w:rPr>
          <w:sz w:val="22"/>
          <w:szCs w:val="22"/>
        </w:rPr>
        <w:t xml:space="preserve"> use</w:t>
      </w:r>
      <w:r w:rsidR="003F290E">
        <w:rPr>
          <w:sz w:val="22"/>
          <w:szCs w:val="22"/>
        </w:rPr>
        <w:t xml:space="preserve"> of</w:t>
      </w:r>
      <w:r w:rsidR="00346B5B">
        <w:rPr>
          <w:sz w:val="22"/>
          <w:szCs w:val="22"/>
        </w:rPr>
        <w:t xml:space="preserve"> such violent means against peaceful protestors. Instead, this is merely an observation that peace was possibly stifled by the actions of the Black Panther Movement</w:t>
      </w:r>
      <w:r w:rsidR="002C0937">
        <w:rPr>
          <w:sz w:val="22"/>
          <w:szCs w:val="22"/>
        </w:rPr>
        <w:t>.</w:t>
      </w:r>
      <w:r w:rsidR="00346B5B">
        <w:rPr>
          <w:sz w:val="22"/>
          <w:szCs w:val="22"/>
        </w:rPr>
        <w:t xml:space="preserve"> </w:t>
      </w:r>
      <w:r w:rsidR="002C0937">
        <w:rPr>
          <w:sz w:val="22"/>
          <w:szCs w:val="22"/>
        </w:rPr>
        <w:t>T</w:t>
      </w:r>
      <w:r w:rsidR="00346B5B">
        <w:rPr>
          <w:sz w:val="22"/>
          <w:szCs w:val="22"/>
        </w:rPr>
        <w:t>hough their fight for their basic human rights is undeniably justified, these actions likely</w:t>
      </w:r>
      <w:r>
        <w:rPr>
          <w:sz w:val="22"/>
          <w:szCs w:val="22"/>
        </w:rPr>
        <w:t xml:space="preserve"> would have</w:t>
      </w:r>
      <w:r w:rsidR="00346B5B">
        <w:rPr>
          <w:sz w:val="22"/>
          <w:szCs w:val="22"/>
        </w:rPr>
        <w:t xml:space="preserve"> hindered </w:t>
      </w:r>
      <w:r w:rsidR="002C0937">
        <w:rPr>
          <w:sz w:val="22"/>
          <w:szCs w:val="22"/>
        </w:rPr>
        <w:t>King’s</w:t>
      </w:r>
      <w:r w:rsidR="00346B5B">
        <w:rPr>
          <w:sz w:val="22"/>
          <w:szCs w:val="22"/>
        </w:rPr>
        <w:t xml:space="preserve"> success in gaining equality for black people</w:t>
      </w:r>
      <w:r w:rsidR="003F290E">
        <w:rPr>
          <w:sz w:val="22"/>
          <w:szCs w:val="22"/>
        </w:rPr>
        <w:t xml:space="preserve"> through peaceful means</w:t>
      </w:r>
      <w:r w:rsidR="00346B5B">
        <w:rPr>
          <w:sz w:val="22"/>
          <w:szCs w:val="22"/>
        </w:rPr>
        <w:t>.</w:t>
      </w:r>
    </w:p>
    <w:p w14:paraId="5C7AA7E7" w14:textId="468BED7E" w:rsidR="004922DA" w:rsidRDefault="004922DA">
      <w:pPr>
        <w:rPr>
          <w:sz w:val="22"/>
          <w:szCs w:val="22"/>
        </w:rPr>
      </w:pPr>
      <w:r>
        <w:rPr>
          <w:sz w:val="22"/>
          <w:szCs w:val="22"/>
        </w:rPr>
        <w:t>In conclusion, there may not necessarily be a right or wrong way to go about peace during instances of oppression</w:t>
      </w:r>
      <w:r w:rsidR="006E023F">
        <w:rPr>
          <w:sz w:val="22"/>
          <w:szCs w:val="22"/>
        </w:rPr>
        <w:t>.</w:t>
      </w:r>
      <w:r>
        <w:rPr>
          <w:sz w:val="22"/>
          <w:szCs w:val="22"/>
        </w:rPr>
        <w:t xml:space="preserve"> </w:t>
      </w:r>
      <w:r w:rsidR="006E023F">
        <w:rPr>
          <w:sz w:val="22"/>
          <w:szCs w:val="22"/>
        </w:rPr>
        <w:t>W</w:t>
      </w:r>
      <w:r>
        <w:rPr>
          <w:sz w:val="22"/>
          <w:szCs w:val="22"/>
        </w:rPr>
        <w:t>hen the oppressors refuse to negotiate, violence may be</w:t>
      </w:r>
      <w:r w:rsidR="006E023F">
        <w:rPr>
          <w:sz w:val="22"/>
          <w:szCs w:val="22"/>
        </w:rPr>
        <w:t xml:space="preserve"> considered</w:t>
      </w:r>
      <w:r>
        <w:rPr>
          <w:sz w:val="22"/>
          <w:szCs w:val="22"/>
        </w:rPr>
        <w:t xml:space="preserve"> the only way. However, it must be noted that if resistance to the oppressors is to be successful, all of the oppressed must agree upon the best way to achieve peace. Failure to do this, could escalate the aggression against </w:t>
      </w:r>
      <w:r w:rsidR="006E023F">
        <w:rPr>
          <w:sz w:val="22"/>
          <w:szCs w:val="22"/>
        </w:rPr>
        <w:t>all</w:t>
      </w:r>
      <w:r>
        <w:rPr>
          <w:sz w:val="22"/>
          <w:szCs w:val="22"/>
        </w:rPr>
        <w:t xml:space="preserve"> parties, and ultimately delay the success of achieving a common goal. Whilst this think-piece has only been able to observe one example, the issues are apparent. Undoubtedly, there is more research to be done </w:t>
      </w:r>
      <w:r w:rsidR="006E023F">
        <w:rPr>
          <w:sz w:val="22"/>
          <w:szCs w:val="22"/>
        </w:rPr>
        <w:t>o</w:t>
      </w:r>
      <w:r>
        <w:rPr>
          <w:sz w:val="22"/>
          <w:szCs w:val="22"/>
        </w:rPr>
        <w:t>n this matter.</w:t>
      </w:r>
    </w:p>
    <w:p w14:paraId="2F859275" w14:textId="77777777" w:rsidR="00F66EB9" w:rsidRDefault="00F66EB9">
      <w:pPr>
        <w:rPr>
          <w:sz w:val="22"/>
          <w:szCs w:val="22"/>
        </w:rPr>
      </w:pPr>
    </w:p>
    <w:p w14:paraId="51ACC566" w14:textId="77777777" w:rsidR="00F66EB9" w:rsidRDefault="00F66EB9">
      <w:pPr>
        <w:rPr>
          <w:sz w:val="22"/>
          <w:szCs w:val="22"/>
        </w:rPr>
      </w:pPr>
    </w:p>
    <w:p w14:paraId="785170FA" w14:textId="77777777" w:rsidR="00F66EB9" w:rsidRDefault="00F66EB9">
      <w:pPr>
        <w:rPr>
          <w:sz w:val="22"/>
          <w:szCs w:val="22"/>
        </w:rPr>
      </w:pPr>
    </w:p>
    <w:p w14:paraId="2099EF58" w14:textId="77777777" w:rsidR="00F66EB9" w:rsidRDefault="00F66EB9">
      <w:pPr>
        <w:rPr>
          <w:sz w:val="22"/>
          <w:szCs w:val="22"/>
        </w:rPr>
      </w:pPr>
    </w:p>
    <w:p w14:paraId="01CC3DEA" w14:textId="5C18F630" w:rsidR="00F66EB9" w:rsidRDefault="00F66EB9">
      <w:pPr>
        <w:rPr>
          <w:b/>
          <w:bCs/>
          <w:sz w:val="22"/>
          <w:szCs w:val="22"/>
          <w:u w:val="single"/>
        </w:rPr>
      </w:pPr>
      <w:r>
        <w:rPr>
          <w:b/>
          <w:bCs/>
          <w:sz w:val="22"/>
          <w:szCs w:val="22"/>
          <w:u w:val="single"/>
        </w:rPr>
        <w:lastRenderedPageBreak/>
        <w:t>Bibliography</w:t>
      </w:r>
    </w:p>
    <w:p w14:paraId="399F8F09" w14:textId="77777777" w:rsidR="00CA5A08" w:rsidRPr="00F66EB9" w:rsidRDefault="00CA5A08" w:rsidP="00CA5A08">
      <w:pPr>
        <w:spacing w:after="0" w:line="360" w:lineRule="auto"/>
        <w:rPr>
          <w:sz w:val="22"/>
          <w:szCs w:val="22"/>
        </w:rPr>
      </w:pPr>
      <w:r w:rsidRPr="00F66EB9">
        <w:rPr>
          <w:sz w:val="22"/>
          <w:szCs w:val="22"/>
        </w:rPr>
        <w:t>Galtung,</w:t>
      </w:r>
      <w:r>
        <w:rPr>
          <w:sz w:val="22"/>
          <w:szCs w:val="22"/>
        </w:rPr>
        <w:t xml:space="preserve"> </w:t>
      </w:r>
      <w:r w:rsidRPr="00F66EB9">
        <w:rPr>
          <w:sz w:val="22"/>
          <w:szCs w:val="22"/>
        </w:rPr>
        <w:t>Johan</w:t>
      </w:r>
      <w:r>
        <w:rPr>
          <w:sz w:val="22"/>
          <w:szCs w:val="22"/>
        </w:rPr>
        <w:t>,</w:t>
      </w:r>
      <w:r w:rsidRPr="00F66EB9">
        <w:rPr>
          <w:sz w:val="22"/>
          <w:szCs w:val="22"/>
        </w:rPr>
        <w:t xml:space="preserve"> </w:t>
      </w:r>
      <w:r w:rsidRPr="00F66EB9">
        <w:rPr>
          <w:i/>
          <w:iCs/>
          <w:sz w:val="22"/>
          <w:szCs w:val="22"/>
        </w:rPr>
        <w:t>Peace problems: some case studies</w:t>
      </w:r>
      <w:r w:rsidRPr="00F66EB9">
        <w:rPr>
          <w:sz w:val="22"/>
          <w:szCs w:val="22"/>
        </w:rPr>
        <w:t>, (Copenhagen: Ejlers, 1980)</w:t>
      </w:r>
      <w:r w:rsidRPr="00F66EB9">
        <w:rPr>
          <w:sz w:val="22"/>
          <w:szCs w:val="22"/>
        </w:rPr>
        <w:t>.</w:t>
      </w:r>
    </w:p>
    <w:p w14:paraId="393F145A" w14:textId="77777777" w:rsidR="00CA5A08" w:rsidRPr="00F66EB9" w:rsidRDefault="00CA5A08" w:rsidP="00CA5A08">
      <w:pPr>
        <w:spacing w:after="0" w:line="360" w:lineRule="auto"/>
        <w:rPr>
          <w:sz w:val="22"/>
          <w:szCs w:val="22"/>
        </w:rPr>
      </w:pPr>
      <w:r w:rsidRPr="00F66EB9">
        <w:rPr>
          <w:sz w:val="22"/>
          <w:szCs w:val="22"/>
        </w:rPr>
        <w:t>Jones,</w:t>
      </w:r>
      <w:r>
        <w:rPr>
          <w:sz w:val="22"/>
          <w:szCs w:val="22"/>
        </w:rPr>
        <w:t xml:space="preserve"> </w:t>
      </w:r>
      <w:r w:rsidRPr="00F66EB9">
        <w:rPr>
          <w:sz w:val="22"/>
          <w:szCs w:val="22"/>
        </w:rPr>
        <w:t>Charles Earl</w:t>
      </w:r>
      <w:r>
        <w:rPr>
          <w:sz w:val="22"/>
          <w:szCs w:val="22"/>
        </w:rPr>
        <w:t>,</w:t>
      </w:r>
      <w:r w:rsidRPr="00F66EB9">
        <w:rPr>
          <w:sz w:val="22"/>
          <w:szCs w:val="22"/>
        </w:rPr>
        <w:t xml:space="preserve"> </w:t>
      </w:r>
      <w:r w:rsidRPr="00F66EB9">
        <w:rPr>
          <w:i/>
          <w:iCs/>
          <w:sz w:val="22"/>
          <w:szCs w:val="22"/>
        </w:rPr>
        <w:t>The Black Panther Party (Reconsidered)</w:t>
      </w:r>
      <w:r w:rsidRPr="00F66EB9">
        <w:rPr>
          <w:sz w:val="22"/>
          <w:szCs w:val="22"/>
        </w:rPr>
        <w:t>, (Baltimore: Black Classic Press, 1998)</w:t>
      </w:r>
      <w:r w:rsidRPr="00F66EB9">
        <w:rPr>
          <w:sz w:val="22"/>
          <w:szCs w:val="22"/>
        </w:rPr>
        <w:t>.</w:t>
      </w:r>
    </w:p>
    <w:p w14:paraId="43FC907E" w14:textId="77777777" w:rsidR="00CA5A08" w:rsidRPr="00F66EB9" w:rsidRDefault="00CA5A08" w:rsidP="00CA5A08">
      <w:pPr>
        <w:spacing w:after="0" w:line="360" w:lineRule="auto"/>
        <w:rPr>
          <w:sz w:val="32"/>
          <w:szCs w:val="32"/>
        </w:rPr>
      </w:pPr>
      <w:r w:rsidRPr="00F66EB9">
        <w:rPr>
          <w:sz w:val="22"/>
          <w:szCs w:val="22"/>
        </w:rPr>
        <w:t>King</w:t>
      </w:r>
      <w:r>
        <w:rPr>
          <w:sz w:val="22"/>
          <w:szCs w:val="22"/>
        </w:rPr>
        <w:t xml:space="preserve">, </w:t>
      </w:r>
      <w:r w:rsidRPr="00F66EB9">
        <w:rPr>
          <w:sz w:val="22"/>
          <w:szCs w:val="22"/>
        </w:rPr>
        <w:t>Coretta Scott and King,</w:t>
      </w:r>
      <w:r>
        <w:rPr>
          <w:sz w:val="22"/>
          <w:szCs w:val="22"/>
        </w:rPr>
        <w:t xml:space="preserve"> </w:t>
      </w:r>
      <w:r w:rsidRPr="00F66EB9">
        <w:rPr>
          <w:sz w:val="22"/>
          <w:szCs w:val="22"/>
        </w:rPr>
        <w:t>Martin Luther</w:t>
      </w:r>
      <w:r>
        <w:rPr>
          <w:sz w:val="22"/>
          <w:szCs w:val="22"/>
        </w:rPr>
        <w:t xml:space="preserve">, </w:t>
      </w:r>
      <w:r w:rsidRPr="00F66EB9">
        <w:rPr>
          <w:sz w:val="22"/>
          <w:szCs w:val="22"/>
        </w:rPr>
        <w:t>Jr</w:t>
      </w:r>
      <w:r>
        <w:rPr>
          <w:sz w:val="22"/>
          <w:szCs w:val="22"/>
        </w:rPr>
        <w:t>,</w:t>
      </w:r>
      <w:r w:rsidRPr="00F66EB9">
        <w:rPr>
          <w:sz w:val="22"/>
          <w:szCs w:val="22"/>
        </w:rPr>
        <w:t xml:space="preserve"> </w:t>
      </w:r>
      <w:r w:rsidRPr="00F66EB9">
        <w:rPr>
          <w:i/>
          <w:iCs/>
          <w:sz w:val="22"/>
          <w:szCs w:val="22"/>
        </w:rPr>
        <w:t>The words of Martin Luther King, Jr.</w:t>
      </w:r>
      <w:r w:rsidRPr="00F66EB9">
        <w:rPr>
          <w:sz w:val="22"/>
          <w:szCs w:val="22"/>
        </w:rPr>
        <w:t xml:space="preserve"> (London: Robson, 1984)</w:t>
      </w:r>
      <w:r>
        <w:rPr>
          <w:sz w:val="22"/>
          <w:szCs w:val="22"/>
        </w:rPr>
        <w:t>.</w:t>
      </w:r>
    </w:p>
    <w:p w14:paraId="4B401CC5" w14:textId="77777777" w:rsidR="00CA5A08" w:rsidRPr="00F66EB9" w:rsidRDefault="00CA5A08" w:rsidP="00CA5A08">
      <w:pPr>
        <w:spacing w:after="0" w:line="360" w:lineRule="auto"/>
        <w:rPr>
          <w:sz w:val="22"/>
          <w:szCs w:val="22"/>
        </w:rPr>
      </w:pPr>
      <w:r w:rsidRPr="00F66EB9">
        <w:rPr>
          <w:sz w:val="22"/>
          <w:szCs w:val="22"/>
        </w:rPr>
        <w:t>Locke,</w:t>
      </w:r>
      <w:r>
        <w:rPr>
          <w:sz w:val="22"/>
          <w:szCs w:val="22"/>
        </w:rPr>
        <w:t xml:space="preserve"> </w:t>
      </w:r>
      <w:r w:rsidRPr="00F66EB9">
        <w:rPr>
          <w:sz w:val="22"/>
          <w:szCs w:val="22"/>
        </w:rPr>
        <w:t>John</w:t>
      </w:r>
      <w:r>
        <w:rPr>
          <w:sz w:val="22"/>
          <w:szCs w:val="22"/>
        </w:rPr>
        <w:t>,</w:t>
      </w:r>
      <w:r w:rsidRPr="00F66EB9">
        <w:rPr>
          <w:sz w:val="22"/>
          <w:szCs w:val="22"/>
        </w:rPr>
        <w:t xml:space="preserve"> </w:t>
      </w:r>
      <w:r w:rsidRPr="00F66EB9">
        <w:rPr>
          <w:i/>
          <w:iCs/>
          <w:sz w:val="22"/>
          <w:szCs w:val="22"/>
        </w:rPr>
        <w:t>Second Treatise on Government</w:t>
      </w:r>
      <w:r w:rsidRPr="00F66EB9">
        <w:rPr>
          <w:sz w:val="22"/>
          <w:szCs w:val="22"/>
        </w:rPr>
        <w:t>, (</w:t>
      </w:r>
      <w:proofErr w:type="spellStart"/>
      <w:r w:rsidRPr="00F66EB9">
        <w:rPr>
          <w:sz w:val="22"/>
          <w:szCs w:val="22"/>
        </w:rPr>
        <w:t>SaltHeart</w:t>
      </w:r>
      <w:proofErr w:type="spellEnd"/>
      <w:r w:rsidRPr="00F66EB9">
        <w:rPr>
          <w:sz w:val="22"/>
          <w:szCs w:val="22"/>
        </w:rPr>
        <w:t xml:space="preserve"> Publishers, 2013</w:t>
      </w:r>
      <w:r w:rsidRPr="00F66EB9">
        <w:rPr>
          <w:sz w:val="22"/>
          <w:szCs w:val="22"/>
        </w:rPr>
        <w:t>)</w:t>
      </w:r>
      <w:r>
        <w:rPr>
          <w:sz w:val="22"/>
          <w:szCs w:val="22"/>
        </w:rPr>
        <w:t>.</w:t>
      </w:r>
    </w:p>
    <w:sectPr w:rsidR="00CA5A08" w:rsidRPr="00F66EB9">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6B0AA1" w14:textId="77777777" w:rsidR="00291A4E" w:rsidRPr="00E14A0A" w:rsidRDefault="00291A4E" w:rsidP="00076D54">
      <w:pPr>
        <w:spacing w:after="0" w:line="240" w:lineRule="auto"/>
      </w:pPr>
      <w:r w:rsidRPr="00E14A0A">
        <w:separator/>
      </w:r>
    </w:p>
  </w:endnote>
  <w:endnote w:type="continuationSeparator" w:id="0">
    <w:p w14:paraId="15A43020" w14:textId="77777777" w:rsidR="00291A4E" w:rsidRPr="00E14A0A" w:rsidRDefault="00291A4E" w:rsidP="00076D54">
      <w:pPr>
        <w:spacing w:after="0" w:line="240" w:lineRule="auto"/>
      </w:pPr>
      <w:r w:rsidRPr="00E14A0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0A9323" w14:textId="77777777" w:rsidR="00291A4E" w:rsidRPr="00E14A0A" w:rsidRDefault="00291A4E" w:rsidP="00076D54">
      <w:pPr>
        <w:spacing w:after="0" w:line="240" w:lineRule="auto"/>
      </w:pPr>
      <w:r w:rsidRPr="00E14A0A">
        <w:separator/>
      </w:r>
    </w:p>
  </w:footnote>
  <w:footnote w:type="continuationSeparator" w:id="0">
    <w:p w14:paraId="3CF0A70D" w14:textId="77777777" w:rsidR="00291A4E" w:rsidRPr="00E14A0A" w:rsidRDefault="00291A4E" w:rsidP="00076D54">
      <w:pPr>
        <w:spacing w:after="0" w:line="240" w:lineRule="auto"/>
      </w:pPr>
      <w:r w:rsidRPr="00E14A0A">
        <w:continuationSeparator/>
      </w:r>
    </w:p>
  </w:footnote>
  <w:footnote w:id="1">
    <w:p w14:paraId="76B0F2B5" w14:textId="62F6CA3B" w:rsidR="00680F22" w:rsidRPr="00E14A0A" w:rsidRDefault="00680F22">
      <w:pPr>
        <w:pStyle w:val="FootnoteText"/>
      </w:pPr>
      <w:r w:rsidRPr="00E14A0A">
        <w:rPr>
          <w:rStyle w:val="FootnoteReference"/>
          <w:sz w:val="16"/>
          <w:szCs w:val="16"/>
        </w:rPr>
        <w:footnoteRef/>
      </w:r>
      <w:r w:rsidRPr="00E14A0A">
        <w:rPr>
          <w:sz w:val="16"/>
          <w:szCs w:val="16"/>
        </w:rPr>
        <w:t xml:space="preserve"> </w:t>
      </w:r>
      <w:r w:rsidR="00740DAE" w:rsidRPr="00E14A0A">
        <w:rPr>
          <w:sz w:val="16"/>
          <w:szCs w:val="16"/>
        </w:rPr>
        <w:t xml:space="preserve">Johan Galtung, </w:t>
      </w:r>
      <w:r w:rsidR="00740DAE" w:rsidRPr="00E14A0A">
        <w:rPr>
          <w:i/>
          <w:iCs/>
          <w:sz w:val="16"/>
          <w:szCs w:val="16"/>
        </w:rPr>
        <w:t>Peace problems: some case studies</w:t>
      </w:r>
      <w:r w:rsidR="00740DAE" w:rsidRPr="00E14A0A">
        <w:rPr>
          <w:sz w:val="16"/>
          <w:szCs w:val="16"/>
        </w:rPr>
        <w:t>, (Copenhagen: Ejlers, 1980), p.26.</w:t>
      </w:r>
    </w:p>
  </w:footnote>
  <w:footnote w:id="2">
    <w:p w14:paraId="10C3513B" w14:textId="479A784E" w:rsidR="00680F22" w:rsidRPr="00E14A0A" w:rsidRDefault="00680F22">
      <w:pPr>
        <w:pStyle w:val="FootnoteText"/>
        <w:rPr>
          <w:sz w:val="16"/>
          <w:szCs w:val="16"/>
        </w:rPr>
      </w:pPr>
      <w:r w:rsidRPr="00E14A0A">
        <w:rPr>
          <w:rStyle w:val="FootnoteReference"/>
          <w:sz w:val="16"/>
          <w:szCs w:val="16"/>
        </w:rPr>
        <w:footnoteRef/>
      </w:r>
      <w:r w:rsidRPr="00E14A0A">
        <w:t xml:space="preserve"> </w:t>
      </w:r>
      <w:r w:rsidR="00F66EB9">
        <w:rPr>
          <w:sz w:val="16"/>
          <w:szCs w:val="16"/>
        </w:rPr>
        <w:t>Ibid</w:t>
      </w:r>
      <w:r w:rsidR="00740DAE" w:rsidRPr="00E14A0A">
        <w:rPr>
          <w:sz w:val="16"/>
          <w:szCs w:val="16"/>
        </w:rPr>
        <w:t>, p.26.</w:t>
      </w:r>
    </w:p>
  </w:footnote>
  <w:footnote w:id="3">
    <w:p w14:paraId="3B57D79C" w14:textId="5FF4067B" w:rsidR="00224AA2" w:rsidRPr="00E14A0A" w:rsidRDefault="00224AA2">
      <w:pPr>
        <w:pStyle w:val="FootnoteText"/>
      </w:pPr>
      <w:r w:rsidRPr="00E14A0A">
        <w:rPr>
          <w:rStyle w:val="FootnoteReference"/>
          <w:sz w:val="16"/>
          <w:szCs w:val="16"/>
        </w:rPr>
        <w:footnoteRef/>
      </w:r>
      <w:r w:rsidRPr="00E14A0A">
        <w:rPr>
          <w:sz w:val="16"/>
          <w:szCs w:val="16"/>
        </w:rPr>
        <w:t xml:space="preserve"> </w:t>
      </w:r>
      <w:r w:rsidR="00EC684B" w:rsidRPr="00E14A0A">
        <w:rPr>
          <w:sz w:val="16"/>
          <w:szCs w:val="16"/>
        </w:rPr>
        <w:t xml:space="preserve">Coretta Scott King and Martin Luther King Jr, </w:t>
      </w:r>
      <w:r w:rsidR="00EC684B" w:rsidRPr="00E14A0A">
        <w:rPr>
          <w:i/>
          <w:iCs/>
          <w:sz w:val="16"/>
          <w:szCs w:val="16"/>
        </w:rPr>
        <w:t>The words of Martin Luther King Jr.</w:t>
      </w:r>
      <w:r w:rsidR="00EC684B" w:rsidRPr="00E14A0A">
        <w:rPr>
          <w:sz w:val="16"/>
          <w:szCs w:val="16"/>
        </w:rPr>
        <w:t xml:space="preserve"> (London: Robson, 1984), p.10.</w:t>
      </w:r>
    </w:p>
  </w:footnote>
  <w:footnote w:id="4">
    <w:p w14:paraId="5D7C2A85" w14:textId="2FA986C9" w:rsidR="00EC684B" w:rsidRPr="00E14A0A" w:rsidRDefault="00EC684B">
      <w:pPr>
        <w:pStyle w:val="FootnoteText"/>
      </w:pPr>
      <w:r w:rsidRPr="00E14A0A">
        <w:rPr>
          <w:rStyle w:val="FootnoteReference"/>
          <w:sz w:val="16"/>
          <w:szCs w:val="16"/>
        </w:rPr>
        <w:footnoteRef/>
      </w:r>
      <w:r w:rsidRPr="00E14A0A">
        <w:rPr>
          <w:sz w:val="16"/>
          <w:szCs w:val="16"/>
        </w:rPr>
        <w:t xml:space="preserve"> </w:t>
      </w:r>
      <w:r w:rsidR="00F66EB9">
        <w:rPr>
          <w:sz w:val="16"/>
          <w:szCs w:val="16"/>
        </w:rPr>
        <w:t>Ibid</w:t>
      </w:r>
      <w:r w:rsidRPr="00E14A0A">
        <w:rPr>
          <w:sz w:val="16"/>
          <w:szCs w:val="16"/>
        </w:rPr>
        <w:t>, p.11.</w:t>
      </w:r>
    </w:p>
  </w:footnote>
  <w:footnote w:id="5">
    <w:p w14:paraId="422A3132" w14:textId="4DAD110D" w:rsidR="005B362B" w:rsidRPr="00E14A0A" w:rsidRDefault="005B362B">
      <w:pPr>
        <w:pStyle w:val="FootnoteText"/>
      </w:pPr>
      <w:r w:rsidRPr="00E14A0A">
        <w:rPr>
          <w:rStyle w:val="FootnoteReference"/>
          <w:sz w:val="16"/>
          <w:szCs w:val="16"/>
        </w:rPr>
        <w:footnoteRef/>
      </w:r>
      <w:r w:rsidRPr="00E14A0A">
        <w:rPr>
          <w:sz w:val="16"/>
          <w:szCs w:val="16"/>
        </w:rPr>
        <w:t xml:space="preserve"> </w:t>
      </w:r>
      <w:r w:rsidR="00F66EB9">
        <w:rPr>
          <w:sz w:val="16"/>
          <w:szCs w:val="16"/>
        </w:rPr>
        <w:t>Ibid</w:t>
      </w:r>
      <w:r w:rsidRPr="00E14A0A">
        <w:rPr>
          <w:sz w:val="16"/>
          <w:szCs w:val="16"/>
        </w:rPr>
        <w:t>, p.12.</w:t>
      </w:r>
    </w:p>
  </w:footnote>
  <w:footnote w:id="6">
    <w:p w14:paraId="4542256F" w14:textId="118D8E42" w:rsidR="005B362B" w:rsidRPr="005B362B" w:rsidRDefault="005B362B">
      <w:pPr>
        <w:pStyle w:val="FootnoteText"/>
        <w:rPr>
          <w:lang w:val="en-US"/>
        </w:rPr>
      </w:pPr>
      <w:r w:rsidRPr="00E14A0A">
        <w:rPr>
          <w:rStyle w:val="FootnoteReference"/>
          <w:sz w:val="16"/>
          <w:szCs w:val="16"/>
        </w:rPr>
        <w:footnoteRef/>
      </w:r>
      <w:r w:rsidRPr="00E14A0A">
        <w:rPr>
          <w:sz w:val="16"/>
          <w:szCs w:val="16"/>
        </w:rPr>
        <w:t xml:space="preserve"> </w:t>
      </w:r>
      <w:r w:rsidR="00F66EB9">
        <w:rPr>
          <w:sz w:val="16"/>
          <w:szCs w:val="16"/>
        </w:rPr>
        <w:t>Ibid</w:t>
      </w:r>
      <w:r w:rsidR="00F66EB9" w:rsidRPr="00E14A0A">
        <w:rPr>
          <w:sz w:val="16"/>
          <w:szCs w:val="16"/>
        </w:rPr>
        <w:t xml:space="preserve">, </w:t>
      </w:r>
      <w:r w:rsidRPr="00E14A0A">
        <w:rPr>
          <w:sz w:val="16"/>
          <w:szCs w:val="16"/>
        </w:rPr>
        <w:t>p.12.</w:t>
      </w:r>
    </w:p>
  </w:footnote>
  <w:footnote w:id="7">
    <w:p w14:paraId="3CD5E788" w14:textId="002B4F7C" w:rsidR="00F66EB9" w:rsidRPr="00F66EB9" w:rsidRDefault="00F66EB9">
      <w:pPr>
        <w:pStyle w:val="FootnoteText"/>
        <w:rPr>
          <w:sz w:val="16"/>
          <w:szCs w:val="16"/>
        </w:rPr>
      </w:pPr>
      <w:r w:rsidRPr="00F66EB9">
        <w:rPr>
          <w:rStyle w:val="FootnoteReference"/>
          <w:sz w:val="16"/>
          <w:szCs w:val="16"/>
        </w:rPr>
        <w:footnoteRef/>
      </w:r>
      <w:r w:rsidRPr="00F66EB9">
        <w:rPr>
          <w:sz w:val="16"/>
          <w:szCs w:val="16"/>
        </w:rPr>
        <w:t xml:space="preserve"> </w:t>
      </w:r>
      <w:r>
        <w:rPr>
          <w:sz w:val="16"/>
          <w:szCs w:val="16"/>
        </w:rPr>
        <w:t>Ibid</w:t>
      </w:r>
      <w:r w:rsidRPr="00E14A0A">
        <w:rPr>
          <w:sz w:val="16"/>
          <w:szCs w:val="16"/>
        </w:rPr>
        <w:t>, p.</w:t>
      </w:r>
      <w:r>
        <w:rPr>
          <w:sz w:val="16"/>
          <w:szCs w:val="16"/>
        </w:rPr>
        <w:t>110</w:t>
      </w:r>
      <w:r w:rsidRPr="00E14A0A">
        <w:rPr>
          <w:sz w:val="16"/>
          <w:szCs w:val="16"/>
        </w:rPr>
        <w:t>.</w:t>
      </w:r>
    </w:p>
  </w:footnote>
  <w:footnote w:id="8">
    <w:p w14:paraId="0D0D8289" w14:textId="6BB006D8" w:rsidR="004E23D2" w:rsidRPr="004E23D2" w:rsidRDefault="004E23D2">
      <w:pPr>
        <w:pStyle w:val="FootnoteText"/>
        <w:rPr>
          <w:lang w:val="en-US"/>
        </w:rPr>
      </w:pPr>
      <w:r w:rsidRPr="004E23D2">
        <w:rPr>
          <w:rStyle w:val="FootnoteReference"/>
          <w:sz w:val="16"/>
          <w:szCs w:val="16"/>
        </w:rPr>
        <w:footnoteRef/>
      </w:r>
      <w:r w:rsidRPr="004E23D2">
        <w:rPr>
          <w:sz w:val="16"/>
          <w:szCs w:val="16"/>
        </w:rPr>
        <w:t xml:space="preserve"> </w:t>
      </w:r>
      <w:r>
        <w:rPr>
          <w:sz w:val="16"/>
          <w:szCs w:val="16"/>
        </w:rPr>
        <w:t xml:space="preserve">Charles Earl Jones, </w:t>
      </w:r>
      <w:r>
        <w:rPr>
          <w:i/>
          <w:iCs/>
          <w:sz w:val="16"/>
          <w:szCs w:val="16"/>
        </w:rPr>
        <w:t>The Black Panther Party (Reconsidered)</w:t>
      </w:r>
      <w:r>
        <w:rPr>
          <w:sz w:val="16"/>
          <w:szCs w:val="16"/>
        </w:rPr>
        <w:t xml:space="preserve">, </w:t>
      </w:r>
      <w:r w:rsidR="00743B56">
        <w:rPr>
          <w:sz w:val="16"/>
          <w:szCs w:val="16"/>
        </w:rPr>
        <w:t>(Baltimore: Black Classic Press, 1998), p.29.</w:t>
      </w:r>
    </w:p>
  </w:footnote>
  <w:footnote w:id="9">
    <w:p w14:paraId="3B4FC8EA" w14:textId="26D22C19" w:rsidR="00D3056E" w:rsidRPr="00D3056E" w:rsidRDefault="00D3056E">
      <w:pPr>
        <w:pStyle w:val="FootnoteText"/>
        <w:rPr>
          <w:lang w:val="en-US"/>
        </w:rPr>
      </w:pPr>
      <w:r w:rsidRPr="00D3056E">
        <w:rPr>
          <w:rStyle w:val="FootnoteReference"/>
          <w:sz w:val="16"/>
          <w:szCs w:val="16"/>
        </w:rPr>
        <w:footnoteRef/>
      </w:r>
      <w:r w:rsidRPr="00D3056E">
        <w:rPr>
          <w:sz w:val="16"/>
          <w:szCs w:val="16"/>
        </w:rPr>
        <w:t xml:space="preserve"> </w:t>
      </w:r>
      <w:r>
        <w:rPr>
          <w:sz w:val="16"/>
          <w:szCs w:val="16"/>
        </w:rPr>
        <w:t>Martin Luther</w:t>
      </w:r>
      <w:r w:rsidR="00E11FAB">
        <w:rPr>
          <w:sz w:val="16"/>
          <w:szCs w:val="16"/>
        </w:rPr>
        <w:t xml:space="preserve"> King</w:t>
      </w:r>
      <w:r>
        <w:rPr>
          <w:sz w:val="16"/>
          <w:szCs w:val="16"/>
        </w:rPr>
        <w:t xml:space="preserve"> Jr</w:t>
      </w:r>
      <w:r w:rsidRPr="00E14A0A">
        <w:rPr>
          <w:sz w:val="16"/>
          <w:szCs w:val="16"/>
        </w:rPr>
        <w:t xml:space="preserve"> and</w:t>
      </w:r>
      <w:r>
        <w:rPr>
          <w:sz w:val="16"/>
          <w:szCs w:val="16"/>
        </w:rPr>
        <w:t xml:space="preserve"> Coretta</w:t>
      </w:r>
      <w:r w:rsidRPr="00E14A0A">
        <w:rPr>
          <w:sz w:val="16"/>
          <w:szCs w:val="16"/>
        </w:rPr>
        <w:t xml:space="preserve"> King, </w:t>
      </w:r>
      <w:r w:rsidRPr="00E14A0A">
        <w:rPr>
          <w:i/>
          <w:iCs/>
          <w:sz w:val="16"/>
          <w:szCs w:val="16"/>
        </w:rPr>
        <w:t>The words of Martin Luther King Jr</w:t>
      </w:r>
      <w:r w:rsidRPr="00E14A0A">
        <w:rPr>
          <w:sz w:val="16"/>
          <w:szCs w:val="16"/>
        </w:rPr>
        <w:t>, p.12.</w:t>
      </w:r>
    </w:p>
  </w:footnote>
  <w:footnote w:id="10">
    <w:p w14:paraId="7032641C" w14:textId="55500E56" w:rsidR="0059331B" w:rsidRPr="00AA58F3" w:rsidRDefault="0059331B">
      <w:pPr>
        <w:pStyle w:val="FootnoteText"/>
        <w:rPr>
          <w:sz w:val="16"/>
          <w:szCs w:val="16"/>
          <w:lang w:val="en-US"/>
        </w:rPr>
      </w:pPr>
      <w:r w:rsidRPr="00AA58F3">
        <w:rPr>
          <w:rStyle w:val="FootnoteReference"/>
          <w:sz w:val="16"/>
          <w:szCs w:val="16"/>
        </w:rPr>
        <w:footnoteRef/>
      </w:r>
      <w:r w:rsidRPr="00AA58F3">
        <w:rPr>
          <w:sz w:val="16"/>
          <w:szCs w:val="16"/>
        </w:rPr>
        <w:t xml:space="preserve"> John Locke, </w:t>
      </w:r>
      <w:r w:rsidRPr="00AA58F3">
        <w:rPr>
          <w:i/>
          <w:iCs/>
          <w:sz w:val="16"/>
          <w:szCs w:val="16"/>
        </w:rPr>
        <w:t>Second Treatise on Government</w:t>
      </w:r>
      <w:r w:rsidRPr="00AA58F3">
        <w:rPr>
          <w:sz w:val="16"/>
          <w:szCs w:val="16"/>
        </w:rPr>
        <w:t xml:space="preserve">, </w:t>
      </w:r>
      <w:r w:rsidR="002C0937" w:rsidRPr="00AA58F3">
        <w:rPr>
          <w:sz w:val="16"/>
          <w:szCs w:val="16"/>
        </w:rPr>
        <w:t>(</w:t>
      </w:r>
      <w:proofErr w:type="spellStart"/>
      <w:r w:rsidRPr="00AA58F3">
        <w:rPr>
          <w:sz w:val="16"/>
          <w:szCs w:val="16"/>
        </w:rPr>
        <w:t>SaltHeart</w:t>
      </w:r>
      <w:proofErr w:type="spellEnd"/>
      <w:r w:rsidRPr="00AA58F3">
        <w:rPr>
          <w:sz w:val="16"/>
          <w:szCs w:val="16"/>
        </w:rPr>
        <w:t xml:space="preserve"> Publishers, 20</w:t>
      </w:r>
      <w:r w:rsidR="002C0937" w:rsidRPr="00AA58F3">
        <w:rPr>
          <w:sz w:val="16"/>
          <w:szCs w:val="16"/>
        </w:rPr>
        <w:t>13), p.77</w:t>
      </w:r>
    </w:p>
  </w:footnote>
  <w:footnote w:id="11">
    <w:p w14:paraId="3FA5DA95" w14:textId="1D444117" w:rsidR="003F290E" w:rsidRPr="003F290E" w:rsidRDefault="003F290E">
      <w:pPr>
        <w:pStyle w:val="FootnoteText"/>
        <w:rPr>
          <w:lang w:val="en-US"/>
        </w:rPr>
      </w:pPr>
      <w:r w:rsidRPr="003F290E">
        <w:rPr>
          <w:rStyle w:val="FootnoteReference"/>
          <w:sz w:val="16"/>
          <w:szCs w:val="16"/>
        </w:rPr>
        <w:footnoteRef/>
      </w:r>
      <w:r w:rsidRPr="003F290E">
        <w:rPr>
          <w:sz w:val="16"/>
          <w:szCs w:val="16"/>
        </w:rPr>
        <w:t xml:space="preserve"> </w:t>
      </w:r>
      <w:r>
        <w:rPr>
          <w:sz w:val="16"/>
          <w:szCs w:val="16"/>
        </w:rPr>
        <w:t xml:space="preserve">Charles Earl Jones, </w:t>
      </w:r>
      <w:r>
        <w:rPr>
          <w:i/>
          <w:iCs/>
          <w:sz w:val="16"/>
          <w:szCs w:val="16"/>
        </w:rPr>
        <w:t>The Black Panther Party</w:t>
      </w:r>
      <w:r w:rsidR="00F66EB9">
        <w:rPr>
          <w:i/>
          <w:iCs/>
          <w:sz w:val="16"/>
          <w:szCs w:val="16"/>
        </w:rPr>
        <w:t>,</w:t>
      </w:r>
      <w:r>
        <w:rPr>
          <w:i/>
          <w:iCs/>
          <w:sz w:val="16"/>
          <w:szCs w:val="16"/>
        </w:rPr>
        <w:t xml:space="preserve"> </w:t>
      </w:r>
      <w:r>
        <w:rPr>
          <w:sz w:val="16"/>
          <w:szCs w:val="16"/>
        </w:rPr>
        <w:t>p.170.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080D09" w14:textId="77777777" w:rsidR="00076D54" w:rsidRPr="00E14A0A" w:rsidRDefault="00076D54" w:rsidP="00076D54">
    <w:pPr>
      <w:pStyle w:val="Header"/>
      <w:rPr>
        <w:b/>
        <w:bCs/>
        <w:sz w:val="32"/>
        <w:szCs w:val="32"/>
      </w:rPr>
    </w:pPr>
    <w:r w:rsidRPr="00E14A0A">
      <w:rPr>
        <w:sz w:val="20"/>
        <w:szCs w:val="20"/>
      </w:rPr>
      <w:t>Alex Hales-Owen (2221576)</w:t>
    </w:r>
    <w:r w:rsidRPr="00E14A0A">
      <w:tab/>
    </w:r>
    <w:r w:rsidRPr="00E14A0A">
      <w:tab/>
    </w:r>
    <w:r w:rsidRPr="00E14A0A">
      <w:rPr>
        <w:sz w:val="20"/>
        <w:szCs w:val="20"/>
      </w:rPr>
      <w:t>Concepts of Peace (HPHI5901/HPHI6901)</w:t>
    </w:r>
  </w:p>
  <w:p w14:paraId="2FE8FD58" w14:textId="77777777" w:rsidR="00076D54" w:rsidRPr="00E14A0A" w:rsidRDefault="00076D54" w:rsidP="00076D54">
    <w:pPr>
      <w:pStyle w:val="Header"/>
    </w:pPr>
  </w:p>
  <w:p w14:paraId="184BE21A" w14:textId="28997A82" w:rsidR="00076D54" w:rsidRPr="00E14A0A" w:rsidRDefault="00076D54" w:rsidP="00076D54">
    <w:pPr>
      <w:pStyle w:val="Header"/>
      <w:jc w:val="center"/>
      <w:rPr>
        <w:b/>
        <w:bCs/>
        <w:u w:val="single"/>
      </w:rPr>
    </w:pPr>
    <w:r w:rsidRPr="00E14A0A">
      <w:rPr>
        <w:b/>
        <w:bCs/>
        <w:u w:val="single"/>
      </w:rPr>
      <w:t>Think-piece 2</w:t>
    </w:r>
  </w:p>
  <w:p w14:paraId="6B44A992" w14:textId="029D09ED" w:rsidR="00076D54" w:rsidRPr="00E14A0A" w:rsidRDefault="00076D54" w:rsidP="00076D54">
    <w:pPr>
      <w:pStyle w:val="Header"/>
      <w:jc w:val="center"/>
      <w:rPr>
        <w:u w:val="single"/>
      </w:rPr>
    </w:pPr>
    <w:r w:rsidRPr="00E14A0A">
      <w:rPr>
        <w:u w:val="single"/>
      </w:rPr>
      <w:t>Peace</w:t>
    </w:r>
    <w:r w:rsidR="00503AB6">
      <w:rPr>
        <w:u w:val="single"/>
      </w:rPr>
      <w:t>ful</w:t>
    </w:r>
    <w:r w:rsidRPr="00E14A0A">
      <w:rPr>
        <w:u w:val="single"/>
      </w:rPr>
      <w:t xml:space="preserve"> </w:t>
    </w:r>
    <w:r w:rsidR="00503AB6">
      <w:rPr>
        <w:u w:val="single"/>
      </w:rPr>
      <w:t>and</w:t>
    </w:r>
    <w:r w:rsidRPr="00E14A0A">
      <w:rPr>
        <w:u w:val="single"/>
      </w:rPr>
      <w:t xml:space="preserve"> Violen</w:t>
    </w:r>
    <w:r w:rsidR="00503AB6">
      <w:rPr>
        <w:u w:val="single"/>
      </w:rPr>
      <w:t>t Actions for Civil Rights</w:t>
    </w:r>
  </w:p>
  <w:p w14:paraId="1E49B2D9" w14:textId="77777777" w:rsidR="00076D54" w:rsidRPr="00E14A0A" w:rsidRDefault="00076D54" w:rsidP="00076D54">
    <w:pPr>
      <w:pStyle w:val="Header"/>
      <w:jc w:val="center"/>
      <w:rPr>
        <w:sz w:val="10"/>
        <w:szCs w:val="1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6D54"/>
    <w:rsid w:val="00076D54"/>
    <w:rsid w:val="00224AA2"/>
    <w:rsid w:val="00260572"/>
    <w:rsid w:val="00291A4E"/>
    <w:rsid w:val="002C0937"/>
    <w:rsid w:val="00346B5B"/>
    <w:rsid w:val="00355784"/>
    <w:rsid w:val="003F290E"/>
    <w:rsid w:val="004922DA"/>
    <w:rsid w:val="004C079D"/>
    <w:rsid w:val="004E23D2"/>
    <w:rsid w:val="00503AB6"/>
    <w:rsid w:val="0059331B"/>
    <w:rsid w:val="005B362B"/>
    <w:rsid w:val="005F26AC"/>
    <w:rsid w:val="005F7B94"/>
    <w:rsid w:val="00680F22"/>
    <w:rsid w:val="006826FC"/>
    <w:rsid w:val="006D53B3"/>
    <w:rsid w:val="006E023F"/>
    <w:rsid w:val="007167B8"/>
    <w:rsid w:val="00740DAE"/>
    <w:rsid w:val="00743B56"/>
    <w:rsid w:val="007615FA"/>
    <w:rsid w:val="007B052E"/>
    <w:rsid w:val="008A6F00"/>
    <w:rsid w:val="008B5714"/>
    <w:rsid w:val="009444B6"/>
    <w:rsid w:val="00A31416"/>
    <w:rsid w:val="00A360F9"/>
    <w:rsid w:val="00A933B0"/>
    <w:rsid w:val="00A942C0"/>
    <w:rsid w:val="00AA58F3"/>
    <w:rsid w:val="00B42CF0"/>
    <w:rsid w:val="00BE3775"/>
    <w:rsid w:val="00BF26B4"/>
    <w:rsid w:val="00C74516"/>
    <w:rsid w:val="00CA5A08"/>
    <w:rsid w:val="00D3056E"/>
    <w:rsid w:val="00D429B3"/>
    <w:rsid w:val="00E11FAB"/>
    <w:rsid w:val="00E14A0A"/>
    <w:rsid w:val="00EC684B"/>
    <w:rsid w:val="00F66E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769427E"/>
  <w15:chartTrackingRefBased/>
  <w15:docId w15:val="{3604E753-8CD1-4BEC-85E3-F0CBAAD698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67B8"/>
    <w:rPr>
      <w:rFonts w:ascii="Calibri" w:hAnsi="Calibri"/>
    </w:rPr>
  </w:style>
  <w:style w:type="paragraph" w:styleId="Heading1">
    <w:name w:val="heading 1"/>
    <w:basedOn w:val="Normal"/>
    <w:next w:val="Normal"/>
    <w:link w:val="Heading1Char"/>
    <w:uiPriority w:val="9"/>
    <w:qFormat/>
    <w:rsid w:val="00076D5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76D5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76D54"/>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76D54"/>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076D54"/>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076D54"/>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076D54"/>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076D54"/>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076D54"/>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76D5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76D5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76D5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76D5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76D5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76D5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76D5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76D5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76D54"/>
    <w:rPr>
      <w:rFonts w:eastAsiaTheme="majorEastAsia" w:cstheme="majorBidi"/>
      <w:color w:val="272727" w:themeColor="text1" w:themeTint="D8"/>
    </w:rPr>
  </w:style>
  <w:style w:type="paragraph" w:styleId="Title">
    <w:name w:val="Title"/>
    <w:basedOn w:val="Normal"/>
    <w:next w:val="Normal"/>
    <w:link w:val="TitleChar"/>
    <w:uiPriority w:val="10"/>
    <w:qFormat/>
    <w:rsid w:val="00076D5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76D5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76D54"/>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76D5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76D54"/>
    <w:pPr>
      <w:spacing w:before="160"/>
      <w:jc w:val="center"/>
    </w:pPr>
    <w:rPr>
      <w:i/>
      <w:iCs/>
      <w:color w:val="404040" w:themeColor="text1" w:themeTint="BF"/>
    </w:rPr>
  </w:style>
  <w:style w:type="character" w:customStyle="1" w:styleId="QuoteChar">
    <w:name w:val="Quote Char"/>
    <w:basedOn w:val="DefaultParagraphFont"/>
    <w:link w:val="Quote"/>
    <w:uiPriority w:val="29"/>
    <w:rsid w:val="00076D54"/>
    <w:rPr>
      <w:rFonts w:ascii="Calibri" w:hAnsi="Calibri"/>
      <w:i/>
      <w:iCs/>
      <w:color w:val="404040" w:themeColor="text1" w:themeTint="BF"/>
    </w:rPr>
  </w:style>
  <w:style w:type="paragraph" w:styleId="ListParagraph">
    <w:name w:val="List Paragraph"/>
    <w:basedOn w:val="Normal"/>
    <w:uiPriority w:val="34"/>
    <w:qFormat/>
    <w:rsid w:val="00076D54"/>
    <w:pPr>
      <w:ind w:left="720"/>
      <w:contextualSpacing/>
    </w:pPr>
  </w:style>
  <w:style w:type="character" w:styleId="IntenseEmphasis">
    <w:name w:val="Intense Emphasis"/>
    <w:basedOn w:val="DefaultParagraphFont"/>
    <w:uiPriority w:val="21"/>
    <w:qFormat/>
    <w:rsid w:val="00076D54"/>
    <w:rPr>
      <w:i/>
      <w:iCs/>
      <w:color w:val="0F4761" w:themeColor="accent1" w:themeShade="BF"/>
    </w:rPr>
  </w:style>
  <w:style w:type="paragraph" w:styleId="IntenseQuote">
    <w:name w:val="Intense Quote"/>
    <w:basedOn w:val="Normal"/>
    <w:next w:val="Normal"/>
    <w:link w:val="IntenseQuoteChar"/>
    <w:uiPriority w:val="30"/>
    <w:qFormat/>
    <w:rsid w:val="00076D5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76D54"/>
    <w:rPr>
      <w:rFonts w:ascii="Calibri" w:hAnsi="Calibri"/>
      <w:i/>
      <w:iCs/>
      <w:color w:val="0F4761" w:themeColor="accent1" w:themeShade="BF"/>
    </w:rPr>
  </w:style>
  <w:style w:type="character" w:styleId="IntenseReference">
    <w:name w:val="Intense Reference"/>
    <w:basedOn w:val="DefaultParagraphFont"/>
    <w:uiPriority w:val="32"/>
    <w:qFormat/>
    <w:rsid w:val="00076D54"/>
    <w:rPr>
      <w:b/>
      <w:bCs/>
      <w:smallCaps/>
      <w:color w:val="0F4761" w:themeColor="accent1" w:themeShade="BF"/>
      <w:spacing w:val="5"/>
    </w:rPr>
  </w:style>
  <w:style w:type="paragraph" w:styleId="Header">
    <w:name w:val="header"/>
    <w:basedOn w:val="Normal"/>
    <w:link w:val="HeaderChar"/>
    <w:uiPriority w:val="99"/>
    <w:unhideWhenUsed/>
    <w:rsid w:val="00076D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76D54"/>
    <w:rPr>
      <w:rFonts w:ascii="Calibri" w:hAnsi="Calibri"/>
    </w:rPr>
  </w:style>
  <w:style w:type="paragraph" w:styleId="Footer">
    <w:name w:val="footer"/>
    <w:basedOn w:val="Normal"/>
    <w:link w:val="FooterChar"/>
    <w:uiPriority w:val="99"/>
    <w:unhideWhenUsed/>
    <w:rsid w:val="00076D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76D54"/>
    <w:rPr>
      <w:rFonts w:ascii="Calibri" w:hAnsi="Calibri"/>
    </w:rPr>
  </w:style>
  <w:style w:type="paragraph" w:styleId="FootnoteText">
    <w:name w:val="footnote text"/>
    <w:basedOn w:val="Normal"/>
    <w:link w:val="FootnoteTextChar"/>
    <w:uiPriority w:val="99"/>
    <w:semiHidden/>
    <w:unhideWhenUsed/>
    <w:rsid w:val="00680F2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80F22"/>
    <w:rPr>
      <w:rFonts w:ascii="Calibri" w:hAnsi="Calibri"/>
      <w:sz w:val="20"/>
      <w:szCs w:val="20"/>
    </w:rPr>
  </w:style>
  <w:style w:type="character" w:styleId="FootnoteReference">
    <w:name w:val="footnote reference"/>
    <w:basedOn w:val="DefaultParagraphFont"/>
    <w:uiPriority w:val="99"/>
    <w:semiHidden/>
    <w:unhideWhenUsed/>
    <w:rsid w:val="00680F2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334475-2612-44AD-A1B9-A908DA52CB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1018</Words>
  <Characters>5808</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 Hales-Owen</dc:creator>
  <cp:keywords/>
  <dc:description/>
  <cp:lastModifiedBy>Alex Hales-Owen</cp:lastModifiedBy>
  <cp:revision>9</cp:revision>
  <dcterms:created xsi:type="dcterms:W3CDTF">2025-03-13T13:38:00Z</dcterms:created>
  <dcterms:modified xsi:type="dcterms:W3CDTF">2025-03-16T11:01:00Z</dcterms:modified>
</cp:coreProperties>
</file>