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C623F5" w14:textId="77777777" w:rsidR="00182CC5" w:rsidRPr="002D298E" w:rsidRDefault="00182CC5" w:rsidP="00775113">
      <w:pPr>
        <w:spacing w:after="0" w:line="360" w:lineRule="auto"/>
        <w:jc w:val="center"/>
        <w:rPr>
          <w:rFonts w:ascii="Arial" w:hAnsi="Arial" w:cs="Arial"/>
          <w:b/>
          <w:bCs/>
          <w:color w:val="002060"/>
        </w:rPr>
      </w:pPr>
    </w:p>
    <w:p w14:paraId="503FB175" w14:textId="77777777" w:rsidR="00182CC5" w:rsidRPr="002D298E" w:rsidRDefault="00182CC5" w:rsidP="00775113">
      <w:pPr>
        <w:spacing w:after="0" w:line="360" w:lineRule="auto"/>
        <w:jc w:val="center"/>
        <w:rPr>
          <w:rFonts w:ascii="Arial" w:hAnsi="Arial" w:cs="Arial"/>
          <w:b/>
          <w:bCs/>
          <w:color w:val="002060"/>
        </w:rPr>
      </w:pPr>
    </w:p>
    <w:p w14:paraId="253D6599" w14:textId="6D5E285F" w:rsidR="00775113" w:rsidRPr="002D298E" w:rsidRDefault="00775113" w:rsidP="00775113">
      <w:pPr>
        <w:spacing w:after="0" w:line="360" w:lineRule="auto"/>
        <w:jc w:val="center"/>
        <w:rPr>
          <w:rFonts w:ascii="Arial" w:hAnsi="Arial" w:cs="Arial"/>
          <w:b/>
          <w:bCs/>
          <w:color w:val="002060"/>
          <w:sz w:val="32"/>
          <w:szCs w:val="32"/>
        </w:rPr>
      </w:pPr>
      <w:r w:rsidRPr="002D298E">
        <w:rPr>
          <w:rFonts w:ascii="Arial" w:hAnsi="Arial" w:cs="Arial"/>
          <w:b/>
          <w:bCs/>
          <w:color w:val="002060"/>
          <w:sz w:val="32"/>
          <w:szCs w:val="32"/>
        </w:rPr>
        <w:t>Community Care and Management of Longer-term Conditions</w:t>
      </w:r>
    </w:p>
    <w:p w14:paraId="3BF10F28" w14:textId="77777777" w:rsidR="00775113" w:rsidRPr="005C15D4" w:rsidRDefault="00775113" w:rsidP="00775113">
      <w:pPr>
        <w:spacing w:after="0" w:line="360" w:lineRule="auto"/>
        <w:jc w:val="center"/>
        <w:rPr>
          <w:rFonts w:ascii="Arial" w:hAnsi="Arial" w:cs="Arial"/>
          <w:b/>
          <w:bCs/>
          <w:color w:val="F79646" w:themeColor="accent6"/>
          <w:sz w:val="32"/>
          <w:szCs w:val="32"/>
        </w:rPr>
      </w:pPr>
      <w:r w:rsidRPr="005C15D4">
        <w:rPr>
          <w:rFonts w:ascii="Arial" w:hAnsi="Arial" w:cs="Arial"/>
          <w:b/>
          <w:bCs/>
          <w:color w:val="F79646" w:themeColor="accent6"/>
          <w:sz w:val="32"/>
          <w:szCs w:val="32"/>
        </w:rPr>
        <w:t>LCHS7003_LON</w:t>
      </w:r>
    </w:p>
    <w:p w14:paraId="1A2BA5C9" w14:textId="77777777" w:rsidR="00895C4A" w:rsidRPr="002D298E" w:rsidRDefault="00895C4A" w:rsidP="00895C4A">
      <w:pPr>
        <w:spacing w:after="0" w:line="360" w:lineRule="auto"/>
        <w:jc w:val="both"/>
        <w:rPr>
          <w:rStyle w:val="Strong"/>
          <w:rFonts w:ascii="Arial" w:hAnsi="Arial" w:cs="Arial"/>
          <w:color w:val="000000" w:themeColor="text1"/>
        </w:rPr>
      </w:pPr>
    </w:p>
    <w:p w14:paraId="2A2147F2" w14:textId="41102122" w:rsidR="001234B8" w:rsidRPr="002D298E" w:rsidRDefault="0025365F" w:rsidP="00895C4A">
      <w:pPr>
        <w:spacing w:after="0" w:line="360" w:lineRule="auto"/>
        <w:jc w:val="both"/>
        <w:rPr>
          <w:rStyle w:val="Strong"/>
          <w:rFonts w:ascii="Arial" w:hAnsi="Arial" w:cs="Arial"/>
          <w:color w:val="000000" w:themeColor="text1"/>
        </w:rPr>
      </w:pPr>
      <w:r w:rsidRPr="002D298E">
        <w:rPr>
          <w:rFonts w:ascii="Arial" w:hAnsi="Arial" w:cs="Arial"/>
          <w:noProof/>
        </w:rPr>
        <w:drawing>
          <wp:inline distT="0" distB="0" distL="0" distR="0" wp14:anchorId="10C45DD9" wp14:editId="7FD83D24">
            <wp:extent cx="3935492" cy="2320578"/>
            <wp:effectExtent l="0" t="0" r="8255" b="3810"/>
            <wp:docPr id="1244031056" name="Picture 1" descr="Community care icons and team help illustration | Premium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munity care icons and team help illustration | Premium Vecto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42658" cy="2324804"/>
                    </a:xfrm>
                    <a:prstGeom prst="rect">
                      <a:avLst/>
                    </a:prstGeom>
                    <a:noFill/>
                    <a:ln>
                      <a:noFill/>
                    </a:ln>
                  </pic:spPr>
                </pic:pic>
              </a:graphicData>
            </a:graphic>
          </wp:inline>
        </w:drawing>
      </w:r>
    </w:p>
    <w:p w14:paraId="1783C320" w14:textId="77777777" w:rsidR="00895C4A" w:rsidRPr="002D298E" w:rsidRDefault="00895C4A" w:rsidP="00895C4A">
      <w:pPr>
        <w:spacing w:after="0" w:line="360" w:lineRule="auto"/>
        <w:jc w:val="both"/>
        <w:rPr>
          <w:rStyle w:val="Strong"/>
          <w:rFonts w:ascii="Arial" w:hAnsi="Arial" w:cs="Arial"/>
          <w:color w:val="000000" w:themeColor="text1"/>
        </w:rPr>
      </w:pPr>
    </w:p>
    <w:p w14:paraId="34E15175" w14:textId="1A890E9B" w:rsidR="00895C4A" w:rsidRPr="005C15D4" w:rsidRDefault="008D1F9A" w:rsidP="00895C4A">
      <w:pPr>
        <w:spacing w:after="0" w:line="360" w:lineRule="auto"/>
        <w:jc w:val="both"/>
        <w:rPr>
          <w:rStyle w:val="Strong"/>
          <w:rFonts w:ascii="Arial" w:hAnsi="Arial" w:cs="Arial"/>
          <w:b w:val="0"/>
          <w:bCs w:val="0"/>
          <w:color w:val="002060"/>
          <w:sz w:val="24"/>
          <w:szCs w:val="24"/>
        </w:rPr>
      </w:pPr>
      <w:r w:rsidRPr="005C15D4">
        <w:rPr>
          <w:rFonts w:ascii="Arial" w:hAnsi="Arial" w:cs="Arial"/>
          <w:b/>
          <w:bCs/>
          <w:color w:val="002060"/>
          <w:sz w:val="24"/>
          <w:szCs w:val="24"/>
        </w:rPr>
        <w:t>Assignment</w:t>
      </w:r>
      <w:r w:rsidR="00E2398F" w:rsidRPr="005C15D4">
        <w:rPr>
          <w:rFonts w:ascii="Arial" w:hAnsi="Arial" w:cs="Arial"/>
          <w:b/>
          <w:bCs/>
          <w:color w:val="002060"/>
          <w:sz w:val="24"/>
          <w:szCs w:val="24"/>
        </w:rPr>
        <w:t xml:space="preserve"> 1</w:t>
      </w:r>
      <w:r w:rsidR="00895C4A" w:rsidRPr="005C15D4">
        <w:rPr>
          <w:rFonts w:ascii="Arial" w:hAnsi="Arial" w:cs="Arial"/>
          <w:b/>
          <w:bCs/>
          <w:color w:val="002060"/>
          <w:sz w:val="24"/>
          <w:szCs w:val="24"/>
        </w:rPr>
        <w:t xml:space="preserve">: </w:t>
      </w:r>
      <w:r w:rsidR="00895C4A" w:rsidRPr="005C15D4">
        <w:rPr>
          <w:rFonts w:ascii="Arial" w:hAnsi="Arial" w:cs="Arial"/>
          <w:b/>
          <w:bCs/>
          <w:color w:val="002060"/>
          <w:sz w:val="24"/>
          <w:szCs w:val="24"/>
        </w:rPr>
        <w:tab/>
      </w:r>
      <w:r w:rsidR="00895C4A" w:rsidRPr="005C15D4">
        <w:rPr>
          <w:rFonts w:ascii="Arial" w:hAnsi="Arial" w:cs="Arial"/>
          <w:b/>
          <w:bCs/>
          <w:color w:val="002060"/>
          <w:sz w:val="24"/>
          <w:szCs w:val="24"/>
        </w:rPr>
        <w:tab/>
      </w:r>
      <w:r w:rsidR="00E2398F" w:rsidRPr="005C15D4">
        <w:rPr>
          <w:rFonts w:ascii="Arial" w:hAnsi="Arial" w:cs="Arial"/>
          <w:b/>
          <w:bCs/>
          <w:color w:val="002060"/>
          <w:sz w:val="24"/>
          <w:szCs w:val="24"/>
        </w:rPr>
        <w:t>Booklet</w:t>
      </w:r>
      <w:r w:rsidR="00895C4A" w:rsidRPr="005C15D4">
        <w:rPr>
          <w:rStyle w:val="Strong"/>
          <w:rFonts w:ascii="Arial" w:hAnsi="Arial" w:cs="Arial"/>
          <w:color w:val="002060"/>
          <w:sz w:val="24"/>
          <w:szCs w:val="24"/>
        </w:rPr>
        <w:t xml:space="preserve"> </w:t>
      </w:r>
    </w:p>
    <w:p w14:paraId="42FEBD23" w14:textId="77777777" w:rsidR="00895C4A" w:rsidRPr="005C15D4" w:rsidRDefault="00895C4A" w:rsidP="00895C4A">
      <w:pPr>
        <w:spacing w:after="0" w:line="360" w:lineRule="auto"/>
        <w:jc w:val="both"/>
        <w:rPr>
          <w:rStyle w:val="Strong"/>
          <w:rFonts w:ascii="Arial" w:hAnsi="Arial" w:cs="Arial"/>
          <w:color w:val="002060"/>
          <w:sz w:val="24"/>
          <w:szCs w:val="24"/>
        </w:rPr>
      </w:pPr>
      <w:r w:rsidRPr="005C15D4">
        <w:rPr>
          <w:rStyle w:val="Strong"/>
          <w:rFonts w:ascii="Arial" w:hAnsi="Arial" w:cs="Arial"/>
          <w:color w:val="002060"/>
          <w:sz w:val="24"/>
          <w:szCs w:val="24"/>
        </w:rPr>
        <w:t xml:space="preserve">Student name: </w:t>
      </w:r>
      <w:r w:rsidRPr="005C15D4">
        <w:rPr>
          <w:rStyle w:val="Strong"/>
          <w:rFonts w:ascii="Arial" w:hAnsi="Arial" w:cs="Arial"/>
          <w:color w:val="002060"/>
          <w:sz w:val="24"/>
          <w:szCs w:val="24"/>
        </w:rPr>
        <w:tab/>
      </w:r>
      <w:r w:rsidRPr="005C15D4">
        <w:rPr>
          <w:rStyle w:val="Strong"/>
          <w:rFonts w:ascii="Arial" w:hAnsi="Arial" w:cs="Arial"/>
          <w:color w:val="002060"/>
          <w:sz w:val="24"/>
          <w:szCs w:val="24"/>
        </w:rPr>
        <w:tab/>
        <w:t>Rehana Intisar</w:t>
      </w:r>
    </w:p>
    <w:p w14:paraId="41AAB411" w14:textId="77777777" w:rsidR="00895C4A" w:rsidRPr="005C15D4" w:rsidRDefault="00895C4A" w:rsidP="00895C4A">
      <w:pPr>
        <w:spacing w:after="0" w:line="360" w:lineRule="auto"/>
        <w:jc w:val="both"/>
        <w:rPr>
          <w:rStyle w:val="Strong"/>
          <w:rFonts w:ascii="Arial" w:hAnsi="Arial" w:cs="Arial"/>
          <w:color w:val="002060"/>
          <w:sz w:val="24"/>
          <w:szCs w:val="24"/>
        </w:rPr>
      </w:pPr>
      <w:r w:rsidRPr="005C15D4">
        <w:rPr>
          <w:rStyle w:val="Strong"/>
          <w:rFonts w:ascii="Arial" w:hAnsi="Arial" w:cs="Arial"/>
          <w:color w:val="002060"/>
          <w:sz w:val="24"/>
          <w:szCs w:val="24"/>
        </w:rPr>
        <w:t>Student number:</w:t>
      </w:r>
      <w:r w:rsidRPr="005C15D4">
        <w:rPr>
          <w:rStyle w:val="Strong"/>
          <w:rFonts w:ascii="Arial" w:hAnsi="Arial" w:cs="Arial"/>
          <w:color w:val="002060"/>
          <w:sz w:val="24"/>
          <w:szCs w:val="24"/>
        </w:rPr>
        <w:tab/>
      </w:r>
      <w:r w:rsidRPr="005C15D4">
        <w:rPr>
          <w:rStyle w:val="Strong"/>
          <w:rFonts w:ascii="Arial" w:hAnsi="Arial" w:cs="Arial"/>
          <w:color w:val="002060"/>
          <w:sz w:val="24"/>
          <w:szCs w:val="24"/>
        </w:rPr>
        <w:tab/>
        <w:t xml:space="preserve">2234706 </w:t>
      </w:r>
    </w:p>
    <w:p w14:paraId="2BC436F2" w14:textId="63C258B8" w:rsidR="00C21A0F" w:rsidRPr="005C15D4" w:rsidRDefault="00C21A0F" w:rsidP="00895C4A">
      <w:pPr>
        <w:spacing w:after="0" w:line="360" w:lineRule="auto"/>
        <w:jc w:val="both"/>
        <w:rPr>
          <w:rStyle w:val="Strong"/>
          <w:rFonts w:ascii="Arial" w:hAnsi="Arial" w:cs="Arial"/>
          <w:color w:val="002060"/>
          <w:sz w:val="24"/>
          <w:szCs w:val="24"/>
        </w:rPr>
      </w:pPr>
      <w:r w:rsidRPr="005C15D4">
        <w:rPr>
          <w:rStyle w:val="Strong"/>
          <w:rFonts w:ascii="Arial" w:hAnsi="Arial" w:cs="Arial"/>
          <w:color w:val="002060"/>
          <w:sz w:val="24"/>
          <w:szCs w:val="24"/>
        </w:rPr>
        <w:t>Tutor Name:</w:t>
      </w:r>
      <w:r w:rsidRPr="005C15D4">
        <w:rPr>
          <w:rStyle w:val="Strong"/>
          <w:rFonts w:ascii="Arial" w:hAnsi="Arial" w:cs="Arial"/>
          <w:color w:val="002060"/>
          <w:sz w:val="24"/>
          <w:szCs w:val="24"/>
        </w:rPr>
        <w:tab/>
      </w:r>
      <w:r w:rsidRPr="005C15D4">
        <w:rPr>
          <w:rStyle w:val="Strong"/>
          <w:rFonts w:ascii="Arial" w:hAnsi="Arial" w:cs="Arial"/>
          <w:color w:val="002060"/>
          <w:sz w:val="24"/>
          <w:szCs w:val="24"/>
        </w:rPr>
        <w:tab/>
      </w:r>
      <w:r w:rsidRPr="005C15D4">
        <w:rPr>
          <w:rStyle w:val="Strong"/>
          <w:rFonts w:ascii="Arial" w:hAnsi="Arial" w:cs="Arial"/>
          <w:color w:val="002060"/>
          <w:sz w:val="24"/>
          <w:szCs w:val="24"/>
        </w:rPr>
        <w:tab/>
      </w:r>
      <w:r w:rsidR="00A16DB4" w:rsidRPr="005C15D4">
        <w:rPr>
          <w:rFonts w:ascii="Arial" w:hAnsi="Arial" w:cs="Arial"/>
          <w:b/>
          <w:bCs/>
          <w:color w:val="002060"/>
          <w:sz w:val="24"/>
          <w:szCs w:val="24"/>
        </w:rPr>
        <w:t>Muhammed Khan</w:t>
      </w:r>
    </w:p>
    <w:p w14:paraId="6FBF42E1" w14:textId="77777777" w:rsidR="005249FB" w:rsidRDefault="005249FB" w:rsidP="004E6247">
      <w:pPr>
        <w:spacing w:after="0" w:line="360" w:lineRule="auto"/>
        <w:jc w:val="center"/>
        <w:rPr>
          <w:rFonts w:ascii="Arial" w:hAnsi="Arial" w:cs="Arial"/>
          <w:b/>
          <w:bCs/>
          <w:color w:val="C00000"/>
        </w:rPr>
      </w:pPr>
    </w:p>
    <w:p w14:paraId="5D3E0B68" w14:textId="77777777" w:rsidR="0058267C" w:rsidRPr="002D298E" w:rsidRDefault="0058267C" w:rsidP="004E6247">
      <w:pPr>
        <w:spacing w:after="0" w:line="360" w:lineRule="auto"/>
        <w:jc w:val="center"/>
        <w:rPr>
          <w:rFonts w:ascii="Arial" w:hAnsi="Arial" w:cs="Arial"/>
          <w:b/>
          <w:bCs/>
          <w:color w:val="C00000"/>
        </w:rPr>
      </w:pPr>
    </w:p>
    <w:p w14:paraId="28B203A1" w14:textId="11C28D9C" w:rsidR="00AD754F" w:rsidRPr="00626CB6" w:rsidRDefault="00C62B79" w:rsidP="004E6247">
      <w:pPr>
        <w:spacing w:after="0" w:line="360" w:lineRule="auto"/>
        <w:jc w:val="center"/>
        <w:rPr>
          <w:rFonts w:ascii="Arial" w:hAnsi="Arial" w:cs="Arial"/>
          <w:b/>
          <w:bCs/>
          <w:color w:val="C00000"/>
          <w:sz w:val="48"/>
          <w:szCs w:val="48"/>
        </w:rPr>
      </w:pPr>
      <w:r w:rsidRPr="00626CB6">
        <w:rPr>
          <w:rFonts w:ascii="Arial" w:hAnsi="Arial" w:cs="Arial"/>
          <w:b/>
          <w:bCs/>
          <w:color w:val="C00000"/>
          <w:sz w:val="48"/>
          <w:szCs w:val="48"/>
        </w:rPr>
        <w:t>Hypertension</w:t>
      </w:r>
    </w:p>
    <w:p w14:paraId="62F63F74" w14:textId="3E57C79F" w:rsidR="0015379B" w:rsidRPr="00626CB6" w:rsidRDefault="0015379B" w:rsidP="004E6247">
      <w:pPr>
        <w:spacing w:after="0" w:line="360" w:lineRule="auto"/>
        <w:jc w:val="center"/>
        <w:rPr>
          <w:rFonts w:ascii="Arial" w:hAnsi="Arial" w:cs="Arial"/>
          <w:b/>
          <w:bCs/>
          <w:color w:val="403152" w:themeColor="accent4" w:themeShade="80"/>
          <w:sz w:val="32"/>
          <w:szCs w:val="32"/>
        </w:rPr>
      </w:pPr>
      <w:r w:rsidRPr="00626CB6">
        <w:rPr>
          <w:rFonts w:ascii="Arial" w:hAnsi="Arial" w:cs="Arial"/>
          <w:b/>
          <w:bCs/>
          <w:color w:val="403152" w:themeColor="accent4" w:themeShade="80"/>
          <w:sz w:val="32"/>
          <w:szCs w:val="32"/>
        </w:rPr>
        <w:t xml:space="preserve">Long-Term Health Condition </w:t>
      </w:r>
      <w:r w:rsidR="00EB5B7E" w:rsidRPr="00626CB6">
        <w:rPr>
          <w:rFonts w:ascii="Arial" w:hAnsi="Arial" w:cs="Arial"/>
          <w:b/>
          <w:bCs/>
          <w:color w:val="403152" w:themeColor="accent4" w:themeShade="80"/>
          <w:sz w:val="32"/>
          <w:szCs w:val="32"/>
        </w:rPr>
        <w:t>Management</w:t>
      </w:r>
      <w:r w:rsidR="00D62014" w:rsidRPr="00626CB6">
        <w:rPr>
          <w:rFonts w:ascii="Arial" w:hAnsi="Arial" w:cs="Arial"/>
          <w:b/>
          <w:bCs/>
          <w:color w:val="403152" w:themeColor="accent4" w:themeShade="80"/>
          <w:sz w:val="32"/>
          <w:szCs w:val="32"/>
        </w:rPr>
        <w:t xml:space="preserve"> in the United Kingdom</w:t>
      </w:r>
    </w:p>
    <w:p w14:paraId="49C3874A" w14:textId="77777777" w:rsidR="00A80CE9" w:rsidRPr="002D298E" w:rsidRDefault="00A80CE9" w:rsidP="004E6247">
      <w:pPr>
        <w:spacing w:after="0" w:line="360" w:lineRule="auto"/>
        <w:jc w:val="center"/>
        <w:rPr>
          <w:rFonts w:ascii="Arial" w:hAnsi="Arial" w:cs="Arial"/>
          <w:b/>
          <w:bCs/>
          <w:color w:val="403152" w:themeColor="accent4" w:themeShade="80"/>
        </w:rPr>
      </w:pPr>
    </w:p>
    <w:p w14:paraId="1EABA9F2" w14:textId="3B803949" w:rsidR="00F0373C" w:rsidRPr="002D298E" w:rsidRDefault="009E6FF7" w:rsidP="00A52FDF">
      <w:pPr>
        <w:spacing w:after="0" w:line="360" w:lineRule="auto"/>
        <w:jc w:val="center"/>
        <w:rPr>
          <w:rFonts w:ascii="Arial" w:hAnsi="Arial" w:cs="Arial"/>
        </w:rPr>
      </w:pPr>
      <w:r w:rsidRPr="002D298E">
        <w:rPr>
          <w:rFonts w:ascii="Arial" w:hAnsi="Arial" w:cs="Arial"/>
          <w:noProof/>
        </w:rPr>
        <w:drawing>
          <wp:inline distT="0" distB="0" distL="0" distR="0" wp14:anchorId="4122814F" wp14:editId="2C1800BB">
            <wp:extent cx="3893135" cy="2720148"/>
            <wp:effectExtent l="0" t="0" r="0" b="4445"/>
            <wp:docPr id="843916420" name="Picture 1" descr="Understanding Hypertension - Thumbay Hospital Fujaira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derstanding Hypertension - Thumbay Hospital Fujairah"/>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42828" cy="2824739"/>
                    </a:xfrm>
                    <a:prstGeom prst="rect">
                      <a:avLst/>
                    </a:prstGeom>
                    <a:noFill/>
                    <a:ln>
                      <a:noFill/>
                    </a:ln>
                  </pic:spPr>
                </pic:pic>
              </a:graphicData>
            </a:graphic>
          </wp:inline>
        </w:drawing>
      </w:r>
    </w:p>
    <w:p w14:paraId="1479E75B" w14:textId="77777777" w:rsidR="000F402B" w:rsidRDefault="000F402B" w:rsidP="007E2EE7">
      <w:pPr>
        <w:spacing w:after="0" w:line="360" w:lineRule="auto"/>
        <w:jc w:val="center"/>
        <w:rPr>
          <w:rFonts w:ascii="Arial" w:hAnsi="Arial" w:cs="Arial"/>
          <w:b/>
          <w:bCs/>
        </w:rPr>
      </w:pPr>
    </w:p>
    <w:p w14:paraId="4251DCD1" w14:textId="59910854" w:rsidR="00E33830" w:rsidRDefault="00E33830">
      <w:pPr>
        <w:rPr>
          <w:rFonts w:ascii="Arial" w:hAnsi="Arial" w:cs="Arial"/>
          <w:b/>
          <w:bCs/>
        </w:rPr>
      </w:pPr>
      <w:r>
        <w:rPr>
          <w:rFonts w:ascii="Arial" w:hAnsi="Arial" w:cs="Arial"/>
          <w:b/>
          <w:bCs/>
        </w:rPr>
        <w:br w:type="page"/>
      </w:r>
    </w:p>
    <w:p w14:paraId="2BF971FB" w14:textId="77777777" w:rsidR="00E33830" w:rsidRDefault="00E33830" w:rsidP="007E2EE7">
      <w:pPr>
        <w:spacing w:after="0" w:line="360" w:lineRule="auto"/>
        <w:jc w:val="center"/>
        <w:rPr>
          <w:rFonts w:ascii="Arial" w:hAnsi="Arial" w:cs="Arial"/>
          <w:b/>
          <w:bCs/>
        </w:rPr>
      </w:pPr>
    </w:p>
    <w:p w14:paraId="1A9B1334" w14:textId="77777777" w:rsidR="009F5C79" w:rsidRDefault="009F5C79" w:rsidP="007E2EE7">
      <w:pPr>
        <w:spacing w:after="0" w:line="360" w:lineRule="auto"/>
        <w:jc w:val="center"/>
        <w:rPr>
          <w:rFonts w:ascii="Arial" w:hAnsi="Arial" w:cs="Arial"/>
          <w:b/>
          <w:bCs/>
        </w:rPr>
      </w:pPr>
    </w:p>
    <w:p w14:paraId="0C260083" w14:textId="77777777" w:rsidR="009F5C79" w:rsidRDefault="009F5C79" w:rsidP="007E2EE7">
      <w:pPr>
        <w:spacing w:after="0" w:line="360" w:lineRule="auto"/>
        <w:jc w:val="center"/>
        <w:rPr>
          <w:rFonts w:ascii="Arial" w:hAnsi="Arial" w:cs="Arial"/>
          <w:b/>
          <w:bCs/>
        </w:rPr>
      </w:pPr>
    </w:p>
    <w:p w14:paraId="59118C8E" w14:textId="77777777" w:rsidR="009F5C79" w:rsidRDefault="009F5C79" w:rsidP="007E2EE7">
      <w:pPr>
        <w:spacing w:after="0" w:line="360" w:lineRule="auto"/>
        <w:jc w:val="center"/>
        <w:rPr>
          <w:rFonts w:ascii="Arial" w:hAnsi="Arial" w:cs="Arial"/>
          <w:b/>
          <w:bCs/>
        </w:rPr>
      </w:pPr>
    </w:p>
    <w:p w14:paraId="60B3F770" w14:textId="77777777" w:rsidR="009F5C79" w:rsidRDefault="009F5C79" w:rsidP="007E2EE7">
      <w:pPr>
        <w:spacing w:after="0" w:line="360" w:lineRule="auto"/>
        <w:jc w:val="center"/>
        <w:rPr>
          <w:rFonts w:ascii="Arial" w:hAnsi="Arial" w:cs="Arial"/>
          <w:b/>
          <w:bCs/>
        </w:rPr>
      </w:pPr>
    </w:p>
    <w:p w14:paraId="70AF7DA8" w14:textId="77777777" w:rsidR="009F5C79" w:rsidRDefault="009F5C79" w:rsidP="007E2EE7">
      <w:pPr>
        <w:spacing w:after="0" w:line="360" w:lineRule="auto"/>
        <w:jc w:val="center"/>
        <w:rPr>
          <w:rFonts w:ascii="Arial" w:hAnsi="Arial" w:cs="Arial"/>
          <w:b/>
          <w:bCs/>
        </w:rPr>
      </w:pPr>
    </w:p>
    <w:p w14:paraId="6EBFCD06" w14:textId="77777777" w:rsidR="009F5C79" w:rsidRDefault="009F5C79" w:rsidP="007E2EE7">
      <w:pPr>
        <w:spacing w:after="0" w:line="360" w:lineRule="auto"/>
        <w:jc w:val="center"/>
        <w:rPr>
          <w:rFonts w:ascii="Arial" w:hAnsi="Arial" w:cs="Arial"/>
          <w:b/>
          <w:bCs/>
        </w:rPr>
      </w:pPr>
    </w:p>
    <w:p w14:paraId="7FBEB59F" w14:textId="77777777" w:rsidR="009F5C79" w:rsidRPr="002D298E" w:rsidRDefault="009F5C79" w:rsidP="007E2EE7">
      <w:pPr>
        <w:spacing w:after="0" w:line="360" w:lineRule="auto"/>
        <w:jc w:val="center"/>
        <w:rPr>
          <w:rFonts w:ascii="Arial" w:hAnsi="Arial" w:cs="Arial"/>
          <w:b/>
          <w:bCs/>
        </w:rPr>
      </w:pPr>
    </w:p>
    <w:p w14:paraId="6F4D644B" w14:textId="6B075CA4" w:rsidR="002F63D4" w:rsidRDefault="007E2EE7" w:rsidP="007E2EE7">
      <w:pPr>
        <w:spacing w:after="0" w:line="360" w:lineRule="auto"/>
        <w:jc w:val="center"/>
        <w:rPr>
          <w:rFonts w:ascii="Arial" w:hAnsi="Arial" w:cs="Arial"/>
          <w:b/>
          <w:bCs/>
        </w:rPr>
      </w:pPr>
      <w:r w:rsidRPr="002D298E">
        <w:rPr>
          <w:rFonts w:ascii="Arial" w:hAnsi="Arial" w:cs="Arial"/>
          <w:b/>
          <w:bCs/>
        </w:rPr>
        <w:t>Acknowledgment</w:t>
      </w:r>
    </w:p>
    <w:p w14:paraId="18F8F28F" w14:textId="77777777" w:rsidR="003C0B54" w:rsidRPr="002D298E" w:rsidRDefault="003C0B54" w:rsidP="007E2EE7">
      <w:pPr>
        <w:spacing w:after="0" w:line="360" w:lineRule="auto"/>
        <w:jc w:val="center"/>
        <w:rPr>
          <w:rFonts w:ascii="Arial" w:hAnsi="Arial" w:cs="Arial"/>
          <w:b/>
          <w:bCs/>
          <w:lang w:val="en-US"/>
        </w:rPr>
      </w:pPr>
    </w:p>
    <w:p w14:paraId="6F7D7C57" w14:textId="79CBD082" w:rsidR="008C335C" w:rsidRPr="002D298E" w:rsidRDefault="002F63D4" w:rsidP="002F63D4">
      <w:pPr>
        <w:spacing w:after="0" w:line="360" w:lineRule="auto"/>
        <w:jc w:val="both"/>
        <w:rPr>
          <w:rFonts w:ascii="Arial" w:hAnsi="Arial" w:cs="Arial"/>
        </w:rPr>
      </w:pPr>
      <w:r w:rsidRPr="002D298E">
        <w:rPr>
          <w:rFonts w:ascii="Arial" w:hAnsi="Arial" w:cs="Arial"/>
          <w:lang w:val="en-US"/>
        </w:rPr>
        <w:t>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w:t>
      </w:r>
    </w:p>
    <w:p w14:paraId="4443293C" w14:textId="34D8B858" w:rsidR="007E2EE7" w:rsidRDefault="007E2EE7" w:rsidP="003C0B54">
      <w:pPr>
        <w:rPr>
          <w:rFonts w:ascii="Arial" w:hAnsi="Arial" w:cs="Arial"/>
        </w:rPr>
      </w:pPr>
    </w:p>
    <w:p w14:paraId="5C484F48" w14:textId="77777777" w:rsidR="00075C7D" w:rsidRDefault="00075C7D" w:rsidP="003C0B54">
      <w:pPr>
        <w:rPr>
          <w:rFonts w:ascii="Arial" w:hAnsi="Arial" w:cs="Arial"/>
        </w:rPr>
      </w:pPr>
    </w:p>
    <w:p w14:paraId="3E2B19C4" w14:textId="77777777" w:rsidR="00075C7D" w:rsidRDefault="00075C7D" w:rsidP="003C0B54">
      <w:pPr>
        <w:rPr>
          <w:rFonts w:ascii="Arial" w:hAnsi="Arial" w:cs="Arial"/>
        </w:rPr>
      </w:pPr>
    </w:p>
    <w:p w14:paraId="03AB8A41" w14:textId="77777777" w:rsidR="00075C7D" w:rsidRDefault="00075C7D" w:rsidP="003C0B54">
      <w:pPr>
        <w:rPr>
          <w:rFonts w:ascii="Arial" w:hAnsi="Arial" w:cs="Arial"/>
        </w:rPr>
      </w:pPr>
    </w:p>
    <w:p w14:paraId="41FF1D01" w14:textId="77777777" w:rsidR="00075C7D" w:rsidRDefault="00075C7D" w:rsidP="003C0B54">
      <w:pPr>
        <w:rPr>
          <w:rFonts w:ascii="Arial" w:hAnsi="Arial" w:cs="Arial"/>
        </w:rPr>
      </w:pPr>
    </w:p>
    <w:p w14:paraId="290E86DE" w14:textId="77777777" w:rsidR="00075C7D" w:rsidRDefault="00075C7D" w:rsidP="003C0B54">
      <w:pPr>
        <w:rPr>
          <w:rFonts w:ascii="Arial" w:hAnsi="Arial" w:cs="Arial"/>
        </w:rPr>
      </w:pPr>
    </w:p>
    <w:p w14:paraId="3F2E912C" w14:textId="77777777" w:rsidR="00075C7D" w:rsidRDefault="00075C7D" w:rsidP="003C0B54">
      <w:pPr>
        <w:rPr>
          <w:rFonts w:ascii="Arial" w:hAnsi="Arial" w:cs="Arial"/>
        </w:rPr>
      </w:pPr>
    </w:p>
    <w:p w14:paraId="60288D1D" w14:textId="77777777" w:rsidR="00075C7D" w:rsidRPr="003C0B54" w:rsidRDefault="00075C7D" w:rsidP="003C0B54">
      <w:pPr>
        <w:rPr>
          <w:rFonts w:ascii="Arial" w:hAnsi="Arial" w:cs="Arial"/>
        </w:rPr>
      </w:pPr>
    </w:p>
    <w:p w14:paraId="3C1809D2" w14:textId="576E9C64" w:rsidR="008C335C" w:rsidRPr="00727A9B" w:rsidRDefault="008C335C" w:rsidP="00A52FDF">
      <w:pPr>
        <w:spacing w:after="0" w:line="360" w:lineRule="auto"/>
        <w:rPr>
          <w:rFonts w:ascii="Arial" w:hAnsi="Arial" w:cs="Arial"/>
          <w:b/>
          <w:bCs/>
          <w:sz w:val="28"/>
          <w:szCs w:val="28"/>
        </w:rPr>
      </w:pPr>
      <w:r w:rsidRPr="00727A9B">
        <w:rPr>
          <w:rFonts w:ascii="Arial" w:hAnsi="Arial" w:cs="Arial"/>
          <w:b/>
          <w:bCs/>
          <w:sz w:val="28"/>
          <w:szCs w:val="28"/>
        </w:rPr>
        <w:t>Table of contents:</w:t>
      </w:r>
    </w:p>
    <w:p w14:paraId="738CB1CF" w14:textId="2B8A339D" w:rsidR="00647726" w:rsidRPr="002D298E" w:rsidRDefault="00647726" w:rsidP="00806635">
      <w:pPr>
        <w:spacing w:after="0" w:line="360" w:lineRule="auto"/>
        <w:ind w:right="388"/>
        <w:jc w:val="right"/>
        <w:rPr>
          <w:rFonts w:ascii="Arial" w:hAnsi="Arial" w:cs="Arial"/>
        </w:rPr>
      </w:pPr>
      <w:r w:rsidRPr="002D298E">
        <w:rPr>
          <w:rFonts w:ascii="Arial" w:hAnsi="Arial" w:cs="Arial"/>
        </w:rPr>
        <w:t>Pages</w:t>
      </w:r>
    </w:p>
    <w:p w14:paraId="26A651A7" w14:textId="77777777" w:rsidR="00647726" w:rsidRPr="002D298E" w:rsidRDefault="00647726" w:rsidP="00A52FDF">
      <w:pPr>
        <w:spacing w:after="0" w:line="360" w:lineRule="auto"/>
        <w:rPr>
          <w:rFonts w:ascii="Arial" w:hAnsi="Arial" w:cs="Arial"/>
        </w:rPr>
      </w:pPr>
    </w:p>
    <w:p w14:paraId="077C4747" w14:textId="2B3E7105" w:rsidR="0017134A" w:rsidRPr="002D298E" w:rsidRDefault="00647726" w:rsidP="00A52FDF">
      <w:pPr>
        <w:spacing w:after="0" w:line="360" w:lineRule="auto"/>
        <w:rPr>
          <w:rFonts w:ascii="Arial" w:hAnsi="Arial" w:cs="Arial"/>
        </w:rPr>
      </w:pPr>
      <w:r w:rsidRPr="002D298E">
        <w:rPr>
          <w:rFonts w:ascii="Arial" w:hAnsi="Arial" w:cs="Arial"/>
        </w:rPr>
        <w:t>Introduction:</w:t>
      </w:r>
      <w:r w:rsidRPr="002D298E">
        <w:rPr>
          <w:rFonts w:ascii="Arial" w:hAnsi="Arial" w:cs="Arial"/>
        </w:rPr>
        <w:tab/>
      </w:r>
      <w:r w:rsidRPr="002D298E">
        <w:rPr>
          <w:rFonts w:ascii="Arial" w:hAnsi="Arial" w:cs="Arial"/>
        </w:rPr>
        <w:tab/>
      </w:r>
      <w:r w:rsidRPr="002D298E">
        <w:rPr>
          <w:rFonts w:ascii="Arial" w:hAnsi="Arial" w:cs="Arial"/>
        </w:rPr>
        <w:tab/>
      </w:r>
      <w:r w:rsidRPr="002D298E">
        <w:rPr>
          <w:rFonts w:ascii="Arial" w:hAnsi="Arial" w:cs="Arial"/>
        </w:rPr>
        <w:tab/>
      </w:r>
      <w:r w:rsidRPr="002D298E">
        <w:rPr>
          <w:rFonts w:ascii="Arial" w:hAnsi="Arial" w:cs="Arial"/>
        </w:rPr>
        <w:tab/>
      </w:r>
      <w:r w:rsidRPr="002D298E">
        <w:rPr>
          <w:rFonts w:ascii="Arial" w:hAnsi="Arial" w:cs="Arial"/>
        </w:rPr>
        <w:tab/>
      </w:r>
      <w:r w:rsidRPr="002D298E">
        <w:rPr>
          <w:rFonts w:ascii="Arial" w:hAnsi="Arial" w:cs="Arial"/>
        </w:rPr>
        <w:tab/>
      </w:r>
      <w:r w:rsidR="00A94D2E">
        <w:rPr>
          <w:rFonts w:ascii="Arial" w:hAnsi="Arial" w:cs="Arial"/>
        </w:rPr>
        <w:t>3</w:t>
      </w:r>
    </w:p>
    <w:p w14:paraId="774675B0" w14:textId="51766B78" w:rsidR="000A41E6" w:rsidRPr="002D298E" w:rsidRDefault="00BB604E" w:rsidP="00A52FDF">
      <w:pPr>
        <w:spacing w:after="0" w:line="360" w:lineRule="auto"/>
        <w:rPr>
          <w:rFonts w:ascii="Arial" w:hAnsi="Arial" w:cs="Arial"/>
        </w:rPr>
      </w:pPr>
      <w:r w:rsidRPr="002D298E">
        <w:rPr>
          <w:rFonts w:ascii="Arial" w:hAnsi="Arial" w:cs="Arial"/>
        </w:rPr>
        <w:t>Definition</w:t>
      </w:r>
      <w:r w:rsidR="000A41E6" w:rsidRPr="002D298E">
        <w:rPr>
          <w:rFonts w:ascii="Arial" w:hAnsi="Arial" w:cs="Arial"/>
        </w:rPr>
        <w:t>:</w:t>
      </w:r>
      <w:r w:rsidR="00340654" w:rsidRPr="002D298E">
        <w:rPr>
          <w:rFonts w:ascii="Arial" w:hAnsi="Arial" w:cs="Arial"/>
        </w:rPr>
        <w:tab/>
      </w:r>
      <w:r w:rsidR="000A41E6" w:rsidRPr="002D298E">
        <w:rPr>
          <w:rFonts w:ascii="Arial" w:hAnsi="Arial" w:cs="Arial"/>
        </w:rPr>
        <w:tab/>
      </w:r>
      <w:r w:rsidR="000A41E6" w:rsidRPr="002D298E">
        <w:rPr>
          <w:rFonts w:ascii="Arial" w:hAnsi="Arial" w:cs="Arial"/>
        </w:rPr>
        <w:tab/>
      </w:r>
      <w:r w:rsidR="000A41E6" w:rsidRPr="002D298E">
        <w:rPr>
          <w:rFonts w:ascii="Arial" w:hAnsi="Arial" w:cs="Arial"/>
        </w:rPr>
        <w:tab/>
      </w:r>
      <w:r w:rsidR="000A41E6" w:rsidRPr="002D298E">
        <w:rPr>
          <w:rFonts w:ascii="Arial" w:hAnsi="Arial" w:cs="Arial"/>
        </w:rPr>
        <w:tab/>
      </w:r>
      <w:r w:rsidR="000A41E6" w:rsidRPr="002D298E">
        <w:rPr>
          <w:rFonts w:ascii="Arial" w:hAnsi="Arial" w:cs="Arial"/>
        </w:rPr>
        <w:tab/>
      </w:r>
      <w:r w:rsidR="000A41E6" w:rsidRPr="002D298E">
        <w:rPr>
          <w:rFonts w:ascii="Arial" w:hAnsi="Arial" w:cs="Arial"/>
        </w:rPr>
        <w:tab/>
      </w:r>
      <w:r w:rsidR="00BF6599" w:rsidRPr="002D298E">
        <w:rPr>
          <w:rFonts w:ascii="Arial" w:hAnsi="Arial" w:cs="Arial"/>
        </w:rPr>
        <w:t>3</w:t>
      </w:r>
    </w:p>
    <w:p w14:paraId="4C1A9032" w14:textId="4705B9FA" w:rsidR="00154332" w:rsidRPr="002D298E" w:rsidRDefault="00154332" w:rsidP="00B03EF0">
      <w:pPr>
        <w:spacing w:after="0" w:line="360" w:lineRule="auto"/>
        <w:jc w:val="both"/>
        <w:rPr>
          <w:rFonts w:ascii="Arial" w:hAnsi="Arial" w:cs="Arial"/>
        </w:rPr>
      </w:pPr>
      <w:r w:rsidRPr="002D298E">
        <w:rPr>
          <w:rFonts w:ascii="Arial" w:hAnsi="Arial" w:cs="Arial"/>
          <w:color w:val="000000" w:themeColor="text1"/>
        </w:rPr>
        <w:t>Burden and Prevalence of Hypertension</w:t>
      </w:r>
      <w:r w:rsidR="00845028" w:rsidRPr="002D298E">
        <w:rPr>
          <w:rFonts w:ascii="Arial" w:hAnsi="Arial" w:cs="Arial"/>
          <w:color w:val="000000" w:themeColor="text1"/>
        </w:rPr>
        <w:tab/>
      </w:r>
      <w:r w:rsidR="00845028" w:rsidRPr="002D298E">
        <w:rPr>
          <w:rFonts w:ascii="Arial" w:hAnsi="Arial" w:cs="Arial"/>
          <w:color w:val="000000" w:themeColor="text1"/>
        </w:rPr>
        <w:tab/>
      </w:r>
      <w:r w:rsidR="00845028" w:rsidRPr="002D298E">
        <w:rPr>
          <w:rFonts w:ascii="Arial" w:hAnsi="Arial" w:cs="Arial"/>
          <w:color w:val="000000" w:themeColor="text1"/>
        </w:rPr>
        <w:tab/>
      </w:r>
      <w:r w:rsidR="00BF6599" w:rsidRPr="002D298E">
        <w:rPr>
          <w:rFonts w:ascii="Arial" w:hAnsi="Arial" w:cs="Arial"/>
          <w:color w:val="000000" w:themeColor="text1"/>
        </w:rPr>
        <w:t>4</w:t>
      </w:r>
    </w:p>
    <w:p w14:paraId="65EDCCA8" w14:textId="4F5C96D9" w:rsidR="00BF6599" w:rsidRPr="002D298E" w:rsidRDefault="00BF6599" w:rsidP="00BF6599">
      <w:pPr>
        <w:spacing w:after="0" w:line="360" w:lineRule="auto"/>
        <w:rPr>
          <w:rFonts w:ascii="Arial" w:hAnsi="Arial" w:cs="Arial"/>
        </w:rPr>
      </w:pPr>
      <w:r w:rsidRPr="002D298E">
        <w:rPr>
          <w:rFonts w:ascii="Arial" w:hAnsi="Arial" w:cs="Arial"/>
        </w:rPr>
        <w:t>Key statistics:</w:t>
      </w:r>
      <w:r w:rsidRPr="002D298E">
        <w:rPr>
          <w:rFonts w:ascii="Arial" w:hAnsi="Arial" w:cs="Arial"/>
        </w:rPr>
        <w:tab/>
      </w:r>
      <w:r w:rsidRPr="002D298E">
        <w:rPr>
          <w:rFonts w:ascii="Arial" w:hAnsi="Arial" w:cs="Arial"/>
        </w:rPr>
        <w:tab/>
      </w:r>
      <w:r w:rsidRPr="002D298E">
        <w:rPr>
          <w:rFonts w:ascii="Arial" w:hAnsi="Arial" w:cs="Arial"/>
        </w:rPr>
        <w:tab/>
      </w:r>
      <w:r w:rsidRPr="002D298E">
        <w:rPr>
          <w:rFonts w:ascii="Arial" w:hAnsi="Arial" w:cs="Arial"/>
        </w:rPr>
        <w:tab/>
      </w:r>
      <w:r w:rsidRPr="002D298E">
        <w:rPr>
          <w:rFonts w:ascii="Arial" w:hAnsi="Arial" w:cs="Arial"/>
        </w:rPr>
        <w:tab/>
      </w:r>
      <w:r w:rsidRPr="002D298E">
        <w:rPr>
          <w:rFonts w:ascii="Arial" w:hAnsi="Arial" w:cs="Arial"/>
        </w:rPr>
        <w:tab/>
      </w:r>
      <w:r w:rsidRPr="002D298E">
        <w:rPr>
          <w:rFonts w:ascii="Arial" w:hAnsi="Arial" w:cs="Arial"/>
        </w:rPr>
        <w:tab/>
      </w:r>
      <w:r w:rsidR="002608D5">
        <w:rPr>
          <w:rFonts w:ascii="Arial" w:hAnsi="Arial" w:cs="Arial"/>
        </w:rPr>
        <w:t>5</w:t>
      </w:r>
    </w:p>
    <w:p w14:paraId="51A29FFB" w14:textId="5B2BD7C4" w:rsidR="00301FB2" w:rsidRPr="002D298E" w:rsidRDefault="00E86698" w:rsidP="00A52FDF">
      <w:pPr>
        <w:spacing w:after="0" w:line="360" w:lineRule="auto"/>
        <w:rPr>
          <w:rFonts w:ascii="Arial" w:hAnsi="Arial" w:cs="Arial"/>
        </w:rPr>
      </w:pPr>
      <w:r w:rsidRPr="002D298E">
        <w:rPr>
          <w:rFonts w:ascii="Arial" w:hAnsi="Arial" w:cs="Arial"/>
        </w:rPr>
        <w:t>Risk Factors and Aetiology</w:t>
      </w:r>
      <w:r w:rsidR="003911CC" w:rsidRPr="002D298E">
        <w:rPr>
          <w:rFonts w:ascii="Arial" w:hAnsi="Arial" w:cs="Arial"/>
        </w:rPr>
        <w:t>.</w:t>
      </w:r>
      <w:r w:rsidR="003911CC" w:rsidRPr="002D298E">
        <w:rPr>
          <w:rFonts w:ascii="Arial" w:hAnsi="Arial" w:cs="Arial"/>
        </w:rPr>
        <w:tab/>
      </w:r>
      <w:r w:rsidR="003911CC" w:rsidRPr="002D298E">
        <w:rPr>
          <w:rFonts w:ascii="Arial" w:hAnsi="Arial" w:cs="Arial"/>
        </w:rPr>
        <w:tab/>
      </w:r>
      <w:r w:rsidR="003911CC" w:rsidRPr="002D298E">
        <w:rPr>
          <w:rFonts w:ascii="Arial" w:hAnsi="Arial" w:cs="Arial"/>
        </w:rPr>
        <w:tab/>
      </w:r>
      <w:r w:rsidR="003911CC" w:rsidRPr="002D298E">
        <w:rPr>
          <w:rFonts w:ascii="Arial" w:hAnsi="Arial" w:cs="Arial"/>
        </w:rPr>
        <w:tab/>
      </w:r>
      <w:r w:rsidR="003911CC" w:rsidRPr="002D298E">
        <w:rPr>
          <w:rFonts w:ascii="Arial" w:hAnsi="Arial" w:cs="Arial"/>
        </w:rPr>
        <w:tab/>
      </w:r>
      <w:r w:rsidR="001A1F6B">
        <w:rPr>
          <w:rFonts w:ascii="Arial" w:hAnsi="Arial" w:cs="Arial"/>
        </w:rPr>
        <w:t>6</w:t>
      </w:r>
    </w:p>
    <w:p w14:paraId="5A06B68E" w14:textId="79E714C0" w:rsidR="00F1130E" w:rsidRPr="002D298E" w:rsidRDefault="007F3D0E">
      <w:pPr>
        <w:rPr>
          <w:rFonts w:ascii="Arial" w:hAnsi="Arial" w:cs="Arial"/>
        </w:rPr>
      </w:pPr>
      <w:r w:rsidRPr="002D298E">
        <w:rPr>
          <w:rFonts w:ascii="Arial" w:hAnsi="Arial" w:cs="Arial"/>
        </w:rPr>
        <w:t>Impact of Hypertension</w:t>
      </w:r>
      <w:r w:rsidR="00404D9E" w:rsidRPr="002D298E">
        <w:rPr>
          <w:rFonts w:ascii="Arial" w:hAnsi="Arial" w:cs="Arial"/>
        </w:rPr>
        <w:t>:</w:t>
      </w:r>
      <w:r w:rsidR="00404D9E" w:rsidRPr="002D298E">
        <w:rPr>
          <w:rFonts w:ascii="Arial" w:hAnsi="Arial" w:cs="Arial"/>
        </w:rPr>
        <w:tab/>
      </w:r>
      <w:r w:rsidR="00404D9E" w:rsidRPr="002D298E">
        <w:rPr>
          <w:rFonts w:ascii="Arial" w:hAnsi="Arial" w:cs="Arial"/>
        </w:rPr>
        <w:tab/>
      </w:r>
      <w:r w:rsidR="00404D9E" w:rsidRPr="002D298E">
        <w:rPr>
          <w:rFonts w:ascii="Arial" w:hAnsi="Arial" w:cs="Arial"/>
        </w:rPr>
        <w:tab/>
      </w:r>
      <w:r w:rsidR="00404D9E" w:rsidRPr="002D298E">
        <w:rPr>
          <w:rFonts w:ascii="Arial" w:hAnsi="Arial" w:cs="Arial"/>
        </w:rPr>
        <w:tab/>
      </w:r>
      <w:r w:rsidR="00404D9E" w:rsidRPr="002D298E">
        <w:rPr>
          <w:rFonts w:ascii="Arial" w:hAnsi="Arial" w:cs="Arial"/>
        </w:rPr>
        <w:tab/>
      </w:r>
      <w:r w:rsidR="00426834">
        <w:rPr>
          <w:rFonts w:ascii="Arial" w:hAnsi="Arial" w:cs="Arial"/>
        </w:rPr>
        <w:t>8</w:t>
      </w:r>
    </w:p>
    <w:p w14:paraId="434DB561" w14:textId="1309B1D2" w:rsidR="00301FB2" w:rsidRPr="002D298E" w:rsidRDefault="00941510" w:rsidP="00A52FDF">
      <w:pPr>
        <w:spacing w:after="0" w:line="360" w:lineRule="auto"/>
        <w:rPr>
          <w:rFonts w:ascii="Arial" w:hAnsi="Arial" w:cs="Arial"/>
        </w:rPr>
      </w:pPr>
      <w:r w:rsidRPr="002D298E">
        <w:rPr>
          <w:rFonts w:ascii="Arial" w:hAnsi="Arial" w:cs="Arial"/>
        </w:rPr>
        <w:t>Evidence</w:t>
      </w:r>
      <w:r w:rsidR="00B22E48" w:rsidRPr="002D298E">
        <w:rPr>
          <w:rFonts w:ascii="Arial" w:hAnsi="Arial" w:cs="Arial"/>
        </w:rPr>
        <w:t xml:space="preserve"> and Guid</w:t>
      </w:r>
      <w:r w:rsidRPr="002D298E">
        <w:rPr>
          <w:rFonts w:ascii="Arial" w:hAnsi="Arial" w:cs="Arial"/>
        </w:rPr>
        <w:t>elines:</w:t>
      </w:r>
      <w:r w:rsidRPr="002D298E">
        <w:rPr>
          <w:rFonts w:ascii="Arial" w:hAnsi="Arial" w:cs="Arial"/>
        </w:rPr>
        <w:tab/>
      </w:r>
      <w:r w:rsidRPr="002D298E">
        <w:rPr>
          <w:rFonts w:ascii="Arial" w:hAnsi="Arial" w:cs="Arial"/>
        </w:rPr>
        <w:tab/>
      </w:r>
      <w:r w:rsidRPr="002D298E">
        <w:rPr>
          <w:rFonts w:ascii="Arial" w:hAnsi="Arial" w:cs="Arial"/>
        </w:rPr>
        <w:tab/>
      </w:r>
      <w:r w:rsidRPr="002D298E">
        <w:rPr>
          <w:rFonts w:ascii="Arial" w:hAnsi="Arial" w:cs="Arial"/>
        </w:rPr>
        <w:tab/>
      </w:r>
      <w:r w:rsidRPr="002D298E">
        <w:rPr>
          <w:rFonts w:ascii="Arial" w:hAnsi="Arial" w:cs="Arial"/>
        </w:rPr>
        <w:tab/>
      </w:r>
      <w:r w:rsidR="00862E3C">
        <w:rPr>
          <w:rFonts w:ascii="Arial" w:hAnsi="Arial" w:cs="Arial"/>
        </w:rPr>
        <w:t>11</w:t>
      </w:r>
    </w:p>
    <w:p w14:paraId="1D5DA02D" w14:textId="1EA55D05" w:rsidR="00340654" w:rsidRPr="002D298E" w:rsidRDefault="000F1CBA" w:rsidP="00A52FDF">
      <w:pPr>
        <w:spacing w:after="0" w:line="360" w:lineRule="auto"/>
        <w:rPr>
          <w:rFonts w:ascii="Arial" w:hAnsi="Arial" w:cs="Arial"/>
        </w:rPr>
      </w:pPr>
      <w:r w:rsidRPr="002D298E">
        <w:rPr>
          <w:rFonts w:ascii="Arial" w:hAnsi="Arial" w:cs="Arial"/>
        </w:rPr>
        <w:t>Evidence-based</w:t>
      </w:r>
      <w:r w:rsidR="004232BD" w:rsidRPr="002D298E">
        <w:rPr>
          <w:rFonts w:ascii="Arial" w:hAnsi="Arial" w:cs="Arial"/>
        </w:rPr>
        <w:t xml:space="preserve"> Treatments</w:t>
      </w:r>
      <w:r w:rsidRPr="002D298E">
        <w:rPr>
          <w:rFonts w:ascii="Arial" w:hAnsi="Arial" w:cs="Arial"/>
        </w:rPr>
        <w:t>:</w:t>
      </w:r>
      <w:r w:rsidRPr="002D298E">
        <w:rPr>
          <w:rFonts w:ascii="Arial" w:hAnsi="Arial" w:cs="Arial"/>
        </w:rPr>
        <w:tab/>
      </w:r>
      <w:r w:rsidRPr="002D298E">
        <w:rPr>
          <w:rFonts w:ascii="Arial" w:hAnsi="Arial" w:cs="Arial"/>
        </w:rPr>
        <w:tab/>
      </w:r>
      <w:r w:rsidRPr="002D298E">
        <w:rPr>
          <w:rFonts w:ascii="Arial" w:hAnsi="Arial" w:cs="Arial"/>
        </w:rPr>
        <w:tab/>
      </w:r>
      <w:r w:rsidRPr="002D298E">
        <w:rPr>
          <w:rFonts w:ascii="Arial" w:hAnsi="Arial" w:cs="Arial"/>
        </w:rPr>
        <w:tab/>
      </w:r>
      <w:r w:rsidRPr="002D298E">
        <w:rPr>
          <w:rFonts w:ascii="Arial" w:hAnsi="Arial" w:cs="Arial"/>
        </w:rPr>
        <w:tab/>
      </w:r>
      <w:r w:rsidR="002A60CE" w:rsidRPr="002D298E">
        <w:rPr>
          <w:rFonts w:ascii="Arial" w:hAnsi="Arial" w:cs="Arial"/>
        </w:rPr>
        <w:t>1</w:t>
      </w:r>
      <w:r w:rsidR="00B37272">
        <w:rPr>
          <w:rFonts w:ascii="Arial" w:hAnsi="Arial" w:cs="Arial"/>
        </w:rPr>
        <w:t>2</w:t>
      </w:r>
    </w:p>
    <w:p w14:paraId="66878511" w14:textId="06AF110C" w:rsidR="00340654" w:rsidRPr="002D298E" w:rsidRDefault="003A231D" w:rsidP="00A52FDF">
      <w:pPr>
        <w:spacing w:after="0" w:line="360" w:lineRule="auto"/>
        <w:rPr>
          <w:rFonts w:ascii="Arial" w:hAnsi="Arial" w:cs="Arial"/>
        </w:rPr>
      </w:pPr>
      <w:r w:rsidRPr="002D298E">
        <w:rPr>
          <w:rFonts w:ascii="Arial" w:hAnsi="Arial" w:cs="Arial"/>
        </w:rPr>
        <w:t>Theor</w:t>
      </w:r>
      <w:r w:rsidR="00FB2CE1" w:rsidRPr="002D298E">
        <w:rPr>
          <w:rFonts w:ascii="Arial" w:hAnsi="Arial" w:cs="Arial"/>
        </w:rPr>
        <w:t xml:space="preserve">etical </w:t>
      </w:r>
      <w:r w:rsidR="00F77C92" w:rsidRPr="002D298E">
        <w:rPr>
          <w:rFonts w:ascii="Arial" w:hAnsi="Arial" w:cs="Arial"/>
        </w:rPr>
        <w:t>Perspectives</w:t>
      </w:r>
      <w:r w:rsidRPr="002D298E">
        <w:rPr>
          <w:rFonts w:ascii="Arial" w:hAnsi="Arial" w:cs="Arial"/>
        </w:rPr>
        <w:t xml:space="preserve"> and Models</w:t>
      </w:r>
      <w:r w:rsidR="00FB2CE1" w:rsidRPr="002D298E">
        <w:rPr>
          <w:rFonts w:ascii="Arial" w:hAnsi="Arial" w:cs="Arial"/>
        </w:rPr>
        <w:t>:</w:t>
      </w:r>
      <w:r w:rsidR="00FB2CE1" w:rsidRPr="002D298E">
        <w:rPr>
          <w:rFonts w:ascii="Arial" w:hAnsi="Arial" w:cs="Arial"/>
        </w:rPr>
        <w:tab/>
      </w:r>
      <w:r w:rsidR="00FB2CE1" w:rsidRPr="002D298E">
        <w:rPr>
          <w:rFonts w:ascii="Arial" w:hAnsi="Arial" w:cs="Arial"/>
        </w:rPr>
        <w:tab/>
      </w:r>
      <w:r w:rsidR="00FB2CE1" w:rsidRPr="002D298E">
        <w:rPr>
          <w:rFonts w:ascii="Arial" w:hAnsi="Arial" w:cs="Arial"/>
        </w:rPr>
        <w:tab/>
        <w:t>1</w:t>
      </w:r>
      <w:r w:rsidR="00B7726E">
        <w:rPr>
          <w:rFonts w:ascii="Arial" w:hAnsi="Arial" w:cs="Arial"/>
        </w:rPr>
        <w:t>2</w:t>
      </w:r>
    </w:p>
    <w:p w14:paraId="02E034EE" w14:textId="194A7810" w:rsidR="00340654" w:rsidRPr="002D298E" w:rsidRDefault="00F77C92" w:rsidP="00A52FDF">
      <w:pPr>
        <w:spacing w:after="0" w:line="360" w:lineRule="auto"/>
        <w:rPr>
          <w:rFonts w:ascii="Arial" w:hAnsi="Arial" w:cs="Arial"/>
        </w:rPr>
      </w:pPr>
      <w:r w:rsidRPr="002D298E">
        <w:rPr>
          <w:rFonts w:ascii="Arial" w:hAnsi="Arial" w:cs="Arial"/>
        </w:rPr>
        <w:t xml:space="preserve">Political </w:t>
      </w:r>
      <w:r w:rsidR="00D43D49" w:rsidRPr="002D298E">
        <w:rPr>
          <w:rFonts w:ascii="Arial" w:hAnsi="Arial" w:cs="Arial"/>
        </w:rPr>
        <w:t>HSC Agendas:</w:t>
      </w:r>
      <w:r w:rsidR="00D43D49" w:rsidRPr="002D298E">
        <w:rPr>
          <w:rFonts w:ascii="Arial" w:hAnsi="Arial" w:cs="Arial"/>
        </w:rPr>
        <w:tab/>
      </w:r>
      <w:r w:rsidR="00D43D49" w:rsidRPr="002D298E">
        <w:rPr>
          <w:rFonts w:ascii="Arial" w:hAnsi="Arial" w:cs="Arial"/>
        </w:rPr>
        <w:tab/>
      </w:r>
      <w:r w:rsidR="00D43D49" w:rsidRPr="002D298E">
        <w:rPr>
          <w:rFonts w:ascii="Arial" w:hAnsi="Arial" w:cs="Arial"/>
        </w:rPr>
        <w:tab/>
      </w:r>
      <w:r w:rsidR="00D43D49" w:rsidRPr="002D298E">
        <w:rPr>
          <w:rFonts w:ascii="Arial" w:hAnsi="Arial" w:cs="Arial"/>
        </w:rPr>
        <w:tab/>
      </w:r>
      <w:r w:rsidR="00D43D49" w:rsidRPr="002D298E">
        <w:rPr>
          <w:rFonts w:ascii="Arial" w:hAnsi="Arial" w:cs="Arial"/>
        </w:rPr>
        <w:tab/>
        <w:t>1</w:t>
      </w:r>
      <w:r w:rsidR="00B11825">
        <w:rPr>
          <w:rFonts w:ascii="Arial" w:hAnsi="Arial" w:cs="Arial"/>
        </w:rPr>
        <w:t>3</w:t>
      </w:r>
    </w:p>
    <w:p w14:paraId="3C487985" w14:textId="0E5783E7" w:rsidR="00340654" w:rsidRPr="002D298E" w:rsidRDefault="0019781D" w:rsidP="00A52FDF">
      <w:pPr>
        <w:spacing w:after="0" w:line="360" w:lineRule="auto"/>
        <w:rPr>
          <w:rFonts w:ascii="Arial" w:hAnsi="Arial" w:cs="Arial"/>
        </w:rPr>
      </w:pPr>
      <w:r w:rsidRPr="002D298E">
        <w:rPr>
          <w:rFonts w:ascii="Arial" w:hAnsi="Arial" w:cs="Arial"/>
        </w:rPr>
        <w:t>Recommendations:</w:t>
      </w:r>
      <w:r w:rsidRPr="002D298E">
        <w:rPr>
          <w:rFonts w:ascii="Arial" w:hAnsi="Arial" w:cs="Arial"/>
        </w:rPr>
        <w:tab/>
      </w:r>
      <w:r w:rsidRPr="002D298E">
        <w:rPr>
          <w:rFonts w:ascii="Arial" w:hAnsi="Arial" w:cs="Arial"/>
        </w:rPr>
        <w:tab/>
      </w:r>
      <w:r w:rsidRPr="002D298E">
        <w:rPr>
          <w:rFonts w:ascii="Arial" w:hAnsi="Arial" w:cs="Arial"/>
        </w:rPr>
        <w:tab/>
      </w:r>
      <w:r w:rsidRPr="002D298E">
        <w:rPr>
          <w:rFonts w:ascii="Arial" w:hAnsi="Arial" w:cs="Arial"/>
        </w:rPr>
        <w:tab/>
      </w:r>
      <w:r w:rsidRPr="002D298E">
        <w:rPr>
          <w:rFonts w:ascii="Arial" w:hAnsi="Arial" w:cs="Arial"/>
        </w:rPr>
        <w:tab/>
      </w:r>
      <w:r w:rsidRPr="002D298E">
        <w:rPr>
          <w:rFonts w:ascii="Arial" w:hAnsi="Arial" w:cs="Arial"/>
        </w:rPr>
        <w:tab/>
      </w:r>
      <w:r w:rsidR="00113E99" w:rsidRPr="002D298E">
        <w:rPr>
          <w:rFonts w:ascii="Arial" w:hAnsi="Arial" w:cs="Arial"/>
        </w:rPr>
        <w:t>1</w:t>
      </w:r>
      <w:r w:rsidR="009D141F">
        <w:rPr>
          <w:rFonts w:ascii="Arial" w:hAnsi="Arial" w:cs="Arial"/>
        </w:rPr>
        <w:t>4</w:t>
      </w:r>
    </w:p>
    <w:p w14:paraId="706EBEA2" w14:textId="57488378" w:rsidR="00340654" w:rsidRPr="002D298E" w:rsidRDefault="00113E99" w:rsidP="00A52FDF">
      <w:pPr>
        <w:spacing w:after="0" w:line="360" w:lineRule="auto"/>
        <w:rPr>
          <w:rFonts w:ascii="Arial" w:hAnsi="Arial" w:cs="Arial"/>
        </w:rPr>
      </w:pPr>
      <w:r w:rsidRPr="002D298E">
        <w:rPr>
          <w:rFonts w:ascii="Arial" w:hAnsi="Arial" w:cs="Arial"/>
        </w:rPr>
        <w:t>Conclusion:</w:t>
      </w:r>
      <w:r w:rsidRPr="002D298E">
        <w:rPr>
          <w:rFonts w:ascii="Arial" w:hAnsi="Arial" w:cs="Arial"/>
        </w:rPr>
        <w:tab/>
      </w:r>
      <w:r w:rsidRPr="002D298E">
        <w:rPr>
          <w:rFonts w:ascii="Arial" w:hAnsi="Arial" w:cs="Arial"/>
        </w:rPr>
        <w:tab/>
      </w:r>
      <w:r w:rsidRPr="002D298E">
        <w:rPr>
          <w:rFonts w:ascii="Arial" w:hAnsi="Arial" w:cs="Arial"/>
        </w:rPr>
        <w:tab/>
      </w:r>
      <w:r w:rsidRPr="002D298E">
        <w:rPr>
          <w:rFonts w:ascii="Arial" w:hAnsi="Arial" w:cs="Arial"/>
        </w:rPr>
        <w:tab/>
      </w:r>
      <w:r w:rsidRPr="002D298E">
        <w:rPr>
          <w:rFonts w:ascii="Arial" w:hAnsi="Arial" w:cs="Arial"/>
        </w:rPr>
        <w:tab/>
      </w:r>
      <w:r w:rsidRPr="002D298E">
        <w:rPr>
          <w:rFonts w:ascii="Arial" w:hAnsi="Arial" w:cs="Arial"/>
        </w:rPr>
        <w:tab/>
      </w:r>
      <w:r w:rsidRPr="002D298E">
        <w:rPr>
          <w:rFonts w:ascii="Arial" w:hAnsi="Arial" w:cs="Arial"/>
        </w:rPr>
        <w:tab/>
      </w:r>
      <w:r w:rsidR="00623CC6" w:rsidRPr="002D298E">
        <w:rPr>
          <w:rFonts w:ascii="Arial" w:hAnsi="Arial" w:cs="Arial"/>
        </w:rPr>
        <w:t>1</w:t>
      </w:r>
      <w:r w:rsidR="009D141F">
        <w:rPr>
          <w:rFonts w:ascii="Arial" w:hAnsi="Arial" w:cs="Arial"/>
        </w:rPr>
        <w:t>5</w:t>
      </w:r>
    </w:p>
    <w:p w14:paraId="487D04F1" w14:textId="6B079403" w:rsidR="00340654" w:rsidRPr="002D298E" w:rsidRDefault="00623CC6" w:rsidP="00A52FDF">
      <w:pPr>
        <w:spacing w:after="0" w:line="360" w:lineRule="auto"/>
        <w:rPr>
          <w:rFonts w:ascii="Arial" w:hAnsi="Arial" w:cs="Arial"/>
        </w:rPr>
      </w:pPr>
      <w:r w:rsidRPr="002D298E">
        <w:rPr>
          <w:rFonts w:ascii="Arial" w:hAnsi="Arial" w:cs="Arial"/>
        </w:rPr>
        <w:t>References:</w:t>
      </w:r>
      <w:r w:rsidRPr="002D298E">
        <w:rPr>
          <w:rFonts w:ascii="Arial" w:hAnsi="Arial" w:cs="Arial"/>
        </w:rPr>
        <w:tab/>
      </w:r>
      <w:r w:rsidRPr="002D298E">
        <w:rPr>
          <w:rFonts w:ascii="Arial" w:hAnsi="Arial" w:cs="Arial"/>
        </w:rPr>
        <w:tab/>
      </w:r>
      <w:r w:rsidRPr="002D298E">
        <w:rPr>
          <w:rFonts w:ascii="Arial" w:hAnsi="Arial" w:cs="Arial"/>
        </w:rPr>
        <w:tab/>
      </w:r>
      <w:r w:rsidRPr="002D298E">
        <w:rPr>
          <w:rFonts w:ascii="Arial" w:hAnsi="Arial" w:cs="Arial"/>
        </w:rPr>
        <w:tab/>
      </w:r>
      <w:r w:rsidRPr="002D298E">
        <w:rPr>
          <w:rFonts w:ascii="Arial" w:hAnsi="Arial" w:cs="Arial"/>
        </w:rPr>
        <w:tab/>
      </w:r>
      <w:r w:rsidRPr="002D298E">
        <w:rPr>
          <w:rFonts w:ascii="Arial" w:hAnsi="Arial" w:cs="Arial"/>
        </w:rPr>
        <w:tab/>
      </w:r>
      <w:r w:rsidRPr="002D298E">
        <w:rPr>
          <w:rFonts w:ascii="Arial" w:hAnsi="Arial" w:cs="Arial"/>
        </w:rPr>
        <w:tab/>
      </w:r>
      <w:r w:rsidR="00FD6D06" w:rsidRPr="002D298E">
        <w:rPr>
          <w:rFonts w:ascii="Arial" w:hAnsi="Arial" w:cs="Arial"/>
        </w:rPr>
        <w:t>1</w:t>
      </w:r>
      <w:r w:rsidR="00433F22">
        <w:rPr>
          <w:rFonts w:ascii="Arial" w:hAnsi="Arial" w:cs="Arial"/>
        </w:rPr>
        <w:t>6</w:t>
      </w:r>
    </w:p>
    <w:p w14:paraId="70C5E2DA" w14:textId="77777777" w:rsidR="00340654" w:rsidRPr="002D298E" w:rsidRDefault="00340654" w:rsidP="00A52FDF">
      <w:pPr>
        <w:spacing w:after="0" w:line="360" w:lineRule="auto"/>
        <w:rPr>
          <w:rFonts w:ascii="Arial" w:hAnsi="Arial" w:cs="Arial"/>
        </w:rPr>
      </w:pPr>
    </w:p>
    <w:p w14:paraId="0422623C" w14:textId="77777777" w:rsidR="00340654" w:rsidRPr="002D298E" w:rsidRDefault="00340654" w:rsidP="00A52FDF">
      <w:pPr>
        <w:spacing w:after="0" w:line="360" w:lineRule="auto"/>
        <w:rPr>
          <w:rFonts w:ascii="Arial" w:hAnsi="Arial" w:cs="Arial"/>
        </w:rPr>
      </w:pPr>
    </w:p>
    <w:p w14:paraId="6ADF3F5B" w14:textId="402E5097" w:rsidR="00075C7D" w:rsidRDefault="00075C7D">
      <w:pPr>
        <w:rPr>
          <w:rFonts w:ascii="Arial" w:hAnsi="Arial" w:cs="Arial"/>
        </w:rPr>
      </w:pPr>
      <w:r>
        <w:rPr>
          <w:rFonts w:ascii="Arial" w:hAnsi="Arial" w:cs="Arial"/>
        </w:rPr>
        <w:br w:type="page"/>
      </w:r>
    </w:p>
    <w:p w14:paraId="415B616C" w14:textId="5BA1BE89" w:rsidR="0017134A" w:rsidRPr="00343F1A" w:rsidRDefault="0017134A" w:rsidP="00A52FDF">
      <w:pPr>
        <w:spacing w:after="0" w:line="360" w:lineRule="auto"/>
        <w:jc w:val="both"/>
        <w:rPr>
          <w:rFonts w:ascii="Arial" w:hAnsi="Arial" w:cs="Arial"/>
          <w:b/>
          <w:bCs/>
          <w:color w:val="0070C0"/>
          <w:sz w:val="28"/>
          <w:szCs w:val="28"/>
        </w:rPr>
      </w:pPr>
      <w:r w:rsidRPr="00343F1A">
        <w:rPr>
          <w:rFonts w:ascii="Arial" w:hAnsi="Arial" w:cs="Arial"/>
          <w:b/>
          <w:bCs/>
          <w:color w:val="0070C0"/>
          <w:sz w:val="28"/>
          <w:szCs w:val="28"/>
        </w:rPr>
        <w:lastRenderedPageBreak/>
        <w:t>Introduction</w:t>
      </w:r>
      <w:r w:rsidR="00D92F55" w:rsidRPr="00343F1A">
        <w:rPr>
          <w:rFonts w:ascii="Arial" w:hAnsi="Arial" w:cs="Arial"/>
          <w:b/>
          <w:bCs/>
          <w:color w:val="0070C0"/>
          <w:sz w:val="28"/>
          <w:szCs w:val="28"/>
        </w:rPr>
        <w:t>.</w:t>
      </w:r>
    </w:p>
    <w:p w14:paraId="3F5AAC9F" w14:textId="77777777" w:rsidR="00340654" w:rsidRPr="002D298E" w:rsidRDefault="00340654" w:rsidP="00A52FDF">
      <w:pPr>
        <w:spacing w:after="0" w:line="360" w:lineRule="auto"/>
        <w:jc w:val="both"/>
        <w:rPr>
          <w:rFonts w:ascii="Arial" w:hAnsi="Arial" w:cs="Arial"/>
          <w:color w:val="000000" w:themeColor="text1"/>
        </w:rPr>
      </w:pPr>
    </w:p>
    <w:p w14:paraId="69B539DC" w14:textId="724931D1" w:rsidR="0017134A" w:rsidRPr="002D298E" w:rsidRDefault="0017134A" w:rsidP="00A52FDF">
      <w:pPr>
        <w:spacing w:after="0" w:line="360" w:lineRule="auto"/>
        <w:jc w:val="both"/>
        <w:rPr>
          <w:rFonts w:ascii="Arial" w:hAnsi="Arial" w:cs="Arial"/>
          <w:color w:val="000000" w:themeColor="text1"/>
        </w:rPr>
      </w:pPr>
      <w:r w:rsidRPr="002D298E">
        <w:rPr>
          <w:rFonts w:ascii="Arial" w:hAnsi="Arial" w:cs="Arial"/>
          <w:color w:val="000000" w:themeColor="text1"/>
        </w:rPr>
        <w:t>Hypertension is a highly widespread and substantial chronic health problem impacting people globally and continues to pose a serious public health challenge in the United Kingdom (Chaturvedi</w:t>
      </w:r>
      <w:r w:rsidR="0064709C" w:rsidRPr="002D298E">
        <w:rPr>
          <w:rFonts w:ascii="Arial" w:hAnsi="Arial" w:cs="Arial"/>
          <w:color w:val="000000" w:themeColor="text1"/>
        </w:rPr>
        <w:t xml:space="preserve"> </w:t>
      </w:r>
      <w:r w:rsidRPr="002D298E">
        <w:rPr>
          <w:rFonts w:ascii="Arial" w:hAnsi="Arial" w:cs="Arial"/>
          <w:i/>
          <w:iCs/>
          <w:color w:val="000000" w:themeColor="text1"/>
        </w:rPr>
        <w:t>et al.</w:t>
      </w:r>
      <w:r w:rsidRPr="002D298E">
        <w:rPr>
          <w:rFonts w:ascii="Arial" w:hAnsi="Arial" w:cs="Arial"/>
          <w:color w:val="000000" w:themeColor="text1"/>
        </w:rPr>
        <w:t xml:space="preserve"> 2024). Hypertension sometimes manifests without discernible symptoms and can go unnoticed for extended periods, inflicting gradual harm on the cardiovascular system and other organs. Thus, hypertension significantly contributes to cardiovascular disease, stroke, chronic renal disease, heart failure, cognitive decline, disability, and premature mortality</w:t>
      </w:r>
      <w:r w:rsidR="008A1114" w:rsidRPr="002D298E">
        <w:rPr>
          <w:rFonts w:ascii="Arial" w:eastAsia="Times New Roman" w:hAnsi="Arial" w:cs="Arial"/>
          <w:lang w:eastAsia="en-GB"/>
        </w:rPr>
        <w:t xml:space="preserve"> (Todd </w:t>
      </w:r>
      <w:r w:rsidR="008A1114" w:rsidRPr="002D298E">
        <w:rPr>
          <w:rFonts w:ascii="Arial" w:eastAsia="Times New Roman" w:hAnsi="Arial" w:cs="Arial"/>
          <w:i/>
          <w:iCs/>
          <w:lang w:eastAsia="en-GB"/>
        </w:rPr>
        <w:t>et al.</w:t>
      </w:r>
      <w:r w:rsidR="008A1114" w:rsidRPr="002D298E">
        <w:rPr>
          <w:rFonts w:ascii="Arial" w:eastAsia="Times New Roman" w:hAnsi="Arial" w:cs="Arial"/>
          <w:lang w:eastAsia="en-GB"/>
        </w:rPr>
        <w:t xml:space="preserve"> 2023)</w:t>
      </w:r>
      <w:r w:rsidRPr="002D298E">
        <w:rPr>
          <w:rFonts w:ascii="Arial" w:hAnsi="Arial" w:cs="Arial"/>
          <w:color w:val="000000" w:themeColor="text1"/>
        </w:rPr>
        <w:t>.</w:t>
      </w:r>
    </w:p>
    <w:p w14:paraId="6879A4A8" w14:textId="77777777" w:rsidR="0017134A" w:rsidRPr="002D298E" w:rsidRDefault="0017134A" w:rsidP="00A52FDF">
      <w:pPr>
        <w:spacing w:after="0" w:line="360" w:lineRule="auto"/>
        <w:jc w:val="both"/>
        <w:rPr>
          <w:rFonts w:ascii="Arial" w:hAnsi="Arial" w:cs="Arial"/>
          <w:color w:val="000000" w:themeColor="text1"/>
        </w:rPr>
      </w:pPr>
    </w:p>
    <w:p w14:paraId="18FA6E14" w14:textId="77777777" w:rsidR="00BF7CCA" w:rsidRPr="002D298E" w:rsidRDefault="0017134A" w:rsidP="00BF7CCA">
      <w:pPr>
        <w:spacing w:after="0" w:line="360" w:lineRule="auto"/>
        <w:jc w:val="both"/>
        <w:rPr>
          <w:rFonts w:ascii="Arial" w:hAnsi="Arial" w:cs="Arial"/>
          <w:color w:val="000000" w:themeColor="text1"/>
        </w:rPr>
      </w:pPr>
      <w:r w:rsidRPr="002D298E">
        <w:rPr>
          <w:rFonts w:ascii="Arial" w:hAnsi="Arial" w:cs="Arial"/>
          <w:color w:val="000000" w:themeColor="text1"/>
        </w:rPr>
        <w:t>Valabhji</w:t>
      </w:r>
      <w:r w:rsidR="0031305E" w:rsidRPr="002D298E">
        <w:rPr>
          <w:rFonts w:ascii="Arial" w:hAnsi="Arial" w:cs="Arial"/>
          <w:color w:val="000000" w:themeColor="text1"/>
        </w:rPr>
        <w:t xml:space="preserve"> </w:t>
      </w:r>
      <w:r w:rsidRPr="002D298E">
        <w:rPr>
          <w:rFonts w:ascii="Arial" w:hAnsi="Arial" w:cs="Arial"/>
          <w:i/>
          <w:iCs/>
          <w:color w:val="000000" w:themeColor="text1"/>
        </w:rPr>
        <w:t>et al.</w:t>
      </w:r>
      <w:r w:rsidRPr="002D298E">
        <w:rPr>
          <w:rFonts w:ascii="Arial" w:hAnsi="Arial" w:cs="Arial"/>
          <w:color w:val="000000" w:themeColor="text1"/>
        </w:rPr>
        <w:t xml:space="preserve"> </w:t>
      </w:r>
      <w:r w:rsidR="0083556F" w:rsidRPr="002D298E">
        <w:rPr>
          <w:rFonts w:ascii="Arial" w:hAnsi="Arial" w:cs="Arial"/>
          <w:color w:val="000000" w:themeColor="text1"/>
        </w:rPr>
        <w:t>(</w:t>
      </w:r>
      <w:r w:rsidRPr="002D298E">
        <w:rPr>
          <w:rFonts w:ascii="Arial" w:hAnsi="Arial" w:cs="Arial"/>
          <w:color w:val="000000" w:themeColor="text1"/>
        </w:rPr>
        <w:t>2024</w:t>
      </w:r>
      <w:r w:rsidR="0083556F" w:rsidRPr="002D298E">
        <w:rPr>
          <w:rFonts w:ascii="Arial" w:hAnsi="Arial" w:cs="Arial"/>
          <w:color w:val="000000" w:themeColor="text1"/>
        </w:rPr>
        <w:t>)</w:t>
      </w:r>
      <w:r w:rsidRPr="002D298E">
        <w:rPr>
          <w:rFonts w:ascii="Arial" w:hAnsi="Arial" w:cs="Arial"/>
          <w:color w:val="000000" w:themeColor="text1"/>
        </w:rPr>
        <w:t xml:space="preserve"> stated that long-term conditions (LTCs) account for a substantial proportion of healthcare utilisation within the National Health Service (NHS), with individuals living with chronic diseases often requiring ongoing monitoring, treatment, and support throughout their lives. The NHS Long Term Plan recognises cardiovascular disease prevention and management as a key priority due to the significant burden of hypertension and its associated complications (NHS England, 2019). </w:t>
      </w:r>
      <w:r w:rsidR="00BF7CCA" w:rsidRPr="002D298E">
        <w:rPr>
          <w:rFonts w:ascii="Arial" w:hAnsi="Arial" w:cs="Arial"/>
          <w:color w:val="000000" w:themeColor="text1"/>
        </w:rPr>
        <w:t xml:space="preserve">For health and social care professionals, understanding hypertension involves holistic, person-centred care, acknowledging psychological wellbeing, social </w:t>
      </w:r>
      <w:r w:rsidR="00BF7CCA" w:rsidRPr="002D298E">
        <w:rPr>
          <w:rFonts w:ascii="Arial" w:hAnsi="Arial" w:cs="Arial"/>
          <w:color w:val="000000" w:themeColor="text1"/>
        </w:rPr>
        <w:t>circumstances, self-management, family involvement, and health inequalities. This booklet evaluates hypertension as a long-term condition, covering its epidemiology, causes, impacts, management strategies, theoretical frameworks, policy drivers, and future practice recommendations.</w:t>
      </w:r>
    </w:p>
    <w:p w14:paraId="4FF95D5A" w14:textId="77777777" w:rsidR="0017134A" w:rsidRPr="002D298E" w:rsidRDefault="0017134A" w:rsidP="00A52FDF">
      <w:pPr>
        <w:spacing w:after="0" w:line="360" w:lineRule="auto"/>
        <w:jc w:val="both"/>
        <w:rPr>
          <w:rFonts w:ascii="Arial" w:hAnsi="Arial" w:cs="Arial"/>
          <w:b/>
          <w:bCs/>
          <w:color w:val="000000" w:themeColor="text1"/>
        </w:rPr>
      </w:pPr>
    </w:p>
    <w:p w14:paraId="5BFB1D9E" w14:textId="5B0E5EE8" w:rsidR="00245E86" w:rsidRPr="00343F1A" w:rsidRDefault="002956B4" w:rsidP="00A52FDF">
      <w:pPr>
        <w:spacing w:after="0" w:line="360" w:lineRule="auto"/>
        <w:jc w:val="both"/>
        <w:rPr>
          <w:rFonts w:ascii="Arial" w:hAnsi="Arial" w:cs="Arial"/>
          <w:b/>
          <w:bCs/>
          <w:color w:val="0070C0"/>
          <w:sz w:val="28"/>
          <w:szCs w:val="28"/>
        </w:rPr>
      </w:pPr>
      <w:r w:rsidRPr="00343F1A">
        <w:rPr>
          <w:rFonts w:ascii="Arial" w:hAnsi="Arial" w:cs="Arial"/>
          <w:b/>
          <w:bCs/>
          <w:color w:val="0070C0"/>
          <w:sz w:val="28"/>
          <w:szCs w:val="28"/>
        </w:rPr>
        <w:t>Definition</w:t>
      </w:r>
      <w:r w:rsidR="0018514E" w:rsidRPr="00343F1A">
        <w:rPr>
          <w:rFonts w:ascii="Arial" w:hAnsi="Arial" w:cs="Arial"/>
          <w:b/>
          <w:bCs/>
          <w:color w:val="0070C0"/>
          <w:sz w:val="28"/>
          <w:szCs w:val="28"/>
        </w:rPr>
        <w:t>.</w:t>
      </w:r>
    </w:p>
    <w:p w14:paraId="1376F2FB" w14:textId="77777777" w:rsidR="00A75B5A" w:rsidRPr="002D298E" w:rsidRDefault="00A75B5A" w:rsidP="00A52FDF">
      <w:pPr>
        <w:spacing w:after="0" w:line="360" w:lineRule="auto"/>
        <w:jc w:val="both"/>
        <w:rPr>
          <w:rFonts w:ascii="Arial" w:hAnsi="Arial" w:cs="Arial"/>
          <w:b/>
          <w:bCs/>
          <w:color w:val="0070C0"/>
        </w:rPr>
      </w:pPr>
    </w:p>
    <w:p w14:paraId="2559416B" w14:textId="0D8103D5" w:rsidR="00245E86" w:rsidRPr="002D298E" w:rsidRDefault="002C5364" w:rsidP="00A52FDF">
      <w:pPr>
        <w:spacing w:after="0" w:line="360" w:lineRule="auto"/>
        <w:jc w:val="both"/>
        <w:rPr>
          <w:rFonts w:ascii="Arial" w:hAnsi="Arial" w:cs="Arial"/>
          <w:color w:val="000000" w:themeColor="text1"/>
        </w:rPr>
      </w:pPr>
      <w:r w:rsidRPr="002D298E">
        <w:rPr>
          <w:rFonts w:ascii="Arial" w:hAnsi="Arial" w:cs="Arial"/>
          <w:color w:val="000000" w:themeColor="text1"/>
        </w:rPr>
        <w:t>Hypertension</w:t>
      </w:r>
      <w:r w:rsidR="00544C6C" w:rsidRPr="002D298E">
        <w:rPr>
          <w:rFonts w:ascii="Arial" w:hAnsi="Arial" w:cs="Arial"/>
          <w:color w:val="000000" w:themeColor="text1"/>
        </w:rPr>
        <w:t>,</w:t>
      </w:r>
      <w:r w:rsidRPr="002D298E">
        <w:rPr>
          <w:rFonts w:ascii="Arial" w:hAnsi="Arial" w:cs="Arial"/>
          <w:color w:val="000000" w:themeColor="text1"/>
        </w:rPr>
        <w:t xml:space="preserve"> usually known as </w:t>
      </w:r>
      <w:r w:rsidR="00544C6C" w:rsidRPr="002D298E">
        <w:rPr>
          <w:rFonts w:ascii="Arial" w:hAnsi="Arial" w:cs="Arial"/>
          <w:color w:val="000000" w:themeColor="text1"/>
        </w:rPr>
        <w:t>high blood pressure</w:t>
      </w:r>
      <w:r w:rsidR="00486504" w:rsidRPr="002D298E">
        <w:rPr>
          <w:rFonts w:ascii="Arial" w:hAnsi="Arial" w:cs="Arial"/>
          <w:color w:val="000000" w:themeColor="text1"/>
        </w:rPr>
        <w:t xml:space="preserve"> (The Royal Buckinghamshire Hospital, 2025)</w:t>
      </w:r>
      <w:r w:rsidR="009F337D" w:rsidRPr="002D298E">
        <w:rPr>
          <w:rFonts w:ascii="Arial" w:hAnsi="Arial" w:cs="Arial"/>
          <w:color w:val="000000" w:themeColor="text1"/>
        </w:rPr>
        <w:t>,</w:t>
      </w:r>
      <w:r w:rsidR="00245E86" w:rsidRPr="002D298E">
        <w:rPr>
          <w:rFonts w:ascii="Arial" w:hAnsi="Arial" w:cs="Arial"/>
          <w:color w:val="000000" w:themeColor="text1"/>
        </w:rPr>
        <w:t xml:space="preserve"> is </w:t>
      </w:r>
      <w:r w:rsidR="00977929" w:rsidRPr="002D298E">
        <w:rPr>
          <w:rFonts w:ascii="Arial" w:hAnsi="Arial" w:cs="Arial"/>
          <w:color w:val="000000" w:themeColor="text1"/>
        </w:rPr>
        <w:t xml:space="preserve">a condition </w:t>
      </w:r>
      <w:r w:rsidR="00697CEC" w:rsidRPr="002D298E">
        <w:rPr>
          <w:rFonts w:ascii="Arial" w:hAnsi="Arial" w:cs="Arial"/>
          <w:color w:val="000000" w:themeColor="text1"/>
        </w:rPr>
        <w:t>in which</w:t>
      </w:r>
      <w:r w:rsidR="00977929" w:rsidRPr="002D298E">
        <w:rPr>
          <w:rFonts w:ascii="Arial" w:hAnsi="Arial" w:cs="Arial"/>
          <w:color w:val="000000" w:themeColor="text1"/>
        </w:rPr>
        <w:t xml:space="preserve"> the </w:t>
      </w:r>
      <w:r w:rsidR="005F1852" w:rsidRPr="002D298E">
        <w:rPr>
          <w:rFonts w:ascii="Arial" w:hAnsi="Arial" w:cs="Arial"/>
          <w:color w:val="000000" w:themeColor="text1"/>
        </w:rPr>
        <w:t>long-term</w:t>
      </w:r>
      <w:r w:rsidR="00977929" w:rsidRPr="002D298E">
        <w:rPr>
          <w:rFonts w:ascii="Arial" w:hAnsi="Arial" w:cs="Arial"/>
          <w:color w:val="000000" w:themeColor="text1"/>
        </w:rPr>
        <w:t xml:space="preserve"> force of the blood </w:t>
      </w:r>
      <w:r w:rsidR="002F43F9" w:rsidRPr="002D298E">
        <w:rPr>
          <w:rFonts w:ascii="Arial" w:hAnsi="Arial" w:cs="Arial"/>
          <w:color w:val="000000" w:themeColor="text1"/>
        </w:rPr>
        <w:t>pushing</w:t>
      </w:r>
      <w:r w:rsidR="00977929" w:rsidRPr="002D298E">
        <w:rPr>
          <w:rFonts w:ascii="Arial" w:hAnsi="Arial" w:cs="Arial"/>
          <w:color w:val="000000" w:themeColor="text1"/>
        </w:rPr>
        <w:t xml:space="preserve"> against the artery walls is </w:t>
      </w:r>
      <w:r w:rsidR="005F1852" w:rsidRPr="002D298E">
        <w:rPr>
          <w:rFonts w:ascii="Arial" w:hAnsi="Arial" w:cs="Arial"/>
          <w:color w:val="000000" w:themeColor="text1"/>
        </w:rPr>
        <w:t xml:space="preserve">consistently </w:t>
      </w:r>
      <w:r w:rsidR="00697CEC" w:rsidRPr="002D298E">
        <w:rPr>
          <w:rFonts w:ascii="Arial" w:hAnsi="Arial" w:cs="Arial"/>
          <w:color w:val="000000" w:themeColor="text1"/>
        </w:rPr>
        <w:t>too</w:t>
      </w:r>
      <w:r w:rsidR="005F1852" w:rsidRPr="002D298E">
        <w:rPr>
          <w:rFonts w:ascii="Arial" w:hAnsi="Arial" w:cs="Arial"/>
          <w:color w:val="000000" w:themeColor="text1"/>
        </w:rPr>
        <w:t xml:space="preserve"> high. </w:t>
      </w:r>
      <w:r w:rsidR="00697CEC" w:rsidRPr="002D298E">
        <w:rPr>
          <w:rFonts w:ascii="Arial" w:hAnsi="Arial" w:cs="Arial"/>
          <w:color w:val="000000" w:themeColor="text1"/>
        </w:rPr>
        <w:t xml:space="preserve">BP is </w:t>
      </w:r>
      <w:r w:rsidR="00245E86" w:rsidRPr="002D298E">
        <w:rPr>
          <w:rFonts w:ascii="Arial" w:hAnsi="Arial" w:cs="Arial"/>
          <w:color w:val="000000" w:themeColor="text1"/>
        </w:rPr>
        <w:t>measured as two values: systolic blood pressure, the pressure during ventricular contraction, and diastolic blood pressure, the pressure during cardiac relaxation</w:t>
      </w:r>
      <w:r w:rsidR="00AA6D01" w:rsidRPr="002D298E">
        <w:rPr>
          <w:rFonts w:ascii="Arial" w:hAnsi="Arial" w:cs="Arial"/>
          <w:color w:val="000000" w:themeColor="text1"/>
        </w:rPr>
        <w:t xml:space="preserve"> </w:t>
      </w:r>
      <w:r w:rsidR="006C71FB" w:rsidRPr="002D298E">
        <w:rPr>
          <w:rFonts w:ascii="Arial" w:hAnsi="Arial" w:cs="Arial"/>
          <w:color w:val="000000" w:themeColor="text1"/>
        </w:rPr>
        <w:t>(</w:t>
      </w:r>
      <w:r w:rsidR="00AA6D01" w:rsidRPr="002D298E">
        <w:rPr>
          <w:rFonts w:ascii="Arial" w:hAnsi="Arial" w:cs="Arial"/>
        </w:rPr>
        <w:t>Vidal-</w:t>
      </w:r>
      <w:proofErr w:type="spellStart"/>
      <w:r w:rsidR="00AA6D01" w:rsidRPr="002D298E">
        <w:rPr>
          <w:rFonts w:ascii="Arial" w:hAnsi="Arial" w:cs="Arial"/>
        </w:rPr>
        <w:t>Petiot</w:t>
      </w:r>
      <w:proofErr w:type="spellEnd"/>
      <w:r w:rsidR="00AA6D01" w:rsidRPr="002D298E">
        <w:rPr>
          <w:rFonts w:ascii="Arial" w:hAnsi="Arial" w:cs="Arial"/>
        </w:rPr>
        <w:t>,</w:t>
      </w:r>
      <w:r w:rsidR="006C71FB" w:rsidRPr="002D298E">
        <w:rPr>
          <w:rFonts w:ascii="Arial" w:hAnsi="Arial" w:cs="Arial"/>
        </w:rPr>
        <w:t xml:space="preserve"> </w:t>
      </w:r>
      <w:r w:rsidR="00AA6D01" w:rsidRPr="002D298E">
        <w:rPr>
          <w:rFonts w:ascii="Arial" w:hAnsi="Arial" w:cs="Arial"/>
        </w:rPr>
        <w:t>2022)</w:t>
      </w:r>
      <w:r w:rsidR="00245E86" w:rsidRPr="002D298E">
        <w:rPr>
          <w:rFonts w:ascii="Arial" w:hAnsi="Arial" w:cs="Arial"/>
          <w:color w:val="000000" w:themeColor="text1"/>
        </w:rPr>
        <w:t>.</w:t>
      </w:r>
      <w:r w:rsidR="00764851" w:rsidRPr="002D298E">
        <w:rPr>
          <w:rFonts w:ascii="Arial" w:hAnsi="Arial" w:cs="Arial"/>
          <w:color w:val="000000" w:themeColor="text1"/>
        </w:rPr>
        <w:t xml:space="preserve"> </w:t>
      </w:r>
      <w:r w:rsidR="00245E86" w:rsidRPr="002D298E">
        <w:rPr>
          <w:rFonts w:ascii="Arial" w:hAnsi="Arial" w:cs="Arial"/>
          <w:color w:val="000000" w:themeColor="text1"/>
        </w:rPr>
        <w:t xml:space="preserve">According to NICE (2023a), hypertension is diagnosed when clinic blood pressure measurements are consistently 140/90 mmHg or higher and confirmed </w:t>
      </w:r>
      <w:r w:rsidR="00A53EC6" w:rsidRPr="002D298E">
        <w:rPr>
          <w:rFonts w:ascii="Arial" w:hAnsi="Arial" w:cs="Arial"/>
          <w:color w:val="000000" w:themeColor="text1"/>
        </w:rPr>
        <w:t xml:space="preserve">using ambulatory </w:t>
      </w:r>
      <w:r w:rsidR="00245E86" w:rsidRPr="002D298E">
        <w:rPr>
          <w:rFonts w:ascii="Arial" w:hAnsi="Arial" w:cs="Arial"/>
          <w:color w:val="000000" w:themeColor="text1"/>
        </w:rPr>
        <w:t xml:space="preserve">or home blood pressure monitoring. Primary hypertension accounts for approximately 90–95% of cases and develops through complex interactions between genetic, environmental, behavioural, and socioeconomic factors (Williams et al., 2018). Secondary hypertension, however, arises from identifiable </w:t>
      </w:r>
      <w:r w:rsidR="00245E86" w:rsidRPr="002D298E">
        <w:rPr>
          <w:rFonts w:ascii="Arial" w:hAnsi="Arial" w:cs="Arial"/>
          <w:color w:val="000000" w:themeColor="text1"/>
        </w:rPr>
        <w:lastRenderedPageBreak/>
        <w:t>causes such as renal disease, endocrine disorders, or adverse effects of medications.</w:t>
      </w:r>
    </w:p>
    <w:p w14:paraId="024F9031" w14:textId="77777777" w:rsidR="0017134A" w:rsidRPr="002D298E" w:rsidRDefault="0017134A" w:rsidP="00A52FDF">
      <w:pPr>
        <w:spacing w:after="0" w:line="360" w:lineRule="auto"/>
        <w:rPr>
          <w:rFonts w:ascii="Arial" w:hAnsi="Arial" w:cs="Arial"/>
        </w:rPr>
      </w:pPr>
    </w:p>
    <w:p w14:paraId="4DED53CA" w14:textId="24B45476" w:rsidR="00241303" w:rsidRPr="002D298E" w:rsidRDefault="00241303" w:rsidP="00A52FDF">
      <w:pPr>
        <w:spacing w:after="0" w:line="360" w:lineRule="auto"/>
        <w:jc w:val="center"/>
        <w:rPr>
          <w:rFonts w:ascii="Arial" w:hAnsi="Arial" w:cs="Arial"/>
        </w:rPr>
      </w:pPr>
      <w:r w:rsidRPr="002D298E">
        <w:rPr>
          <w:rFonts w:ascii="Arial" w:hAnsi="Arial" w:cs="Arial"/>
          <w:noProof/>
        </w:rPr>
        <w:drawing>
          <wp:inline distT="0" distB="0" distL="0" distR="0" wp14:anchorId="3518F1CF" wp14:editId="32BBB536">
            <wp:extent cx="3766185" cy="2387141"/>
            <wp:effectExtent l="0" t="0" r="5715" b="0"/>
            <wp:docPr id="259907328" name="Picture 3" descr="Hypertension campaign launches - Welc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ypertension campaign launches - Welcom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36925" cy="2431978"/>
                    </a:xfrm>
                    <a:prstGeom prst="rect">
                      <a:avLst/>
                    </a:prstGeom>
                    <a:noFill/>
                    <a:ln>
                      <a:noFill/>
                    </a:ln>
                  </pic:spPr>
                </pic:pic>
              </a:graphicData>
            </a:graphic>
          </wp:inline>
        </w:drawing>
      </w:r>
    </w:p>
    <w:p w14:paraId="34A5648B" w14:textId="35FE8335" w:rsidR="00DA5920" w:rsidRPr="002D298E" w:rsidRDefault="00DA5920" w:rsidP="00A52FDF">
      <w:pPr>
        <w:spacing w:after="0" w:line="360" w:lineRule="auto"/>
        <w:jc w:val="both"/>
        <w:rPr>
          <w:rFonts w:ascii="Arial" w:hAnsi="Arial" w:cs="Arial"/>
          <w:color w:val="000000" w:themeColor="text1"/>
        </w:rPr>
      </w:pPr>
      <w:r w:rsidRPr="002D298E">
        <w:rPr>
          <w:rFonts w:ascii="Arial" w:hAnsi="Arial" w:cs="Arial"/>
          <w:color w:val="000000" w:themeColor="text1"/>
        </w:rPr>
        <w:t xml:space="preserve">Furthermore, according to Kulkarni </w:t>
      </w:r>
      <w:r w:rsidRPr="002D298E">
        <w:rPr>
          <w:rFonts w:ascii="Arial" w:hAnsi="Arial" w:cs="Arial"/>
          <w:i/>
          <w:iCs/>
          <w:color w:val="000000" w:themeColor="text1"/>
        </w:rPr>
        <w:t>et al.</w:t>
      </w:r>
      <w:r w:rsidRPr="002D298E">
        <w:rPr>
          <w:rFonts w:ascii="Arial" w:hAnsi="Arial" w:cs="Arial"/>
          <w:color w:val="000000" w:themeColor="text1"/>
        </w:rPr>
        <w:t xml:space="preserve"> 2023, research shows that hypertension may be asymptomatic, yet it induces gradual arterial damage that </w:t>
      </w:r>
      <w:r w:rsidR="00097AB9" w:rsidRPr="002D298E">
        <w:rPr>
          <w:rFonts w:ascii="Arial" w:hAnsi="Arial" w:cs="Arial"/>
          <w:color w:val="000000" w:themeColor="text1"/>
        </w:rPr>
        <w:t>distinctly</w:t>
      </w:r>
      <w:r w:rsidRPr="002D298E">
        <w:rPr>
          <w:rFonts w:ascii="Arial" w:hAnsi="Arial" w:cs="Arial"/>
          <w:color w:val="000000" w:themeColor="text1"/>
        </w:rPr>
        <w:t xml:space="preserve"> elevates the risk of cardiovascular problems. The asymptomatic progression of this ailment poses a significant problem for healthcare workers, as patients frequently underestimate its severity and may exhibit minimal willingness to pursue therapy or lifestyle changes. From a critical standpoint, conventional biological interpretations of hypertension have predominantly concentrated on physiological anomalies and the decrease in blood pressure. </w:t>
      </w:r>
      <w:r w:rsidRPr="002D298E">
        <w:rPr>
          <w:rFonts w:ascii="Arial" w:hAnsi="Arial" w:cs="Arial"/>
          <w:color w:val="000000" w:themeColor="text1"/>
        </w:rPr>
        <w:t>Contemporary healthcare increasingly acknowledges that effective management necessitates a biopsychosocial approach, addressing broader determinants of health and individual experiences with chronic illness.</w:t>
      </w:r>
    </w:p>
    <w:p w14:paraId="480EF9DE" w14:textId="77777777" w:rsidR="00DA5920" w:rsidRPr="002D298E" w:rsidRDefault="00DA5920" w:rsidP="00A52FDF">
      <w:pPr>
        <w:spacing w:after="0" w:line="360" w:lineRule="auto"/>
        <w:jc w:val="both"/>
        <w:rPr>
          <w:rFonts w:ascii="Arial" w:hAnsi="Arial" w:cs="Arial"/>
          <w:b/>
          <w:bCs/>
          <w:color w:val="000000" w:themeColor="text1"/>
        </w:rPr>
      </w:pPr>
    </w:p>
    <w:p w14:paraId="7CD64580" w14:textId="3A052749" w:rsidR="00B34335" w:rsidRPr="00343F1A" w:rsidRDefault="00DA5920" w:rsidP="00A52FDF">
      <w:pPr>
        <w:spacing w:after="0" w:line="360" w:lineRule="auto"/>
        <w:jc w:val="both"/>
        <w:rPr>
          <w:rFonts w:ascii="Arial" w:hAnsi="Arial" w:cs="Arial"/>
          <w:b/>
          <w:bCs/>
          <w:color w:val="E36C0A" w:themeColor="accent6" w:themeShade="BF"/>
          <w:sz w:val="28"/>
          <w:szCs w:val="28"/>
        </w:rPr>
      </w:pPr>
      <w:r w:rsidRPr="00343F1A">
        <w:rPr>
          <w:rFonts w:ascii="Arial" w:hAnsi="Arial" w:cs="Arial"/>
          <w:b/>
          <w:bCs/>
          <w:color w:val="E36C0A" w:themeColor="accent6" w:themeShade="BF"/>
          <w:sz w:val="28"/>
          <w:szCs w:val="28"/>
        </w:rPr>
        <w:t>Burden and Prevalence of Hypertension</w:t>
      </w:r>
      <w:r w:rsidR="00C1502B" w:rsidRPr="00343F1A">
        <w:rPr>
          <w:rFonts w:ascii="Arial" w:hAnsi="Arial" w:cs="Arial"/>
          <w:b/>
          <w:bCs/>
          <w:color w:val="E36C0A" w:themeColor="accent6" w:themeShade="BF"/>
          <w:sz w:val="28"/>
          <w:szCs w:val="28"/>
        </w:rPr>
        <w:t>.</w:t>
      </w:r>
    </w:p>
    <w:p w14:paraId="3D6C22C1" w14:textId="323D4890" w:rsidR="00DA5920" w:rsidRPr="002D298E" w:rsidRDefault="00B34335" w:rsidP="00A52FDF">
      <w:pPr>
        <w:spacing w:after="0" w:line="360" w:lineRule="auto"/>
        <w:jc w:val="both"/>
        <w:rPr>
          <w:rFonts w:ascii="Arial" w:hAnsi="Arial" w:cs="Arial"/>
          <w:b/>
          <w:bCs/>
          <w:color w:val="000000" w:themeColor="text1"/>
        </w:rPr>
      </w:pPr>
      <w:r w:rsidRPr="002D298E">
        <w:rPr>
          <w:rFonts w:ascii="Arial" w:hAnsi="Arial" w:cs="Arial"/>
          <w:b/>
          <w:bCs/>
          <w:noProof/>
          <w:color w:val="000000" w:themeColor="text1"/>
          <w:shd w:val="clear" w:color="auto" w:fill="FFFFFF" w:themeFill="background1"/>
        </w:rPr>
        <w:drawing>
          <wp:inline distT="0" distB="0" distL="0" distR="0" wp14:anchorId="741582D1" wp14:editId="23B4246A">
            <wp:extent cx="4124131" cy="3780790"/>
            <wp:effectExtent l="0" t="19050" r="0" b="29210"/>
            <wp:docPr id="1460134544"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87E105E" w14:textId="4EF6B299" w:rsidR="00DA5920" w:rsidRPr="002D298E" w:rsidRDefault="00DA5920" w:rsidP="00A52FDF">
      <w:pPr>
        <w:spacing w:after="0" w:line="360" w:lineRule="auto"/>
        <w:jc w:val="both"/>
        <w:rPr>
          <w:rFonts w:ascii="Arial" w:hAnsi="Arial" w:cs="Arial"/>
          <w:color w:val="000000" w:themeColor="text1"/>
        </w:rPr>
      </w:pPr>
      <w:r w:rsidRPr="002D298E">
        <w:rPr>
          <w:rFonts w:ascii="Arial" w:hAnsi="Arial" w:cs="Arial"/>
          <w:color w:val="000000" w:themeColor="text1"/>
        </w:rPr>
        <w:lastRenderedPageBreak/>
        <w:t>Hypertension is one of the most common chronic diseases globally. The World Health Organization (WHO, 2025) estimates that approximately 1.4 billion adults aged between 30 and 79 years live with hypertension worldwide. Alarmingly, nearly half remain unaware of their condition, while only approximately one in five individuals achieve adequate blood pressure control. In addition, worldwide, hypertension contributes to approximately 10.8 million deaths annually and remains the leading modifiable risk factor for cardiovascular disease and premature mortality (WHO, 2023). The increasing prevalence of hypertension is associated with population ageing, urbanisation, obesity, unhealthy diets, physical inactivity, and socioeconomic inequalities.</w:t>
      </w:r>
      <w:r w:rsidR="005D45F4" w:rsidRPr="002D298E">
        <w:rPr>
          <w:rFonts w:ascii="Arial" w:hAnsi="Arial" w:cs="Arial"/>
          <w:color w:val="000000" w:themeColor="text1"/>
        </w:rPr>
        <w:t xml:space="preserve"> For example</w:t>
      </w:r>
      <w:r w:rsidR="00B34335" w:rsidRPr="002D298E">
        <w:rPr>
          <w:rFonts w:ascii="Arial" w:hAnsi="Arial" w:cs="Arial"/>
          <w:color w:val="000000" w:themeColor="text1"/>
        </w:rPr>
        <w:t xml:space="preserve">, </w:t>
      </w:r>
      <w:r w:rsidR="00464496" w:rsidRPr="002D298E">
        <w:rPr>
          <w:rFonts w:ascii="Arial" w:hAnsi="Arial" w:cs="Arial"/>
          <w:color w:val="000000" w:themeColor="text1"/>
        </w:rPr>
        <w:t>in</w:t>
      </w:r>
      <w:r w:rsidR="00B34335" w:rsidRPr="002D298E">
        <w:rPr>
          <w:rFonts w:ascii="Arial" w:hAnsi="Arial" w:cs="Arial"/>
          <w:color w:val="000000" w:themeColor="text1"/>
        </w:rPr>
        <w:t xml:space="preserve"> many rural areas of India, Pakistan, and Bangladesh, awareness of hypertension is low, and access to regular blood pressure screening is limited. As a result, many people remain undiagnosed until they develop serious complications such as stroke or heart disease.</w:t>
      </w:r>
    </w:p>
    <w:p w14:paraId="69587F42" w14:textId="77777777" w:rsidR="00965A88" w:rsidRPr="002D298E" w:rsidRDefault="00965A88" w:rsidP="00A52FDF">
      <w:pPr>
        <w:spacing w:after="0" w:line="360" w:lineRule="auto"/>
        <w:jc w:val="both"/>
        <w:rPr>
          <w:rFonts w:ascii="Arial" w:hAnsi="Arial" w:cs="Arial"/>
          <w:color w:val="000000" w:themeColor="text1"/>
        </w:rPr>
      </w:pPr>
    </w:p>
    <w:p w14:paraId="1030F313" w14:textId="4973BB36" w:rsidR="00F63CF4" w:rsidRPr="004770E8" w:rsidRDefault="00965A88" w:rsidP="00A52FDF">
      <w:pPr>
        <w:spacing w:after="0" w:line="360" w:lineRule="auto"/>
        <w:jc w:val="both"/>
        <w:rPr>
          <w:rFonts w:ascii="Arial" w:hAnsi="Arial" w:cs="Arial"/>
          <w:b/>
          <w:bCs/>
          <w:color w:val="0070C0"/>
          <w:sz w:val="28"/>
          <w:szCs w:val="28"/>
        </w:rPr>
      </w:pPr>
      <w:r w:rsidRPr="004770E8">
        <w:rPr>
          <w:rFonts w:ascii="Arial" w:hAnsi="Arial" w:cs="Arial"/>
          <w:b/>
          <w:bCs/>
          <w:color w:val="0070C0"/>
          <w:sz w:val="28"/>
          <w:szCs w:val="28"/>
        </w:rPr>
        <w:t>Key statistics</w:t>
      </w:r>
      <w:r w:rsidR="0012662B" w:rsidRPr="004770E8">
        <w:rPr>
          <w:rFonts w:ascii="Arial" w:hAnsi="Arial" w:cs="Arial"/>
          <w:b/>
          <w:bCs/>
          <w:color w:val="0070C0"/>
          <w:sz w:val="28"/>
          <w:szCs w:val="28"/>
        </w:rPr>
        <w:t>.</w:t>
      </w:r>
    </w:p>
    <w:p w14:paraId="4BABB290" w14:textId="77777777" w:rsidR="00BD78CE" w:rsidRPr="002D298E" w:rsidRDefault="00BD78CE" w:rsidP="00A52FDF">
      <w:pPr>
        <w:spacing w:after="0" w:line="360" w:lineRule="auto"/>
        <w:jc w:val="both"/>
        <w:rPr>
          <w:rFonts w:ascii="Arial" w:hAnsi="Arial" w:cs="Arial"/>
          <w:b/>
          <w:bCs/>
          <w:color w:val="0070C0"/>
        </w:rPr>
      </w:pPr>
    </w:p>
    <w:p w14:paraId="31098A35" w14:textId="73DF4839" w:rsidR="00317CB9" w:rsidRPr="002D298E" w:rsidRDefault="00E65F40" w:rsidP="00317CB9">
      <w:pPr>
        <w:spacing w:after="0" w:line="360" w:lineRule="auto"/>
        <w:jc w:val="both"/>
        <w:rPr>
          <w:rFonts w:ascii="Arial" w:hAnsi="Arial" w:cs="Arial"/>
          <w:color w:val="000000" w:themeColor="text1"/>
        </w:rPr>
      </w:pPr>
      <w:r w:rsidRPr="002D298E">
        <w:rPr>
          <w:rFonts w:ascii="Arial" w:hAnsi="Arial" w:cs="Arial"/>
          <w:color w:val="000000" w:themeColor="text1"/>
        </w:rPr>
        <w:t>The latest UK (England) data from the 2024 Health Survey for England shows</w:t>
      </w:r>
      <w:r w:rsidR="00DE4AFB" w:rsidRPr="002D298E">
        <w:rPr>
          <w:rFonts w:ascii="Arial" w:hAnsi="Arial" w:cs="Arial"/>
          <w:color w:val="000000" w:themeColor="text1"/>
        </w:rPr>
        <w:t xml:space="preserve"> that m</w:t>
      </w:r>
      <w:r w:rsidRPr="002D298E">
        <w:rPr>
          <w:rFonts w:ascii="Arial" w:hAnsi="Arial" w:cs="Arial"/>
          <w:color w:val="000000" w:themeColor="text1"/>
        </w:rPr>
        <w:t>en: 32% of adults have hypertension.</w:t>
      </w:r>
      <w:r w:rsidR="006376F9" w:rsidRPr="002D298E">
        <w:rPr>
          <w:rFonts w:ascii="Arial" w:hAnsi="Arial" w:cs="Arial"/>
          <w:color w:val="000000" w:themeColor="text1"/>
        </w:rPr>
        <w:t xml:space="preserve"> </w:t>
      </w:r>
      <w:r w:rsidRPr="002D298E">
        <w:rPr>
          <w:rFonts w:ascii="Arial" w:hAnsi="Arial" w:cs="Arial"/>
          <w:color w:val="000000" w:themeColor="text1"/>
        </w:rPr>
        <w:t>Women: 27% of adults have hypertension.</w:t>
      </w:r>
      <w:r w:rsidR="006376F9" w:rsidRPr="002D298E">
        <w:rPr>
          <w:rFonts w:ascii="Arial" w:hAnsi="Arial" w:cs="Arial"/>
          <w:color w:val="000000" w:themeColor="text1"/>
        </w:rPr>
        <w:t xml:space="preserve"> </w:t>
      </w:r>
      <w:r w:rsidRPr="002D298E">
        <w:rPr>
          <w:rFonts w:ascii="Arial" w:hAnsi="Arial" w:cs="Arial"/>
          <w:color w:val="000000" w:themeColor="text1"/>
        </w:rPr>
        <w:t xml:space="preserve">Overall: 30% of adults aged 16 </w:t>
      </w:r>
      <w:r w:rsidRPr="002D298E">
        <w:rPr>
          <w:rFonts w:ascii="Arial" w:hAnsi="Arial" w:cs="Arial"/>
          <w:color w:val="000000" w:themeColor="text1"/>
        </w:rPr>
        <w:t>years and over have hypertension in England</w:t>
      </w:r>
      <w:r w:rsidR="00D70041" w:rsidRPr="002D298E">
        <w:rPr>
          <w:rFonts w:ascii="Arial" w:hAnsi="Arial" w:cs="Arial"/>
          <w:color w:val="000000" w:themeColor="text1"/>
        </w:rPr>
        <w:t xml:space="preserve"> (NHS England Digital, 2026)</w:t>
      </w:r>
      <w:r w:rsidR="00294527" w:rsidRPr="002D298E">
        <w:rPr>
          <w:rFonts w:ascii="Arial" w:hAnsi="Arial" w:cs="Arial"/>
          <w:color w:val="000000" w:themeColor="text1"/>
        </w:rPr>
        <w:t>.</w:t>
      </w:r>
      <w:r w:rsidR="00AF280E" w:rsidRPr="002D298E">
        <w:rPr>
          <w:rFonts w:ascii="Arial" w:hAnsi="Arial" w:cs="Arial"/>
          <w:color w:val="000000" w:themeColor="text1"/>
        </w:rPr>
        <w:t xml:space="preserve"> </w:t>
      </w:r>
      <w:r w:rsidR="0015648A" w:rsidRPr="002D298E">
        <w:rPr>
          <w:rFonts w:ascii="Arial" w:hAnsi="Arial" w:cs="Arial"/>
          <w:color w:val="000000" w:themeColor="text1"/>
        </w:rPr>
        <w:t xml:space="preserve">According to the </w:t>
      </w:r>
      <w:r w:rsidR="00AF280E" w:rsidRPr="002D298E">
        <w:rPr>
          <w:rFonts w:ascii="Arial" w:hAnsi="Arial" w:cs="Arial"/>
          <w:color w:val="000000" w:themeColor="text1"/>
        </w:rPr>
        <w:t>NHS England (2025) report</w:t>
      </w:r>
      <w:r w:rsidR="0015648A" w:rsidRPr="002D298E">
        <w:rPr>
          <w:rFonts w:ascii="Arial" w:hAnsi="Arial" w:cs="Arial"/>
          <w:color w:val="000000" w:themeColor="text1"/>
        </w:rPr>
        <w:t>,</w:t>
      </w:r>
      <w:r w:rsidR="00AF280E" w:rsidRPr="002D298E">
        <w:rPr>
          <w:rFonts w:ascii="Arial" w:hAnsi="Arial" w:cs="Arial"/>
          <w:color w:val="000000" w:themeColor="text1"/>
        </w:rPr>
        <w:t xml:space="preserve"> hypertension remains more common in men than women in England.</w:t>
      </w:r>
      <w:r w:rsidR="00967962" w:rsidRPr="002D298E">
        <w:rPr>
          <w:rFonts w:ascii="Arial" w:hAnsi="Arial" w:cs="Arial"/>
          <w:color w:val="000000" w:themeColor="text1"/>
        </w:rPr>
        <w:t xml:space="preserve"> </w:t>
      </w:r>
      <w:r w:rsidR="00317CB9" w:rsidRPr="002D298E">
        <w:rPr>
          <w:rFonts w:ascii="Arial" w:hAnsi="Arial" w:cs="Arial"/>
          <w:color w:val="000000" w:themeColor="text1"/>
        </w:rPr>
        <w:t>Hypertension is the second largest risk factor for premature death and disability in England, impacting over 25% of adults</w:t>
      </w:r>
      <w:r w:rsidR="002B6983" w:rsidRPr="002D298E">
        <w:rPr>
          <w:rFonts w:ascii="Arial" w:hAnsi="Arial" w:cs="Arial"/>
          <w:color w:val="000000" w:themeColor="text1"/>
        </w:rPr>
        <w:t xml:space="preserve"> (Graham </w:t>
      </w:r>
      <w:r w:rsidR="002B6983" w:rsidRPr="002D298E">
        <w:rPr>
          <w:rFonts w:ascii="Arial" w:hAnsi="Arial" w:cs="Arial"/>
          <w:i/>
          <w:iCs/>
          <w:color w:val="000000" w:themeColor="text1"/>
        </w:rPr>
        <w:t>et al</w:t>
      </w:r>
      <w:r w:rsidR="002B6983" w:rsidRPr="002D298E">
        <w:rPr>
          <w:rFonts w:ascii="Arial" w:hAnsi="Arial" w:cs="Arial"/>
          <w:color w:val="000000" w:themeColor="text1"/>
        </w:rPr>
        <w:t>., 2025)</w:t>
      </w:r>
      <w:r w:rsidR="00317CB9" w:rsidRPr="002D298E">
        <w:rPr>
          <w:rFonts w:ascii="Arial" w:hAnsi="Arial" w:cs="Arial"/>
          <w:color w:val="000000" w:themeColor="text1"/>
        </w:rPr>
        <w:t>.</w:t>
      </w:r>
    </w:p>
    <w:p w14:paraId="759FDB4B" w14:textId="5607DD22" w:rsidR="00E65F40" w:rsidRPr="002D298E" w:rsidRDefault="00E65F40" w:rsidP="006376F9">
      <w:pPr>
        <w:spacing w:after="0" w:line="360" w:lineRule="auto"/>
        <w:jc w:val="both"/>
        <w:rPr>
          <w:rFonts w:ascii="Arial" w:hAnsi="Arial" w:cs="Arial"/>
          <w:color w:val="000000" w:themeColor="text1"/>
        </w:rPr>
      </w:pPr>
    </w:p>
    <w:p w14:paraId="66465E88" w14:textId="58F77B16" w:rsidR="00DA5920" w:rsidRPr="002D298E" w:rsidRDefault="00A26CF1" w:rsidP="00A52FDF">
      <w:pPr>
        <w:spacing w:after="0" w:line="360" w:lineRule="auto"/>
        <w:jc w:val="center"/>
        <w:rPr>
          <w:rFonts w:ascii="Arial" w:hAnsi="Arial" w:cs="Arial"/>
        </w:rPr>
      </w:pPr>
      <w:r w:rsidRPr="002D298E">
        <w:rPr>
          <w:rFonts w:ascii="Arial" w:hAnsi="Arial" w:cs="Arial"/>
          <w:noProof/>
        </w:rPr>
        <w:drawing>
          <wp:inline distT="0" distB="0" distL="0" distR="0" wp14:anchorId="2939DFD9" wp14:editId="13D9BCCD">
            <wp:extent cx="3421380" cy="3070386"/>
            <wp:effectExtent l="0" t="0" r="7620" b="0"/>
            <wp:docPr id="1119889252" name="Picture 1" descr="Figure 16: All hypertension and untreated hypertension by sex and year, 2005-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6: All hypertension and untreated hypertension by sex and year, 2005-202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482242" cy="3125004"/>
                    </a:xfrm>
                    <a:prstGeom prst="rect">
                      <a:avLst/>
                    </a:prstGeom>
                    <a:noFill/>
                    <a:ln>
                      <a:noFill/>
                    </a:ln>
                  </pic:spPr>
                </pic:pic>
              </a:graphicData>
            </a:graphic>
          </wp:inline>
        </w:drawing>
      </w:r>
    </w:p>
    <w:p w14:paraId="3C1FA560" w14:textId="699A4346" w:rsidR="00DE2683" w:rsidRPr="002D298E" w:rsidRDefault="00DE2683" w:rsidP="00A52FDF">
      <w:pPr>
        <w:spacing w:after="0" w:line="360" w:lineRule="auto"/>
        <w:rPr>
          <w:rFonts w:ascii="Arial" w:hAnsi="Arial" w:cs="Arial"/>
        </w:rPr>
      </w:pPr>
    </w:p>
    <w:p w14:paraId="3D098914" w14:textId="77777777" w:rsidR="001C6C88" w:rsidRPr="002D298E" w:rsidRDefault="008E3ED1" w:rsidP="001C6C88">
      <w:pPr>
        <w:spacing w:after="0" w:line="360" w:lineRule="auto"/>
        <w:jc w:val="both"/>
        <w:rPr>
          <w:rFonts w:ascii="Arial" w:hAnsi="Arial" w:cs="Arial"/>
          <w:color w:val="000000" w:themeColor="text1"/>
        </w:rPr>
      </w:pPr>
      <w:r w:rsidRPr="002D298E">
        <w:rPr>
          <w:rFonts w:ascii="Arial" w:hAnsi="Arial" w:cs="Arial"/>
        </w:rPr>
        <w:t>NHS England (2025) reports that hypertension remains more common in men than women in England.</w:t>
      </w:r>
      <w:r w:rsidR="001C6C88" w:rsidRPr="002D298E">
        <w:rPr>
          <w:rFonts w:ascii="Arial" w:hAnsi="Arial" w:cs="Arial"/>
        </w:rPr>
        <w:t xml:space="preserve"> </w:t>
      </w:r>
      <w:r w:rsidR="001C6C88" w:rsidRPr="002D298E">
        <w:rPr>
          <w:rFonts w:ascii="Arial" w:hAnsi="Arial" w:cs="Arial"/>
          <w:color w:val="000000" w:themeColor="text1"/>
        </w:rPr>
        <w:t xml:space="preserve">The economic burden associated with hypertension is considerable. Cardiovascular </w:t>
      </w:r>
      <w:r w:rsidR="001C6C88" w:rsidRPr="002D298E">
        <w:rPr>
          <w:rFonts w:ascii="Arial" w:hAnsi="Arial" w:cs="Arial"/>
          <w:color w:val="000000" w:themeColor="text1"/>
        </w:rPr>
        <w:lastRenderedPageBreak/>
        <w:t xml:space="preserve">disease costs the UK economy approximately £29 billion annually through healthcare expenditure, lost productivity, and informal caregiving responsibilities (British Heart Foundation, 2023). The extreme of this burden is attributable to hypertension-related complications, including stroke, myocardial infarction, and chronic kidney disease. </w:t>
      </w:r>
    </w:p>
    <w:p w14:paraId="36B6861F" w14:textId="77777777" w:rsidR="00F16224" w:rsidRPr="00F16224" w:rsidRDefault="00F16224" w:rsidP="00A52FDF">
      <w:pPr>
        <w:spacing w:after="0" w:line="360" w:lineRule="auto"/>
        <w:rPr>
          <w:rFonts w:ascii="Arial" w:hAnsi="Arial" w:cs="Arial"/>
        </w:rPr>
      </w:pPr>
    </w:p>
    <w:p w14:paraId="55DCF0A8" w14:textId="77777777" w:rsidR="003F13E2" w:rsidRPr="0083178A" w:rsidRDefault="003F13E2" w:rsidP="00A52FDF">
      <w:pPr>
        <w:spacing w:after="0" w:line="360" w:lineRule="auto"/>
        <w:jc w:val="both"/>
        <w:rPr>
          <w:rFonts w:ascii="Arial" w:hAnsi="Arial" w:cs="Arial"/>
          <w:b/>
          <w:bCs/>
          <w:color w:val="C00000"/>
          <w:sz w:val="28"/>
          <w:szCs w:val="28"/>
        </w:rPr>
      </w:pPr>
      <w:r w:rsidRPr="0083178A">
        <w:rPr>
          <w:rFonts w:ascii="Arial" w:hAnsi="Arial" w:cs="Arial"/>
          <w:b/>
          <w:bCs/>
          <w:color w:val="C00000"/>
          <w:sz w:val="28"/>
          <w:szCs w:val="28"/>
        </w:rPr>
        <w:t>Risk Factors and Aetiology.</w:t>
      </w:r>
    </w:p>
    <w:p w14:paraId="3FF80575" w14:textId="77777777" w:rsidR="00BE3380" w:rsidRPr="002D298E" w:rsidRDefault="00BE3380" w:rsidP="00A52FDF">
      <w:pPr>
        <w:spacing w:after="0" w:line="360" w:lineRule="auto"/>
        <w:jc w:val="both"/>
        <w:rPr>
          <w:rFonts w:ascii="Arial" w:hAnsi="Arial" w:cs="Arial"/>
          <w:color w:val="000000" w:themeColor="text1"/>
        </w:rPr>
      </w:pPr>
    </w:p>
    <w:p w14:paraId="18092E08" w14:textId="763DE7F1" w:rsidR="003F13E2" w:rsidRPr="002D298E" w:rsidRDefault="003F13E2" w:rsidP="00A52FDF">
      <w:pPr>
        <w:spacing w:after="0" w:line="360" w:lineRule="auto"/>
        <w:jc w:val="both"/>
        <w:rPr>
          <w:rFonts w:ascii="Arial" w:hAnsi="Arial" w:cs="Arial"/>
          <w:color w:val="000000" w:themeColor="text1"/>
        </w:rPr>
      </w:pPr>
      <w:r w:rsidRPr="002D298E">
        <w:rPr>
          <w:rFonts w:ascii="Arial" w:hAnsi="Arial" w:cs="Arial"/>
          <w:color w:val="000000" w:themeColor="text1"/>
        </w:rPr>
        <w:t>The development of hypertension is influenced by a variety of factors, including biological, behavioural, environmental, and social components such as:</w:t>
      </w:r>
    </w:p>
    <w:p w14:paraId="679C6988" w14:textId="77777777" w:rsidR="00A74254" w:rsidRPr="002D298E" w:rsidRDefault="00A74254" w:rsidP="00A52FDF">
      <w:pPr>
        <w:spacing w:after="0" w:line="360" w:lineRule="auto"/>
        <w:jc w:val="both"/>
        <w:rPr>
          <w:rFonts w:ascii="Arial" w:hAnsi="Arial" w:cs="Arial"/>
          <w:color w:val="000000" w:themeColor="text1"/>
        </w:rPr>
      </w:pPr>
    </w:p>
    <w:p w14:paraId="3337B569" w14:textId="1EB0CF56" w:rsidR="003F13E2" w:rsidRPr="00883933" w:rsidRDefault="003F13E2" w:rsidP="00932510">
      <w:pPr>
        <w:rPr>
          <w:rFonts w:ascii="Arial" w:eastAsia="Calibri" w:hAnsi="Arial" w:cs="Arial"/>
          <w:b/>
          <w:bCs/>
          <w:color w:val="984806" w:themeColor="accent6" w:themeShade="80"/>
          <w:sz w:val="28"/>
          <w:szCs w:val="28"/>
        </w:rPr>
      </w:pPr>
      <w:bookmarkStart w:id="0" w:name="_14d34uoc02lw" w:colFirst="0" w:colLast="0"/>
      <w:bookmarkEnd w:id="0"/>
      <w:r w:rsidRPr="00883933">
        <w:rPr>
          <w:rFonts w:ascii="Arial" w:eastAsia="Calibri" w:hAnsi="Arial" w:cs="Arial"/>
          <w:b/>
          <w:bCs/>
          <w:color w:val="984806" w:themeColor="accent6" w:themeShade="80"/>
          <w:sz w:val="28"/>
          <w:szCs w:val="28"/>
        </w:rPr>
        <w:t>Aging Increases Risk of Hypertension</w:t>
      </w:r>
      <w:r w:rsidR="00872B8B" w:rsidRPr="00883933">
        <w:rPr>
          <w:rFonts w:ascii="Arial" w:eastAsia="Calibri" w:hAnsi="Arial" w:cs="Arial"/>
          <w:b/>
          <w:bCs/>
          <w:color w:val="984806" w:themeColor="accent6" w:themeShade="80"/>
          <w:sz w:val="28"/>
          <w:szCs w:val="28"/>
        </w:rPr>
        <w:t>.</w:t>
      </w:r>
    </w:p>
    <w:p w14:paraId="61E6FD3F" w14:textId="77777777" w:rsidR="00A41FF2" w:rsidRPr="002D298E" w:rsidRDefault="00A41FF2" w:rsidP="00A52FDF">
      <w:pPr>
        <w:spacing w:after="0" w:line="360" w:lineRule="auto"/>
        <w:jc w:val="both"/>
        <w:rPr>
          <w:rFonts w:ascii="Arial" w:eastAsia="Calibri" w:hAnsi="Arial" w:cs="Arial"/>
        </w:rPr>
      </w:pPr>
    </w:p>
    <w:p w14:paraId="7B374213" w14:textId="499E887D" w:rsidR="003F13E2" w:rsidRPr="002D298E" w:rsidRDefault="003F13E2" w:rsidP="00A52FDF">
      <w:pPr>
        <w:spacing w:after="0" w:line="360" w:lineRule="auto"/>
        <w:jc w:val="both"/>
        <w:rPr>
          <w:rFonts w:ascii="Arial" w:eastAsia="Calibri" w:hAnsi="Arial" w:cs="Arial"/>
        </w:rPr>
      </w:pPr>
      <w:r w:rsidRPr="002D298E">
        <w:rPr>
          <w:rFonts w:ascii="Arial" w:eastAsia="Calibri" w:hAnsi="Arial" w:cs="Arial"/>
        </w:rPr>
        <w:t xml:space="preserve">As arteries age, their elastin fibres break down and are replaced by collagen, leading to stiffness and increased systolic blood pressure as the heart works harder to pump blood. Aging vascular cells also produce less nitric oxide, leading to sustained vasoconstriction and elevated peripheral vascular resistance. Additionally, low-grade inflammation driven by molecules such as IL-6 and TNF-α damages the endothelial lining of blood vessels, impairing their ability to </w:t>
      </w:r>
      <w:r w:rsidRPr="002D298E">
        <w:rPr>
          <w:rFonts w:ascii="Arial" w:eastAsia="Calibri" w:hAnsi="Arial" w:cs="Arial"/>
        </w:rPr>
        <w:t>regulate blood pressure and resulting in chronic hypertension</w:t>
      </w:r>
      <w:r w:rsidR="008309EC" w:rsidRPr="002D298E">
        <w:rPr>
          <w:rFonts w:ascii="Arial" w:eastAsia="Calibri" w:hAnsi="Arial" w:cs="Arial"/>
        </w:rPr>
        <w:t xml:space="preserve"> </w:t>
      </w:r>
      <w:r w:rsidR="00EF06A8" w:rsidRPr="002D298E">
        <w:rPr>
          <w:rFonts w:ascii="Arial" w:eastAsia="Calibri" w:hAnsi="Arial" w:cs="Arial"/>
        </w:rPr>
        <w:t>(</w:t>
      </w:r>
      <w:r w:rsidR="008309EC" w:rsidRPr="002D298E">
        <w:rPr>
          <w:rFonts w:ascii="Arial" w:eastAsia="Times New Roman" w:hAnsi="Arial" w:cs="Arial"/>
          <w:lang w:eastAsia="en-GB"/>
        </w:rPr>
        <w:t>Fukutomi and Kario</w:t>
      </w:r>
      <w:r w:rsidR="00EF06A8" w:rsidRPr="002D298E">
        <w:rPr>
          <w:rFonts w:ascii="Arial" w:eastAsia="Times New Roman" w:hAnsi="Arial" w:cs="Arial"/>
          <w:lang w:eastAsia="en-GB"/>
        </w:rPr>
        <w:t>,</w:t>
      </w:r>
      <w:r w:rsidR="008309EC" w:rsidRPr="002D298E">
        <w:rPr>
          <w:rFonts w:ascii="Arial" w:eastAsia="Times New Roman" w:hAnsi="Arial" w:cs="Arial"/>
          <w:lang w:eastAsia="en-GB"/>
        </w:rPr>
        <w:t xml:space="preserve"> 2010)</w:t>
      </w:r>
      <w:r w:rsidRPr="002D298E">
        <w:rPr>
          <w:rFonts w:ascii="Arial" w:eastAsia="Calibri" w:hAnsi="Arial" w:cs="Arial"/>
        </w:rPr>
        <w:t>.</w:t>
      </w:r>
    </w:p>
    <w:p w14:paraId="159018DF" w14:textId="77777777" w:rsidR="003527B1" w:rsidRPr="002D298E" w:rsidRDefault="003527B1" w:rsidP="00EF5794">
      <w:pPr>
        <w:spacing w:after="0" w:line="360" w:lineRule="auto"/>
        <w:rPr>
          <w:rFonts w:ascii="Arial" w:hAnsi="Arial" w:cs="Arial"/>
          <w:color w:val="984806" w:themeColor="accent6" w:themeShade="80"/>
        </w:rPr>
      </w:pPr>
    </w:p>
    <w:p w14:paraId="5B450776" w14:textId="2B21E2D1" w:rsidR="000202C8" w:rsidRPr="00D331F6" w:rsidRDefault="000202C8" w:rsidP="00EF5794">
      <w:pPr>
        <w:spacing w:after="0" w:line="360" w:lineRule="auto"/>
        <w:rPr>
          <w:rFonts w:ascii="Arial" w:eastAsia="Calibri" w:hAnsi="Arial" w:cs="Arial"/>
          <w:b/>
          <w:bCs/>
          <w:color w:val="984806" w:themeColor="accent6" w:themeShade="80"/>
          <w:sz w:val="28"/>
          <w:szCs w:val="28"/>
        </w:rPr>
      </w:pPr>
      <w:r w:rsidRPr="00D331F6">
        <w:rPr>
          <w:rFonts w:ascii="Arial" w:eastAsia="Calibri" w:hAnsi="Arial" w:cs="Arial"/>
          <w:b/>
          <w:bCs/>
          <w:color w:val="984806" w:themeColor="accent6" w:themeShade="80"/>
          <w:sz w:val="28"/>
          <w:szCs w:val="28"/>
        </w:rPr>
        <w:t>Physical Inactivity Causes Hypertension</w:t>
      </w:r>
      <w:r w:rsidR="00017020" w:rsidRPr="00D331F6">
        <w:rPr>
          <w:rFonts w:ascii="Arial" w:eastAsia="Calibri" w:hAnsi="Arial" w:cs="Arial"/>
          <w:b/>
          <w:bCs/>
          <w:color w:val="984806" w:themeColor="accent6" w:themeShade="80"/>
          <w:sz w:val="28"/>
          <w:szCs w:val="28"/>
        </w:rPr>
        <w:t>.</w:t>
      </w:r>
    </w:p>
    <w:p w14:paraId="17B1F009" w14:textId="77777777" w:rsidR="00A67FD4" w:rsidRPr="002D298E" w:rsidRDefault="00A67FD4" w:rsidP="00EF5794">
      <w:pPr>
        <w:spacing w:after="0" w:line="360" w:lineRule="auto"/>
        <w:jc w:val="both"/>
        <w:rPr>
          <w:rFonts w:ascii="Arial" w:eastAsia="Calibri" w:hAnsi="Arial" w:cs="Arial"/>
          <w:color w:val="000000" w:themeColor="text1"/>
        </w:rPr>
      </w:pPr>
    </w:p>
    <w:p w14:paraId="6B02A240" w14:textId="334C785A" w:rsidR="000202C8" w:rsidRPr="002D298E" w:rsidRDefault="000202C8" w:rsidP="00EF5794">
      <w:pPr>
        <w:spacing w:after="0" w:line="360" w:lineRule="auto"/>
        <w:jc w:val="both"/>
        <w:rPr>
          <w:rFonts w:ascii="Arial" w:eastAsia="Calibri" w:hAnsi="Arial" w:cs="Arial"/>
          <w:color w:val="000000" w:themeColor="text1"/>
        </w:rPr>
      </w:pPr>
      <w:r w:rsidRPr="002D298E">
        <w:rPr>
          <w:rFonts w:ascii="Arial" w:eastAsia="Calibri" w:hAnsi="Arial" w:cs="Arial"/>
          <w:color w:val="000000" w:themeColor="text1"/>
        </w:rPr>
        <w:t xml:space="preserve">Blood flowing through arteries during physical movement generates shear stress on the vessel wall, </w:t>
      </w:r>
      <w:r w:rsidR="002600FC" w:rsidRPr="002D298E">
        <w:rPr>
          <w:rFonts w:ascii="Arial" w:eastAsia="Calibri" w:hAnsi="Arial" w:cs="Arial"/>
          <w:color w:val="000000" w:themeColor="text1"/>
        </w:rPr>
        <w:t xml:space="preserve">a key trigger for nitric oxide production. Without regular exercise, shear stress falls, ENOS activity decreases, nitric oxide levels drop, and </w:t>
      </w:r>
      <w:r w:rsidRPr="002D298E">
        <w:rPr>
          <w:rFonts w:ascii="Arial" w:eastAsia="Calibri" w:hAnsi="Arial" w:cs="Arial"/>
          <w:color w:val="000000" w:themeColor="text1"/>
        </w:rPr>
        <w:t xml:space="preserve">blood vessels lose their ability to dilate </w:t>
      </w:r>
      <w:r w:rsidR="0092705D" w:rsidRPr="002D298E">
        <w:rPr>
          <w:rFonts w:ascii="Arial" w:eastAsia="Calibri" w:hAnsi="Arial" w:cs="Arial"/>
          <w:color w:val="000000" w:themeColor="text1"/>
        </w:rPr>
        <w:t>properly, causing</w:t>
      </w:r>
      <w:r w:rsidRPr="002D298E">
        <w:rPr>
          <w:rFonts w:ascii="Arial" w:eastAsia="Calibri" w:hAnsi="Arial" w:cs="Arial"/>
          <w:color w:val="000000" w:themeColor="text1"/>
        </w:rPr>
        <w:t xml:space="preserve"> peripheral resistance to rise. Inactivity keeps the sympathetic nervous system chronically overactive, sustaining elevated circulating noradrenaline that constricts blood vessels via alpha-1 adrenoceptors and stimulates renin release from the kidneys, feeding into angiotensin II production and aldosterone-driven sodium retention - a cascade that pushes blood pressure up from multiple directions simultaneously</w:t>
      </w:r>
      <w:r w:rsidR="00216DCF" w:rsidRPr="002D298E">
        <w:rPr>
          <w:rFonts w:ascii="Arial" w:eastAsia="Calibri" w:hAnsi="Arial" w:cs="Arial"/>
          <w:color w:val="000000" w:themeColor="text1"/>
        </w:rPr>
        <w:t xml:space="preserve"> (Hayes et al., 2022)</w:t>
      </w:r>
      <w:r w:rsidRPr="002D298E">
        <w:rPr>
          <w:rFonts w:ascii="Arial" w:eastAsia="Calibri" w:hAnsi="Arial" w:cs="Arial"/>
          <w:color w:val="000000" w:themeColor="text1"/>
        </w:rPr>
        <w:t>.</w:t>
      </w:r>
    </w:p>
    <w:p w14:paraId="6B1AD32A" w14:textId="77777777" w:rsidR="00EA0914" w:rsidRPr="002D298E" w:rsidRDefault="00EA0914" w:rsidP="00EF5794">
      <w:pPr>
        <w:spacing w:after="0" w:line="360" w:lineRule="auto"/>
        <w:jc w:val="both"/>
        <w:rPr>
          <w:rFonts w:ascii="Arial" w:eastAsia="Calibri" w:hAnsi="Arial" w:cs="Arial"/>
          <w:color w:val="000000" w:themeColor="text1"/>
        </w:rPr>
      </w:pPr>
    </w:p>
    <w:p w14:paraId="1D1A18A8" w14:textId="516EEFD9" w:rsidR="00EA0914" w:rsidRPr="00F16224" w:rsidRDefault="0048093C" w:rsidP="00D907F7">
      <w:pPr>
        <w:rPr>
          <w:rFonts w:ascii="Arial" w:eastAsia="Calibri" w:hAnsi="Arial" w:cs="Arial"/>
          <w:b/>
          <w:bCs/>
          <w:color w:val="984806" w:themeColor="accent6" w:themeShade="80"/>
          <w:sz w:val="28"/>
          <w:szCs w:val="28"/>
        </w:rPr>
      </w:pPr>
      <w:r w:rsidRPr="00F16224">
        <w:rPr>
          <w:rFonts w:ascii="Arial" w:eastAsia="Calibri" w:hAnsi="Arial" w:cs="Arial"/>
          <w:b/>
          <w:bCs/>
          <w:color w:val="984806" w:themeColor="accent6" w:themeShade="80"/>
          <w:sz w:val="28"/>
          <w:szCs w:val="28"/>
        </w:rPr>
        <w:t>Poor Housing Conditions Cause Hypertension</w:t>
      </w:r>
      <w:r w:rsidR="00E248CB" w:rsidRPr="00F16224">
        <w:rPr>
          <w:rFonts w:ascii="Arial" w:eastAsia="Calibri" w:hAnsi="Arial" w:cs="Arial"/>
          <w:b/>
          <w:bCs/>
          <w:color w:val="984806" w:themeColor="accent6" w:themeShade="80"/>
          <w:sz w:val="28"/>
          <w:szCs w:val="28"/>
        </w:rPr>
        <w:t>.</w:t>
      </w:r>
    </w:p>
    <w:p w14:paraId="01C1FEEE" w14:textId="77777777" w:rsidR="00A67FD4" w:rsidRPr="002D298E" w:rsidRDefault="00A67FD4" w:rsidP="00C97232">
      <w:pPr>
        <w:spacing w:after="0" w:line="360" w:lineRule="auto"/>
        <w:jc w:val="both"/>
        <w:rPr>
          <w:rFonts w:ascii="Arial" w:eastAsia="Calibri" w:hAnsi="Arial" w:cs="Arial"/>
          <w:color w:val="000000" w:themeColor="text1"/>
        </w:rPr>
      </w:pPr>
    </w:p>
    <w:p w14:paraId="1045758D" w14:textId="17E33056" w:rsidR="00F14734" w:rsidRPr="002D298E" w:rsidRDefault="00F14734" w:rsidP="00C97232">
      <w:pPr>
        <w:spacing w:after="0" w:line="360" w:lineRule="auto"/>
        <w:jc w:val="both"/>
        <w:rPr>
          <w:rFonts w:ascii="Arial" w:eastAsia="Calibri" w:hAnsi="Arial" w:cs="Arial"/>
          <w:color w:val="000000" w:themeColor="text1"/>
        </w:rPr>
      </w:pPr>
      <w:r w:rsidRPr="002D298E">
        <w:rPr>
          <w:rFonts w:ascii="Arial" w:eastAsia="Calibri" w:hAnsi="Arial" w:cs="Arial"/>
          <w:color w:val="000000" w:themeColor="text1"/>
        </w:rPr>
        <w:t xml:space="preserve">Chronic stress from housing instability, overcrowding, and insecurity persistently activates the HPA axis, keeping cortisol levels elevated; </w:t>
      </w:r>
      <w:r w:rsidRPr="002D298E">
        <w:rPr>
          <w:rFonts w:ascii="Arial" w:eastAsia="Calibri" w:hAnsi="Arial" w:cs="Arial"/>
          <w:color w:val="000000" w:themeColor="text1"/>
        </w:rPr>
        <w:lastRenderedPageBreak/>
        <w:t>sustained cortisol promotes sodium retention in the kidneys and drives structural changes in vascular smooth muscle that increase peripheral resistance - creating a direct hormonal pathway from poor living conditions to high blood pressure. Cold and poorly insulated homes trigger the nervous system to constrict peripheral blood vessels via alpha-adrenergic receptor activation, an acute response that, when experienced chronically over months and years, drives structural remodelling of resistance vessels, leaving them permanently narrowed even when temperatures are normal. Housing instability disrupts sleep patterns, medication adherence, dietary quality, and access to healthcare - each of which independently affects the circadian regulation of blood pressure and sympathetic tone and together creates a compounding physiological environment in which blood pressure progressively rises and is much harder to control</w:t>
      </w:r>
      <w:r w:rsidR="00A12683" w:rsidRPr="002D298E">
        <w:rPr>
          <w:rFonts w:ascii="Arial" w:eastAsia="Calibri" w:hAnsi="Arial" w:cs="Arial"/>
          <w:color w:val="000000" w:themeColor="text1"/>
        </w:rPr>
        <w:t xml:space="preserve"> (Vijayaraghavan et al., 2012)</w:t>
      </w:r>
      <w:r w:rsidRPr="002D298E">
        <w:rPr>
          <w:rFonts w:ascii="Arial" w:eastAsia="Calibri" w:hAnsi="Arial" w:cs="Arial"/>
          <w:color w:val="000000" w:themeColor="text1"/>
        </w:rPr>
        <w:t>.</w:t>
      </w:r>
      <w:r w:rsidR="00B97938" w:rsidRPr="002D298E">
        <w:rPr>
          <w:rFonts w:ascii="Arial" w:eastAsia="Calibri" w:hAnsi="Arial" w:cs="Arial"/>
          <w:color w:val="000000" w:themeColor="text1"/>
        </w:rPr>
        <w:t xml:space="preserve"> </w:t>
      </w:r>
    </w:p>
    <w:p w14:paraId="7D17467C" w14:textId="77777777" w:rsidR="003F5118" w:rsidRPr="002D298E" w:rsidRDefault="003F5118" w:rsidP="00C97232">
      <w:pPr>
        <w:spacing w:after="0" w:line="360" w:lineRule="auto"/>
        <w:jc w:val="both"/>
        <w:rPr>
          <w:rFonts w:ascii="Arial" w:eastAsia="Calibri" w:hAnsi="Arial" w:cs="Arial"/>
          <w:color w:val="000000" w:themeColor="text1"/>
        </w:rPr>
      </w:pPr>
    </w:p>
    <w:p w14:paraId="31F39991" w14:textId="77777777" w:rsidR="00C97232" w:rsidRPr="00C35A10" w:rsidRDefault="005B4870" w:rsidP="00C97232">
      <w:pPr>
        <w:spacing w:after="0" w:line="360" w:lineRule="auto"/>
        <w:jc w:val="both"/>
        <w:rPr>
          <w:rFonts w:ascii="Arial" w:eastAsia="Calibri" w:hAnsi="Arial" w:cs="Arial"/>
          <w:b/>
          <w:bCs/>
          <w:color w:val="984806" w:themeColor="accent6" w:themeShade="80"/>
          <w:sz w:val="28"/>
          <w:szCs w:val="28"/>
        </w:rPr>
      </w:pPr>
      <w:r w:rsidRPr="00C35A10">
        <w:rPr>
          <w:rFonts w:ascii="Arial" w:eastAsia="Calibri" w:hAnsi="Arial" w:cs="Arial"/>
          <w:b/>
          <w:bCs/>
          <w:color w:val="984806" w:themeColor="accent6" w:themeShade="80"/>
          <w:sz w:val="28"/>
          <w:szCs w:val="28"/>
        </w:rPr>
        <w:t>Hypertension Causes Stroke.</w:t>
      </w:r>
    </w:p>
    <w:p w14:paraId="105B4142" w14:textId="77777777" w:rsidR="00A67FD4" w:rsidRPr="002D298E" w:rsidRDefault="00A67FD4" w:rsidP="00864A0C">
      <w:pPr>
        <w:spacing w:after="0" w:line="360" w:lineRule="auto"/>
        <w:jc w:val="both"/>
        <w:rPr>
          <w:rFonts w:ascii="Arial" w:eastAsia="Calibri" w:hAnsi="Arial" w:cs="Arial"/>
          <w:color w:val="000000" w:themeColor="text1"/>
        </w:rPr>
      </w:pPr>
    </w:p>
    <w:p w14:paraId="767B00FD" w14:textId="20524CDB" w:rsidR="00F93267" w:rsidRPr="002D298E" w:rsidRDefault="00F93267" w:rsidP="00864A0C">
      <w:pPr>
        <w:spacing w:after="0" w:line="360" w:lineRule="auto"/>
        <w:jc w:val="both"/>
        <w:rPr>
          <w:rFonts w:ascii="Arial" w:eastAsia="Calibri" w:hAnsi="Arial" w:cs="Arial"/>
          <w:color w:val="000000" w:themeColor="text1"/>
        </w:rPr>
      </w:pPr>
      <w:r w:rsidRPr="002D298E">
        <w:rPr>
          <w:rFonts w:ascii="Arial" w:eastAsia="Calibri" w:hAnsi="Arial" w:cs="Arial"/>
          <w:color w:val="000000" w:themeColor="text1"/>
        </w:rPr>
        <w:t xml:space="preserve">Sustained high pressure in small cerebral arteries damages their walls through a process called fibrinoid necrosis and lip hyalinosis, where the vessel wall is gradually replaced by fibrous material - this narrows and ultimately occludes the artery, cutting off blood supply </w:t>
      </w:r>
      <w:r w:rsidRPr="002D298E">
        <w:rPr>
          <w:rFonts w:ascii="Arial" w:eastAsia="Calibri" w:hAnsi="Arial" w:cs="Arial"/>
          <w:color w:val="000000" w:themeColor="text1"/>
        </w:rPr>
        <w:t>to small but critical areas of deep brain tissue and producing what are known as lacunar infarcts. Hypertension accelerates the formation of atherosclerotic plaques in both the large arteries supplying the brain and the smaller intracranial vessels by promoting endothelial damage, lipid infiltration, and inflammatory cell build-up in the vessel wall; these plaques can rupture or shed clots that travel to the brain and block blood flow, causing Ischaemic stroke</w:t>
      </w:r>
      <w:r w:rsidR="009135CC" w:rsidRPr="002D298E">
        <w:rPr>
          <w:rFonts w:ascii="Arial" w:eastAsia="Calibri" w:hAnsi="Arial" w:cs="Arial"/>
          <w:color w:val="000000" w:themeColor="text1"/>
        </w:rPr>
        <w:t xml:space="preserve"> (Johansson, 2019)</w:t>
      </w:r>
      <w:r w:rsidRPr="002D298E">
        <w:rPr>
          <w:rFonts w:ascii="Arial" w:eastAsia="Calibri" w:hAnsi="Arial" w:cs="Arial"/>
          <w:color w:val="000000" w:themeColor="text1"/>
        </w:rPr>
        <w:t>.</w:t>
      </w:r>
    </w:p>
    <w:p w14:paraId="13E33961" w14:textId="77777777" w:rsidR="00864A0C" w:rsidRPr="002D298E" w:rsidRDefault="00864A0C" w:rsidP="00864A0C">
      <w:pPr>
        <w:spacing w:after="0" w:line="360" w:lineRule="auto"/>
        <w:jc w:val="both"/>
        <w:rPr>
          <w:rFonts w:ascii="Arial" w:eastAsia="Calibri" w:hAnsi="Arial" w:cs="Arial"/>
          <w:color w:val="984806" w:themeColor="accent6" w:themeShade="80"/>
        </w:rPr>
      </w:pPr>
    </w:p>
    <w:p w14:paraId="1CEC50ED" w14:textId="2A083AFD" w:rsidR="00B97938" w:rsidRPr="00F16224" w:rsidRDefault="006C10E9" w:rsidP="00864A0C">
      <w:pPr>
        <w:spacing w:after="0" w:line="360" w:lineRule="auto"/>
        <w:jc w:val="both"/>
        <w:rPr>
          <w:rFonts w:ascii="Arial" w:eastAsia="Calibri" w:hAnsi="Arial" w:cs="Arial"/>
          <w:b/>
          <w:bCs/>
          <w:color w:val="984806" w:themeColor="accent6" w:themeShade="80"/>
          <w:sz w:val="28"/>
          <w:szCs w:val="28"/>
        </w:rPr>
      </w:pPr>
      <w:r w:rsidRPr="00F16224">
        <w:rPr>
          <w:rFonts w:ascii="Arial" w:eastAsia="Calibri" w:hAnsi="Arial" w:cs="Arial"/>
          <w:b/>
          <w:bCs/>
          <w:color w:val="984806" w:themeColor="accent6" w:themeShade="80"/>
          <w:sz w:val="28"/>
          <w:szCs w:val="28"/>
        </w:rPr>
        <w:t>Obesity Causing Hypertension</w:t>
      </w:r>
      <w:r w:rsidR="007E2CF0" w:rsidRPr="00F16224">
        <w:rPr>
          <w:rFonts w:ascii="Arial" w:eastAsia="Calibri" w:hAnsi="Arial" w:cs="Arial"/>
          <w:b/>
          <w:bCs/>
          <w:color w:val="984806" w:themeColor="accent6" w:themeShade="80"/>
          <w:sz w:val="28"/>
          <w:szCs w:val="28"/>
        </w:rPr>
        <w:t>.</w:t>
      </w:r>
    </w:p>
    <w:p w14:paraId="44CEA6B7" w14:textId="77777777" w:rsidR="00A67FD4" w:rsidRPr="002D298E" w:rsidRDefault="00A67FD4" w:rsidP="00864A0C">
      <w:pPr>
        <w:spacing w:after="0" w:line="360" w:lineRule="auto"/>
        <w:jc w:val="both"/>
        <w:rPr>
          <w:rFonts w:ascii="Arial" w:eastAsia="Calibri" w:hAnsi="Arial" w:cs="Arial"/>
          <w:color w:val="000000" w:themeColor="text1"/>
        </w:rPr>
      </w:pPr>
    </w:p>
    <w:p w14:paraId="3E5F4E27" w14:textId="0A5D9FF8" w:rsidR="006E7621" w:rsidRPr="002D298E" w:rsidRDefault="006E7621" w:rsidP="00864A0C">
      <w:pPr>
        <w:spacing w:after="0" w:line="360" w:lineRule="auto"/>
        <w:jc w:val="both"/>
        <w:rPr>
          <w:rFonts w:ascii="Arial" w:eastAsia="Calibri" w:hAnsi="Arial" w:cs="Arial"/>
          <w:color w:val="000000" w:themeColor="text1"/>
        </w:rPr>
      </w:pPr>
      <w:r w:rsidRPr="002D298E">
        <w:rPr>
          <w:rFonts w:ascii="Arial" w:eastAsia="Calibri" w:hAnsi="Arial" w:cs="Arial"/>
          <w:color w:val="000000" w:themeColor="text1"/>
        </w:rPr>
        <w:t xml:space="preserve">Visceral and perirenal adipose tissue constitutively produces angiotensinogen, which is locally converted to angiotensin II - a potent vasoconstrictor that simultaneously signals the adrenal glands to release aldosterone; in obesity, this adipose-based RAAS runs in a chronically activated state, constricting blood vessels and promoting renal sodium retention independent of systemic RAAS controls. Excess leptin secreted by enlarged fat cells acts on hypothalamic and brainstem receptors to drive sustained sympathetic outflow to the kidneys and vasculature - increasing renal renin release, raising tubular sodium reabsorption, and constricting peripheral vessels via alpha-1 adrenoceptors; critically, metabolic </w:t>
      </w:r>
      <w:r w:rsidRPr="002D298E">
        <w:rPr>
          <w:rFonts w:ascii="Arial" w:eastAsia="Calibri" w:hAnsi="Arial" w:cs="Arial"/>
          <w:color w:val="000000" w:themeColor="text1"/>
        </w:rPr>
        <w:lastRenderedPageBreak/>
        <w:t>leptin resistance develops, but pressor leptin resistance does not, meaning the blood pressure-raising effects of leptin persist even as its appetite-suppressing effects are lost</w:t>
      </w:r>
      <w:r w:rsidR="00E319C4" w:rsidRPr="002D298E">
        <w:rPr>
          <w:rFonts w:ascii="Arial" w:eastAsia="Calibri" w:hAnsi="Arial" w:cs="Arial"/>
          <w:color w:val="000000" w:themeColor="text1"/>
        </w:rPr>
        <w:t xml:space="preserve"> </w:t>
      </w:r>
      <w:r w:rsidR="00C670B2" w:rsidRPr="002D298E">
        <w:rPr>
          <w:rFonts w:ascii="Arial" w:eastAsia="Calibri" w:hAnsi="Arial" w:cs="Arial"/>
          <w:color w:val="000000" w:themeColor="text1"/>
        </w:rPr>
        <w:t>(Kotsis et al., 2010).</w:t>
      </w:r>
    </w:p>
    <w:p w14:paraId="6946005D" w14:textId="77777777" w:rsidR="006E7621" w:rsidRPr="00CD2481" w:rsidRDefault="006E7621" w:rsidP="006E7621">
      <w:pPr>
        <w:spacing w:line="360" w:lineRule="auto"/>
        <w:jc w:val="both"/>
        <w:rPr>
          <w:rFonts w:ascii="Arial" w:eastAsia="Calibri" w:hAnsi="Arial" w:cs="Arial"/>
          <w:color w:val="000000" w:themeColor="text1"/>
          <w:sz w:val="28"/>
          <w:szCs w:val="28"/>
        </w:rPr>
      </w:pPr>
    </w:p>
    <w:p w14:paraId="314EE080" w14:textId="5CBDF24A" w:rsidR="006A797A" w:rsidRPr="00CD2481" w:rsidRDefault="006A797A" w:rsidP="008C4017">
      <w:pPr>
        <w:spacing w:after="0" w:line="360" w:lineRule="auto"/>
        <w:rPr>
          <w:rFonts w:ascii="Arial" w:hAnsi="Arial" w:cs="Arial"/>
          <w:b/>
          <w:bCs/>
          <w:color w:val="00B0F0"/>
          <w:sz w:val="28"/>
          <w:szCs w:val="28"/>
        </w:rPr>
      </w:pPr>
      <w:r w:rsidRPr="00CD2481">
        <w:rPr>
          <w:rFonts w:ascii="Arial" w:hAnsi="Arial" w:cs="Arial"/>
          <w:b/>
          <w:bCs/>
          <w:color w:val="00B0F0"/>
          <w:sz w:val="28"/>
          <w:szCs w:val="28"/>
        </w:rPr>
        <w:t>Physical Impact of Hypertension</w:t>
      </w:r>
      <w:r w:rsidR="00113A46" w:rsidRPr="00CD2481">
        <w:rPr>
          <w:rFonts w:ascii="Arial" w:hAnsi="Arial" w:cs="Arial"/>
          <w:b/>
          <w:bCs/>
          <w:color w:val="00B0F0"/>
          <w:sz w:val="28"/>
          <w:szCs w:val="28"/>
        </w:rPr>
        <w:t>.</w:t>
      </w:r>
    </w:p>
    <w:p w14:paraId="475B1299" w14:textId="77777777" w:rsidR="008C4017" w:rsidRPr="002D298E" w:rsidRDefault="008C4017" w:rsidP="008C4017">
      <w:pPr>
        <w:spacing w:after="0" w:line="360" w:lineRule="auto"/>
        <w:rPr>
          <w:rFonts w:ascii="Arial" w:hAnsi="Arial" w:cs="Arial"/>
          <w:b/>
          <w:bCs/>
          <w:color w:val="00B0F0"/>
        </w:rPr>
      </w:pPr>
    </w:p>
    <w:p w14:paraId="0C46C9D9" w14:textId="12BA46FA" w:rsidR="00686C5A" w:rsidRPr="002D298E" w:rsidRDefault="00686C5A" w:rsidP="00464088">
      <w:pPr>
        <w:spacing w:after="0" w:line="360" w:lineRule="auto"/>
        <w:jc w:val="center"/>
        <w:rPr>
          <w:rFonts w:ascii="Arial" w:hAnsi="Arial" w:cs="Arial"/>
          <w:b/>
          <w:bCs/>
          <w:color w:val="00B0F0"/>
        </w:rPr>
      </w:pPr>
      <w:r w:rsidRPr="002D298E">
        <w:rPr>
          <w:rFonts w:ascii="Arial" w:hAnsi="Arial" w:cs="Arial"/>
          <w:noProof/>
        </w:rPr>
        <w:drawing>
          <wp:inline distT="0" distB="0" distL="0" distR="0" wp14:anchorId="0F41A0B1" wp14:editId="15D5D6E7">
            <wp:extent cx="2932188" cy="2199629"/>
            <wp:effectExtent l="0" t="0" r="1905" b="0"/>
            <wp:docPr id="1174914654" name="Picture 1" descr="The Effects of Hypertension on the Bo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Effects of Hypertension on the Body"/>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48714" cy="2287043"/>
                    </a:xfrm>
                    <a:prstGeom prst="rect">
                      <a:avLst/>
                    </a:prstGeom>
                    <a:noFill/>
                    <a:ln>
                      <a:noFill/>
                    </a:ln>
                  </pic:spPr>
                </pic:pic>
              </a:graphicData>
            </a:graphic>
          </wp:inline>
        </w:drawing>
      </w:r>
    </w:p>
    <w:p w14:paraId="7540E71F" w14:textId="77777777" w:rsidR="008C4017" w:rsidRPr="002D298E" w:rsidRDefault="008C4017" w:rsidP="006A797A">
      <w:pPr>
        <w:spacing w:after="0" w:line="360" w:lineRule="auto"/>
        <w:jc w:val="both"/>
        <w:rPr>
          <w:rFonts w:ascii="Arial" w:hAnsi="Arial" w:cs="Arial"/>
          <w:color w:val="000000" w:themeColor="text1"/>
        </w:rPr>
      </w:pPr>
    </w:p>
    <w:p w14:paraId="6312EF6F" w14:textId="49C3685E" w:rsidR="006A797A" w:rsidRPr="002D298E" w:rsidRDefault="006A797A" w:rsidP="006A797A">
      <w:pPr>
        <w:spacing w:after="0" w:line="360" w:lineRule="auto"/>
        <w:jc w:val="both"/>
        <w:rPr>
          <w:rFonts w:ascii="Arial" w:hAnsi="Arial" w:cs="Arial"/>
          <w:color w:val="000000" w:themeColor="text1"/>
        </w:rPr>
      </w:pPr>
      <w:r w:rsidRPr="002D298E">
        <w:rPr>
          <w:rFonts w:ascii="Arial" w:hAnsi="Arial" w:cs="Arial"/>
          <w:color w:val="000000" w:themeColor="text1"/>
        </w:rPr>
        <w:t>Hypertension exerts profound effects on physical health due to its progressive impact on the cardiovascular system and target organs.</w:t>
      </w:r>
      <w:r w:rsidR="009770FC" w:rsidRPr="002D298E">
        <w:rPr>
          <w:rFonts w:ascii="Arial" w:hAnsi="Arial" w:cs="Arial"/>
          <w:color w:val="000000" w:themeColor="text1"/>
        </w:rPr>
        <w:t xml:space="preserve"> </w:t>
      </w:r>
      <w:r w:rsidRPr="002D298E">
        <w:rPr>
          <w:rFonts w:ascii="Arial" w:hAnsi="Arial" w:cs="Arial"/>
          <w:color w:val="000000" w:themeColor="text1"/>
        </w:rPr>
        <w:t xml:space="preserve">Cardiovascular disease represents the most significant consequence of uncontrolled hypertension. Persistent elevated blood pressure accelerates atherosclerosis, increases myocardial workload, and </w:t>
      </w:r>
      <w:r w:rsidRPr="002D298E">
        <w:rPr>
          <w:rFonts w:ascii="Arial" w:hAnsi="Arial" w:cs="Arial"/>
          <w:color w:val="000000" w:themeColor="text1"/>
        </w:rPr>
        <w:t>contributes to coronary artery disease, myocardial infarction, and heart failure (British Heart Foundation, 2023). Numerous studies have demonstrated a direct relationship between blood pressure levels and cardiovascular risk. Stroke is another major complication. The Stroke Association (2023) identifies hypertension as the most important modifiable risk factor for both ischaemic and haemorrhagic stroke. Damage to cerebral blood vessels resulting from prolonged hypertension significantly increases the likelihood of cerebrovascular events.</w:t>
      </w:r>
      <w:r w:rsidR="008F6EA5" w:rsidRPr="002D298E">
        <w:rPr>
          <w:rFonts w:ascii="Arial" w:hAnsi="Arial" w:cs="Arial"/>
          <w:color w:val="000000" w:themeColor="text1"/>
        </w:rPr>
        <w:t xml:space="preserve"> </w:t>
      </w:r>
      <w:r w:rsidRPr="002D298E">
        <w:rPr>
          <w:rFonts w:ascii="Arial" w:hAnsi="Arial" w:cs="Arial"/>
          <w:color w:val="000000" w:themeColor="text1"/>
        </w:rPr>
        <w:t xml:space="preserve">Hypertension also contributes substantially to chronic kidney disease. Persistent elevation of blood pressure damages renal blood vessels and impairs kidney function. Kidney Research UK (2023) estimates that hypertension is implicated in approximately one-third of chronic kidney disease </w:t>
      </w:r>
      <w:r w:rsidR="00656DC1" w:rsidRPr="002D298E">
        <w:rPr>
          <w:rFonts w:ascii="Arial" w:hAnsi="Arial" w:cs="Arial"/>
          <w:color w:val="000000" w:themeColor="text1"/>
        </w:rPr>
        <w:t>issues</w:t>
      </w:r>
      <w:r w:rsidRPr="002D298E">
        <w:rPr>
          <w:rFonts w:ascii="Arial" w:hAnsi="Arial" w:cs="Arial"/>
          <w:color w:val="000000" w:themeColor="text1"/>
        </w:rPr>
        <w:t>.</w:t>
      </w:r>
      <w:r w:rsidR="008F6EA5" w:rsidRPr="002D298E">
        <w:rPr>
          <w:rFonts w:ascii="Arial" w:hAnsi="Arial" w:cs="Arial"/>
          <w:color w:val="000000" w:themeColor="text1"/>
        </w:rPr>
        <w:t xml:space="preserve"> </w:t>
      </w:r>
      <w:r w:rsidRPr="002D298E">
        <w:rPr>
          <w:rFonts w:ascii="Arial" w:hAnsi="Arial" w:cs="Arial"/>
          <w:color w:val="000000" w:themeColor="text1"/>
        </w:rPr>
        <w:t>Visual impairment may occur through hypertensive retinopathy, while vascular dementia and cognitive decline are increasingly recognised consequences of chronic hypertension. Emerging evidence suggests that effective blood pressure control may reduce dementia risk and support healthy ageing (NHS England, 2023).</w:t>
      </w:r>
    </w:p>
    <w:p w14:paraId="4A0B8F51" w14:textId="77777777" w:rsidR="00591DF2" w:rsidRPr="002D298E" w:rsidRDefault="00591DF2" w:rsidP="006A797A">
      <w:pPr>
        <w:spacing w:after="0" w:line="360" w:lineRule="auto"/>
        <w:jc w:val="both"/>
        <w:rPr>
          <w:rFonts w:ascii="Arial" w:hAnsi="Arial" w:cs="Arial"/>
          <w:color w:val="000000" w:themeColor="text1"/>
        </w:rPr>
      </w:pPr>
    </w:p>
    <w:p w14:paraId="68787107" w14:textId="5185A796" w:rsidR="006A797A" w:rsidRPr="002D298E" w:rsidRDefault="006A797A" w:rsidP="006A797A">
      <w:pPr>
        <w:spacing w:after="0" w:line="360" w:lineRule="auto"/>
        <w:jc w:val="both"/>
        <w:rPr>
          <w:rFonts w:ascii="Arial" w:hAnsi="Arial" w:cs="Arial"/>
          <w:color w:val="000000" w:themeColor="text1"/>
        </w:rPr>
      </w:pPr>
      <w:r w:rsidRPr="002D298E">
        <w:rPr>
          <w:rFonts w:ascii="Arial" w:hAnsi="Arial" w:cs="Arial"/>
          <w:color w:val="000000" w:themeColor="text1"/>
        </w:rPr>
        <w:t xml:space="preserve">The physical burden of hypertension is further complicated by multimorbidity. Many patients experience coexisting conditions such as diabetes, obesity, chronic kidney disease, and heart failure. </w:t>
      </w:r>
      <w:r w:rsidRPr="002D298E">
        <w:rPr>
          <w:rFonts w:ascii="Arial" w:hAnsi="Arial" w:cs="Arial"/>
          <w:color w:val="000000" w:themeColor="text1"/>
        </w:rPr>
        <w:lastRenderedPageBreak/>
        <w:t xml:space="preserve">Multimorbidity increases treatment complexity, healthcare utilisation, and </w:t>
      </w:r>
      <w:r w:rsidR="00C000A5" w:rsidRPr="002D298E">
        <w:rPr>
          <w:rFonts w:ascii="Arial" w:hAnsi="Arial" w:cs="Arial"/>
          <w:color w:val="000000" w:themeColor="text1"/>
        </w:rPr>
        <w:t xml:space="preserve">self-management challenges </w:t>
      </w:r>
      <w:r w:rsidRPr="002D298E">
        <w:rPr>
          <w:rFonts w:ascii="Arial" w:hAnsi="Arial" w:cs="Arial"/>
          <w:color w:val="000000" w:themeColor="text1"/>
        </w:rPr>
        <w:t>(NICE, 2021).</w:t>
      </w:r>
    </w:p>
    <w:p w14:paraId="6F951579" w14:textId="77777777" w:rsidR="006A797A" w:rsidRPr="002D298E" w:rsidRDefault="006A797A" w:rsidP="006A797A">
      <w:pPr>
        <w:spacing w:after="0" w:line="360" w:lineRule="auto"/>
        <w:jc w:val="both"/>
        <w:rPr>
          <w:rFonts w:ascii="Arial" w:hAnsi="Arial" w:cs="Arial"/>
          <w:b/>
          <w:bCs/>
          <w:color w:val="000000" w:themeColor="text1"/>
        </w:rPr>
      </w:pPr>
    </w:p>
    <w:p w14:paraId="4565AD6E" w14:textId="55EF8DFE" w:rsidR="006A797A" w:rsidRPr="00EB1A8F" w:rsidRDefault="006A797A" w:rsidP="006A797A">
      <w:pPr>
        <w:spacing w:after="0" w:line="360" w:lineRule="auto"/>
        <w:jc w:val="both"/>
        <w:rPr>
          <w:rFonts w:ascii="Arial" w:hAnsi="Arial" w:cs="Arial"/>
          <w:b/>
          <w:bCs/>
          <w:color w:val="00B0F0"/>
          <w:sz w:val="28"/>
          <w:szCs w:val="28"/>
        </w:rPr>
      </w:pPr>
      <w:r w:rsidRPr="00EB1A8F">
        <w:rPr>
          <w:rFonts w:ascii="Arial" w:hAnsi="Arial" w:cs="Arial"/>
          <w:b/>
          <w:bCs/>
          <w:color w:val="00B0F0"/>
          <w:sz w:val="28"/>
          <w:szCs w:val="28"/>
        </w:rPr>
        <w:t>Psychological Impact of Hypertension</w:t>
      </w:r>
      <w:r w:rsidR="008C4017" w:rsidRPr="00EB1A8F">
        <w:rPr>
          <w:rFonts w:ascii="Arial" w:hAnsi="Arial" w:cs="Arial"/>
          <w:b/>
          <w:bCs/>
          <w:color w:val="00B0F0"/>
          <w:sz w:val="28"/>
          <w:szCs w:val="28"/>
        </w:rPr>
        <w:t>.</w:t>
      </w:r>
    </w:p>
    <w:p w14:paraId="0CBCC65F" w14:textId="77777777" w:rsidR="00BD78CE" w:rsidRPr="002D298E" w:rsidRDefault="00BD78CE" w:rsidP="006A797A">
      <w:pPr>
        <w:spacing w:after="0" w:line="360" w:lineRule="auto"/>
        <w:jc w:val="both"/>
        <w:rPr>
          <w:rFonts w:ascii="Arial" w:hAnsi="Arial" w:cs="Arial"/>
          <w:b/>
          <w:bCs/>
          <w:color w:val="00B0F0"/>
        </w:rPr>
      </w:pPr>
    </w:p>
    <w:p w14:paraId="7A706156" w14:textId="1EBF9746" w:rsidR="007F708E" w:rsidRPr="002D298E" w:rsidRDefault="003820CC" w:rsidP="00557097">
      <w:pPr>
        <w:spacing w:after="0" w:line="360" w:lineRule="auto"/>
        <w:jc w:val="center"/>
        <w:rPr>
          <w:rFonts w:ascii="Arial" w:hAnsi="Arial" w:cs="Arial"/>
          <w:b/>
          <w:bCs/>
          <w:color w:val="00B0F0"/>
        </w:rPr>
      </w:pPr>
      <w:r w:rsidRPr="002D298E">
        <w:rPr>
          <w:rFonts w:ascii="Arial" w:hAnsi="Arial" w:cs="Arial"/>
          <w:noProof/>
        </w:rPr>
        <w:drawing>
          <wp:inline distT="0" distB="0" distL="0" distR="0" wp14:anchorId="371B0C5B" wp14:editId="7593557E">
            <wp:extent cx="2318867" cy="2051637"/>
            <wp:effectExtent l="0" t="0" r="5715" b="6350"/>
            <wp:docPr id="1570278347" name="Picture 2" descr="Impact of Antihypertensive Treatments on Psychological Elements and Quality  of Life | Springer Nature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pact of Antihypertensive Treatments on Psychological Elements and Quality  of Life | Springer Nature Link"/>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82556" cy="2107986"/>
                    </a:xfrm>
                    <a:prstGeom prst="rect">
                      <a:avLst/>
                    </a:prstGeom>
                    <a:noFill/>
                    <a:ln>
                      <a:noFill/>
                    </a:ln>
                  </pic:spPr>
                </pic:pic>
              </a:graphicData>
            </a:graphic>
          </wp:inline>
        </w:drawing>
      </w:r>
    </w:p>
    <w:p w14:paraId="48C2D6F3" w14:textId="77777777" w:rsidR="00557097" w:rsidRPr="002D298E" w:rsidRDefault="00557097" w:rsidP="00557097">
      <w:pPr>
        <w:spacing w:after="0" w:line="360" w:lineRule="auto"/>
        <w:jc w:val="center"/>
        <w:rPr>
          <w:rFonts w:ascii="Arial" w:hAnsi="Arial" w:cs="Arial"/>
          <w:b/>
          <w:bCs/>
          <w:color w:val="00B0F0"/>
        </w:rPr>
      </w:pPr>
    </w:p>
    <w:p w14:paraId="70A5F8A4" w14:textId="6ABDE091" w:rsidR="006A797A" w:rsidRPr="002D298E" w:rsidRDefault="006A797A" w:rsidP="006A797A">
      <w:pPr>
        <w:spacing w:after="0" w:line="360" w:lineRule="auto"/>
        <w:jc w:val="both"/>
        <w:rPr>
          <w:rFonts w:ascii="Arial" w:hAnsi="Arial" w:cs="Arial"/>
          <w:color w:val="000000" w:themeColor="text1"/>
        </w:rPr>
      </w:pPr>
      <w:r w:rsidRPr="002D298E">
        <w:rPr>
          <w:rFonts w:ascii="Arial" w:hAnsi="Arial" w:cs="Arial"/>
          <w:color w:val="000000" w:themeColor="text1"/>
        </w:rPr>
        <w:t>Historically, hypertension management focused primarily on physiological outcomes. However, growing evidence demonstrates substantial psychological impacts associated with chronic disease diagnosis and treatment.</w:t>
      </w:r>
      <w:r w:rsidR="008F6EA5" w:rsidRPr="002D298E">
        <w:rPr>
          <w:rFonts w:ascii="Arial" w:hAnsi="Arial" w:cs="Arial"/>
          <w:color w:val="000000" w:themeColor="text1"/>
        </w:rPr>
        <w:t xml:space="preserve"> </w:t>
      </w:r>
      <w:r w:rsidRPr="002D298E">
        <w:rPr>
          <w:rFonts w:ascii="Arial" w:hAnsi="Arial" w:cs="Arial"/>
          <w:color w:val="000000" w:themeColor="text1"/>
        </w:rPr>
        <w:t xml:space="preserve">Anxiety is commonly observed among individuals diagnosed with hypertension. Patients may experience fears regarding stroke, heart attack, disability, and premature death. These concerns may be exacerbated by information obtained </w:t>
      </w:r>
      <w:r w:rsidRPr="002D298E">
        <w:rPr>
          <w:rFonts w:ascii="Arial" w:hAnsi="Arial" w:cs="Arial"/>
          <w:color w:val="000000" w:themeColor="text1"/>
        </w:rPr>
        <w:t>through media sources or personal experiences of family members affected by cardiovascular disease</w:t>
      </w:r>
      <w:r w:rsidR="00DD1787" w:rsidRPr="002D298E">
        <w:rPr>
          <w:rFonts w:ascii="Arial" w:hAnsi="Arial" w:cs="Arial"/>
          <w:color w:val="000000" w:themeColor="text1"/>
        </w:rPr>
        <w:t xml:space="preserve"> (</w:t>
      </w:r>
      <w:r w:rsidR="00DD1787" w:rsidRPr="002D298E">
        <w:rPr>
          <w:rFonts w:ascii="Arial" w:hAnsi="Arial" w:cs="Arial"/>
        </w:rPr>
        <w:t>NHS England</w:t>
      </w:r>
      <w:r w:rsidR="00BE22FD" w:rsidRPr="002D298E">
        <w:rPr>
          <w:rFonts w:ascii="Arial" w:hAnsi="Arial" w:cs="Arial"/>
        </w:rPr>
        <w:t xml:space="preserve">, </w:t>
      </w:r>
      <w:r w:rsidR="00DD1787" w:rsidRPr="002D298E">
        <w:rPr>
          <w:rFonts w:ascii="Arial" w:hAnsi="Arial" w:cs="Arial"/>
        </w:rPr>
        <w:t>2026)</w:t>
      </w:r>
      <w:r w:rsidRPr="002D298E">
        <w:rPr>
          <w:rFonts w:ascii="Arial" w:hAnsi="Arial" w:cs="Arial"/>
          <w:color w:val="000000" w:themeColor="text1"/>
        </w:rPr>
        <w:t>. Research suggests that anxiety can negatively influence blood pressure control through increased sympathetic nervous system activation and reduced adherence to treatment recommendations (Pan et al., 2015).</w:t>
      </w:r>
    </w:p>
    <w:p w14:paraId="060BAA9F" w14:textId="77777777" w:rsidR="00591DF2" w:rsidRPr="002D298E" w:rsidRDefault="00591DF2" w:rsidP="006A797A">
      <w:pPr>
        <w:spacing w:after="0" w:line="360" w:lineRule="auto"/>
        <w:jc w:val="both"/>
        <w:rPr>
          <w:rFonts w:ascii="Arial" w:hAnsi="Arial" w:cs="Arial"/>
          <w:color w:val="000000" w:themeColor="text1"/>
        </w:rPr>
      </w:pPr>
    </w:p>
    <w:p w14:paraId="0CA67971" w14:textId="3885F4C3" w:rsidR="006A797A" w:rsidRPr="002D298E" w:rsidRDefault="006A797A" w:rsidP="006A797A">
      <w:pPr>
        <w:spacing w:after="0" w:line="360" w:lineRule="auto"/>
        <w:jc w:val="both"/>
        <w:rPr>
          <w:rFonts w:ascii="Arial" w:hAnsi="Arial" w:cs="Arial"/>
          <w:color w:val="000000" w:themeColor="text1"/>
        </w:rPr>
      </w:pPr>
      <w:r w:rsidRPr="002D298E">
        <w:rPr>
          <w:rFonts w:ascii="Arial" w:hAnsi="Arial" w:cs="Arial"/>
          <w:color w:val="000000" w:themeColor="text1"/>
        </w:rPr>
        <w:t>Depression frequently coexists with hypertension and other long-term conditions. NICE (2022) highlights that individuals with chronic physical illnesses are significantly more likely to experience depression than the general population. Depression may reduce motivation to engage with lifestyle modifications, attend healthcare appointments, or adhere to medication regimens.</w:t>
      </w:r>
      <w:r w:rsidR="008F6EA5" w:rsidRPr="002D298E">
        <w:rPr>
          <w:rFonts w:ascii="Arial" w:hAnsi="Arial" w:cs="Arial"/>
          <w:color w:val="000000" w:themeColor="text1"/>
        </w:rPr>
        <w:t xml:space="preserve"> </w:t>
      </w:r>
      <w:r w:rsidRPr="002D298E">
        <w:rPr>
          <w:rFonts w:ascii="Arial" w:hAnsi="Arial" w:cs="Arial"/>
          <w:color w:val="000000" w:themeColor="text1"/>
        </w:rPr>
        <w:t xml:space="preserve">Hypertension may also affect personal identity and perceptions of health. Leventhal’s </w:t>
      </w:r>
      <w:r w:rsidR="004C5168" w:rsidRPr="002D298E">
        <w:rPr>
          <w:rFonts w:ascii="Arial" w:hAnsi="Arial" w:cs="Arial"/>
          <w:color w:val="000000" w:themeColor="text1"/>
        </w:rPr>
        <w:t>Common-Sense</w:t>
      </w:r>
      <w:r w:rsidRPr="002D298E">
        <w:rPr>
          <w:rFonts w:ascii="Arial" w:hAnsi="Arial" w:cs="Arial"/>
          <w:color w:val="000000" w:themeColor="text1"/>
        </w:rPr>
        <w:t xml:space="preserve"> Model suggests that individuals develop beliefs regarding the causes, consequences, controllability, and duration of illness. Negative illness perceptions can influence coping strategies and engagement with treatment (Leventhal et al., 2016).</w:t>
      </w:r>
    </w:p>
    <w:p w14:paraId="3F6B61EA" w14:textId="77777777" w:rsidR="00B505EB" w:rsidRPr="002D298E" w:rsidRDefault="00B505EB" w:rsidP="006A797A">
      <w:pPr>
        <w:spacing w:after="0" w:line="360" w:lineRule="auto"/>
        <w:jc w:val="both"/>
        <w:rPr>
          <w:rFonts w:ascii="Arial" w:hAnsi="Arial" w:cs="Arial"/>
          <w:color w:val="000000" w:themeColor="text1"/>
        </w:rPr>
      </w:pPr>
    </w:p>
    <w:p w14:paraId="7ACC6740" w14:textId="6EFD4DDA" w:rsidR="006A797A" w:rsidRPr="002D298E" w:rsidRDefault="006A797A" w:rsidP="006A797A">
      <w:pPr>
        <w:spacing w:after="0" w:line="360" w:lineRule="auto"/>
        <w:jc w:val="both"/>
        <w:rPr>
          <w:rFonts w:ascii="Arial" w:hAnsi="Arial" w:cs="Arial"/>
          <w:color w:val="000000" w:themeColor="text1"/>
        </w:rPr>
      </w:pPr>
      <w:r w:rsidRPr="002D298E">
        <w:rPr>
          <w:rFonts w:ascii="Arial" w:hAnsi="Arial" w:cs="Arial"/>
          <w:color w:val="000000" w:themeColor="text1"/>
        </w:rPr>
        <w:t xml:space="preserve">The burden of long-term medication use should not be underestimated. Many patients require lifelong pharmacological treatment, which may generate concerns regarding dependency, side effects, and treatment burden. Polypharmacy is particularly </w:t>
      </w:r>
      <w:r w:rsidRPr="002D298E">
        <w:rPr>
          <w:rFonts w:ascii="Arial" w:hAnsi="Arial" w:cs="Arial"/>
          <w:color w:val="000000" w:themeColor="text1"/>
        </w:rPr>
        <w:lastRenderedPageBreak/>
        <w:t>common among older adults with multimorbidity and may contribute to medication fatigue and reduced adherence.</w:t>
      </w:r>
      <w:r w:rsidR="00D13641" w:rsidRPr="002D298E">
        <w:rPr>
          <w:rFonts w:ascii="Arial" w:hAnsi="Arial" w:cs="Arial"/>
          <w:color w:val="000000" w:themeColor="text1"/>
        </w:rPr>
        <w:t xml:space="preserve"> </w:t>
      </w:r>
      <w:r w:rsidRPr="002D298E">
        <w:rPr>
          <w:rFonts w:ascii="Arial" w:hAnsi="Arial" w:cs="Arial"/>
          <w:color w:val="000000" w:themeColor="text1"/>
        </w:rPr>
        <w:t>Critically, psychological distress associated with hypertension often remains under-recognised within clinical practice. This reflects the persistence of biomedical approaches that prioritise physiological indicators over psychosocial experiences. Greater integration between physical and mental health services may therefore improve outcomes for individuals living with hypertension.</w:t>
      </w:r>
    </w:p>
    <w:p w14:paraId="0EA2036E" w14:textId="77777777" w:rsidR="006A797A" w:rsidRPr="002D298E" w:rsidRDefault="006A797A" w:rsidP="006A797A">
      <w:pPr>
        <w:spacing w:after="0" w:line="360" w:lineRule="auto"/>
        <w:jc w:val="both"/>
        <w:rPr>
          <w:rFonts w:ascii="Arial" w:hAnsi="Arial" w:cs="Arial"/>
          <w:b/>
          <w:bCs/>
          <w:color w:val="000000" w:themeColor="text1"/>
        </w:rPr>
      </w:pPr>
    </w:p>
    <w:p w14:paraId="786A4C21" w14:textId="1BEA6022" w:rsidR="006A797A" w:rsidRPr="00D826EE" w:rsidRDefault="006A797A" w:rsidP="006A797A">
      <w:pPr>
        <w:spacing w:after="0" w:line="360" w:lineRule="auto"/>
        <w:jc w:val="both"/>
        <w:rPr>
          <w:rFonts w:ascii="Arial" w:hAnsi="Arial" w:cs="Arial"/>
          <w:b/>
          <w:bCs/>
          <w:color w:val="00B0F0"/>
          <w:sz w:val="28"/>
          <w:szCs w:val="28"/>
        </w:rPr>
      </w:pPr>
      <w:r w:rsidRPr="00D826EE">
        <w:rPr>
          <w:rFonts w:ascii="Arial" w:hAnsi="Arial" w:cs="Arial"/>
          <w:b/>
          <w:bCs/>
          <w:color w:val="00B0F0"/>
          <w:sz w:val="28"/>
          <w:szCs w:val="28"/>
        </w:rPr>
        <w:t>Social Impact on Individuals and Families</w:t>
      </w:r>
      <w:r w:rsidR="00F96842" w:rsidRPr="00D826EE">
        <w:rPr>
          <w:rFonts w:ascii="Arial" w:hAnsi="Arial" w:cs="Arial"/>
          <w:b/>
          <w:bCs/>
          <w:color w:val="00B0F0"/>
          <w:sz w:val="28"/>
          <w:szCs w:val="28"/>
        </w:rPr>
        <w:t>.</w:t>
      </w:r>
    </w:p>
    <w:p w14:paraId="6174633B" w14:textId="77777777" w:rsidR="000F4F12" w:rsidRPr="002D298E" w:rsidRDefault="000F4F12" w:rsidP="006A797A">
      <w:pPr>
        <w:spacing w:after="0" w:line="360" w:lineRule="auto"/>
        <w:jc w:val="both"/>
        <w:rPr>
          <w:rFonts w:ascii="Arial" w:hAnsi="Arial" w:cs="Arial"/>
          <w:b/>
          <w:bCs/>
          <w:color w:val="00B0F0"/>
        </w:rPr>
      </w:pPr>
    </w:p>
    <w:p w14:paraId="7A425795" w14:textId="6BC33741" w:rsidR="00562A13" w:rsidRPr="002D298E" w:rsidRDefault="00562A13" w:rsidP="00562A13">
      <w:pPr>
        <w:spacing w:after="0" w:line="360" w:lineRule="auto"/>
        <w:jc w:val="center"/>
        <w:rPr>
          <w:rFonts w:ascii="Arial" w:hAnsi="Arial" w:cs="Arial"/>
          <w:b/>
          <w:bCs/>
          <w:color w:val="00B0F0"/>
        </w:rPr>
      </w:pPr>
      <w:r w:rsidRPr="002D298E">
        <w:rPr>
          <w:rFonts w:ascii="Arial" w:hAnsi="Arial" w:cs="Arial"/>
          <w:noProof/>
        </w:rPr>
        <w:drawing>
          <wp:inline distT="0" distB="0" distL="0" distR="0" wp14:anchorId="78E7C13F" wp14:editId="2467A80D">
            <wp:extent cx="2342972" cy="1562100"/>
            <wp:effectExtent l="0" t="0" r="635" b="0"/>
            <wp:docPr id="969022742" name="Picture 1" descr="The Impact Of Hypertensive Heart Disease On Families And Communities - St  John's Hospital &amp; Fertility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Impact Of Hypertensive Heart Disease On Families And Communities - St  John's Hospital &amp; Fertility Centr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401739" cy="1601281"/>
                    </a:xfrm>
                    <a:prstGeom prst="rect">
                      <a:avLst/>
                    </a:prstGeom>
                    <a:noFill/>
                    <a:ln>
                      <a:noFill/>
                    </a:ln>
                  </pic:spPr>
                </pic:pic>
              </a:graphicData>
            </a:graphic>
          </wp:inline>
        </w:drawing>
      </w:r>
    </w:p>
    <w:p w14:paraId="5736B848" w14:textId="77777777" w:rsidR="00BD78CE" w:rsidRPr="002D298E" w:rsidRDefault="00BD78CE" w:rsidP="006A797A">
      <w:pPr>
        <w:spacing w:after="0" w:line="360" w:lineRule="auto"/>
        <w:jc w:val="both"/>
        <w:rPr>
          <w:rFonts w:ascii="Arial" w:hAnsi="Arial" w:cs="Arial"/>
          <w:color w:val="000000" w:themeColor="text1"/>
        </w:rPr>
      </w:pPr>
    </w:p>
    <w:p w14:paraId="0045AAF2" w14:textId="3E68D817" w:rsidR="006A797A" w:rsidRPr="002D298E" w:rsidRDefault="006A797A" w:rsidP="006A797A">
      <w:pPr>
        <w:spacing w:after="0" w:line="360" w:lineRule="auto"/>
        <w:jc w:val="both"/>
        <w:rPr>
          <w:rFonts w:ascii="Arial" w:hAnsi="Arial" w:cs="Arial"/>
          <w:color w:val="000000" w:themeColor="text1"/>
        </w:rPr>
      </w:pPr>
      <w:r w:rsidRPr="002D298E">
        <w:rPr>
          <w:rFonts w:ascii="Arial" w:hAnsi="Arial" w:cs="Arial"/>
          <w:color w:val="000000" w:themeColor="text1"/>
        </w:rPr>
        <w:t>The consequences of hypertension extend beyond individual health outcomes and affect families and society.</w:t>
      </w:r>
      <w:r w:rsidR="00D0580A" w:rsidRPr="002D298E">
        <w:rPr>
          <w:rFonts w:ascii="Arial" w:hAnsi="Arial" w:cs="Arial"/>
          <w:color w:val="000000" w:themeColor="text1"/>
        </w:rPr>
        <w:t xml:space="preserve"> </w:t>
      </w:r>
      <w:r w:rsidRPr="002D298E">
        <w:rPr>
          <w:rFonts w:ascii="Arial" w:hAnsi="Arial" w:cs="Arial"/>
          <w:color w:val="000000" w:themeColor="text1"/>
        </w:rPr>
        <w:t xml:space="preserve">Social functioning may be impaired by complications such as stroke, heart failure, and chronic kidney disease. Individuals may experience reduced participation in </w:t>
      </w:r>
      <w:r w:rsidRPr="002D298E">
        <w:rPr>
          <w:rFonts w:ascii="Arial" w:hAnsi="Arial" w:cs="Arial"/>
          <w:color w:val="000000" w:themeColor="text1"/>
        </w:rPr>
        <w:t>employment, community activities, and social relationships. Such changes can contribute to social isolation and reduced quality of life.</w:t>
      </w:r>
    </w:p>
    <w:p w14:paraId="388DE7FD" w14:textId="561210E6" w:rsidR="006A797A" w:rsidRPr="002D298E" w:rsidRDefault="006A797A" w:rsidP="006A797A">
      <w:pPr>
        <w:spacing w:after="0" w:line="360" w:lineRule="auto"/>
        <w:jc w:val="both"/>
        <w:rPr>
          <w:rFonts w:ascii="Arial" w:hAnsi="Arial" w:cs="Arial"/>
          <w:color w:val="000000" w:themeColor="text1"/>
        </w:rPr>
      </w:pPr>
      <w:r w:rsidRPr="002D298E">
        <w:rPr>
          <w:rFonts w:ascii="Arial" w:hAnsi="Arial" w:cs="Arial"/>
          <w:color w:val="000000" w:themeColor="text1"/>
        </w:rPr>
        <w:t xml:space="preserve">Families frequently assume significant caregiving responsibilities following hypertension-related complications. Carers may provide practical support with medication management, healthcare appointments, mobility assistance, and emotional support. According to Carers UK (2023), unpaid carers </w:t>
      </w:r>
      <w:r w:rsidR="0031728E" w:rsidRPr="002D298E">
        <w:rPr>
          <w:rFonts w:ascii="Arial" w:hAnsi="Arial" w:cs="Arial"/>
          <w:color w:val="000000" w:themeColor="text1"/>
        </w:rPr>
        <w:t>contribute</w:t>
      </w:r>
      <w:r w:rsidRPr="002D298E">
        <w:rPr>
          <w:rFonts w:ascii="Arial" w:hAnsi="Arial" w:cs="Arial"/>
          <w:color w:val="000000" w:themeColor="text1"/>
        </w:rPr>
        <w:t xml:space="preserve"> billions of pounds worth of support annually within the UK healthcare system.</w:t>
      </w:r>
      <w:r w:rsidR="00D13641" w:rsidRPr="002D298E">
        <w:rPr>
          <w:rFonts w:ascii="Arial" w:hAnsi="Arial" w:cs="Arial"/>
          <w:color w:val="000000" w:themeColor="text1"/>
        </w:rPr>
        <w:t xml:space="preserve"> </w:t>
      </w:r>
      <w:r w:rsidRPr="002D298E">
        <w:rPr>
          <w:rFonts w:ascii="Arial" w:hAnsi="Arial" w:cs="Arial"/>
          <w:color w:val="000000" w:themeColor="text1"/>
        </w:rPr>
        <w:t>Caregiving responsibilities can have substantial consequences for family members. Research demonstrates increased levels of caregiver stress, anxiety, depression, and financial hardship among individuals supporting relatives with chronic illness (Carers UK, 2023). The impact may be particularly significant following stroke or heart failure when long-term disability develops.</w:t>
      </w:r>
    </w:p>
    <w:p w14:paraId="27FEF1CD" w14:textId="77777777" w:rsidR="00153918" w:rsidRPr="002D298E" w:rsidRDefault="00153918" w:rsidP="006A797A">
      <w:pPr>
        <w:spacing w:after="0" w:line="360" w:lineRule="auto"/>
        <w:jc w:val="both"/>
        <w:rPr>
          <w:rFonts w:ascii="Arial" w:hAnsi="Arial" w:cs="Arial"/>
          <w:color w:val="000000" w:themeColor="text1"/>
        </w:rPr>
      </w:pPr>
    </w:p>
    <w:p w14:paraId="09FFEBB9" w14:textId="09BCB881" w:rsidR="006A797A" w:rsidRPr="002D298E" w:rsidRDefault="006A797A" w:rsidP="006A797A">
      <w:pPr>
        <w:spacing w:after="0" w:line="360" w:lineRule="auto"/>
        <w:jc w:val="both"/>
        <w:rPr>
          <w:rFonts w:ascii="Arial" w:hAnsi="Arial" w:cs="Arial"/>
          <w:color w:val="000000" w:themeColor="text1"/>
        </w:rPr>
      </w:pPr>
      <w:r w:rsidRPr="002D298E">
        <w:rPr>
          <w:rFonts w:ascii="Arial" w:hAnsi="Arial" w:cs="Arial"/>
          <w:color w:val="000000" w:themeColor="text1"/>
        </w:rPr>
        <w:t>Socioeconomic consequences are also important. Hypertension-related illness may result in reduced employment opportunities, sickness absence, early retirement, and reduced household income. These challenges are often amplified among disadvantaged populations, further contributing to health inequalities.</w:t>
      </w:r>
      <w:r w:rsidR="005F5542" w:rsidRPr="002D298E">
        <w:rPr>
          <w:rFonts w:ascii="Arial" w:hAnsi="Arial" w:cs="Arial"/>
          <w:color w:val="000000" w:themeColor="text1"/>
        </w:rPr>
        <w:t xml:space="preserve"> </w:t>
      </w:r>
      <w:r w:rsidRPr="002D298E">
        <w:rPr>
          <w:rFonts w:ascii="Arial" w:hAnsi="Arial" w:cs="Arial"/>
          <w:color w:val="000000" w:themeColor="text1"/>
        </w:rPr>
        <w:t>From a public health perspective, the social burden of hypertension highlights the importance of family-centred and community-based approaches to chronic disease management.</w:t>
      </w:r>
    </w:p>
    <w:p w14:paraId="3A02D3A0" w14:textId="77777777" w:rsidR="006A797A" w:rsidRPr="002D298E" w:rsidRDefault="006A797A" w:rsidP="006A797A">
      <w:pPr>
        <w:spacing w:after="0" w:line="360" w:lineRule="auto"/>
        <w:jc w:val="both"/>
        <w:rPr>
          <w:rFonts w:ascii="Arial" w:hAnsi="Arial" w:cs="Arial"/>
          <w:b/>
          <w:bCs/>
          <w:color w:val="000000" w:themeColor="text1"/>
        </w:rPr>
      </w:pPr>
    </w:p>
    <w:p w14:paraId="197D7C8A" w14:textId="0976C083" w:rsidR="006A797A" w:rsidRPr="004F5C60" w:rsidRDefault="006A797A" w:rsidP="006A797A">
      <w:pPr>
        <w:spacing w:after="0" w:line="360" w:lineRule="auto"/>
        <w:jc w:val="both"/>
        <w:rPr>
          <w:rFonts w:ascii="Arial" w:hAnsi="Arial" w:cs="Arial"/>
          <w:b/>
          <w:bCs/>
          <w:color w:val="1F497D" w:themeColor="text2"/>
          <w:sz w:val="28"/>
          <w:szCs w:val="28"/>
        </w:rPr>
      </w:pPr>
      <w:r w:rsidRPr="004F5C60">
        <w:rPr>
          <w:rFonts w:ascii="Arial" w:hAnsi="Arial" w:cs="Arial"/>
          <w:b/>
          <w:bCs/>
          <w:color w:val="1F497D" w:themeColor="text2"/>
          <w:sz w:val="28"/>
          <w:szCs w:val="28"/>
        </w:rPr>
        <w:t>Empirical Evidence and Guidelines Supporting Whole-Person Care</w:t>
      </w:r>
      <w:r w:rsidR="00F96842" w:rsidRPr="004F5C60">
        <w:rPr>
          <w:rFonts w:ascii="Arial" w:hAnsi="Arial" w:cs="Arial"/>
          <w:b/>
          <w:bCs/>
          <w:color w:val="1F497D" w:themeColor="text2"/>
          <w:sz w:val="28"/>
          <w:szCs w:val="28"/>
        </w:rPr>
        <w:t>.</w:t>
      </w:r>
    </w:p>
    <w:p w14:paraId="16C2C379" w14:textId="77777777" w:rsidR="00F461E8" w:rsidRPr="002D298E" w:rsidRDefault="00F461E8" w:rsidP="006A797A">
      <w:pPr>
        <w:spacing w:after="0" w:line="360" w:lineRule="auto"/>
        <w:jc w:val="both"/>
        <w:rPr>
          <w:rFonts w:ascii="Arial" w:hAnsi="Arial" w:cs="Arial"/>
          <w:b/>
          <w:bCs/>
          <w:color w:val="C00000"/>
        </w:rPr>
      </w:pPr>
    </w:p>
    <w:p w14:paraId="34A6807D" w14:textId="197D5989" w:rsidR="006A797A" w:rsidRPr="002D298E" w:rsidRDefault="006A797A" w:rsidP="006A797A">
      <w:pPr>
        <w:spacing w:after="0" w:line="360" w:lineRule="auto"/>
        <w:jc w:val="both"/>
        <w:rPr>
          <w:rFonts w:ascii="Arial" w:hAnsi="Arial" w:cs="Arial"/>
          <w:color w:val="000000" w:themeColor="text1"/>
        </w:rPr>
      </w:pPr>
      <w:r w:rsidRPr="002D298E">
        <w:rPr>
          <w:rFonts w:ascii="Arial" w:hAnsi="Arial" w:cs="Arial"/>
          <w:color w:val="000000" w:themeColor="text1"/>
        </w:rPr>
        <w:t>Evidence-based practice requires integration of research evidence, clinical expertise, and patient preferences (Sackett et al., 1996). Hypertension management has been transformed through extensive empirical research demonstrating the benefits of blood pressure reduction.</w:t>
      </w:r>
      <w:r w:rsidR="00162C18" w:rsidRPr="002D298E">
        <w:rPr>
          <w:rFonts w:ascii="Arial" w:hAnsi="Arial" w:cs="Arial"/>
          <w:color w:val="000000" w:themeColor="text1"/>
        </w:rPr>
        <w:t xml:space="preserve"> </w:t>
      </w:r>
      <w:r w:rsidRPr="002D298E">
        <w:rPr>
          <w:rFonts w:ascii="Arial" w:hAnsi="Arial" w:cs="Arial"/>
          <w:color w:val="000000" w:themeColor="text1"/>
        </w:rPr>
        <w:t xml:space="preserve">The SPRINT trial demonstrated that intensive blood pressure control significantly reduced cardiovascular events and mortality among high-risk patients (SPRINT Research Group, 2015). Similarly, the Blood Pressure Lowering Treatment Trialists’ Collaboration confirmed that blood pressure reduction substantially decreases the risk of stroke, myocardial infarction, and cardiovascular death </w:t>
      </w:r>
      <w:r w:rsidR="001C6DAD" w:rsidRPr="002D298E">
        <w:rPr>
          <w:rFonts w:ascii="Arial" w:hAnsi="Arial" w:cs="Arial"/>
          <w:color w:val="000000" w:themeColor="text1"/>
        </w:rPr>
        <w:t>(Blood Pressure Lowering Treatment Trialists’ Collaboration, 2021)</w:t>
      </w:r>
      <w:r w:rsidRPr="002D298E">
        <w:rPr>
          <w:rFonts w:ascii="Arial" w:hAnsi="Arial" w:cs="Arial"/>
          <w:color w:val="000000" w:themeColor="text1"/>
        </w:rPr>
        <w:t>.</w:t>
      </w:r>
      <w:r w:rsidR="00C6635A" w:rsidRPr="002D298E">
        <w:rPr>
          <w:rFonts w:ascii="Arial" w:hAnsi="Arial" w:cs="Arial"/>
          <w:color w:val="000000" w:themeColor="text1"/>
        </w:rPr>
        <w:t xml:space="preserve"> </w:t>
      </w:r>
      <w:r w:rsidRPr="002D298E">
        <w:rPr>
          <w:rFonts w:ascii="Arial" w:hAnsi="Arial" w:cs="Arial"/>
          <w:color w:val="000000" w:themeColor="text1"/>
        </w:rPr>
        <w:t>While these studies provide robust evidence supporting pharmacological intervention, contemporary practice increasingly recognises the importance of whole-person care. Engel’s biopsychosocial model provides a theoretical foundation by acknowledging the interactions between biological, psychological, and social influences on health (Engel, 1977).</w:t>
      </w:r>
      <w:r w:rsidR="00D5239E" w:rsidRPr="002D298E">
        <w:rPr>
          <w:rFonts w:ascii="Arial" w:hAnsi="Arial" w:cs="Arial"/>
          <w:color w:val="000000" w:themeColor="text1"/>
        </w:rPr>
        <w:t xml:space="preserve"> </w:t>
      </w:r>
      <w:r w:rsidRPr="002D298E">
        <w:rPr>
          <w:rFonts w:ascii="Arial" w:hAnsi="Arial" w:cs="Arial"/>
          <w:color w:val="000000" w:themeColor="text1"/>
        </w:rPr>
        <w:t>NICE Guideline NG136 emphasises patient-centred approaches, shared decision-</w:t>
      </w:r>
      <w:r w:rsidRPr="002D298E">
        <w:rPr>
          <w:rFonts w:ascii="Arial" w:hAnsi="Arial" w:cs="Arial"/>
          <w:color w:val="000000" w:themeColor="text1"/>
        </w:rPr>
        <w:t>making, and lifestyle interventions alongside pharmacological treatment (NICE, 2023a). NICE Guideline NG197 further promotes collaborative discussions between patients and professionals regarding treatment choices and healthcare goals</w:t>
      </w:r>
      <w:r w:rsidR="00F06879" w:rsidRPr="002D298E">
        <w:rPr>
          <w:rFonts w:ascii="Arial" w:hAnsi="Arial" w:cs="Arial"/>
          <w:color w:val="000000" w:themeColor="text1"/>
        </w:rPr>
        <w:t xml:space="preserve"> (NICE, 2021</w:t>
      </w:r>
      <w:r w:rsidR="00FA7671" w:rsidRPr="002D298E">
        <w:rPr>
          <w:rFonts w:ascii="Arial" w:hAnsi="Arial" w:cs="Arial"/>
          <w:color w:val="000000" w:themeColor="text1"/>
        </w:rPr>
        <w:t xml:space="preserve">; </w:t>
      </w:r>
      <w:r w:rsidR="00F06879" w:rsidRPr="002D298E">
        <w:rPr>
          <w:rFonts w:ascii="Arial" w:hAnsi="Arial" w:cs="Arial"/>
          <w:color w:val="000000" w:themeColor="text1"/>
        </w:rPr>
        <w:t>NICE, 2022)</w:t>
      </w:r>
      <w:r w:rsidRPr="002D298E">
        <w:rPr>
          <w:rFonts w:ascii="Arial" w:hAnsi="Arial" w:cs="Arial"/>
          <w:color w:val="000000" w:themeColor="text1"/>
        </w:rPr>
        <w:t>.</w:t>
      </w:r>
      <w:r w:rsidR="000E6F49" w:rsidRPr="002D298E">
        <w:rPr>
          <w:rFonts w:ascii="Arial" w:hAnsi="Arial" w:cs="Arial"/>
          <w:color w:val="000000" w:themeColor="text1"/>
        </w:rPr>
        <w:t xml:space="preserve"> </w:t>
      </w:r>
      <w:r w:rsidRPr="002D298E">
        <w:rPr>
          <w:rFonts w:ascii="Arial" w:hAnsi="Arial" w:cs="Arial"/>
          <w:color w:val="000000" w:themeColor="text1"/>
        </w:rPr>
        <w:t xml:space="preserve">The NHS Long Term Plan advocates personalised care, prevention, integrated care systems, and </w:t>
      </w:r>
      <w:r w:rsidR="00845CA3" w:rsidRPr="002D298E">
        <w:rPr>
          <w:rFonts w:ascii="Arial" w:hAnsi="Arial" w:cs="Arial"/>
          <w:color w:val="000000" w:themeColor="text1"/>
        </w:rPr>
        <w:t>self-management support</w:t>
      </w:r>
      <w:r w:rsidRPr="002D298E">
        <w:rPr>
          <w:rFonts w:ascii="Arial" w:hAnsi="Arial" w:cs="Arial"/>
          <w:color w:val="000000" w:themeColor="text1"/>
        </w:rPr>
        <w:t>. These initiatives recognise that effective hypertension management extends beyond blood pressure reduction and requires attention to individual circumstances and preferences (NHS England, 2019).</w:t>
      </w:r>
    </w:p>
    <w:p w14:paraId="729C1E17" w14:textId="77777777" w:rsidR="006A797A" w:rsidRPr="002D298E" w:rsidRDefault="006A797A" w:rsidP="006A797A">
      <w:pPr>
        <w:spacing w:after="0" w:line="360" w:lineRule="auto"/>
        <w:jc w:val="both"/>
        <w:rPr>
          <w:rFonts w:ascii="Arial" w:hAnsi="Arial" w:cs="Arial"/>
          <w:color w:val="000000" w:themeColor="text1"/>
        </w:rPr>
      </w:pPr>
    </w:p>
    <w:p w14:paraId="7D464B38" w14:textId="571A7BB7" w:rsidR="006A797A" w:rsidRPr="002D298E" w:rsidRDefault="006A797A" w:rsidP="006A797A">
      <w:pPr>
        <w:spacing w:after="0" w:line="360" w:lineRule="auto"/>
        <w:jc w:val="both"/>
        <w:rPr>
          <w:rFonts w:ascii="Arial" w:hAnsi="Arial" w:cs="Arial"/>
          <w:color w:val="000000" w:themeColor="text1"/>
        </w:rPr>
      </w:pPr>
      <w:r w:rsidRPr="002D298E">
        <w:rPr>
          <w:rFonts w:ascii="Arial" w:hAnsi="Arial" w:cs="Arial"/>
          <w:color w:val="000000" w:themeColor="text1"/>
        </w:rPr>
        <w:t>Internationally, the World Health Organization’s HEARTS initiative supports integrated cardiovascular disease management through standardised treatment protocols, team-based care, and community engagement (WHO, 2023). Similarly, European Society of Cardiology guidelines emphasise individualised risk assessment and shared decision-making (ESC, 2023).</w:t>
      </w:r>
      <w:r w:rsidR="00AD7DBC" w:rsidRPr="002D298E">
        <w:rPr>
          <w:rFonts w:ascii="Arial" w:hAnsi="Arial" w:cs="Arial"/>
          <w:color w:val="000000" w:themeColor="text1"/>
        </w:rPr>
        <w:t xml:space="preserve"> </w:t>
      </w:r>
      <w:r w:rsidRPr="002D298E">
        <w:rPr>
          <w:rFonts w:ascii="Arial" w:hAnsi="Arial" w:cs="Arial"/>
          <w:color w:val="000000" w:themeColor="text1"/>
        </w:rPr>
        <w:t xml:space="preserve">Critically, implementation of whole-person care remains inconsistent. Workforce pressures, limited consultation time, and fragmented services may restrict opportunities for holistic assessment and support. Consequently, ongoing service development is required </w:t>
      </w:r>
      <w:r w:rsidR="007843E1" w:rsidRPr="002D298E">
        <w:rPr>
          <w:rFonts w:ascii="Arial" w:hAnsi="Arial" w:cs="Arial"/>
          <w:color w:val="000000" w:themeColor="text1"/>
        </w:rPr>
        <w:t>to recognise the aspirations of person-centred care</w:t>
      </w:r>
      <w:r w:rsidRPr="002D298E">
        <w:rPr>
          <w:rFonts w:ascii="Arial" w:hAnsi="Arial" w:cs="Arial"/>
          <w:color w:val="000000" w:themeColor="text1"/>
        </w:rPr>
        <w:t>.</w:t>
      </w:r>
    </w:p>
    <w:p w14:paraId="0CC09DC8" w14:textId="77777777" w:rsidR="006A797A" w:rsidRPr="002D298E" w:rsidRDefault="006A797A" w:rsidP="006A797A">
      <w:pPr>
        <w:spacing w:after="0" w:line="360" w:lineRule="auto"/>
        <w:jc w:val="both"/>
        <w:rPr>
          <w:rFonts w:ascii="Arial" w:hAnsi="Arial" w:cs="Arial"/>
          <w:b/>
          <w:bCs/>
          <w:color w:val="000000" w:themeColor="text1"/>
        </w:rPr>
      </w:pPr>
    </w:p>
    <w:p w14:paraId="5471ADA3" w14:textId="2BC411FF" w:rsidR="006A797A" w:rsidRPr="00B37272" w:rsidRDefault="006A797A" w:rsidP="006A797A">
      <w:pPr>
        <w:spacing w:after="0" w:line="360" w:lineRule="auto"/>
        <w:jc w:val="both"/>
        <w:rPr>
          <w:rFonts w:ascii="Arial" w:hAnsi="Arial" w:cs="Arial"/>
          <w:b/>
          <w:bCs/>
          <w:color w:val="00B050"/>
          <w:sz w:val="28"/>
          <w:szCs w:val="28"/>
        </w:rPr>
      </w:pPr>
      <w:r w:rsidRPr="00B37272">
        <w:rPr>
          <w:rFonts w:ascii="Arial" w:hAnsi="Arial" w:cs="Arial"/>
          <w:b/>
          <w:bCs/>
          <w:color w:val="00B050"/>
          <w:sz w:val="28"/>
          <w:szCs w:val="28"/>
        </w:rPr>
        <w:lastRenderedPageBreak/>
        <w:t>Evidence-Based Treatments Available Through the NHS</w:t>
      </w:r>
      <w:r w:rsidR="00F96842" w:rsidRPr="00B37272">
        <w:rPr>
          <w:rFonts w:ascii="Arial" w:hAnsi="Arial" w:cs="Arial"/>
          <w:b/>
          <w:bCs/>
          <w:color w:val="00B050"/>
          <w:sz w:val="28"/>
          <w:szCs w:val="28"/>
        </w:rPr>
        <w:t>.</w:t>
      </w:r>
    </w:p>
    <w:p w14:paraId="1C3FBD85" w14:textId="77777777" w:rsidR="00BD78CE" w:rsidRPr="002D298E" w:rsidRDefault="00BD78CE" w:rsidP="006A797A">
      <w:pPr>
        <w:spacing w:after="0" w:line="360" w:lineRule="auto"/>
        <w:jc w:val="both"/>
        <w:rPr>
          <w:rFonts w:ascii="Arial" w:hAnsi="Arial" w:cs="Arial"/>
          <w:b/>
          <w:bCs/>
          <w:color w:val="00B050"/>
        </w:rPr>
      </w:pPr>
    </w:p>
    <w:p w14:paraId="6CAB28FD" w14:textId="5667538A" w:rsidR="006A797A" w:rsidRPr="002D298E" w:rsidRDefault="006A797A" w:rsidP="00C267A8">
      <w:pPr>
        <w:spacing w:after="0" w:line="360" w:lineRule="auto"/>
        <w:jc w:val="both"/>
        <w:rPr>
          <w:rFonts w:ascii="Arial" w:hAnsi="Arial" w:cs="Arial"/>
          <w:color w:val="000000" w:themeColor="text1"/>
        </w:rPr>
      </w:pPr>
      <w:r w:rsidRPr="002D298E">
        <w:rPr>
          <w:rFonts w:ascii="Arial" w:hAnsi="Arial" w:cs="Arial"/>
          <w:color w:val="000000" w:themeColor="text1"/>
        </w:rPr>
        <w:t>Management of hypertension within the NHS combines lifestyle interventions, pharmacological treatment, monitoring, and ongoing support.</w:t>
      </w:r>
      <w:r w:rsidR="009F4568" w:rsidRPr="002D298E">
        <w:rPr>
          <w:rFonts w:ascii="Arial" w:hAnsi="Arial" w:cs="Arial"/>
          <w:color w:val="000000" w:themeColor="text1"/>
        </w:rPr>
        <w:t xml:space="preserve"> </w:t>
      </w:r>
      <w:r w:rsidRPr="002D298E">
        <w:rPr>
          <w:rFonts w:ascii="Arial" w:hAnsi="Arial" w:cs="Arial"/>
          <w:color w:val="000000" w:themeColor="text1"/>
        </w:rPr>
        <w:t>Lifestyle modification remains the foundation of treatment. NICE (2023a) recommends weight management, smoking cessation, reduced alcohol consumption, dietary improvement, increased physical activity, and sodium reduction. The Dietary Approaches to Stop Hypertension (DASH) diet has demonstrated significant effectiveness in reducing blood pressure and improving cardiovascular outcomes.</w:t>
      </w:r>
      <w:r w:rsidR="009F4568" w:rsidRPr="002D298E">
        <w:rPr>
          <w:rFonts w:ascii="Arial" w:hAnsi="Arial" w:cs="Arial"/>
          <w:color w:val="000000" w:themeColor="text1"/>
        </w:rPr>
        <w:t xml:space="preserve"> </w:t>
      </w:r>
      <w:r w:rsidRPr="002D298E">
        <w:rPr>
          <w:rFonts w:ascii="Arial" w:hAnsi="Arial" w:cs="Arial"/>
          <w:color w:val="000000" w:themeColor="text1"/>
        </w:rPr>
        <w:t>Regular physical activity is strongly associated with blood pressure reduction and improved cardiovascular health. Current UK guidance recommends at least 150 minutes of moderate-intensity physical activity per week (Department of Health and Social Care, 2019).</w:t>
      </w:r>
      <w:r w:rsidR="00124220" w:rsidRPr="002D298E">
        <w:rPr>
          <w:rFonts w:ascii="Arial" w:hAnsi="Arial" w:cs="Arial"/>
          <w:color w:val="000000" w:themeColor="text1"/>
        </w:rPr>
        <w:t xml:space="preserve"> </w:t>
      </w:r>
      <w:r w:rsidRPr="002D298E">
        <w:rPr>
          <w:rFonts w:ascii="Arial" w:hAnsi="Arial" w:cs="Arial"/>
          <w:color w:val="000000" w:themeColor="text1"/>
        </w:rPr>
        <w:t>Pharmacological treatment is recommended when lifestyle modification alone is insufficient or when cardiovascular risk is elevated. NICE guidelines recommend ACE inhibitors, angiotensin receptor blockers, calcium channel blockers, and thiazide-like diuretics according to patient characteristics and treatment response (NICE, 2023a).</w:t>
      </w:r>
      <w:r w:rsidR="009F4568" w:rsidRPr="002D298E">
        <w:rPr>
          <w:rFonts w:ascii="Arial" w:hAnsi="Arial" w:cs="Arial"/>
          <w:color w:val="000000" w:themeColor="text1"/>
        </w:rPr>
        <w:t xml:space="preserve"> </w:t>
      </w:r>
      <w:r w:rsidRPr="002D298E">
        <w:rPr>
          <w:rFonts w:ascii="Arial" w:hAnsi="Arial" w:cs="Arial"/>
          <w:color w:val="000000" w:themeColor="text1"/>
        </w:rPr>
        <w:t xml:space="preserve">Home blood pressure monitoring is increasingly utilised within NHS services. </w:t>
      </w:r>
      <w:r w:rsidRPr="002D298E">
        <w:rPr>
          <w:rFonts w:ascii="Arial" w:hAnsi="Arial" w:cs="Arial"/>
          <w:color w:val="000000" w:themeColor="text1"/>
        </w:rPr>
        <w:t xml:space="preserve">Research demonstrates improved blood pressure control, enhanced patient engagement, and greater self-management capability when patients actively participate in </w:t>
      </w:r>
      <w:r w:rsidRPr="006A4DDD">
        <w:rPr>
          <w:rFonts w:ascii="Arial" w:hAnsi="Arial" w:cs="Arial"/>
          <w:color w:val="000000" w:themeColor="text1"/>
        </w:rPr>
        <w:t>monitoring their condition (NHS England, 2023</w:t>
      </w:r>
      <w:r w:rsidR="001F71B0" w:rsidRPr="006A4DDD">
        <w:rPr>
          <w:rFonts w:ascii="Arial" w:hAnsi="Arial" w:cs="Arial"/>
          <w:color w:val="000000" w:themeColor="text1"/>
        </w:rPr>
        <w:t>)</w:t>
      </w:r>
      <w:r w:rsidR="00B20391" w:rsidRPr="006A4DDD">
        <w:rPr>
          <w:rFonts w:ascii="Arial" w:hAnsi="Arial" w:cs="Arial"/>
          <w:color w:val="000000" w:themeColor="text1"/>
        </w:rPr>
        <w:t xml:space="preserve"> </w:t>
      </w:r>
      <w:r w:rsidR="001F71B0" w:rsidRPr="006A4DDD">
        <w:rPr>
          <w:rFonts w:ascii="Arial" w:hAnsi="Arial" w:cs="Arial"/>
          <w:color w:val="000000" w:themeColor="text1"/>
        </w:rPr>
        <w:t>and (</w:t>
      </w:r>
      <w:r w:rsidR="00E52062" w:rsidRPr="006A4DDD">
        <w:rPr>
          <w:rFonts w:ascii="Arial" w:eastAsia="Times New Roman" w:hAnsi="Arial" w:cs="Arial"/>
          <w:lang w:eastAsia="en-GB"/>
        </w:rPr>
        <w:t>Lay-Flurrie et al., 2020)</w:t>
      </w:r>
      <w:r w:rsidRPr="006A4DDD">
        <w:rPr>
          <w:rFonts w:ascii="Arial" w:hAnsi="Arial" w:cs="Arial"/>
          <w:color w:val="000000" w:themeColor="text1"/>
        </w:rPr>
        <w:t>.</w:t>
      </w:r>
      <w:r w:rsidR="009F4568" w:rsidRPr="002D298E">
        <w:rPr>
          <w:rFonts w:ascii="Arial" w:hAnsi="Arial" w:cs="Arial"/>
          <w:color w:val="000000" w:themeColor="text1"/>
        </w:rPr>
        <w:t xml:space="preserve"> </w:t>
      </w:r>
      <w:r w:rsidRPr="002D298E">
        <w:rPr>
          <w:rFonts w:ascii="Arial" w:hAnsi="Arial" w:cs="Arial"/>
          <w:color w:val="000000" w:themeColor="text1"/>
        </w:rPr>
        <w:t>Social prescribing has also emerged as an important component of holistic care. Through social prescribing pathways, patients may access community resources that address social isolation, physical inactivity, and wider determinants of health (NHS England, 20</w:t>
      </w:r>
      <w:r w:rsidR="00516998" w:rsidRPr="002D298E">
        <w:rPr>
          <w:rFonts w:ascii="Arial" w:hAnsi="Arial" w:cs="Arial"/>
          <w:color w:val="000000" w:themeColor="text1"/>
        </w:rPr>
        <w:t>19</w:t>
      </w:r>
      <w:r w:rsidRPr="002D298E">
        <w:rPr>
          <w:rFonts w:ascii="Arial" w:hAnsi="Arial" w:cs="Arial"/>
          <w:color w:val="000000" w:themeColor="text1"/>
        </w:rPr>
        <w:t>).</w:t>
      </w:r>
    </w:p>
    <w:p w14:paraId="3D88D397" w14:textId="77777777" w:rsidR="006E7621" w:rsidRPr="002D298E" w:rsidRDefault="006E7621" w:rsidP="00C267A8">
      <w:pPr>
        <w:spacing w:after="0" w:line="360" w:lineRule="auto"/>
        <w:jc w:val="both"/>
        <w:rPr>
          <w:rFonts w:ascii="Arial" w:hAnsi="Arial" w:cs="Arial"/>
          <w:color w:val="4F6228" w:themeColor="accent3" w:themeShade="80"/>
        </w:rPr>
      </w:pPr>
    </w:p>
    <w:p w14:paraId="0014E301" w14:textId="4FDDB4CA" w:rsidR="00B355EC" w:rsidRPr="00B62E0D" w:rsidRDefault="00B355EC" w:rsidP="00C267A8">
      <w:pPr>
        <w:spacing w:after="0" w:line="360" w:lineRule="auto"/>
        <w:jc w:val="both"/>
        <w:rPr>
          <w:rFonts w:ascii="Arial" w:hAnsi="Arial" w:cs="Arial"/>
          <w:b/>
          <w:bCs/>
          <w:color w:val="002060"/>
          <w:sz w:val="28"/>
          <w:szCs w:val="28"/>
        </w:rPr>
      </w:pPr>
      <w:r w:rsidRPr="00B62E0D">
        <w:rPr>
          <w:rFonts w:ascii="Arial" w:hAnsi="Arial" w:cs="Arial"/>
          <w:b/>
          <w:bCs/>
          <w:color w:val="002060"/>
          <w:sz w:val="28"/>
          <w:szCs w:val="28"/>
        </w:rPr>
        <w:t>Theoretical Perspectives and Models for Improving Outcomes</w:t>
      </w:r>
      <w:r w:rsidR="00E51976" w:rsidRPr="00B62E0D">
        <w:rPr>
          <w:rFonts w:ascii="Arial" w:hAnsi="Arial" w:cs="Arial"/>
          <w:b/>
          <w:bCs/>
          <w:color w:val="002060"/>
          <w:sz w:val="28"/>
          <w:szCs w:val="28"/>
        </w:rPr>
        <w:t>.</w:t>
      </w:r>
    </w:p>
    <w:p w14:paraId="7B899385" w14:textId="77777777" w:rsidR="006A4DDD" w:rsidRDefault="006A4DDD" w:rsidP="00C267A8">
      <w:pPr>
        <w:spacing w:after="0" w:line="360" w:lineRule="auto"/>
        <w:jc w:val="both"/>
        <w:rPr>
          <w:rFonts w:ascii="Arial" w:hAnsi="Arial" w:cs="Arial"/>
          <w:color w:val="000000" w:themeColor="text1"/>
        </w:rPr>
      </w:pPr>
    </w:p>
    <w:p w14:paraId="3C555A5B" w14:textId="40D9B88B" w:rsidR="00B355EC" w:rsidRPr="002D298E" w:rsidRDefault="00E51976" w:rsidP="00C267A8">
      <w:pPr>
        <w:spacing w:after="0" w:line="360" w:lineRule="auto"/>
        <w:jc w:val="both"/>
        <w:rPr>
          <w:rFonts w:ascii="Arial" w:hAnsi="Arial" w:cs="Arial"/>
          <w:color w:val="000000" w:themeColor="text1"/>
        </w:rPr>
      </w:pPr>
      <w:r w:rsidRPr="002D298E">
        <w:rPr>
          <w:rFonts w:ascii="Arial" w:hAnsi="Arial" w:cs="Arial"/>
          <w:color w:val="000000" w:themeColor="text1"/>
        </w:rPr>
        <w:t>Figure 1: Illustration of the LTC Framework (House of Care model)</w:t>
      </w:r>
    </w:p>
    <w:p w14:paraId="6B2AE0FE" w14:textId="67067100" w:rsidR="00E850CF" w:rsidRPr="002D298E" w:rsidRDefault="00E850CF" w:rsidP="00C267A8">
      <w:pPr>
        <w:spacing w:after="0" w:line="360" w:lineRule="auto"/>
        <w:jc w:val="center"/>
        <w:rPr>
          <w:rFonts w:ascii="Arial" w:hAnsi="Arial" w:cs="Arial"/>
          <w:color w:val="000000" w:themeColor="text1"/>
        </w:rPr>
      </w:pPr>
      <w:r w:rsidRPr="002D298E">
        <w:rPr>
          <w:rFonts w:ascii="Arial" w:hAnsi="Arial" w:cs="Arial"/>
          <w:noProof/>
        </w:rPr>
        <w:drawing>
          <wp:inline distT="0" distB="0" distL="0" distR="0" wp14:anchorId="7D29E93C" wp14:editId="03A75CFE">
            <wp:extent cx="2461260" cy="2068052"/>
            <wp:effectExtent l="0" t="0" r="0" b="8890"/>
            <wp:docPr id="410184458" name="Picture 1" descr="The Long Term Conditions Year of Care Commissioning Programme  Implementation Hand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Long Term Conditions Year of Care Commissioning Programme  Implementation Handbook"/>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13981" cy="2112351"/>
                    </a:xfrm>
                    <a:prstGeom prst="rect">
                      <a:avLst/>
                    </a:prstGeom>
                    <a:noFill/>
                    <a:ln>
                      <a:noFill/>
                    </a:ln>
                  </pic:spPr>
                </pic:pic>
              </a:graphicData>
            </a:graphic>
          </wp:inline>
        </w:drawing>
      </w:r>
    </w:p>
    <w:p w14:paraId="3178295B" w14:textId="3867DACB" w:rsidR="00B355EC" w:rsidRPr="002D298E" w:rsidRDefault="00B355EC" w:rsidP="00C267A8">
      <w:pPr>
        <w:spacing w:after="0" w:line="360" w:lineRule="auto"/>
        <w:jc w:val="both"/>
        <w:rPr>
          <w:rFonts w:ascii="Arial" w:hAnsi="Arial" w:cs="Arial"/>
          <w:color w:val="000000" w:themeColor="text1"/>
        </w:rPr>
      </w:pPr>
      <w:r w:rsidRPr="002D298E">
        <w:rPr>
          <w:rFonts w:ascii="Arial" w:hAnsi="Arial" w:cs="Arial"/>
          <w:color w:val="000000" w:themeColor="text1"/>
        </w:rPr>
        <w:lastRenderedPageBreak/>
        <w:t>The House of Care Model represents an influential UK framework for managing long-term conditions. Developed through NHS England initiatives, the model emphasises collaborative partnerships between informed patients and prepared healthcare professionals. Effective care planning occurs within a system supported by organisational processes and community resources (The King’s Fund, 2022). The House of Care model aligns closely with principles of personalised care and self-management support. Its strengths include recognition of patient expertise and promotion of collaborative care planning. However, implementation challenges include workforce constraints and variability across healthcare settings</w:t>
      </w:r>
      <w:r w:rsidR="00A92CCD" w:rsidRPr="002D298E">
        <w:rPr>
          <w:rFonts w:ascii="Arial" w:hAnsi="Arial" w:cs="Arial"/>
          <w:color w:val="000000" w:themeColor="text1"/>
        </w:rPr>
        <w:t xml:space="preserve"> </w:t>
      </w:r>
      <w:r w:rsidR="00993AC7" w:rsidRPr="002D298E">
        <w:rPr>
          <w:rFonts w:ascii="Arial" w:hAnsi="Arial" w:cs="Arial"/>
          <w:color w:val="000000" w:themeColor="text1"/>
        </w:rPr>
        <w:t>(Local Government Association, 2014)</w:t>
      </w:r>
      <w:r w:rsidR="00275E34" w:rsidRPr="002D298E">
        <w:rPr>
          <w:rFonts w:ascii="Arial" w:hAnsi="Arial" w:cs="Arial"/>
          <w:color w:val="000000" w:themeColor="text1"/>
        </w:rPr>
        <w:t>.</w:t>
      </w:r>
    </w:p>
    <w:p w14:paraId="69D7566E" w14:textId="77777777" w:rsidR="00B355EC" w:rsidRPr="002D298E" w:rsidRDefault="00B355EC" w:rsidP="00B355EC">
      <w:pPr>
        <w:spacing w:after="0" w:line="360" w:lineRule="auto"/>
        <w:jc w:val="both"/>
        <w:rPr>
          <w:rFonts w:ascii="Arial" w:hAnsi="Arial" w:cs="Arial"/>
          <w:color w:val="000000" w:themeColor="text1"/>
        </w:rPr>
      </w:pPr>
    </w:p>
    <w:p w14:paraId="1489C789" w14:textId="2894341A" w:rsidR="009B7330" w:rsidRPr="00BC7068" w:rsidRDefault="005215F3" w:rsidP="00B355EC">
      <w:pPr>
        <w:spacing w:after="0" w:line="360" w:lineRule="auto"/>
        <w:jc w:val="both"/>
        <w:rPr>
          <w:rFonts w:ascii="Arial" w:hAnsi="Arial" w:cs="Arial"/>
          <w:b/>
          <w:bCs/>
          <w:color w:val="002060"/>
          <w:sz w:val="28"/>
          <w:szCs w:val="28"/>
        </w:rPr>
      </w:pPr>
      <w:r w:rsidRPr="00BC7068">
        <w:rPr>
          <w:rFonts w:ascii="Arial" w:hAnsi="Arial" w:cs="Arial"/>
          <w:b/>
          <w:bCs/>
          <w:color w:val="002060"/>
          <w:sz w:val="28"/>
          <w:szCs w:val="28"/>
        </w:rPr>
        <w:t>Wagner’s Chronic Care Model</w:t>
      </w:r>
      <w:r w:rsidR="00B1024B" w:rsidRPr="00BC7068">
        <w:rPr>
          <w:rFonts w:ascii="Arial" w:hAnsi="Arial" w:cs="Arial"/>
          <w:b/>
          <w:bCs/>
          <w:color w:val="002060"/>
          <w:sz w:val="28"/>
          <w:szCs w:val="28"/>
        </w:rPr>
        <w:t>.</w:t>
      </w:r>
    </w:p>
    <w:p w14:paraId="7C45B2DA" w14:textId="77777777" w:rsidR="00B1024B" w:rsidRPr="002D298E" w:rsidRDefault="00B1024B" w:rsidP="00B355EC">
      <w:pPr>
        <w:spacing w:after="0" w:line="360" w:lineRule="auto"/>
        <w:jc w:val="both"/>
        <w:rPr>
          <w:rFonts w:ascii="Arial" w:hAnsi="Arial" w:cs="Arial"/>
          <w:color w:val="000000" w:themeColor="text1"/>
        </w:rPr>
      </w:pPr>
    </w:p>
    <w:p w14:paraId="357EB682" w14:textId="4A212620" w:rsidR="009B7330" w:rsidRPr="002D298E" w:rsidRDefault="009B7330" w:rsidP="009B7330">
      <w:pPr>
        <w:spacing w:after="0" w:line="360" w:lineRule="auto"/>
        <w:jc w:val="center"/>
        <w:rPr>
          <w:rFonts w:ascii="Arial" w:hAnsi="Arial" w:cs="Arial"/>
          <w:color w:val="000000" w:themeColor="text1"/>
        </w:rPr>
      </w:pPr>
      <w:r w:rsidRPr="002D298E">
        <w:rPr>
          <w:rFonts w:ascii="Arial" w:hAnsi="Arial" w:cs="Arial"/>
          <w:noProof/>
        </w:rPr>
        <w:drawing>
          <wp:inline distT="0" distB="0" distL="0" distR="0" wp14:anchorId="2A3A7999" wp14:editId="454CB1A8">
            <wp:extent cx="2190871" cy="1767840"/>
            <wp:effectExtent l="0" t="0" r="0" b="3810"/>
            <wp:docPr id="1657034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59503" cy="1823220"/>
                    </a:xfrm>
                    <a:prstGeom prst="rect">
                      <a:avLst/>
                    </a:prstGeom>
                    <a:noFill/>
                    <a:ln>
                      <a:noFill/>
                    </a:ln>
                  </pic:spPr>
                </pic:pic>
              </a:graphicData>
            </a:graphic>
          </wp:inline>
        </w:drawing>
      </w:r>
    </w:p>
    <w:p w14:paraId="4F48AC87" w14:textId="77777777" w:rsidR="00D15BAF" w:rsidRPr="002D298E" w:rsidRDefault="00D15BAF" w:rsidP="009B7330">
      <w:pPr>
        <w:spacing w:after="0" w:line="360" w:lineRule="auto"/>
        <w:jc w:val="center"/>
        <w:rPr>
          <w:rFonts w:ascii="Arial" w:hAnsi="Arial" w:cs="Arial"/>
          <w:color w:val="000000" w:themeColor="text1"/>
        </w:rPr>
      </w:pPr>
    </w:p>
    <w:p w14:paraId="2BD3E612" w14:textId="230575CE" w:rsidR="00B355EC" w:rsidRPr="002D298E" w:rsidRDefault="00B355EC" w:rsidP="00B355EC">
      <w:pPr>
        <w:spacing w:after="0" w:line="360" w:lineRule="auto"/>
        <w:jc w:val="both"/>
        <w:rPr>
          <w:rFonts w:ascii="Arial" w:hAnsi="Arial" w:cs="Arial"/>
          <w:color w:val="000000" w:themeColor="text1"/>
        </w:rPr>
      </w:pPr>
      <w:r w:rsidRPr="002D298E">
        <w:rPr>
          <w:rFonts w:ascii="Arial" w:hAnsi="Arial" w:cs="Arial"/>
          <w:color w:val="000000" w:themeColor="text1"/>
        </w:rPr>
        <w:t>Internationally, Wagner’s Chronic Care Model remains one of the most influential frameworks for chronic disease management. The model emphasises self-management support, clinical information systems, decision support, delivery system redesign, healthcare organisation, and community resources (Wagner et al., 2001).</w:t>
      </w:r>
      <w:r w:rsidR="00DF131D" w:rsidRPr="002D298E">
        <w:rPr>
          <w:rFonts w:ascii="Arial" w:hAnsi="Arial" w:cs="Arial"/>
          <w:color w:val="000000" w:themeColor="text1"/>
        </w:rPr>
        <w:t xml:space="preserve"> </w:t>
      </w:r>
      <w:r w:rsidRPr="002D298E">
        <w:rPr>
          <w:rFonts w:ascii="Arial" w:hAnsi="Arial" w:cs="Arial"/>
          <w:color w:val="000000" w:themeColor="text1"/>
        </w:rPr>
        <w:t>Evidence suggests that implementation of the Chronic Care Model improves clinical outcomes, patient satisfaction, and healthcare efficiency. Nevertheless, critics argue that successful implementation requires substantial organisational investment and may be difficult to achieve within resource-constrained healthcare systems. Both models support a transition away from reactive healthcare towards proactive, coordinated, and person-centred chronic disease management.</w:t>
      </w:r>
      <w:r w:rsidR="00681E14" w:rsidRPr="002D298E">
        <w:rPr>
          <w:rFonts w:ascii="Arial" w:hAnsi="Arial" w:cs="Arial"/>
          <w:color w:val="000000" w:themeColor="text1"/>
        </w:rPr>
        <w:t xml:space="preserve"> </w:t>
      </w:r>
    </w:p>
    <w:p w14:paraId="2C95187A" w14:textId="77777777" w:rsidR="00DA1B2D" w:rsidRPr="002D298E" w:rsidRDefault="00DA1B2D" w:rsidP="00A41088">
      <w:pPr>
        <w:spacing w:after="0" w:line="360" w:lineRule="auto"/>
        <w:jc w:val="both"/>
        <w:rPr>
          <w:rFonts w:ascii="Arial" w:hAnsi="Arial" w:cs="Arial"/>
          <w:b/>
          <w:bCs/>
          <w:color w:val="000000" w:themeColor="text1"/>
        </w:rPr>
      </w:pPr>
    </w:p>
    <w:p w14:paraId="76A347DA" w14:textId="420DF5A2" w:rsidR="00A41088" w:rsidRPr="00BC7068" w:rsidRDefault="00A41088" w:rsidP="00A41088">
      <w:pPr>
        <w:spacing w:after="0" w:line="360" w:lineRule="auto"/>
        <w:jc w:val="both"/>
        <w:rPr>
          <w:rFonts w:ascii="Arial" w:hAnsi="Arial" w:cs="Arial"/>
          <w:b/>
          <w:bCs/>
          <w:color w:val="00B050"/>
          <w:sz w:val="28"/>
          <w:szCs w:val="28"/>
        </w:rPr>
      </w:pPr>
      <w:r w:rsidRPr="00BC7068">
        <w:rPr>
          <w:rFonts w:ascii="Arial" w:hAnsi="Arial" w:cs="Arial"/>
          <w:b/>
          <w:bCs/>
          <w:color w:val="00B050"/>
          <w:sz w:val="28"/>
          <w:szCs w:val="28"/>
        </w:rPr>
        <w:t>Political, Health and Social Care Agendas.</w:t>
      </w:r>
    </w:p>
    <w:p w14:paraId="449690D7" w14:textId="77777777" w:rsidR="00EC36D4" w:rsidRPr="002D298E" w:rsidRDefault="00EC36D4" w:rsidP="00A41088">
      <w:pPr>
        <w:spacing w:after="0" w:line="360" w:lineRule="auto"/>
        <w:jc w:val="both"/>
        <w:rPr>
          <w:rFonts w:ascii="Arial" w:hAnsi="Arial" w:cs="Arial"/>
          <w:b/>
          <w:bCs/>
          <w:color w:val="00B050"/>
        </w:rPr>
      </w:pPr>
    </w:p>
    <w:p w14:paraId="710869A8" w14:textId="2AF73A68" w:rsidR="00A41088" w:rsidRPr="002D298E" w:rsidRDefault="00A41088" w:rsidP="00A41088">
      <w:pPr>
        <w:spacing w:after="0" w:line="360" w:lineRule="auto"/>
        <w:jc w:val="both"/>
        <w:rPr>
          <w:rFonts w:ascii="Arial" w:hAnsi="Arial" w:cs="Arial"/>
          <w:color w:val="000000" w:themeColor="text1"/>
        </w:rPr>
      </w:pPr>
      <w:r w:rsidRPr="002D298E">
        <w:rPr>
          <w:rFonts w:ascii="Arial" w:hAnsi="Arial" w:cs="Arial"/>
          <w:color w:val="000000" w:themeColor="text1"/>
        </w:rPr>
        <w:t xml:space="preserve">The management of hypertension is affected by national health policies and political agendas. The NHS Long Term Plan designates the prevention of cardiovascular disease as a primary strategic focus. The initiative seeks to avert many heart attacks and strokes by enhancing the identification and management of hypertension and </w:t>
      </w:r>
      <w:r w:rsidRPr="002D298E">
        <w:rPr>
          <w:rFonts w:ascii="Arial" w:hAnsi="Arial" w:cs="Arial"/>
          <w:color w:val="000000" w:themeColor="text1"/>
        </w:rPr>
        <w:lastRenderedPageBreak/>
        <w:t>other cardiovascular risk factors (</w:t>
      </w:r>
      <w:r w:rsidR="00620B35" w:rsidRPr="002D298E">
        <w:rPr>
          <w:rFonts w:ascii="Arial" w:hAnsi="Arial" w:cs="Arial"/>
          <w:color w:val="000000" w:themeColor="text1"/>
        </w:rPr>
        <w:t>Cheater, 2019)</w:t>
      </w:r>
      <w:r w:rsidRPr="002D298E">
        <w:rPr>
          <w:rFonts w:ascii="Arial" w:hAnsi="Arial" w:cs="Arial"/>
          <w:color w:val="000000" w:themeColor="text1"/>
        </w:rPr>
        <w:t>. Integrated Care Systems (ICSs) have been established to enhance collaboration across NHS entities, local authorities, social care providers, and volunteer groups. Such integration supports more coordinated management of long-term conditions and aligns with principles of whole-person care</w:t>
      </w:r>
      <w:r w:rsidR="002F4411" w:rsidRPr="002D298E">
        <w:rPr>
          <w:rFonts w:ascii="Arial" w:hAnsi="Arial" w:cs="Arial"/>
          <w:color w:val="000000" w:themeColor="text1"/>
        </w:rPr>
        <w:t xml:space="preserve"> </w:t>
      </w:r>
      <w:r w:rsidR="002F4411" w:rsidRPr="00524292">
        <w:rPr>
          <w:rFonts w:ascii="Arial" w:hAnsi="Arial" w:cs="Arial"/>
          <w:color w:val="000000" w:themeColor="text1"/>
        </w:rPr>
        <w:t>(Elizondo et al., 2025)</w:t>
      </w:r>
      <w:r w:rsidRPr="00524292">
        <w:rPr>
          <w:rFonts w:ascii="Arial" w:hAnsi="Arial" w:cs="Arial"/>
          <w:color w:val="000000" w:themeColor="text1"/>
        </w:rPr>
        <w:t>.</w:t>
      </w:r>
      <w:r w:rsidRPr="002D298E">
        <w:rPr>
          <w:rFonts w:ascii="Arial" w:hAnsi="Arial" w:cs="Arial"/>
          <w:color w:val="000000" w:themeColor="text1"/>
        </w:rPr>
        <w:t xml:space="preserve"> This initiative reflects growing recognition that social determinants significantly influence hypertension prevalence and outcomes.</w:t>
      </w:r>
    </w:p>
    <w:p w14:paraId="23FCD9DF" w14:textId="77777777" w:rsidR="00A861CD" w:rsidRPr="002D298E" w:rsidRDefault="00A861CD" w:rsidP="00A41088">
      <w:pPr>
        <w:spacing w:after="0" w:line="360" w:lineRule="auto"/>
        <w:jc w:val="both"/>
        <w:rPr>
          <w:rFonts w:ascii="Arial" w:hAnsi="Arial" w:cs="Arial"/>
          <w:color w:val="000000" w:themeColor="text1"/>
        </w:rPr>
      </w:pPr>
    </w:p>
    <w:p w14:paraId="4336B50A" w14:textId="113B6C2B" w:rsidR="00A861CD" w:rsidRPr="002D298E" w:rsidRDefault="00A861CD" w:rsidP="00A861CD">
      <w:pPr>
        <w:spacing w:after="0" w:line="360" w:lineRule="auto"/>
        <w:jc w:val="both"/>
        <w:rPr>
          <w:rFonts w:ascii="Arial" w:hAnsi="Arial" w:cs="Arial"/>
          <w:color w:val="000000" w:themeColor="text1"/>
        </w:rPr>
      </w:pPr>
      <w:r w:rsidRPr="002D298E">
        <w:rPr>
          <w:rFonts w:ascii="Arial" w:hAnsi="Arial" w:cs="Arial"/>
          <w:color w:val="000000" w:themeColor="text1"/>
        </w:rPr>
        <w:t>Public health policies addressing obesity, smoking, alcohol consumption, and physical inactivity contribute to hypertension prevention efforts. However, critics argue that policy approaches often place excessive emphasis on individual responsibility while inadequately addressing structural determinants of health such as poverty and housing quality (Marmot</w:t>
      </w:r>
      <w:r w:rsidR="00377603" w:rsidRPr="002D298E">
        <w:rPr>
          <w:rFonts w:ascii="Arial" w:hAnsi="Arial" w:cs="Arial"/>
          <w:color w:val="000000" w:themeColor="text1"/>
        </w:rPr>
        <w:t>,</w:t>
      </w:r>
      <w:r w:rsidRPr="002D298E">
        <w:rPr>
          <w:rFonts w:ascii="Arial" w:hAnsi="Arial" w:cs="Arial"/>
          <w:color w:val="000000" w:themeColor="text1"/>
        </w:rPr>
        <w:t xml:space="preserve"> 2020). Local authorities also play a crucial role through health promotion programmes, community engagement initiatives, and social prescribing services. Effective hypertension management, therefore, requires collaboration across health, social care, and public health sectors.</w:t>
      </w:r>
    </w:p>
    <w:p w14:paraId="79B58185" w14:textId="77777777" w:rsidR="00A861CD" w:rsidRPr="00342F90" w:rsidRDefault="00A861CD" w:rsidP="00A41088">
      <w:pPr>
        <w:spacing w:after="0" w:line="360" w:lineRule="auto"/>
        <w:jc w:val="both"/>
        <w:rPr>
          <w:rFonts w:ascii="Arial" w:hAnsi="Arial" w:cs="Arial"/>
          <w:color w:val="000000" w:themeColor="text1"/>
          <w:sz w:val="28"/>
          <w:szCs w:val="28"/>
        </w:rPr>
      </w:pPr>
    </w:p>
    <w:p w14:paraId="3D514C6E" w14:textId="130D0B8C" w:rsidR="000426B0" w:rsidRPr="00342F90" w:rsidRDefault="000426B0" w:rsidP="000426B0">
      <w:pPr>
        <w:spacing w:after="0" w:line="360" w:lineRule="auto"/>
        <w:jc w:val="both"/>
        <w:rPr>
          <w:rFonts w:ascii="Arial" w:hAnsi="Arial" w:cs="Arial"/>
          <w:b/>
          <w:bCs/>
          <w:color w:val="7030A0"/>
          <w:sz w:val="28"/>
          <w:szCs w:val="28"/>
        </w:rPr>
      </w:pPr>
      <w:r w:rsidRPr="00342F90">
        <w:rPr>
          <w:rFonts w:ascii="Arial" w:hAnsi="Arial" w:cs="Arial"/>
          <w:b/>
          <w:bCs/>
          <w:color w:val="7030A0"/>
          <w:sz w:val="28"/>
          <w:szCs w:val="28"/>
        </w:rPr>
        <w:t>Recommendations for Improving Person-Centred Care</w:t>
      </w:r>
      <w:r w:rsidR="00641923" w:rsidRPr="00342F90">
        <w:rPr>
          <w:rFonts w:ascii="Arial" w:hAnsi="Arial" w:cs="Arial"/>
          <w:b/>
          <w:bCs/>
          <w:color w:val="7030A0"/>
          <w:sz w:val="28"/>
          <w:szCs w:val="28"/>
        </w:rPr>
        <w:t>.</w:t>
      </w:r>
    </w:p>
    <w:p w14:paraId="72EDFB17" w14:textId="77777777" w:rsidR="000426B0" w:rsidRPr="002D298E" w:rsidRDefault="000426B0" w:rsidP="000426B0">
      <w:pPr>
        <w:spacing w:after="0" w:line="360" w:lineRule="auto"/>
        <w:jc w:val="both"/>
        <w:rPr>
          <w:rFonts w:ascii="Arial" w:hAnsi="Arial" w:cs="Arial"/>
          <w:color w:val="000000" w:themeColor="text1"/>
        </w:rPr>
      </w:pPr>
    </w:p>
    <w:p w14:paraId="2EC6871C" w14:textId="61C562AB" w:rsidR="000426B0" w:rsidRPr="002D298E" w:rsidRDefault="000426B0" w:rsidP="000426B0">
      <w:pPr>
        <w:spacing w:after="0" w:line="360" w:lineRule="auto"/>
        <w:jc w:val="both"/>
        <w:rPr>
          <w:rFonts w:ascii="Arial" w:eastAsia="Times New Roman" w:hAnsi="Arial" w:cs="Arial"/>
          <w:sz w:val="24"/>
          <w:szCs w:val="24"/>
          <w:lang w:eastAsia="en-GB"/>
        </w:rPr>
      </w:pPr>
      <w:r w:rsidRPr="002D298E">
        <w:rPr>
          <w:rFonts w:ascii="Arial" w:hAnsi="Arial" w:cs="Arial"/>
          <w:color w:val="000000" w:themeColor="text1"/>
        </w:rPr>
        <w:t>Future improvements in hypertension management should</w:t>
      </w:r>
      <w:r w:rsidR="00445001" w:rsidRPr="002D298E">
        <w:rPr>
          <w:rFonts w:ascii="Arial" w:hAnsi="Arial" w:cs="Arial"/>
          <w:color w:val="000000" w:themeColor="text1"/>
        </w:rPr>
        <w:t xml:space="preserve"> </w:t>
      </w:r>
      <w:r w:rsidR="00381E72" w:rsidRPr="002D298E">
        <w:rPr>
          <w:rFonts w:ascii="Arial" w:hAnsi="Arial" w:cs="Arial"/>
          <w:color w:val="000000" w:themeColor="text1"/>
        </w:rPr>
        <w:t xml:space="preserve">include </w:t>
      </w:r>
      <w:r w:rsidR="006D252F" w:rsidRPr="002D298E">
        <w:rPr>
          <w:rFonts w:ascii="Arial" w:hAnsi="Arial" w:cs="Arial"/>
          <w:color w:val="000000" w:themeColor="text1"/>
        </w:rPr>
        <w:t>short</w:t>
      </w:r>
      <w:r w:rsidR="00445001" w:rsidRPr="002D298E">
        <w:rPr>
          <w:rFonts w:ascii="Arial" w:hAnsi="Arial" w:cs="Arial"/>
          <w:color w:val="000000" w:themeColor="text1"/>
        </w:rPr>
        <w:t>-</w:t>
      </w:r>
      <w:r w:rsidR="006D252F" w:rsidRPr="002D298E">
        <w:rPr>
          <w:rFonts w:ascii="Arial" w:hAnsi="Arial" w:cs="Arial"/>
          <w:color w:val="000000" w:themeColor="text1"/>
        </w:rPr>
        <w:t xml:space="preserve">term </w:t>
      </w:r>
      <w:r w:rsidR="00445001" w:rsidRPr="002D298E">
        <w:rPr>
          <w:rFonts w:ascii="Arial" w:hAnsi="Arial" w:cs="Arial"/>
          <w:color w:val="000000" w:themeColor="text1"/>
        </w:rPr>
        <w:t>and</w:t>
      </w:r>
      <w:r w:rsidR="006D252F" w:rsidRPr="002D298E">
        <w:rPr>
          <w:rFonts w:ascii="Arial" w:hAnsi="Arial" w:cs="Arial"/>
          <w:color w:val="000000" w:themeColor="text1"/>
        </w:rPr>
        <w:t xml:space="preserve"> </w:t>
      </w:r>
      <w:r w:rsidR="003C30D4" w:rsidRPr="002D298E">
        <w:rPr>
          <w:rFonts w:ascii="Arial" w:hAnsi="Arial" w:cs="Arial"/>
          <w:color w:val="000000" w:themeColor="text1"/>
        </w:rPr>
        <w:t>long-term</w:t>
      </w:r>
      <w:r w:rsidR="006D252F" w:rsidRPr="002D298E">
        <w:rPr>
          <w:rFonts w:ascii="Arial" w:hAnsi="Arial" w:cs="Arial"/>
          <w:color w:val="000000" w:themeColor="text1"/>
        </w:rPr>
        <w:t xml:space="preserve"> </w:t>
      </w:r>
      <w:r w:rsidR="002228F7" w:rsidRPr="002D298E">
        <w:rPr>
          <w:rFonts w:ascii="Arial" w:hAnsi="Arial" w:cs="Arial"/>
          <w:color w:val="000000" w:themeColor="text1"/>
        </w:rPr>
        <w:t>awareness programs</w:t>
      </w:r>
      <w:r w:rsidR="006D252F" w:rsidRPr="002D298E">
        <w:rPr>
          <w:rFonts w:ascii="Arial" w:hAnsi="Arial" w:cs="Arial"/>
          <w:color w:val="000000" w:themeColor="text1"/>
        </w:rPr>
        <w:t xml:space="preserve"> </w:t>
      </w:r>
      <w:r w:rsidR="003C30D4" w:rsidRPr="002D298E">
        <w:rPr>
          <w:rFonts w:ascii="Arial" w:hAnsi="Arial" w:cs="Arial"/>
          <w:color w:val="000000" w:themeColor="text1"/>
        </w:rPr>
        <w:t xml:space="preserve">to </w:t>
      </w:r>
      <w:r w:rsidR="000F59A5" w:rsidRPr="002D298E">
        <w:rPr>
          <w:rFonts w:ascii="Arial" w:hAnsi="Arial" w:cs="Arial"/>
          <w:color w:val="000000" w:themeColor="text1"/>
        </w:rPr>
        <w:t>educate</w:t>
      </w:r>
      <w:r w:rsidR="002228F7" w:rsidRPr="002D298E">
        <w:rPr>
          <w:rFonts w:ascii="Arial" w:hAnsi="Arial" w:cs="Arial"/>
          <w:color w:val="000000" w:themeColor="text1"/>
        </w:rPr>
        <w:t xml:space="preserve"> the </w:t>
      </w:r>
      <w:r w:rsidR="000F59A5" w:rsidRPr="002D298E">
        <w:rPr>
          <w:rFonts w:ascii="Arial" w:hAnsi="Arial" w:cs="Arial"/>
          <w:color w:val="000000" w:themeColor="text1"/>
        </w:rPr>
        <w:t>public</w:t>
      </w:r>
      <w:r w:rsidR="00F249D3" w:rsidRPr="002D298E">
        <w:rPr>
          <w:rFonts w:ascii="Arial" w:hAnsi="Arial" w:cs="Arial"/>
          <w:color w:val="000000" w:themeColor="text1"/>
        </w:rPr>
        <w:t xml:space="preserve"> </w:t>
      </w:r>
      <w:r w:rsidR="00F249D3" w:rsidRPr="00B11825">
        <w:rPr>
          <w:rFonts w:ascii="Arial" w:hAnsi="Arial" w:cs="Arial"/>
          <w:color w:val="000000" w:themeColor="text1"/>
        </w:rPr>
        <w:t>(Bilo et al., 2026)</w:t>
      </w:r>
      <w:r w:rsidR="0026622E" w:rsidRPr="00B11825">
        <w:rPr>
          <w:rFonts w:ascii="Arial" w:hAnsi="Arial" w:cs="Arial"/>
          <w:color w:val="000000" w:themeColor="text1"/>
        </w:rPr>
        <w:t xml:space="preserve"> and (Manalili et al.</w:t>
      </w:r>
      <w:r w:rsidR="00326F2A" w:rsidRPr="00B11825">
        <w:rPr>
          <w:rFonts w:ascii="Arial" w:hAnsi="Arial" w:cs="Arial"/>
          <w:color w:val="000000" w:themeColor="text1"/>
        </w:rPr>
        <w:t>,</w:t>
      </w:r>
      <w:r w:rsidR="0026622E" w:rsidRPr="00B11825">
        <w:rPr>
          <w:rFonts w:ascii="Arial" w:hAnsi="Arial" w:cs="Arial"/>
          <w:color w:val="000000" w:themeColor="text1"/>
        </w:rPr>
        <w:t xml:space="preserve"> 2022)</w:t>
      </w:r>
      <w:r w:rsidR="000F59A5" w:rsidRPr="00B11825">
        <w:rPr>
          <w:rFonts w:ascii="Arial" w:hAnsi="Arial" w:cs="Arial"/>
          <w:color w:val="000000" w:themeColor="text1"/>
        </w:rPr>
        <w:t xml:space="preserve">. </w:t>
      </w:r>
      <w:r w:rsidR="008441CD" w:rsidRPr="002D298E">
        <w:rPr>
          <w:rFonts w:ascii="Arial" w:hAnsi="Arial" w:cs="Arial"/>
          <w:color w:val="000000" w:themeColor="text1"/>
        </w:rPr>
        <w:t>Prioritise</w:t>
      </w:r>
      <w:r w:rsidRPr="002D298E">
        <w:rPr>
          <w:rFonts w:ascii="Arial" w:hAnsi="Arial" w:cs="Arial"/>
          <w:color w:val="000000" w:themeColor="text1"/>
        </w:rPr>
        <w:t xml:space="preserve"> enhanced integration between physical and mental health services to address psychological distress associated with chronic disease</w:t>
      </w:r>
      <w:r w:rsidR="009622AC" w:rsidRPr="002D298E">
        <w:rPr>
          <w:rFonts w:ascii="Arial" w:hAnsi="Arial" w:cs="Arial"/>
          <w:color w:val="000000" w:themeColor="text1"/>
        </w:rPr>
        <w:t xml:space="preserve"> (LTC Pathways Working Group, 2024)</w:t>
      </w:r>
      <w:r w:rsidR="00AF6FBB" w:rsidRPr="002D298E">
        <w:rPr>
          <w:rFonts w:ascii="Arial" w:hAnsi="Arial" w:cs="Arial"/>
          <w:color w:val="000000" w:themeColor="text1"/>
        </w:rPr>
        <w:t xml:space="preserve"> and </w:t>
      </w:r>
      <w:r w:rsidR="0042130F" w:rsidRPr="002D298E">
        <w:rPr>
          <w:rFonts w:ascii="Arial" w:hAnsi="Arial" w:cs="Arial"/>
          <w:color w:val="000000" w:themeColor="text1"/>
        </w:rPr>
        <w:t>(NHS England, 2024)</w:t>
      </w:r>
      <w:r w:rsidRPr="002D298E">
        <w:rPr>
          <w:rFonts w:ascii="Arial" w:hAnsi="Arial" w:cs="Arial"/>
          <w:color w:val="000000" w:themeColor="text1"/>
        </w:rPr>
        <w:t>. Routine screening for anxiety and depression should become standard practice within hypertension reviews</w:t>
      </w:r>
      <w:r w:rsidR="001F629C" w:rsidRPr="002D298E">
        <w:rPr>
          <w:rFonts w:ascii="Arial" w:hAnsi="Arial" w:cs="Arial"/>
          <w:color w:val="000000" w:themeColor="text1"/>
        </w:rPr>
        <w:t>;</w:t>
      </w:r>
      <w:r w:rsidR="00876849" w:rsidRPr="002D298E">
        <w:rPr>
          <w:rFonts w:ascii="Arial" w:hAnsi="Arial" w:cs="Arial"/>
          <w:color w:val="000000" w:themeColor="text1"/>
        </w:rPr>
        <w:t xml:space="preserve"> </w:t>
      </w:r>
      <w:r w:rsidR="001F629C" w:rsidRPr="002D298E">
        <w:rPr>
          <w:rFonts w:ascii="Arial" w:hAnsi="Arial" w:cs="Arial"/>
          <w:color w:val="000000" w:themeColor="text1"/>
        </w:rPr>
        <w:t>for example, John, a 28-year-old man, was diagnosed with an anxiety disorder after experiencing persistent worry, panic attacks, and difficulty sleeping. Although his blood pressure was initially within the normal range, prolonged anxiety led to chronic activation of his sympathetic nervous system. Over several years, repeated increases in heart rate and blood pressure contributed to the development of hypertension. This example reflects evidence that younger adults diagnosed with anxiety may have a greater risk of developing hypertension over time (Johnson, 2019)</w:t>
      </w:r>
      <w:r w:rsidRPr="002D298E">
        <w:rPr>
          <w:rFonts w:ascii="Arial" w:hAnsi="Arial" w:cs="Arial"/>
          <w:color w:val="000000" w:themeColor="text1"/>
        </w:rPr>
        <w:t>.</w:t>
      </w:r>
      <w:r w:rsidR="007768DD" w:rsidRPr="002D298E">
        <w:rPr>
          <w:rFonts w:ascii="Arial" w:eastAsia="Times New Roman" w:hAnsi="Arial" w:cs="Arial"/>
          <w:lang w:eastAsia="en-GB"/>
        </w:rPr>
        <w:t xml:space="preserve"> </w:t>
      </w:r>
      <w:r w:rsidR="00471494" w:rsidRPr="002D298E">
        <w:rPr>
          <w:rFonts w:ascii="Arial" w:eastAsia="Times New Roman" w:hAnsi="Arial" w:cs="Arial"/>
          <w:lang w:eastAsia="en-GB"/>
        </w:rPr>
        <w:t xml:space="preserve">Increased focus on self-management through health coaching, digital tools, and patient education is critical for enhancing adherence and health outcomes. Interventions should address health inequalities and be tailored for disadvantaged communities. Community-based strategies can improve engagement, while family involvement and caregiver support are </w:t>
      </w:r>
      <w:r w:rsidR="00471494" w:rsidRPr="002D298E">
        <w:rPr>
          <w:rFonts w:ascii="Arial" w:eastAsia="Times New Roman" w:hAnsi="Arial" w:cs="Arial"/>
          <w:lang w:eastAsia="en-GB"/>
        </w:rPr>
        <w:lastRenderedPageBreak/>
        <w:t>essential. Healthcare professionals must assess caregiver needs and provide resources. Advance care planning is crucial for those with severe cardiovascular issues or multimorbidity. Finally, healthcare systems should prioritize personalized care planning and collaborative partnerships that empower patients as active participants in their care</w:t>
      </w:r>
      <w:r w:rsidR="002D298E" w:rsidRPr="002D298E">
        <w:rPr>
          <w:rFonts w:ascii="Arial" w:eastAsia="Times New Roman" w:hAnsi="Arial" w:cs="Arial"/>
          <w:lang w:eastAsia="en-GB"/>
        </w:rPr>
        <w:t xml:space="preserve"> </w:t>
      </w:r>
      <w:r w:rsidR="00BA109D" w:rsidRPr="009D141F">
        <w:rPr>
          <w:rFonts w:ascii="Arial" w:hAnsi="Arial" w:cs="Arial"/>
          <w:color w:val="000000" w:themeColor="text1"/>
        </w:rPr>
        <w:t>(</w:t>
      </w:r>
      <w:r w:rsidR="0081629A" w:rsidRPr="009D141F">
        <w:rPr>
          <w:rFonts w:ascii="Arial" w:eastAsia="Times New Roman" w:hAnsi="Arial" w:cs="Arial"/>
          <w:lang w:eastAsia="en-GB"/>
        </w:rPr>
        <w:t>Slater et al. 2026)</w:t>
      </w:r>
      <w:r w:rsidRPr="009D141F">
        <w:rPr>
          <w:rFonts w:ascii="Arial" w:hAnsi="Arial" w:cs="Arial"/>
          <w:color w:val="000000" w:themeColor="text1"/>
        </w:rPr>
        <w:t>.</w:t>
      </w:r>
    </w:p>
    <w:p w14:paraId="4C81EB98" w14:textId="77777777" w:rsidR="00665B78" w:rsidRPr="002D298E" w:rsidRDefault="00665B78" w:rsidP="000426B0">
      <w:pPr>
        <w:spacing w:after="0" w:line="360" w:lineRule="auto"/>
        <w:jc w:val="both"/>
        <w:rPr>
          <w:rFonts w:ascii="Arial" w:hAnsi="Arial" w:cs="Arial"/>
          <w:color w:val="00B050"/>
        </w:rPr>
      </w:pPr>
    </w:p>
    <w:p w14:paraId="63B4662D" w14:textId="5BA04FE4" w:rsidR="000A00F1" w:rsidRPr="007B1909" w:rsidRDefault="000A00F1" w:rsidP="000A00F1">
      <w:pPr>
        <w:spacing w:after="0" w:line="360" w:lineRule="auto"/>
        <w:jc w:val="both"/>
        <w:rPr>
          <w:rFonts w:ascii="Arial" w:hAnsi="Arial" w:cs="Arial"/>
          <w:b/>
          <w:bCs/>
          <w:color w:val="00B050"/>
          <w:sz w:val="28"/>
          <w:szCs w:val="28"/>
        </w:rPr>
      </w:pPr>
      <w:r w:rsidRPr="007B1909">
        <w:rPr>
          <w:rFonts w:ascii="Arial" w:hAnsi="Arial" w:cs="Arial"/>
          <w:b/>
          <w:bCs/>
          <w:color w:val="00B050"/>
          <w:sz w:val="28"/>
          <w:szCs w:val="28"/>
        </w:rPr>
        <w:t>Conclusion</w:t>
      </w:r>
      <w:r w:rsidR="00D35472">
        <w:rPr>
          <w:rFonts w:ascii="Arial" w:hAnsi="Arial" w:cs="Arial"/>
          <w:b/>
          <w:bCs/>
          <w:color w:val="00B050"/>
          <w:sz w:val="28"/>
          <w:szCs w:val="28"/>
        </w:rPr>
        <w:t>.</w:t>
      </w:r>
    </w:p>
    <w:p w14:paraId="1D4CD636" w14:textId="77777777" w:rsidR="00EC36D4" w:rsidRPr="002D298E" w:rsidRDefault="00EC36D4" w:rsidP="000A00F1">
      <w:pPr>
        <w:spacing w:after="0" w:line="360" w:lineRule="auto"/>
        <w:jc w:val="both"/>
        <w:rPr>
          <w:rFonts w:ascii="Arial" w:hAnsi="Arial" w:cs="Arial"/>
          <w:b/>
          <w:bCs/>
          <w:color w:val="00B050"/>
        </w:rPr>
      </w:pPr>
    </w:p>
    <w:p w14:paraId="1AC0A9B6" w14:textId="77777777" w:rsidR="000A00F1" w:rsidRPr="002D298E" w:rsidRDefault="000A00F1" w:rsidP="000A00F1">
      <w:pPr>
        <w:spacing w:after="0" w:line="360" w:lineRule="auto"/>
        <w:jc w:val="both"/>
        <w:rPr>
          <w:rFonts w:ascii="Arial" w:hAnsi="Arial" w:cs="Arial"/>
          <w:color w:val="000000" w:themeColor="text1"/>
        </w:rPr>
      </w:pPr>
      <w:r w:rsidRPr="002D298E">
        <w:rPr>
          <w:rFonts w:ascii="Arial" w:hAnsi="Arial" w:cs="Arial"/>
          <w:color w:val="000000" w:themeColor="text1"/>
        </w:rPr>
        <w:t xml:space="preserve">Hypertension is a significant long-term health problem impacting the UK population and continues to be a primary source of avoidable morbidity and mortality. Its impact extends far beyond elevated blood pressure measurements, affecting physical health, psychological well-being, social participation, family functioning, and healthcare resources. Evidence demonstrates that successful management requires a comprehensive approach combining lifestyle interventions, pharmacological treatment, self-management support, and person-centred care. National and international guidelines, together with theoretical frameworks such as the House of Care Model and Chronic Care Model, provide valuable foundations for improving outcomes. </w:t>
      </w:r>
    </w:p>
    <w:p w14:paraId="4B11D362" w14:textId="77777777" w:rsidR="00623CC6" w:rsidRPr="002D298E" w:rsidRDefault="00623CC6" w:rsidP="000A00F1">
      <w:pPr>
        <w:spacing w:after="0" w:line="360" w:lineRule="auto"/>
        <w:jc w:val="both"/>
        <w:rPr>
          <w:rFonts w:ascii="Arial" w:hAnsi="Arial" w:cs="Arial"/>
          <w:color w:val="000000" w:themeColor="text1"/>
        </w:rPr>
      </w:pPr>
    </w:p>
    <w:p w14:paraId="6C3B6B07" w14:textId="77777777" w:rsidR="000A00F1" w:rsidRPr="002D298E" w:rsidRDefault="000A00F1" w:rsidP="000A00F1">
      <w:pPr>
        <w:spacing w:after="0" w:line="360" w:lineRule="auto"/>
        <w:jc w:val="both"/>
        <w:rPr>
          <w:rFonts w:ascii="Arial" w:hAnsi="Arial" w:cs="Arial"/>
          <w:color w:val="000000" w:themeColor="text1"/>
        </w:rPr>
      </w:pPr>
      <w:r w:rsidRPr="002D298E">
        <w:rPr>
          <w:rFonts w:ascii="Arial" w:hAnsi="Arial" w:cs="Arial"/>
          <w:color w:val="000000" w:themeColor="text1"/>
        </w:rPr>
        <w:t>Future developments should focus on reducing health inequalities, strengthening integrated care, supporting self-management, addressing psychological needs, and recognising the wider social context in which individuals live with hypertension. By employing comprehensive, evidence-based, and compassionate treatment, health and social care workers can markedly enhance the quality of life and long-term results for individuals with hypertension.</w:t>
      </w:r>
    </w:p>
    <w:p w14:paraId="7478D9B6" w14:textId="77777777" w:rsidR="000202C8" w:rsidRPr="002D298E" w:rsidRDefault="000202C8" w:rsidP="00A52FDF">
      <w:pPr>
        <w:spacing w:after="0" w:line="360" w:lineRule="auto"/>
        <w:rPr>
          <w:rFonts w:ascii="Arial" w:hAnsi="Arial" w:cs="Arial"/>
        </w:rPr>
      </w:pPr>
    </w:p>
    <w:p w14:paraId="0AB0D0C7" w14:textId="12EBE07F" w:rsidR="008D1D68" w:rsidRPr="002D298E" w:rsidRDefault="008D1D68">
      <w:pPr>
        <w:rPr>
          <w:rFonts w:ascii="Arial" w:hAnsi="Arial" w:cs="Arial"/>
        </w:rPr>
      </w:pPr>
      <w:r w:rsidRPr="002D298E">
        <w:rPr>
          <w:rFonts w:ascii="Arial" w:hAnsi="Arial" w:cs="Arial"/>
        </w:rPr>
        <w:br w:type="page"/>
      </w:r>
    </w:p>
    <w:p w14:paraId="2A769B7A" w14:textId="2B5BB626" w:rsidR="00DE2683" w:rsidRPr="00D35472" w:rsidRDefault="008D1D68" w:rsidP="00A52FDF">
      <w:pPr>
        <w:spacing w:after="0" w:line="360" w:lineRule="auto"/>
        <w:rPr>
          <w:rFonts w:ascii="Arial" w:hAnsi="Arial" w:cs="Arial"/>
          <w:b/>
          <w:bCs/>
          <w:color w:val="1F497D" w:themeColor="text2"/>
          <w:sz w:val="32"/>
          <w:szCs w:val="32"/>
        </w:rPr>
      </w:pPr>
      <w:r w:rsidRPr="00D35472">
        <w:rPr>
          <w:rFonts w:ascii="Arial" w:hAnsi="Arial" w:cs="Arial"/>
          <w:b/>
          <w:bCs/>
          <w:color w:val="1F497D" w:themeColor="text2"/>
          <w:sz w:val="32"/>
          <w:szCs w:val="32"/>
        </w:rPr>
        <w:lastRenderedPageBreak/>
        <w:t>References</w:t>
      </w:r>
      <w:r w:rsidR="00F7411D" w:rsidRPr="00D35472">
        <w:rPr>
          <w:rFonts w:ascii="Arial" w:hAnsi="Arial" w:cs="Arial"/>
          <w:b/>
          <w:bCs/>
          <w:color w:val="1F497D" w:themeColor="text2"/>
          <w:sz w:val="32"/>
          <w:szCs w:val="32"/>
        </w:rPr>
        <w:t>:</w:t>
      </w:r>
    </w:p>
    <w:p w14:paraId="0BFA1987" w14:textId="77777777" w:rsidR="00722357" w:rsidRPr="002D298E" w:rsidRDefault="00722357" w:rsidP="004757A6">
      <w:pPr>
        <w:pStyle w:val="ListParagraph"/>
        <w:spacing w:after="120" w:line="360" w:lineRule="auto"/>
        <w:rPr>
          <w:rFonts w:ascii="Arial" w:hAnsi="Arial" w:cs="Arial"/>
          <w:color w:val="000000" w:themeColor="text1"/>
        </w:rPr>
      </w:pPr>
    </w:p>
    <w:p w14:paraId="14B20C83" w14:textId="77777777" w:rsidR="00722357" w:rsidRPr="002D298E" w:rsidRDefault="00722357" w:rsidP="004757A6">
      <w:pPr>
        <w:pStyle w:val="pdq2pgselectionanchorcontainer"/>
        <w:spacing w:before="0" w:beforeAutospacing="0" w:after="120" w:afterAutospacing="0" w:line="360" w:lineRule="auto"/>
        <w:ind w:left="360"/>
        <w:rPr>
          <w:rFonts w:ascii="Arial" w:hAnsi="Arial" w:cs="Arial"/>
          <w:color w:val="000000" w:themeColor="text1"/>
          <w:sz w:val="22"/>
          <w:szCs w:val="22"/>
        </w:rPr>
      </w:pPr>
      <w:r w:rsidRPr="002D298E">
        <w:rPr>
          <w:rFonts w:ascii="Arial" w:hAnsi="Arial" w:cs="Arial"/>
          <w:color w:val="000000" w:themeColor="text1"/>
          <w:sz w:val="22"/>
          <w:szCs w:val="22"/>
        </w:rPr>
        <w:t xml:space="preserve">Bilo, G., Stergiou, G.S., </w:t>
      </w:r>
      <w:proofErr w:type="spellStart"/>
      <w:r w:rsidRPr="002D298E">
        <w:rPr>
          <w:rFonts w:ascii="Arial" w:hAnsi="Arial" w:cs="Arial"/>
          <w:color w:val="000000" w:themeColor="text1"/>
          <w:sz w:val="22"/>
          <w:szCs w:val="22"/>
        </w:rPr>
        <w:t>Parati</w:t>
      </w:r>
      <w:proofErr w:type="spellEnd"/>
      <w:r w:rsidRPr="002D298E">
        <w:rPr>
          <w:rFonts w:ascii="Arial" w:hAnsi="Arial" w:cs="Arial"/>
          <w:color w:val="000000" w:themeColor="text1"/>
          <w:sz w:val="22"/>
          <w:szCs w:val="22"/>
        </w:rPr>
        <w:t xml:space="preserve">, G., </w:t>
      </w:r>
      <w:r w:rsidRPr="00B54B73">
        <w:rPr>
          <w:rFonts w:ascii="Arial" w:hAnsi="Arial" w:cs="Arial"/>
          <w:color w:val="000000" w:themeColor="text1"/>
          <w:sz w:val="22"/>
          <w:szCs w:val="22"/>
        </w:rPr>
        <w:t>et al.</w:t>
      </w:r>
      <w:r w:rsidRPr="002D298E">
        <w:rPr>
          <w:rFonts w:ascii="Arial" w:hAnsi="Arial" w:cs="Arial"/>
          <w:color w:val="000000" w:themeColor="text1"/>
          <w:sz w:val="22"/>
          <w:szCs w:val="22"/>
        </w:rPr>
        <w:t xml:space="preserve"> (2026) “Bridging the gap between hypertension guidelines and real-life practice: strategies and technological tools for improving long-term population blood pressure control”, </w:t>
      </w:r>
      <w:r w:rsidRPr="002D298E">
        <w:rPr>
          <w:rFonts w:ascii="Arial" w:hAnsi="Arial" w:cs="Arial"/>
          <w:i/>
          <w:iCs/>
          <w:color w:val="000000" w:themeColor="text1"/>
          <w:sz w:val="22"/>
          <w:szCs w:val="22"/>
        </w:rPr>
        <w:t>European Journal of Preventive Cardiology</w:t>
      </w:r>
      <w:r w:rsidRPr="002D298E">
        <w:rPr>
          <w:rFonts w:ascii="Arial" w:hAnsi="Arial" w:cs="Arial"/>
          <w:color w:val="000000" w:themeColor="text1"/>
          <w:sz w:val="22"/>
          <w:szCs w:val="22"/>
        </w:rPr>
        <w:t xml:space="preserve">, 33(7), pp. 1045–1057. Available at: </w:t>
      </w:r>
      <w:hyperlink r:id="rId24" w:history="1">
        <w:r w:rsidRPr="002D298E">
          <w:rPr>
            <w:rStyle w:val="Hyperlink"/>
            <w:rFonts w:ascii="Arial" w:hAnsi="Arial" w:cs="Arial"/>
            <w:color w:val="000000" w:themeColor="text1"/>
            <w:sz w:val="22"/>
            <w:szCs w:val="22"/>
          </w:rPr>
          <w:t>https://doi.org/10.1093/eurjpc/zwaf733</w:t>
        </w:r>
      </w:hyperlink>
      <w:r w:rsidRPr="002D298E">
        <w:rPr>
          <w:rFonts w:ascii="Arial" w:hAnsi="Arial" w:cs="Arial"/>
          <w:color w:val="000000" w:themeColor="text1"/>
          <w:sz w:val="22"/>
          <w:szCs w:val="22"/>
        </w:rPr>
        <w:t>. Accessed: 09 July 2026.</w:t>
      </w:r>
    </w:p>
    <w:p w14:paraId="0D96C779" w14:textId="77777777" w:rsidR="00722357" w:rsidRPr="002D298E" w:rsidRDefault="00722357" w:rsidP="004757A6">
      <w:pPr>
        <w:spacing w:after="120" w:line="360" w:lineRule="auto"/>
        <w:ind w:left="360"/>
        <w:rPr>
          <w:rFonts w:ascii="Arial" w:hAnsi="Arial" w:cs="Arial"/>
          <w:color w:val="000000" w:themeColor="text1"/>
        </w:rPr>
      </w:pPr>
      <w:r w:rsidRPr="002D298E">
        <w:rPr>
          <w:rFonts w:ascii="Arial" w:hAnsi="Arial" w:cs="Arial"/>
          <w:color w:val="000000" w:themeColor="text1"/>
        </w:rPr>
        <w:t xml:space="preserve">Blood Pressure Lowering Treatment Trialists’ Collaboration (2021) ‘Pharmacological blood pressure lowering for primary and secondary prevention of cardiovascular disease across different levels of blood pressure: an individual participant-level data meta-analysis’, </w:t>
      </w:r>
      <w:r w:rsidRPr="002D298E">
        <w:rPr>
          <w:rFonts w:ascii="Arial" w:hAnsi="Arial" w:cs="Arial"/>
          <w:i/>
          <w:iCs/>
          <w:color w:val="000000" w:themeColor="text1"/>
        </w:rPr>
        <w:t>The Lancet</w:t>
      </w:r>
      <w:r w:rsidRPr="002D298E">
        <w:rPr>
          <w:rFonts w:ascii="Arial" w:hAnsi="Arial" w:cs="Arial"/>
          <w:color w:val="000000" w:themeColor="text1"/>
        </w:rPr>
        <w:t>, 397(10285), pp. 1625–1636. doi:10.1016/S0140-6736(21)00560-7. (Accessed: 5 July 2026).</w:t>
      </w:r>
    </w:p>
    <w:p w14:paraId="6C6F242D" w14:textId="77777777" w:rsidR="00722357" w:rsidRPr="002D298E" w:rsidRDefault="00722357" w:rsidP="004757A6">
      <w:pPr>
        <w:spacing w:after="120" w:line="360" w:lineRule="auto"/>
        <w:ind w:left="360"/>
        <w:jc w:val="both"/>
        <w:rPr>
          <w:rFonts w:ascii="Arial" w:hAnsi="Arial" w:cs="Arial"/>
          <w:color w:val="000000" w:themeColor="text1"/>
        </w:rPr>
      </w:pPr>
      <w:r w:rsidRPr="002D298E">
        <w:rPr>
          <w:rFonts w:ascii="Arial" w:hAnsi="Arial" w:cs="Arial"/>
          <w:color w:val="000000" w:themeColor="text1"/>
        </w:rPr>
        <w:t xml:space="preserve">Brennan, A. (2024) “Applying the CORE20PLUS5 to Address Health Inequalities for Patients Under the Rehabilitation and Recovery Service in the London Borough of Hackney,” </w:t>
      </w:r>
      <w:proofErr w:type="spellStart"/>
      <w:r w:rsidRPr="002D298E">
        <w:rPr>
          <w:rFonts w:ascii="Arial" w:hAnsi="Arial" w:cs="Arial"/>
          <w:i/>
          <w:iCs/>
          <w:color w:val="000000" w:themeColor="text1"/>
        </w:rPr>
        <w:t>BJPsych</w:t>
      </w:r>
      <w:proofErr w:type="spellEnd"/>
      <w:r w:rsidRPr="002D298E">
        <w:rPr>
          <w:rFonts w:ascii="Arial" w:hAnsi="Arial" w:cs="Arial"/>
          <w:i/>
          <w:iCs/>
          <w:color w:val="000000" w:themeColor="text1"/>
        </w:rPr>
        <w:t xml:space="preserve"> open.</w:t>
      </w:r>
      <w:r w:rsidRPr="002D298E">
        <w:rPr>
          <w:rFonts w:ascii="Arial" w:hAnsi="Arial" w:cs="Arial"/>
          <w:color w:val="000000" w:themeColor="text1"/>
        </w:rPr>
        <w:t xml:space="preserve">, 10(S1), pp. S223–S223. Available at: </w:t>
      </w:r>
      <w:hyperlink r:id="rId25" w:history="1">
        <w:r w:rsidRPr="002D298E">
          <w:rPr>
            <w:rStyle w:val="Hyperlink"/>
            <w:rFonts w:ascii="Arial" w:hAnsi="Arial" w:cs="Arial"/>
            <w:color w:val="000000" w:themeColor="text1"/>
          </w:rPr>
          <w:t>https://doi.org/10.1192/bjo.2024.548</w:t>
        </w:r>
      </w:hyperlink>
      <w:r w:rsidRPr="002D298E">
        <w:rPr>
          <w:rFonts w:ascii="Arial" w:hAnsi="Arial" w:cs="Arial"/>
          <w:color w:val="000000" w:themeColor="text1"/>
        </w:rPr>
        <w:t>. (Accessed: 02 July 2026).</w:t>
      </w:r>
    </w:p>
    <w:p w14:paraId="7ECBCD87" w14:textId="77777777" w:rsidR="00722357" w:rsidRPr="002D298E" w:rsidRDefault="00722357" w:rsidP="004757A6">
      <w:pPr>
        <w:spacing w:after="120" w:line="360" w:lineRule="auto"/>
        <w:ind w:left="360"/>
        <w:jc w:val="both"/>
        <w:rPr>
          <w:rFonts w:ascii="Arial" w:hAnsi="Arial" w:cs="Arial"/>
          <w:color w:val="000000" w:themeColor="text1"/>
        </w:rPr>
      </w:pPr>
      <w:r w:rsidRPr="002D298E">
        <w:rPr>
          <w:rFonts w:ascii="Arial" w:hAnsi="Arial" w:cs="Arial"/>
          <w:color w:val="000000" w:themeColor="text1"/>
        </w:rPr>
        <w:t>British Heart Foundation (2023) “UK factsheet: cardiovascular disease statistics.</w:t>
      </w:r>
      <w:r w:rsidRPr="002D298E">
        <w:rPr>
          <w:rFonts w:ascii="Arial" w:hAnsi="Arial" w:cs="Arial"/>
          <w:i/>
          <w:iCs/>
          <w:color w:val="000000" w:themeColor="text1"/>
        </w:rPr>
        <w:t>” London: British Heart Foundation.</w:t>
      </w:r>
      <w:r w:rsidRPr="002D298E">
        <w:rPr>
          <w:rFonts w:ascii="Arial" w:hAnsi="Arial" w:cs="Arial"/>
          <w:color w:val="000000" w:themeColor="text1"/>
        </w:rPr>
        <w:t xml:space="preserve"> Available at: </w:t>
      </w:r>
      <w:hyperlink r:id="rId26" w:tgtFrame="_new" w:history="1">
        <w:r w:rsidRPr="002D298E">
          <w:rPr>
            <w:rStyle w:val="Hyperlink"/>
            <w:rFonts w:ascii="Arial" w:hAnsi="Arial" w:cs="Arial"/>
            <w:color w:val="000000" w:themeColor="text1"/>
          </w:rPr>
          <w:t>https://www.bhf.org.uk</w:t>
        </w:r>
      </w:hyperlink>
      <w:r w:rsidRPr="002D298E">
        <w:rPr>
          <w:rFonts w:ascii="Arial" w:hAnsi="Arial" w:cs="Arial"/>
          <w:color w:val="000000" w:themeColor="text1"/>
        </w:rPr>
        <w:t xml:space="preserve"> (Accessed: 24 June 2026).</w:t>
      </w:r>
    </w:p>
    <w:p w14:paraId="6B98A58F" w14:textId="77777777" w:rsidR="00722357" w:rsidRPr="002D298E" w:rsidRDefault="00722357" w:rsidP="004757A6">
      <w:pPr>
        <w:spacing w:after="120" w:line="360" w:lineRule="auto"/>
        <w:ind w:left="360"/>
        <w:rPr>
          <w:rFonts w:ascii="Arial" w:hAnsi="Arial" w:cs="Arial"/>
          <w:color w:val="000000" w:themeColor="text1"/>
        </w:rPr>
      </w:pPr>
      <w:r w:rsidRPr="002D298E">
        <w:rPr>
          <w:rFonts w:ascii="Arial" w:hAnsi="Arial" w:cs="Arial"/>
          <w:color w:val="000000" w:themeColor="text1"/>
        </w:rPr>
        <w:t xml:space="preserve">Carers UK (2023) </w:t>
      </w:r>
      <w:r w:rsidRPr="002D298E">
        <w:rPr>
          <w:rFonts w:ascii="Arial" w:hAnsi="Arial" w:cs="Arial"/>
          <w:i/>
          <w:iCs/>
          <w:color w:val="000000" w:themeColor="text1"/>
        </w:rPr>
        <w:t>State of caring 2023: the impact of caring on health</w:t>
      </w:r>
      <w:r w:rsidRPr="002D298E">
        <w:rPr>
          <w:rFonts w:ascii="Arial" w:hAnsi="Arial" w:cs="Arial"/>
          <w:color w:val="000000" w:themeColor="text1"/>
        </w:rPr>
        <w:t>. Available at: https://www.carersuk.org/reports/state-of-caring-2023-the-impact-of-caring-on-health/ (Accessed: 5 July 2026).</w:t>
      </w:r>
    </w:p>
    <w:p w14:paraId="5A143FFB" w14:textId="77777777" w:rsidR="00722357" w:rsidRPr="002D298E" w:rsidRDefault="00722357" w:rsidP="004757A6">
      <w:pPr>
        <w:spacing w:after="120" w:line="360" w:lineRule="auto"/>
        <w:ind w:left="360"/>
        <w:rPr>
          <w:rFonts w:ascii="Arial" w:eastAsia="Times New Roman" w:hAnsi="Arial" w:cs="Arial"/>
          <w:color w:val="000000" w:themeColor="text1"/>
          <w:lang w:eastAsia="en-GB"/>
        </w:rPr>
      </w:pPr>
      <w:r w:rsidRPr="002D298E">
        <w:rPr>
          <w:rFonts w:ascii="Arial" w:eastAsia="Times New Roman" w:hAnsi="Arial" w:cs="Arial"/>
          <w:color w:val="000000" w:themeColor="text1"/>
          <w:lang w:eastAsia="en-GB"/>
        </w:rPr>
        <w:t xml:space="preserve">Chaturvedi, A. </w:t>
      </w:r>
      <w:r w:rsidRPr="002D298E">
        <w:rPr>
          <w:rFonts w:ascii="Arial" w:eastAsia="Times New Roman" w:hAnsi="Arial" w:cs="Arial"/>
          <w:i/>
          <w:iCs/>
          <w:color w:val="000000" w:themeColor="text1"/>
          <w:lang w:eastAsia="en-GB"/>
        </w:rPr>
        <w:t>et al.</w:t>
      </w:r>
      <w:r w:rsidRPr="002D298E">
        <w:rPr>
          <w:rFonts w:ascii="Arial" w:eastAsia="Times New Roman" w:hAnsi="Arial" w:cs="Arial"/>
          <w:color w:val="000000" w:themeColor="text1"/>
          <w:lang w:eastAsia="en-GB"/>
        </w:rPr>
        <w:t xml:space="preserve"> (2024) “Social Determinants of Health and Disparities in Hypertension and Cardiovascular Diseases,” </w:t>
      </w:r>
      <w:r w:rsidRPr="002D298E">
        <w:rPr>
          <w:rFonts w:ascii="Arial" w:eastAsia="Times New Roman" w:hAnsi="Arial" w:cs="Arial"/>
          <w:i/>
          <w:iCs/>
          <w:color w:val="000000" w:themeColor="text1"/>
          <w:lang w:eastAsia="en-GB"/>
        </w:rPr>
        <w:t>Hypertension</w:t>
      </w:r>
      <w:r w:rsidRPr="002D298E">
        <w:rPr>
          <w:rFonts w:ascii="Arial" w:eastAsia="Times New Roman" w:hAnsi="Arial" w:cs="Arial"/>
          <w:color w:val="000000" w:themeColor="text1"/>
          <w:lang w:eastAsia="en-GB"/>
        </w:rPr>
        <w:t xml:space="preserve">, 81(3), pp. 387–399. Available at: </w:t>
      </w:r>
      <w:hyperlink r:id="rId27" w:history="1">
        <w:r w:rsidRPr="002D298E">
          <w:rPr>
            <w:rStyle w:val="Hyperlink"/>
            <w:rFonts w:ascii="Arial" w:eastAsia="Times New Roman" w:hAnsi="Arial" w:cs="Arial"/>
            <w:color w:val="000000" w:themeColor="text1"/>
            <w:lang w:eastAsia="en-GB"/>
          </w:rPr>
          <w:t>https://doi.org/10.1161/HYPERTENSIONAHA.123.21354</w:t>
        </w:r>
      </w:hyperlink>
      <w:r w:rsidRPr="002D298E">
        <w:rPr>
          <w:rFonts w:ascii="Arial" w:eastAsia="Times New Roman" w:hAnsi="Arial" w:cs="Arial"/>
          <w:color w:val="000000" w:themeColor="text1"/>
          <w:lang w:eastAsia="en-GB"/>
        </w:rPr>
        <w:t>. (Accessed: 05 July 2026).</w:t>
      </w:r>
    </w:p>
    <w:p w14:paraId="55E762B7" w14:textId="77777777" w:rsidR="00722357" w:rsidRPr="002D298E" w:rsidRDefault="00722357" w:rsidP="004757A6">
      <w:pPr>
        <w:spacing w:after="120" w:line="360" w:lineRule="auto"/>
        <w:ind w:left="360"/>
        <w:rPr>
          <w:rFonts w:ascii="Arial" w:hAnsi="Arial" w:cs="Arial"/>
          <w:color w:val="000000" w:themeColor="text1"/>
        </w:rPr>
      </w:pPr>
      <w:r w:rsidRPr="002D298E">
        <w:rPr>
          <w:rFonts w:ascii="Arial" w:hAnsi="Arial" w:cs="Arial"/>
          <w:color w:val="000000" w:themeColor="text1"/>
        </w:rPr>
        <w:t xml:space="preserve">Cheater, S. (2019) “The NHS Long-Term Plan,” </w:t>
      </w:r>
      <w:r w:rsidRPr="002D298E">
        <w:rPr>
          <w:rFonts w:ascii="Arial" w:hAnsi="Arial" w:cs="Arial"/>
          <w:i/>
          <w:iCs/>
          <w:color w:val="000000" w:themeColor="text1"/>
        </w:rPr>
        <w:t>International journal of health promotion and education.</w:t>
      </w:r>
      <w:r w:rsidRPr="002D298E">
        <w:rPr>
          <w:rFonts w:ascii="Arial" w:hAnsi="Arial" w:cs="Arial"/>
          <w:color w:val="000000" w:themeColor="text1"/>
        </w:rPr>
        <w:t xml:space="preserve">, 57(3), pp. 174–175. Available at: </w:t>
      </w:r>
      <w:hyperlink r:id="rId28" w:history="1">
        <w:r w:rsidRPr="002D298E">
          <w:rPr>
            <w:rStyle w:val="Hyperlink"/>
            <w:rFonts w:ascii="Arial" w:hAnsi="Arial" w:cs="Arial"/>
            <w:color w:val="000000" w:themeColor="text1"/>
          </w:rPr>
          <w:t>https://doi.org/10.1080/14635240.2019.1595526</w:t>
        </w:r>
      </w:hyperlink>
      <w:r w:rsidRPr="002D298E">
        <w:rPr>
          <w:rFonts w:ascii="Arial" w:hAnsi="Arial" w:cs="Arial"/>
          <w:color w:val="000000" w:themeColor="text1"/>
        </w:rPr>
        <w:t>. Accessed: 02 July 2026.</w:t>
      </w:r>
    </w:p>
    <w:p w14:paraId="28C2DADA" w14:textId="77777777" w:rsidR="00722357" w:rsidRPr="002D298E" w:rsidRDefault="00722357" w:rsidP="004757A6">
      <w:pPr>
        <w:pStyle w:val="pdq2pgselectionanchorcontainer"/>
        <w:spacing w:before="0" w:beforeAutospacing="0" w:after="120" w:afterAutospacing="0" w:line="360" w:lineRule="auto"/>
        <w:ind w:left="360"/>
        <w:rPr>
          <w:rFonts w:ascii="Arial" w:hAnsi="Arial" w:cs="Arial"/>
          <w:color w:val="000000" w:themeColor="text1"/>
          <w:sz w:val="22"/>
          <w:szCs w:val="22"/>
        </w:rPr>
      </w:pPr>
      <w:r w:rsidRPr="002D298E">
        <w:rPr>
          <w:rFonts w:ascii="Arial" w:hAnsi="Arial" w:cs="Arial"/>
          <w:color w:val="000000" w:themeColor="text1"/>
          <w:sz w:val="22"/>
          <w:szCs w:val="22"/>
        </w:rPr>
        <w:t>Department of Health and Social Care (DHSC) (2022) “</w:t>
      </w:r>
      <w:r w:rsidRPr="002D298E">
        <w:rPr>
          <w:rStyle w:val="Emphasis"/>
          <w:rFonts w:ascii="Arial" w:hAnsi="Arial" w:cs="Arial"/>
          <w:i w:val="0"/>
          <w:iCs w:val="0"/>
          <w:color w:val="000000" w:themeColor="text1"/>
          <w:sz w:val="22"/>
          <w:szCs w:val="22"/>
        </w:rPr>
        <w:t>Living well with long-term conditions</w:t>
      </w:r>
      <w:r w:rsidRPr="002D298E">
        <w:rPr>
          <w:rFonts w:ascii="Arial" w:hAnsi="Arial" w:cs="Arial"/>
          <w:i/>
          <w:iCs/>
          <w:color w:val="000000" w:themeColor="text1"/>
          <w:sz w:val="22"/>
          <w:szCs w:val="22"/>
        </w:rPr>
        <w:t>.” London: Department of Health and Social Care.</w:t>
      </w:r>
      <w:r w:rsidRPr="002D298E">
        <w:rPr>
          <w:rFonts w:ascii="Arial" w:hAnsi="Arial" w:cs="Arial"/>
          <w:color w:val="000000" w:themeColor="text1"/>
          <w:sz w:val="22"/>
          <w:szCs w:val="22"/>
        </w:rPr>
        <w:t xml:space="preserve"> Available at: https://www.gov.uk/government/publications/living-well-with-long-term-conditions (Accessed: 5 July 2026).</w:t>
      </w:r>
    </w:p>
    <w:p w14:paraId="5652A4E7" w14:textId="77777777" w:rsidR="00722357" w:rsidRPr="002D298E" w:rsidRDefault="00722357" w:rsidP="004757A6">
      <w:pPr>
        <w:spacing w:after="120" w:line="360" w:lineRule="auto"/>
        <w:ind w:left="360"/>
        <w:rPr>
          <w:rFonts w:ascii="Arial" w:hAnsi="Arial" w:cs="Arial"/>
          <w:color w:val="000000" w:themeColor="text1"/>
        </w:rPr>
      </w:pPr>
      <w:r w:rsidRPr="002D298E">
        <w:rPr>
          <w:rFonts w:ascii="Arial" w:hAnsi="Arial" w:cs="Arial"/>
          <w:color w:val="000000" w:themeColor="text1"/>
        </w:rPr>
        <w:lastRenderedPageBreak/>
        <w:t xml:space="preserve">Elizondo, A. </w:t>
      </w:r>
      <w:r w:rsidRPr="002D298E">
        <w:rPr>
          <w:rFonts w:ascii="Arial" w:hAnsi="Arial" w:cs="Arial"/>
          <w:i/>
          <w:iCs/>
          <w:color w:val="000000" w:themeColor="text1"/>
        </w:rPr>
        <w:t>et al.</w:t>
      </w:r>
      <w:r w:rsidRPr="002D298E">
        <w:rPr>
          <w:rFonts w:ascii="Arial" w:hAnsi="Arial" w:cs="Arial"/>
          <w:color w:val="000000" w:themeColor="text1"/>
        </w:rPr>
        <w:t xml:space="preserve"> (2025) “Implementing integrated care infrastructure: A longitudinal study on the interplay of policies, interorganizational arrangements and interoperability in NHS England,” </w:t>
      </w:r>
      <w:r w:rsidRPr="002D298E">
        <w:rPr>
          <w:rFonts w:ascii="Arial" w:hAnsi="Arial" w:cs="Arial"/>
          <w:i/>
          <w:iCs/>
          <w:color w:val="000000" w:themeColor="text1"/>
        </w:rPr>
        <w:t>Health policy.</w:t>
      </w:r>
      <w:r w:rsidRPr="002D298E">
        <w:rPr>
          <w:rFonts w:ascii="Arial" w:hAnsi="Arial" w:cs="Arial"/>
          <w:color w:val="000000" w:themeColor="text1"/>
        </w:rPr>
        <w:t xml:space="preserve">, 160. Available at: </w:t>
      </w:r>
      <w:hyperlink r:id="rId29" w:history="1">
        <w:r w:rsidRPr="002D298E">
          <w:rPr>
            <w:rStyle w:val="Hyperlink"/>
            <w:rFonts w:ascii="Arial" w:hAnsi="Arial" w:cs="Arial"/>
            <w:color w:val="000000" w:themeColor="text1"/>
          </w:rPr>
          <w:t>https://doi.org/10.1016/j.healthpol.2024.105237</w:t>
        </w:r>
      </w:hyperlink>
      <w:r w:rsidRPr="002D298E">
        <w:rPr>
          <w:rFonts w:ascii="Arial" w:hAnsi="Arial" w:cs="Arial"/>
          <w:color w:val="000000" w:themeColor="text1"/>
        </w:rPr>
        <w:t>. (Accessed: 02 July 2026).</w:t>
      </w:r>
    </w:p>
    <w:p w14:paraId="3B8D053D" w14:textId="77777777" w:rsidR="00722357" w:rsidRPr="002D298E" w:rsidRDefault="00722357" w:rsidP="004757A6">
      <w:pPr>
        <w:spacing w:after="120" w:line="360" w:lineRule="auto"/>
        <w:ind w:left="360"/>
        <w:rPr>
          <w:rFonts w:ascii="Arial" w:eastAsia="Times New Roman" w:hAnsi="Arial" w:cs="Arial"/>
          <w:color w:val="000000" w:themeColor="text1"/>
          <w:lang w:eastAsia="en-GB"/>
        </w:rPr>
      </w:pPr>
      <w:r w:rsidRPr="002D298E">
        <w:rPr>
          <w:rFonts w:ascii="Arial" w:eastAsia="Times New Roman" w:hAnsi="Arial" w:cs="Arial"/>
          <w:color w:val="000000" w:themeColor="text1"/>
          <w:lang w:eastAsia="en-GB"/>
        </w:rPr>
        <w:t xml:space="preserve">Fukutomi, M. and Kario, K. (2010) “Aging and hypertension,” </w:t>
      </w:r>
      <w:r w:rsidRPr="002D298E">
        <w:rPr>
          <w:rFonts w:ascii="Arial" w:eastAsia="Times New Roman" w:hAnsi="Arial" w:cs="Arial"/>
          <w:i/>
          <w:iCs/>
          <w:color w:val="000000" w:themeColor="text1"/>
          <w:lang w:eastAsia="en-GB"/>
        </w:rPr>
        <w:t>Expert review of cardiovascular therapy.</w:t>
      </w:r>
      <w:r w:rsidRPr="002D298E">
        <w:rPr>
          <w:rFonts w:ascii="Arial" w:eastAsia="Times New Roman" w:hAnsi="Arial" w:cs="Arial"/>
          <w:color w:val="000000" w:themeColor="text1"/>
          <w:lang w:eastAsia="en-GB"/>
        </w:rPr>
        <w:t xml:space="preserve">, 8(11), pp. 1531–1539. Available at: </w:t>
      </w:r>
      <w:hyperlink r:id="rId30" w:history="1">
        <w:r w:rsidRPr="002D298E">
          <w:rPr>
            <w:rStyle w:val="Hyperlink"/>
            <w:rFonts w:ascii="Arial" w:eastAsia="Times New Roman" w:hAnsi="Arial" w:cs="Arial"/>
            <w:color w:val="000000" w:themeColor="text1"/>
            <w:lang w:eastAsia="en-GB"/>
          </w:rPr>
          <w:t>https://doi.org/10.1586/erc.10.78</w:t>
        </w:r>
      </w:hyperlink>
      <w:r w:rsidRPr="002D298E">
        <w:rPr>
          <w:rFonts w:ascii="Arial" w:eastAsia="Times New Roman" w:hAnsi="Arial" w:cs="Arial"/>
          <w:color w:val="000000" w:themeColor="text1"/>
          <w:lang w:eastAsia="en-GB"/>
        </w:rPr>
        <w:t>. (Accessed: 05 July 2026).</w:t>
      </w:r>
    </w:p>
    <w:p w14:paraId="2C0ECE67" w14:textId="77777777" w:rsidR="00722357" w:rsidRPr="002D298E" w:rsidRDefault="00722357" w:rsidP="004757A6">
      <w:pPr>
        <w:spacing w:after="120" w:line="360" w:lineRule="auto"/>
        <w:ind w:left="360"/>
        <w:rPr>
          <w:rFonts w:ascii="Arial" w:hAnsi="Arial" w:cs="Arial"/>
          <w:color w:val="000000" w:themeColor="text1"/>
        </w:rPr>
      </w:pPr>
      <w:r w:rsidRPr="002D298E">
        <w:rPr>
          <w:rFonts w:ascii="Arial" w:hAnsi="Arial" w:cs="Arial"/>
          <w:color w:val="000000" w:themeColor="text1"/>
        </w:rPr>
        <w:t xml:space="preserve">Graham, C., Petersen, J., Mindell, J.S. and colleagues (2025) “Trends in hypertension prevalence, control, and antihypertensive use in England from 2003 to 2021: insights from annual, nationwide Health Surveys for England”, </w:t>
      </w:r>
      <w:r w:rsidRPr="002D298E">
        <w:rPr>
          <w:rFonts w:ascii="Arial" w:hAnsi="Arial" w:cs="Arial"/>
          <w:i/>
          <w:iCs/>
          <w:color w:val="000000" w:themeColor="text1"/>
        </w:rPr>
        <w:t>BMJ Medicine</w:t>
      </w:r>
      <w:r w:rsidRPr="002D298E">
        <w:rPr>
          <w:rFonts w:ascii="Arial" w:hAnsi="Arial" w:cs="Arial"/>
          <w:color w:val="000000" w:themeColor="text1"/>
        </w:rPr>
        <w:t xml:space="preserve">, 4(1), e001556. Available: </w:t>
      </w:r>
      <w:hyperlink r:id="rId31" w:history="1">
        <w:r w:rsidRPr="002D298E">
          <w:rPr>
            <w:rStyle w:val="Hyperlink"/>
            <w:rFonts w:ascii="Arial" w:hAnsi="Arial" w:cs="Arial"/>
            <w:color w:val="000000" w:themeColor="text1"/>
          </w:rPr>
          <w:t>Physical disability and risk of incident hypertension: a prospective cohort analysis | Journal of Human Hypertension</w:t>
        </w:r>
      </w:hyperlink>
      <w:r w:rsidRPr="002D298E">
        <w:rPr>
          <w:rFonts w:ascii="Arial" w:hAnsi="Arial" w:cs="Arial"/>
          <w:color w:val="000000" w:themeColor="text1"/>
        </w:rPr>
        <w:t>. Accessed: 01 July 2026.</w:t>
      </w:r>
    </w:p>
    <w:p w14:paraId="4F1105B5" w14:textId="77777777" w:rsidR="00722357" w:rsidRPr="002D298E" w:rsidRDefault="00722357" w:rsidP="004757A6">
      <w:pPr>
        <w:spacing w:after="120" w:line="360" w:lineRule="auto"/>
        <w:ind w:left="360"/>
        <w:rPr>
          <w:rFonts w:ascii="Arial" w:hAnsi="Arial" w:cs="Arial"/>
          <w:color w:val="000000" w:themeColor="text1"/>
        </w:rPr>
      </w:pPr>
      <w:r w:rsidRPr="002D298E">
        <w:rPr>
          <w:rFonts w:ascii="Arial" w:hAnsi="Arial" w:cs="Arial"/>
          <w:color w:val="000000" w:themeColor="text1"/>
        </w:rPr>
        <w:t xml:space="preserve">Hayes, P., Ferrara, A., Keating, A., McKnight, K. and O’Regan, A. (2022). “Physical Activity and Hypertension.” </w:t>
      </w:r>
      <w:r w:rsidRPr="002D298E">
        <w:rPr>
          <w:rFonts w:ascii="Arial" w:hAnsi="Arial" w:cs="Arial"/>
          <w:i/>
          <w:iCs/>
          <w:color w:val="000000" w:themeColor="text1"/>
        </w:rPr>
        <w:t>Reviews in Cardiovascular Medicine</w:t>
      </w:r>
      <w:r w:rsidRPr="002D298E">
        <w:rPr>
          <w:rFonts w:ascii="Arial" w:hAnsi="Arial" w:cs="Arial"/>
          <w:color w:val="000000" w:themeColor="text1"/>
        </w:rPr>
        <w:t xml:space="preserve">. Available at: </w:t>
      </w:r>
      <w:hyperlink r:id="rId32" w:history="1">
        <w:r w:rsidRPr="002D298E">
          <w:rPr>
            <w:rStyle w:val="Hyperlink"/>
            <w:rFonts w:ascii="Arial" w:hAnsi="Arial" w:cs="Arial"/>
            <w:color w:val="000000" w:themeColor="text1"/>
          </w:rPr>
          <w:t>https://doi.org/10.31083/j.rcm2309302</w:t>
        </w:r>
      </w:hyperlink>
      <w:r w:rsidRPr="002D298E">
        <w:rPr>
          <w:rFonts w:ascii="Arial" w:hAnsi="Arial" w:cs="Arial"/>
          <w:color w:val="000000" w:themeColor="text1"/>
        </w:rPr>
        <w:t>. Accessed: 01 July 2026.</w:t>
      </w:r>
    </w:p>
    <w:p w14:paraId="5B14C4BF" w14:textId="77777777" w:rsidR="00722357" w:rsidRPr="002D298E" w:rsidRDefault="00722357" w:rsidP="004757A6">
      <w:pPr>
        <w:spacing w:after="120" w:line="360" w:lineRule="auto"/>
        <w:ind w:left="360"/>
        <w:rPr>
          <w:rFonts w:ascii="Arial" w:hAnsi="Arial" w:cs="Arial"/>
          <w:color w:val="000000" w:themeColor="text1"/>
        </w:rPr>
      </w:pPr>
      <w:r w:rsidRPr="002D298E">
        <w:rPr>
          <w:rFonts w:ascii="Arial" w:eastAsia="Calibri" w:hAnsi="Arial" w:cs="Arial"/>
          <w:color w:val="000000" w:themeColor="text1"/>
        </w:rPr>
        <w:t xml:space="preserve">Hypertension (2017) “American College of Cardiology/American Heart Association (ACC/AHA) Guideline,” </w:t>
      </w:r>
      <w:r w:rsidRPr="002D298E">
        <w:rPr>
          <w:rFonts w:ascii="Arial" w:eastAsia="Calibri" w:hAnsi="Arial" w:cs="Arial"/>
          <w:i/>
          <w:iCs/>
          <w:color w:val="000000" w:themeColor="text1"/>
        </w:rPr>
        <w:t>Journal of the American Heart Association</w:t>
      </w:r>
      <w:r w:rsidRPr="002D298E">
        <w:rPr>
          <w:rFonts w:ascii="Arial" w:eastAsia="Calibri" w:hAnsi="Arial" w:cs="Arial"/>
          <w:color w:val="000000" w:themeColor="text1"/>
        </w:rPr>
        <w:t xml:space="preserve">, 7(11). Available at: </w:t>
      </w:r>
      <w:hyperlink r:id="rId33" w:history="1">
        <w:r w:rsidRPr="002D298E">
          <w:rPr>
            <w:rStyle w:val="Hyperlink"/>
            <w:rFonts w:ascii="Arial" w:eastAsia="Calibri" w:hAnsi="Arial" w:cs="Arial"/>
            <w:color w:val="000000" w:themeColor="text1"/>
          </w:rPr>
          <w:t>https://doi.org/10.1161/JAHA.118.008888.30.</w:t>
        </w:r>
      </w:hyperlink>
      <w:r w:rsidRPr="002D298E">
        <w:rPr>
          <w:rFonts w:ascii="Arial" w:eastAsia="Calibri" w:hAnsi="Arial" w:cs="Arial"/>
          <w:color w:val="000000" w:themeColor="text1"/>
        </w:rPr>
        <w:t xml:space="preserve"> (Accessed: June 2026).</w:t>
      </w:r>
    </w:p>
    <w:p w14:paraId="46CCC4FA" w14:textId="77777777" w:rsidR="00722357" w:rsidRPr="002D298E" w:rsidRDefault="00722357" w:rsidP="004757A6">
      <w:pPr>
        <w:spacing w:after="120" w:line="360" w:lineRule="auto"/>
        <w:ind w:left="360"/>
        <w:rPr>
          <w:rFonts w:ascii="Arial" w:hAnsi="Arial" w:cs="Arial"/>
          <w:color w:val="000000" w:themeColor="text1"/>
        </w:rPr>
      </w:pPr>
      <w:r w:rsidRPr="002D298E">
        <w:rPr>
          <w:rFonts w:ascii="Arial" w:hAnsi="Arial" w:cs="Arial"/>
          <w:color w:val="000000" w:themeColor="text1"/>
        </w:rPr>
        <w:t xml:space="preserve">Johansson, B.B. (2019). “Hypertension mechanisms causing stroke.” </w:t>
      </w:r>
      <w:r w:rsidRPr="002D298E">
        <w:rPr>
          <w:rFonts w:ascii="Arial" w:hAnsi="Arial" w:cs="Arial"/>
          <w:i/>
          <w:iCs/>
          <w:color w:val="000000" w:themeColor="text1"/>
        </w:rPr>
        <w:t>Clinical and Experimental Pharmacology &amp; Physiology</w:t>
      </w:r>
      <w:r w:rsidRPr="002D298E">
        <w:rPr>
          <w:rFonts w:ascii="Arial" w:hAnsi="Arial" w:cs="Arial"/>
          <w:color w:val="000000" w:themeColor="text1"/>
        </w:rPr>
        <w:t xml:space="preserve">, pp.563–565. Available at: </w:t>
      </w:r>
      <w:hyperlink r:id="rId34" w:history="1">
        <w:r w:rsidRPr="002D298E">
          <w:rPr>
            <w:rStyle w:val="Hyperlink"/>
            <w:rFonts w:ascii="Arial" w:hAnsi="Arial" w:cs="Arial"/>
            <w:color w:val="000000" w:themeColor="text1"/>
          </w:rPr>
          <w:t>https://doi.org/10.1046/j.1440-1681.1999.03081.x</w:t>
        </w:r>
      </w:hyperlink>
      <w:r w:rsidRPr="002D298E">
        <w:rPr>
          <w:rFonts w:ascii="Arial" w:hAnsi="Arial" w:cs="Arial"/>
          <w:color w:val="000000" w:themeColor="text1"/>
        </w:rPr>
        <w:t>. Accessed: 01 July 2026.</w:t>
      </w:r>
    </w:p>
    <w:p w14:paraId="38AD92BF" w14:textId="77777777" w:rsidR="00722357" w:rsidRPr="002D298E" w:rsidRDefault="00722357" w:rsidP="004757A6">
      <w:pPr>
        <w:pStyle w:val="pdq2pgselectionanchorcontainer"/>
        <w:spacing w:before="0" w:beforeAutospacing="0" w:after="120" w:afterAutospacing="0" w:line="360" w:lineRule="auto"/>
        <w:ind w:left="360"/>
        <w:rPr>
          <w:rFonts w:ascii="Arial" w:hAnsi="Arial" w:cs="Arial"/>
          <w:color w:val="000000" w:themeColor="text1"/>
          <w:sz w:val="22"/>
          <w:szCs w:val="22"/>
        </w:rPr>
      </w:pPr>
      <w:r w:rsidRPr="002D298E">
        <w:rPr>
          <w:rFonts w:ascii="Arial" w:hAnsi="Arial" w:cs="Arial"/>
          <w:color w:val="000000" w:themeColor="text1"/>
          <w:sz w:val="22"/>
          <w:szCs w:val="22"/>
        </w:rPr>
        <w:t xml:space="preserve">Johnson, H.M. (2019) “Anxiety and hypertension: Is there a link? A literature review of the comorbidity relationship between anxiety and hypertension”, </w:t>
      </w:r>
      <w:r w:rsidRPr="002D298E">
        <w:rPr>
          <w:rFonts w:ascii="Arial" w:hAnsi="Arial" w:cs="Arial"/>
          <w:i/>
          <w:iCs/>
          <w:color w:val="000000" w:themeColor="text1"/>
          <w:sz w:val="22"/>
          <w:szCs w:val="22"/>
        </w:rPr>
        <w:t>Current Hypertension Reports</w:t>
      </w:r>
      <w:r w:rsidRPr="002D298E">
        <w:rPr>
          <w:rFonts w:ascii="Arial" w:hAnsi="Arial" w:cs="Arial"/>
          <w:color w:val="000000" w:themeColor="text1"/>
          <w:sz w:val="22"/>
          <w:szCs w:val="22"/>
        </w:rPr>
        <w:t xml:space="preserve">, 21(9), p. 66. Available at: </w:t>
      </w:r>
      <w:hyperlink r:id="rId35" w:history="1">
        <w:r w:rsidRPr="002D298E">
          <w:rPr>
            <w:rStyle w:val="Hyperlink"/>
            <w:rFonts w:ascii="Arial" w:hAnsi="Arial" w:cs="Arial"/>
            <w:color w:val="000000" w:themeColor="text1"/>
            <w:sz w:val="22"/>
            <w:szCs w:val="22"/>
          </w:rPr>
          <w:t>https://doi.org/10.1007/s11906-019-0972-5</w:t>
        </w:r>
      </w:hyperlink>
      <w:r w:rsidRPr="002D298E">
        <w:rPr>
          <w:rFonts w:ascii="Arial" w:hAnsi="Arial" w:cs="Arial"/>
          <w:color w:val="000000" w:themeColor="text1"/>
          <w:sz w:val="22"/>
          <w:szCs w:val="22"/>
        </w:rPr>
        <w:t>. Accessed: 09 July 2026.</w:t>
      </w:r>
    </w:p>
    <w:p w14:paraId="75E380C0" w14:textId="77777777" w:rsidR="00722357" w:rsidRPr="002D298E" w:rsidRDefault="00722357" w:rsidP="004757A6">
      <w:pPr>
        <w:spacing w:after="120" w:line="360" w:lineRule="auto"/>
        <w:ind w:left="360"/>
        <w:jc w:val="both"/>
        <w:rPr>
          <w:rFonts w:ascii="Arial" w:hAnsi="Arial" w:cs="Arial"/>
          <w:color w:val="000000" w:themeColor="text1"/>
        </w:rPr>
      </w:pPr>
      <w:r w:rsidRPr="002D298E">
        <w:rPr>
          <w:rFonts w:ascii="Arial" w:hAnsi="Arial" w:cs="Arial"/>
          <w:color w:val="000000" w:themeColor="text1"/>
        </w:rPr>
        <w:t xml:space="preserve">Kidney Research UK (2023) “High blood pressure and kidney disease.” </w:t>
      </w:r>
      <w:r w:rsidRPr="002D298E">
        <w:rPr>
          <w:rFonts w:ascii="Arial" w:hAnsi="Arial" w:cs="Arial"/>
          <w:i/>
          <w:iCs/>
          <w:color w:val="000000" w:themeColor="text1"/>
        </w:rPr>
        <w:t>Peterborough:</w:t>
      </w:r>
      <w:r w:rsidRPr="002D298E">
        <w:rPr>
          <w:rFonts w:ascii="Arial" w:hAnsi="Arial" w:cs="Arial"/>
          <w:color w:val="000000" w:themeColor="text1"/>
        </w:rPr>
        <w:t xml:space="preserve"> </w:t>
      </w:r>
      <w:r w:rsidRPr="002D298E">
        <w:rPr>
          <w:rFonts w:ascii="Arial" w:hAnsi="Arial" w:cs="Arial"/>
          <w:i/>
          <w:iCs/>
          <w:color w:val="000000" w:themeColor="text1"/>
        </w:rPr>
        <w:t>Kidney Research UK</w:t>
      </w:r>
      <w:r w:rsidRPr="002D298E">
        <w:rPr>
          <w:rFonts w:ascii="Arial" w:hAnsi="Arial" w:cs="Arial"/>
          <w:color w:val="000000" w:themeColor="text1"/>
        </w:rPr>
        <w:t xml:space="preserve">. Available at: </w:t>
      </w:r>
      <w:hyperlink r:id="rId36" w:tgtFrame="_new" w:history="1">
        <w:r w:rsidRPr="002D298E">
          <w:rPr>
            <w:rStyle w:val="Hyperlink"/>
            <w:rFonts w:ascii="Arial" w:hAnsi="Arial" w:cs="Arial"/>
            <w:color w:val="000000" w:themeColor="text1"/>
          </w:rPr>
          <w:t>https://www.kidneyresearchuk.org</w:t>
        </w:r>
      </w:hyperlink>
      <w:r w:rsidRPr="002D298E">
        <w:rPr>
          <w:rFonts w:ascii="Arial" w:hAnsi="Arial" w:cs="Arial"/>
          <w:color w:val="000000" w:themeColor="text1"/>
        </w:rPr>
        <w:t xml:space="preserve"> (Accessed: 24 June 2026).</w:t>
      </w:r>
    </w:p>
    <w:p w14:paraId="33CF3E03" w14:textId="77777777" w:rsidR="00722357" w:rsidRPr="002D298E" w:rsidRDefault="00722357" w:rsidP="004757A6">
      <w:pPr>
        <w:spacing w:after="120" w:line="360" w:lineRule="auto"/>
        <w:ind w:left="360"/>
        <w:rPr>
          <w:rFonts w:ascii="Arial" w:hAnsi="Arial" w:cs="Arial"/>
          <w:color w:val="000000" w:themeColor="text1"/>
        </w:rPr>
      </w:pPr>
      <w:r w:rsidRPr="002D298E">
        <w:rPr>
          <w:rFonts w:ascii="Arial" w:hAnsi="Arial" w:cs="Arial"/>
          <w:color w:val="000000" w:themeColor="text1"/>
        </w:rPr>
        <w:t xml:space="preserve">Kotsis, V., </w:t>
      </w:r>
      <w:proofErr w:type="spellStart"/>
      <w:r w:rsidRPr="002D298E">
        <w:rPr>
          <w:rFonts w:ascii="Arial" w:hAnsi="Arial" w:cs="Arial"/>
          <w:color w:val="000000" w:themeColor="text1"/>
        </w:rPr>
        <w:t>Stabouli</w:t>
      </w:r>
      <w:proofErr w:type="spellEnd"/>
      <w:r w:rsidRPr="002D298E">
        <w:rPr>
          <w:rFonts w:ascii="Arial" w:hAnsi="Arial" w:cs="Arial"/>
          <w:color w:val="000000" w:themeColor="text1"/>
        </w:rPr>
        <w:t xml:space="preserve">, S., </w:t>
      </w:r>
      <w:proofErr w:type="spellStart"/>
      <w:r w:rsidRPr="002D298E">
        <w:rPr>
          <w:rFonts w:ascii="Arial" w:hAnsi="Arial" w:cs="Arial"/>
          <w:color w:val="000000" w:themeColor="text1"/>
        </w:rPr>
        <w:t>Papakatsika</w:t>
      </w:r>
      <w:proofErr w:type="spellEnd"/>
      <w:r w:rsidRPr="002D298E">
        <w:rPr>
          <w:rFonts w:ascii="Arial" w:hAnsi="Arial" w:cs="Arial"/>
          <w:color w:val="000000" w:themeColor="text1"/>
        </w:rPr>
        <w:t xml:space="preserve">, S., Rizos, Z. and </w:t>
      </w:r>
      <w:proofErr w:type="spellStart"/>
      <w:r w:rsidRPr="002D298E">
        <w:rPr>
          <w:rFonts w:ascii="Arial" w:hAnsi="Arial" w:cs="Arial"/>
          <w:color w:val="000000" w:themeColor="text1"/>
        </w:rPr>
        <w:t>Parati</w:t>
      </w:r>
      <w:proofErr w:type="spellEnd"/>
      <w:r w:rsidRPr="002D298E">
        <w:rPr>
          <w:rFonts w:ascii="Arial" w:hAnsi="Arial" w:cs="Arial"/>
          <w:color w:val="000000" w:themeColor="text1"/>
        </w:rPr>
        <w:t xml:space="preserve">, G. (2010) “Mechanisms of obesity-induced hypertension.” </w:t>
      </w:r>
      <w:r w:rsidRPr="002D298E">
        <w:rPr>
          <w:rFonts w:ascii="Arial" w:hAnsi="Arial" w:cs="Arial"/>
          <w:i/>
          <w:iCs/>
          <w:color w:val="000000" w:themeColor="text1"/>
        </w:rPr>
        <w:t>Hypertension Research</w:t>
      </w:r>
      <w:r w:rsidRPr="002D298E">
        <w:rPr>
          <w:rFonts w:ascii="Arial" w:hAnsi="Arial" w:cs="Arial"/>
          <w:color w:val="000000" w:themeColor="text1"/>
        </w:rPr>
        <w:t xml:space="preserve">, pp.386–393. Available at: </w:t>
      </w:r>
      <w:hyperlink r:id="rId37" w:history="1">
        <w:r w:rsidRPr="002D298E">
          <w:rPr>
            <w:rStyle w:val="Hyperlink"/>
            <w:rFonts w:ascii="Arial" w:hAnsi="Arial" w:cs="Arial"/>
            <w:color w:val="000000" w:themeColor="text1"/>
          </w:rPr>
          <w:t>https://doi.org/10.1038/hr.2010.9</w:t>
        </w:r>
      </w:hyperlink>
      <w:r w:rsidRPr="002D298E">
        <w:rPr>
          <w:rFonts w:ascii="Arial" w:hAnsi="Arial" w:cs="Arial"/>
          <w:color w:val="000000" w:themeColor="text1"/>
        </w:rPr>
        <w:t>. (Accessed: 01 July 2026).</w:t>
      </w:r>
    </w:p>
    <w:p w14:paraId="308AC119" w14:textId="77777777" w:rsidR="00722357" w:rsidRPr="00086E5E" w:rsidRDefault="00722357" w:rsidP="004757A6">
      <w:pPr>
        <w:spacing w:after="120" w:line="360" w:lineRule="auto"/>
        <w:ind w:left="360"/>
        <w:jc w:val="both"/>
        <w:rPr>
          <w:rFonts w:ascii="Arial" w:hAnsi="Arial" w:cs="Arial"/>
          <w:color w:val="000000" w:themeColor="text1"/>
        </w:rPr>
      </w:pPr>
      <w:r w:rsidRPr="002D298E">
        <w:rPr>
          <w:rFonts w:ascii="Arial" w:hAnsi="Arial" w:cs="Arial"/>
          <w:color w:val="000000" w:themeColor="text1"/>
        </w:rPr>
        <w:lastRenderedPageBreak/>
        <w:t xml:space="preserve">Kulkarni, </w:t>
      </w:r>
      <w:r w:rsidRPr="0035463E">
        <w:rPr>
          <w:rFonts w:ascii="Arial" w:hAnsi="Arial" w:cs="Arial"/>
          <w:color w:val="000000" w:themeColor="text1"/>
        </w:rPr>
        <w:t>S. et al.</w:t>
      </w:r>
      <w:r w:rsidRPr="002D298E">
        <w:rPr>
          <w:rFonts w:ascii="Arial" w:hAnsi="Arial" w:cs="Arial"/>
          <w:color w:val="000000" w:themeColor="text1"/>
        </w:rPr>
        <w:t xml:space="preserve"> (2023) “Management of hypertensive crisis: British and Irish Hypertension Society Position document”, </w:t>
      </w:r>
      <w:r w:rsidRPr="002D298E">
        <w:rPr>
          <w:rFonts w:ascii="Arial" w:hAnsi="Arial" w:cs="Arial"/>
          <w:i/>
          <w:iCs/>
          <w:color w:val="000000" w:themeColor="text1"/>
        </w:rPr>
        <w:t>Journal of human hypertension</w:t>
      </w:r>
      <w:r w:rsidRPr="002D298E">
        <w:rPr>
          <w:rFonts w:ascii="Arial" w:hAnsi="Arial" w:cs="Arial"/>
          <w:color w:val="000000" w:themeColor="text1"/>
        </w:rPr>
        <w:t xml:space="preserve">, 37(10), pp. 863–879. Available at: </w:t>
      </w:r>
      <w:hyperlink r:id="rId38" w:history="1">
        <w:r w:rsidRPr="002D298E">
          <w:rPr>
            <w:rStyle w:val="Hyperlink"/>
            <w:rFonts w:ascii="Arial" w:hAnsi="Arial" w:cs="Arial"/>
            <w:color w:val="000000" w:themeColor="text1"/>
          </w:rPr>
          <w:t>https://doi.org/10.1038/s41371-022-00776-9</w:t>
        </w:r>
      </w:hyperlink>
      <w:r w:rsidRPr="002D298E">
        <w:rPr>
          <w:rFonts w:ascii="Arial" w:hAnsi="Arial" w:cs="Arial"/>
          <w:color w:val="000000" w:themeColor="text1"/>
        </w:rPr>
        <w:t>. Accessed: 26 June 2026</w:t>
      </w:r>
      <w:r w:rsidRPr="00086E5E">
        <w:rPr>
          <w:rFonts w:ascii="Arial" w:hAnsi="Arial" w:cs="Arial"/>
          <w:color w:val="000000" w:themeColor="text1"/>
        </w:rPr>
        <w:t>.</w:t>
      </w:r>
    </w:p>
    <w:p w14:paraId="561EA4E9" w14:textId="77777777" w:rsidR="00722357" w:rsidRPr="002D298E" w:rsidRDefault="00722357" w:rsidP="004757A6">
      <w:pPr>
        <w:spacing w:after="120" w:line="360" w:lineRule="auto"/>
        <w:ind w:left="360"/>
        <w:rPr>
          <w:rFonts w:ascii="Arial" w:eastAsia="Times New Roman" w:hAnsi="Arial" w:cs="Arial"/>
          <w:color w:val="000000" w:themeColor="text1"/>
          <w:lang w:eastAsia="en-GB"/>
        </w:rPr>
      </w:pPr>
      <w:r w:rsidRPr="00086E5E">
        <w:rPr>
          <w:rFonts w:ascii="Arial" w:eastAsia="Times New Roman" w:hAnsi="Arial" w:cs="Arial"/>
          <w:color w:val="000000" w:themeColor="text1"/>
          <w:lang w:eastAsia="en-GB"/>
        </w:rPr>
        <w:t>Lay-Flurrie, S.L. et al.</w:t>
      </w:r>
      <w:r w:rsidRPr="002D298E">
        <w:rPr>
          <w:rFonts w:ascii="Arial" w:eastAsia="Times New Roman" w:hAnsi="Arial" w:cs="Arial"/>
          <w:color w:val="000000" w:themeColor="text1"/>
          <w:lang w:eastAsia="en-GB"/>
        </w:rPr>
        <w:t xml:space="preserve"> (2020) “Impact of Changes to National Hypertension Guidelines on Hypertension Management and Outcomes in the United Kingdom,” </w:t>
      </w:r>
      <w:r w:rsidRPr="002D298E">
        <w:rPr>
          <w:rFonts w:ascii="Arial" w:eastAsia="Times New Roman" w:hAnsi="Arial" w:cs="Arial"/>
          <w:i/>
          <w:iCs/>
          <w:color w:val="000000" w:themeColor="text1"/>
          <w:lang w:eastAsia="en-GB"/>
        </w:rPr>
        <w:t>Hypertension</w:t>
      </w:r>
      <w:r w:rsidRPr="002D298E">
        <w:rPr>
          <w:rFonts w:ascii="Arial" w:eastAsia="Times New Roman" w:hAnsi="Arial" w:cs="Arial"/>
          <w:color w:val="000000" w:themeColor="text1"/>
          <w:lang w:eastAsia="en-GB"/>
        </w:rPr>
        <w:t xml:space="preserve">, 75(2), pp. 356–364. Available at: </w:t>
      </w:r>
      <w:hyperlink r:id="rId39" w:history="1">
        <w:r w:rsidRPr="002D298E">
          <w:rPr>
            <w:rStyle w:val="Hyperlink"/>
            <w:rFonts w:ascii="Arial" w:eastAsia="Times New Roman" w:hAnsi="Arial" w:cs="Arial"/>
            <w:color w:val="000000" w:themeColor="text1"/>
            <w:lang w:eastAsia="en-GB"/>
          </w:rPr>
          <w:t>https://doi.org/10.1161/HYPERTENSIONAHA.119.13926</w:t>
        </w:r>
      </w:hyperlink>
      <w:r w:rsidRPr="002D298E">
        <w:rPr>
          <w:rFonts w:ascii="Arial" w:eastAsia="Times New Roman" w:hAnsi="Arial" w:cs="Arial"/>
          <w:color w:val="000000" w:themeColor="text1"/>
          <w:lang w:eastAsia="en-GB"/>
        </w:rPr>
        <w:t xml:space="preserve">. </w:t>
      </w:r>
      <w:r w:rsidRPr="002D298E">
        <w:rPr>
          <w:rFonts w:ascii="Arial" w:hAnsi="Arial" w:cs="Arial"/>
          <w:color w:val="000000" w:themeColor="text1"/>
        </w:rPr>
        <w:t>(Accessed: 5 July 2026).</w:t>
      </w:r>
    </w:p>
    <w:p w14:paraId="70A96DC3" w14:textId="77777777" w:rsidR="00722357" w:rsidRPr="002D298E" w:rsidRDefault="00722357" w:rsidP="004757A6">
      <w:pPr>
        <w:spacing w:after="120" w:line="360" w:lineRule="auto"/>
        <w:ind w:left="360"/>
        <w:rPr>
          <w:rFonts w:ascii="Arial" w:eastAsia="Times New Roman" w:hAnsi="Arial" w:cs="Arial"/>
          <w:color w:val="000000" w:themeColor="text1"/>
          <w:lang w:eastAsia="en-GB"/>
        </w:rPr>
      </w:pPr>
      <w:r w:rsidRPr="002D298E">
        <w:rPr>
          <w:rFonts w:ascii="Arial" w:eastAsia="Times New Roman" w:hAnsi="Arial" w:cs="Arial"/>
          <w:color w:val="000000" w:themeColor="text1"/>
          <w:lang w:eastAsia="en-GB"/>
        </w:rPr>
        <w:t xml:space="preserve">Leventhal, H., Phillips, L.A. and Burns, E. (2016) “The common-sense model of self-regulation (CSM): a dynamic framework for understanding illness self-management”, </w:t>
      </w:r>
      <w:r w:rsidRPr="002D298E">
        <w:rPr>
          <w:rFonts w:ascii="Arial" w:eastAsia="Times New Roman" w:hAnsi="Arial" w:cs="Arial"/>
          <w:i/>
          <w:iCs/>
          <w:color w:val="000000" w:themeColor="text1"/>
          <w:lang w:eastAsia="en-GB"/>
        </w:rPr>
        <w:t xml:space="preserve">Journal of </w:t>
      </w:r>
      <w:proofErr w:type="spellStart"/>
      <w:r w:rsidRPr="002D298E">
        <w:rPr>
          <w:rFonts w:ascii="Arial" w:eastAsia="Times New Roman" w:hAnsi="Arial" w:cs="Arial"/>
          <w:i/>
          <w:iCs/>
          <w:color w:val="000000" w:themeColor="text1"/>
          <w:lang w:eastAsia="en-GB"/>
        </w:rPr>
        <w:t>Behavioral</w:t>
      </w:r>
      <w:proofErr w:type="spellEnd"/>
      <w:r w:rsidRPr="002D298E">
        <w:rPr>
          <w:rFonts w:ascii="Arial" w:eastAsia="Times New Roman" w:hAnsi="Arial" w:cs="Arial"/>
          <w:i/>
          <w:iCs/>
          <w:color w:val="000000" w:themeColor="text1"/>
          <w:lang w:eastAsia="en-GB"/>
        </w:rPr>
        <w:t xml:space="preserve"> Medicine</w:t>
      </w:r>
      <w:r w:rsidRPr="002D298E">
        <w:rPr>
          <w:rFonts w:ascii="Arial" w:eastAsia="Times New Roman" w:hAnsi="Arial" w:cs="Arial"/>
          <w:color w:val="000000" w:themeColor="text1"/>
          <w:lang w:eastAsia="en-GB"/>
        </w:rPr>
        <w:t>, 39(6), pp. 935–946. doi:10.1007/s10865-016-9782-2. (Accessed: 24 June 2026).</w:t>
      </w:r>
    </w:p>
    <w:p w14:paraId="2EE4B9FE" w14:textId="77777777" w:rsidR="00722357" w:rsidRPr="002D298E" w:rsidRDefault="00722357" w:rsidP="004757A6">
      <w:pPr>
        <w:spacing w:after="120" w:line="360" w:lineRule="auto"/>
        <w:ind w:left="360"/>
        <w:rPr>
          <w:rFonts w:ascii="Arial" w:hAnsi="Arial" w:cs="Arial"/>
          <w:color w:val="000000" w:themeColor="text1"/>
        </w:rPr>
      </w:pPr>
      <w:r w:rsidRPr="002D298E">
        <w:rPr>
          <w:rFonts w:ascii="Arial" w:hAnsi="Arial" w:cs="Arial"/>
          <w:color w:val="000000" w:themeColor="text1"/>
        </w:rPr>
        <w:t xml:space="preserve">Local Government Association (2014) “The value case for co-ordinated health and social care.” </w:t>
      </w:r>
      <w:r w:rsidRPr="002D298E">
        <w:rPr>
          <w:rFonts w:ascii="Arial" w:hAnsi="Arial" w:cs="Arial"/>
          <w:i/>
          <w:iCs/>
          <w:color w:val="000000" w:themeColor="text1"/>
        </w:rPr>
        <w:t xml:space="preserve">London: Local Government Association. </w:t>
      </w:r>
      <w:r w:rsidRPr="002D298E">
        <w:rPr>
          <w:rFonts w:ascii="Arial" w:hAnsi="Arial" w:cs="Arial"/>
          <w:color w:val="000000" w:themeColor="text1"/>
        </w:rPr>
        <w:t xml:space="preserve">Available at: </w:t>
      </w:r>
      <w:hyperlink r:id="rId40" w:tgtFrame="_new" w:history="1">
        <w:r w:rsidRPr="002D298E">
          <w:rPr>
            <w:rStyle w:val="Hyperlink"/>
            <w:rFonts w:ascii="Arial" w:hAnsi="Arial" w:cs="Arial"/>
            <w:color w:val="000000" w:themeColor="text1"/>
          </w:rPr>
          <w:t>https://www.local.gov.uk/sites/default/files/documents/overarching-value-case-pd-f5e.pdf</w:t>
        </w:r>
      </w:hyperlink>
      <w:r w:rsidRPr="002D298E">
        <w:rPr>
          <w:rFonts w:ascii="Arial" w:hAnsi="Arial" w:cs="Arial"/>
          <w:color w:val="000000" w:themeColor="text1"/>
        </w:rPr>
        <w:t>. Accessed: 01 July 2026.</w:t>
      </w:r>
    </w:p>
    <w:p w14:paraId="17C00B56" w14:textId="77777777" w:rsidR="00722357" w:rsidRPr="002D298E" w:rsidRDefault="00722357" w:rsidP="004757A6">
      <w:pPr>
        <w:pStyle w:val="pdq2pgselectionanchorcontainer"/>
        <w:spacing w:before="0" w:beforeAutospacing="0" w:after="120" w:afterAutospacing="0" w:line="360" w:lineRule="auto"/>
        <w:ind w:left="360"/>
        <w:rPr>
          <w:rFonts w:ascii="Arial" w:hAnsi="Arial" w:cs="Arial"/>
          <w:color w:val="000000" w:themeColor="text1"/>
          <w:sz w:val="22"/>
          <w:szCs w:val="22"/>
        </w:rPr>
      </w:pPr>
      <w:r w:rsidRPr="002D298E">
        <w:rPr>
          <w:rFonts w:ascii="Arial" w:hAnsi="Arial" w:cs="Arial"/>
          <w:color w:val="000000" w:themeColor="text1"/>
          <w:sz w:val="22"/>
          <w:szCs w:val="22"/>
        </w:rPr>
        <w:t xml:space="preserve">LTC Pathways Working Group (2024) “NHS Talking Therapies Integrated Long-term Physical Health Conditions (LTC) Pathways – London Regional Referral Guidance”. </w:t>
      </w:r>
      <w:r w:rsidRPr="002D298E">
        <w:rPr>
          <w:rFonts w:ascii="Arial" w:hAnsi="Arial" w:cs="Arial"/>
          <w:i/>
          <w:iCs/>
          <w:color w:val="000000" w:themeColor="text1"/>
          <w:sz w:val="22"/>
          <w:szCs w:val="22"/>
        </w:rPr>
        <w:t>London: NHS England (London Region)</w:t>
      </w:r>
      <w:r w:rsidRPr="002D298E">
        <w:rPr>
          <w:rFonts w:ascii="Arial" w:hAnsi="Arial" w:cs="Arial"/>
          <w:color w:val="000000" w:themeColor="text1"/>
          <w:sz w:val="22"/>
          <w:szCs w:val="22"/>
        </w:rPr>
        <w:t xml:space="preserve">. Available at: </w:t>
      </w:r>
      <w:hyperlink r:id="rId41" w:tgtFrame="_new" w:history="1">
        <w:r w:rsidRPr="002D298E">
          <w:rPr>
            <w:rStyle w:val="Hyperlink"/>
            <w:rFonts w:ascii="Arial" w:hAnsi="Arial" w:cs="Arial"/>
            <w:color w:val="000000" w:themeColor="text1"/>
            <w:sz w:val="22"/>
            <w:szCs w:val="22"/>
          </w:rPr>
          <w:t>https://primarycare.northeastlondon.icb.nhs.uk/wp-content/uploads/2024/07/London-talking-therapies-LTC-pathways-April-2024.pdf</w:t>
        </w:r>
      </w:hyperlink>
      <w:r w:rsidRPr="002D298E">
        <w:rPr>
          <w:rFonts w:ascii="Arial" w:hAnsi="Arial" w:cs="Arial"/>
          <w:color w:val="000000" w:themeColor="text1"/>
          <w:sz w:val="22"/>
          <w:szCs w:val="22"/>
        </w:rPr>
        <w:t xml:space="preserve"> (Accessed: 9 July 2026).</w:t>
      </w:r>
    </w:p>
    <w:p w14:paraId="3D7F8F59" w14:textId="77777777" w:rsidR="00722357" w:rsidRPr="002D298E" w:rsidRDefault="00722357" w:rsidP="00051A34">
      <w:pPr>
        <w:pStyle w:val="pdq2pgselectionanchorcontainer"/>
        <w:spacing w:after="120" w:line="360" w:lineRule="auto"/>
        <w:ind w:left="360"/>
        <w:rPr>
          <w:rFonts w:ascii="Arial" w:hAnsi="Arial" w:cs="Arial"/>
          <w:color w:val="000000" w:themeColor="text1"/>
          <w:sz w:val="22"/>
          <w:szCs w:val="22"/>
        </w:rPr>
      </w:pPr>
      <w:r w:rsidRPr="002D298E">
        <w:rPr>
          <w:rFonts w:ascii="Arial" w:hAnsi="Arial" w:cs="Arial"/>
          <w:color w:val="000000" w:themeColor="text1"/>
          <w:sz w:val="22"/>
          <w:szCs w:val="22"/>
        </w:rPr>
        <w:t>Manalili, K</w:t>
      </w:r>
      <w:r w:rsidRPr="008C12E0">
        <w:rPr>
          <w:rFonts w:ascii="Arial" w:hAnsi="Arial" w:cs="Arial"/>
          <w:color w:val="000000" w:themeColor="text1"/>
          <w:sz w:val="22"/>
          <w:szCs w:val="22"/>
        </w:rPr>
        <w:t>. et al. (2022)</w:t>
      </w:r>
      <w:r w:rsidRPr="002D298E">
        <w:rPr>
          <w:rFonts w:ascii="Arial" w:hAnsi="Arial" w:cs="Arial"/>
          <w:color w:val="000000" w:themeColor="text1"/>
          <w:sz w:val="22"/>
          <w:szCs w:val="22"/>
        </w:rPr>
        <w:t xml:space="preserve"> “The effectiveness of person</w:t>
      </w:r>
      <w:r w:rsidRPr="002D298E">
        <w:rPr>
          <w:rFonts w:ascii="Cambria Math" w:hAnsi="Cambria Math" w:cs="Cambria Math"/>
          <w:color w:val="000000" w:themeColor="text1"/>
          <w:sz w:val="22"/>
          <w:szCs w:val="22"/>
        </w:rPr>
        <w:t>‐</w:t>
      </w:r>
      <w:r w:rsidRPr="002D298E">
        <w:rPr>
          <w:rFonts w:ascii="Arial" w:hAnsi="Arial" w:cs="Arial"/>
          <w:color w:val="000000" w:themeColor="text1"/>
          <w:sz w:val="22"/>
          <w:szCs w:val="22"/>
        </w:rPr>
        <w:t>centred quality improvement strategies on the management and control of hypertension in primary care: A systematic review and meta</w:t>
      </w:r>
      <w:r w:rsidRPr="002D298E">
        <w:rPr>
          <w:rFonts w:ascii="Cambria Math" w:hAnsi="Cambria Math" w:cs="Cambria Math"/>
          <w:color w:val="000000" w:themeColor="text1"/>
          <w:sz w:val="22"/>
          <w:szCs w:val="22"/>
        </w:rPr>
        <w:t>‐</w:t>
      </w:r>
      <w:r w:rsidRPr="002D298E">
        <w:rPr>
          <w:rFonts w:ascii="Arial" w:hAnsi="Arial" w:cs="Arial"/>
          <w:color w:val="000000" w:themeColor="text1"/>
          <w:sz w:val="22"/>
          <w:szCs w:val="22"/>
        </w:rPr>
        <w:t xml:space="preserve">analysis,” </w:t>
      </w:r>
      <w:r w:rsidRPr="002D298E">
        <w:rPr>
          <w:rFonts w:ascii="Arial" w:hAnsi="Arial" w:cs="Arial"/>
          <w:i/>
          <w:iCs/>
          <w:color w:val="000000" w:themeColor="text1"/>
          <w:sz w:val="22"/>
          <w:szCs w:val="22"/>
        </w:rPr>
        <w:t>Journal of evaluation in clinical practice.</w:t>
      </w:r>
      <w:r w:rsidRPr="002D298E">
        <w:rPr>
          <w:rFonts w:ascii="Arial" w:hAnsi="Arial" w:cs="Arial"/>
          <w:color w:val="000000" w:themeColor="text1"/>
          <w:sz w:val="22"/>
          <w:szCs w:val="22"/>
        </w:rPr>
        <w:t xml:space="preserve">, 28(2), pp. 260–277. Available at: </w:t>
      </w:r>
      <w:hyperlink r:id="rId42" w:history="1">
        <w:r w:rsidRPr="002D298E">
          <w:rPr>
            <w:rStyle w:val="Hyperlink"/>
            <w:rFonts w:ascii="Arial" w:hAnsi="Arial" w:cs="Arial"/>
            <w:color w:val="000000" w:themeColor="text1"/>
            <w:sz w:val="22"/>
            <w:szCs w:val="22"/>
          </w:rPr>
          <w:t>https://doi.org/10.1111/jep.13618</w:t>
        </w:r>
      </w:hyperlink>
      <w:r w:rsidRPr="002D298E">
        <w:rPr>
          <w:rFonts w:ascii="Arial" w:hAnsi="Arial" w:cs="Arial"/>
          <w:color w:val="000000" w:themeColor="text1"/>
          <w:sz w:val="22"/>
          <w:szCs w:val="22"/>
        </w:rPr>
        <w:t>. Accessed: 08 July 2026.</w:t>
      </w:r>
    </w:p>
    <w:p w14:paraId="61AB3082" w14:textId="77777777" w:rsidR="00722357" w:rsidRPr="002D298E" w:rsidRDefault="00722357" w:rsidP="004757A6">
      <w:pPr>
        <w:spacing w:after="120" w:line="360" w:lineRule="auto"/>
        <w:ind w:left="360"/>
        <w:rPr>
          <w:rFonts w:ascii="Arial" w:hAnsi="Arial" w:cs="Arial"/>
          <w:color w:val="000000" w:themeColor="text1"/>
        </w:rPr>
      </w:pPr>
      <w:r w:rsidRPr="002D298E">
        <w:rPr>
          <w:rFonts w:ascii="Arial" w:hAnsi="Arial" w:cs="Arial"/>
          <w:color w:val="000000" w:themeColor="text1"/>
        </w:rPr>
        <w:t xml:space="preserve">Marmot, M. (2020) “Health equity in England: </w:t>
      </w:r>
      <w:proofErr w:type="gramStart"/>
      <w:r w:rsidRPr="002D298E">
        <w:rPr>
          <w:rFonts w:ascii="Arial" w:hAnsi="Arial" w:cs="Arial"/>
          <w:color w:val="000000" w:themeColor="text1"/>
        </w:rPr>
        <w:t>the</w:t>
      </w:r>
      <w:proofErr w:type="gramEnd"/>
      <w:r w:rsidRPr="002D298E">
        <w:rPr>
          <w:rFonts w:ascii="Arial" w:hAnsi="Arial" w:cs="Arial"/>
          <w:color w:val="000000" w:themeColor="text1"/>
        </w:rPr>
        <w:t xml:space="preserve"> Marmot review 10 years on.,” </w:t>
      </w:r>
      <w:proofErr w:type="gramStart"/>
      <w:r w:rsidRPr="002D298E">
        <w:rPr>
          <w:rFonts w:ascii="Arial" w:hAnsi="Arial" w:cs="Arial"/>
          <w:i/>
          <w:iCs/>
          <w:color w:val="000000" w:themeColor="text1"/>
        </w:rPr>
        <w:t>BMJ :</w:t>
      </w:r>
      <w:proofErr w:type="gramEnd"/>
      <w:r w:rsidRPr="002D298E">
        <w:rPr>
          <w:rFonts w:ascii="Arial" w:hAnsi="Arial" w:cs="Arial"/>
          <w:i/>
          <w:iCs/>
          <w:color w:val="000000" w:themeColor="text1"/>
        </w:rPr>
        <w:t xml:space="preserve"> British medical journal.</w:t>
      </w:r>
      <w:r w:rsidRPr="002D298E">
        <w:rPr>
          <w:rFonts w:ascii="Arial" w:hAnsi="Arial" w:cs="Arial"/>
          <w:color w:val="000000" w:themeColor="text1"/>
        </w:rPr>
        <w:t xml:space="preserve">, 368. Available at: </w:t>
      </w:r>
      <w:hyperlink r:id="rId43" w:history="1">
        <w:r w:rsidRPr="002D298E">
          <w:rPr>
            <w:rStyle w:val="Hyperlink"/>
            <w:rFonts w:ascii="Arial" w:hAnsi="Arial" w:cs="Arial"/>
            <w:color w:val="000000" w:themeColor="text1"/>
          </w:rPr>
          <w:t>https://doi.org/10.1136/bmj.m693</w:t>
        </w:r>
      </w:hyperlink>
      <w:r w:rsidRPr="002D298E">
        <w:rPr>
          <w:rFonts w:ascii="Arial" w:hAnsi="Arial" w:cs="Arial"/>
          <w:color w:val="000000" w:themeColor="text1"/>
        </w:rPr>
        <w:t>. (Accessed: 03 July 2026).</w:t>
      </w:r>
    </w:p>
    <w:p w14:paraId="7F70C9A2" w14:textId="77777777" w:rsidR="00722357" w:rsidRPr="002D298E" w:rsidRDefault="00722357" w:rsidP="004757A6">
      <w:pPr>
        <w:spacing w:after="120" w:line="360" w:lineRule="auto"/>
        <w:ind w:left="360"/>
        <w:rPr>
          <w:rFonts w:ascii="Arial" w:hAnsi="Arial" w:cs="Arial"/>
          <w:color w:val="000000" w:themeColor="text1"/>
        </w:rPr>
      </w:pPr>
      <w:r w:rsidRPr="002D298E">
        <w:rPr>
          <w:rFonts w:ascii="Arial" w:hAnsi="Arial" w:cs="Arial"/>
          <w:color w:val="000000" w:themeColor="text1"/>
        </w:rPr>
        <w:t xml:space="preserve">National Institute for Health and Care Excellence (NICE) (2021) “Multimorbidity: clinical assessment and management (NG56).” Available at: </w:t>
      </w:r>
      <w:hyperlink r:id="rId44" w:tgtFrame="_new" w:history="1">
        <w:r w:rsidRPr="002D298E">
          <w:rPr>
            <w:rStyle w:val="Hyperlink"/>
            <w:rFonts w:ascii="Arial" w:hAnsi="Arial" w:cs="Arial"/>
            <w:color w:val="000000" w:themeColor="text1"/>
          </w:rPr>
          <w:t>https://www.nice.org.uk/guidance/ng56</w:t>
        </w:r>
      </w:hyperlink>
      <w:r w:rsidRPr="002D298E">
        <w:rPr>
          <w:rFonts w:ascii="Arial" w:hAnsi="Arial" w:cs="Arial"/>
          <w:color w:val="000000" w:themeColor="text1"/>
        </w:rPr>
        <w:t xml:space="preserve"> (Accessed: 5 July 2026).</w:t>
      </w:r>
    </w:p>
    <w:p w14:paraId="24F446F6" w14:textId="77777777" w:rsidR="00722357" w:rsidRPr="002D298E" w:rsidRDefault="00722357" w:rsidP="004757A6">
      <w:pPr>
        <w:spacing w:after="120" w:line="360" w:lineRule="auto"/>
        <w:ind w:left="360"/>
        <w:rPr>
          <w:rFonts w:ascii="Arial" w:hAnsi="Arial" w:cs="Arial"/>
          <w:color w:val="000000" w:themeColor="text1"/>
        </w:rPr>
      </w:pPr>
      <w:r w:rsidRPr="002D298E">
        <w:rPr>
          <w:rFonts w:ascii="Arial" w:hAnsi="Arial" w:cs="Arial"/>
          <w:color w:val="000000" w:themeColor="text1"/>
        </w:rPr>
        <w:lastRenderedPageBreak/>
        <w:t>National Institute for Health and Care Excellence (NICE) (2021) “</w:t>
      </w:r>
      <w:r w:rsidRPr="002D298E">
        <w:rPr>
          <w:rFonts w:ascii="Arial" w:hAnsi="Arial" w:cs="Arial"/>
          <w:i/>
          <w:iCs/>
          <w:color w:val="000000" w:themeColor="text1"/>
        </w:rPr>
        <w:t xml:space="preserve">Shared decision making (NG197)”, </w:t>
      </w:r>
      <w:r w:rsidRPr="002D298E">
        <w:rPr>
          <w:rFonts w:ascii="Arial" w:hAnsi="Arial" w:cs="Arial"/>
          <w:color w:val="000000" w:themeColor="text1"/>
        </w:rPr>
        <w:t xml:space="preserve">NICE. Available at: </w:t>
      </w:r>
      <w:hyperlink r:id="rId45" w:tgtFrame="_new" w:history="1">
        <w:r w:rsidRPr="002D298E">
          <w:rPr>
            <w:rStyle w:val="Hyperlink"/>
            <w:rFonts w:ascii="Arial" w:hAnsi="Arial" w:cs="Arial"/>
            <w:color w:val="000000" w:themeColor="text1"/>
          </w:rPr>
          <w:t>https://www.nice.org.uk/guidance/ng197</w:t>
        </w:r>
      </w:hyperlink>
      <w:r w:rsidRPr="002D298E">
        <w:rPr>
          <w:rFonts w:ascii="Arial" w:hAnsi="Arial" w:cs="Arial"/>
          <w:color w:val="000000" w:themeColor="text1"/>
        </w:rPr>
        <w:t>. (Accessed: 5 July 2026).</w:t>
      </w:r>
    </w:p>
    <w:p w14:paraId="4A530FA0" w14:textId="77777777" w:rsidR="00722357" w:rsidRPr="002D298E" w:rsidRDefault="00722357" w:rsidP="004757A6">
      <w:pPr>
        <w:pStyle w:val="pdq2pgselectionanchorcontainer"/>
        <w:spacing w:before="0" w:beforeAutospacing="0" w:after="120" w:afterAutospacing="0" w:line="360" w:lineRule="auto"/>
        <w:ind w:left="360"/>
        <w:rPr>
          <w:rFonts w:ascii="Arial" w:hAnsi="Arial" w:cs="Arial"/>
          <w:color w:val="000000" w:themeColor="text1"/>
          <w:sz w:val="22"/>
          <w:szCs w:val="22"/>
        </w:rPr>
      </w:pPr>
      <w:r w:rsidRPr="002D298E">
        <w:rPr>
          <w:rFonts w:ascii="Arial" w:hAnsi="Arial" w:cs="Arial"/>
          <w:color w:val="000000" w:themeColor="text1"/>
          <w:sz w:val="22"/>
          <w:szCs w:val="22"/>
        </w:rPr>
        <w:t>National Institute for Health and Care Excellence (NICE) (2022) “</w:t>
      </w:r>
      <w:r w:rsidRPr="002D298E">
        <w:rPr>
          <w:rStyle w:val="Emphasis"/>
          <w:rFonts w:ascii="Arial" w:hAnsi="Arial" w:cs="Arial"/>
          <w:i w:val="0"/>
          <w:iCs w:val="0"/>
          <w:color w:val="000000" w:themeColor="text1"/>
          <w:sz w:val="22"/>
          <w:szCs w:val="22"/>
        </w:rPr>
        <w:t>Depression in adults with a chronic physical health problem: assessment and management (NG222)”, NICE.</w:t>
      </w:r>
      <w:r w:rsidRPr="002D298E">
        <w:rPr>
          <w:rFonts w:ascii="Arial" w:hAnsi="Arial" w:cs="Arial"/>
          <w:color w:val="000000" w:themeColor="text1"/>
          <w:sz w:val="22"/>
          <w:szCs w:val="22"/>
        </w:rPr>
        <w:t xml:space="preserve"> Available at: </w:t>
      </w:r>
      <w:hyperlink r:id="rId46" w:tgtFrame="_new" w:history="1">
        <w:r w:rsidRPr="002D298E">
          <w:rPr>
            <w:rStyle w:val="Hyperlink"/>
            <w:rFonts w:ascii="Arial" w:hAnsi="Arial" w:cs="Arial"/>
            <w:color w:val="000000" w:themeColor="text1"/>
            <w:sz w:val="22"/>
            <w:szCs w:val="22"/>
          </w:rPr>
          <w:t>https://www.nice.org.uk/guidance/ng222</w:t>
        </w:r>
      </w:hyperlink>
      <w:r w:rsidRPr="002D298E">
        <w:rPr>
          <w:rFonts w:ascii="Arial" w:hAnsi="Arial" w:cs="Arial"/>
          <w:color w:val="000000" w:themeColor="text1"/>
          <w:sz w:val="22"/>
          <w:szCs w:val="22"/>
        </w:rPr>
        <w:t xml:space="preserve"> (Accessed: 5 July 2026).</w:t>
      </w:r>
    </w:p>
    <w:p w14:paraId="6F8B592B" w14:textId="77777777" w:rsidR="00722357" w:rsidRPr="002D298E" w:rsidRDefault="00722357" w:rsidP="004757A6">
      <w:pPr>
        <w:spacing w:after="120" w:line="360" w:lineRule="auto"/>
        <w:ind w:left="360"/>
        <w:rPr>
          <w:rFonts w:ascii="Arial" w:hAnsi="Arial" w:cs="Arial"/>
          <w:color w:val="000000" w:themeColor="text1"/>
        </w:rPr>
      </w:pPr>
      <w:r w:rsidRPr="002D298E">
        <w:rPr>
          <w:rFonts w:ascii="Arial" w:hAnsi="Arial" w:cs="Arial"/>
          <w:color w:val="000000" w:themeColor="text1"/>
        </w:rPr>
        <w:t xml:space="preserve">National Institute for Health and Care Excellence (NICE) (2022) </w:t>
      </w:r>
      <w:r w:rsidRPr="002D298E">
        <w:rPr>
          <w:rFonts w:ascii="Arial" w:hAnsi="Arial" w:cs="Arial"/>
          <w:i/>
          <w:iCs/>
          <w:color w:val="000000" w:themeColor="text1"/>
        </w:rPr>
        <w:t>Depression in adults: treatment and management (NG222).</w:t>
      </w:r>
      <w:r w:rsidRPr="002D298E">
        <w:rPr>
          <w:rFonts w:ascii="Arial" w:hAnsi="Arial" w:cs="Arial"/>
          <w:color w:val="000000" w:themeColor="text1"/>
        </w:rPr>
        <w:t xml:space="preserve"> Available at: </w:t>
      </w:r>
      <w:hyperlink r:id="rId47" w:tgtFrame="_new" w:history="1">
        <w:r w:rsidRPr="002D298E">
          <w:rPr>
            <w:rStyle w:val="Hyperlink"/>
            <w:rFonts w:ascii="Arial" w:hAnsi="Arial" w:cs="Arial"/>
            <w:color w:val="000000" w:themeColor="text1"/>
          </w:rPr>
          <w:t>https://www.nice.org.uk/guidance/ng222</w:t>
        </w:r>
      </w:hyperlink>
      <w:r w:rsidRPr="002D298E">
        <w:rPr>
          <w:rFonts w:ascii="Arial" w:hAnsi="Arial" w:cs="Arial"/>
          <w:color w:val="000000" w:themeColor="text1"/>
        </w:rPr>
        <w:t xml:space="preserve"> (Accessed: 5 July 2026).</w:t>
      </w:r>
    </w:p>
    <w:p w14:paraId="4FE8C3FA" w14:textId="77777777" w:rsidR="00722357" w:rsidRPr="002D298E" w:rsidRDefault="00722357" w:rsidP="004757A6">
      <w:pPr>
        <w:spacing w:after="120" w:line="360" w:lineRule="auto"/>
        <w:ind w:left="360"/>
        <w:jc w:val="both"/>
        <w:rPr>
          <w:rFonts w:ascii="Arial" w:hAnsi="Arial" w:cs="Arial"/>
          <w:color w:val="000000" w:themeColor="text1"/>
        </w:rPr>
      </w:pPr>
      <w:r w:rsidRPr="002D298E">
        <w:rPr>
          <w:rFonts w:ascii="Arial" w:hAnsi="Arial" w:cs="Arial"/>
          <w:color w:val="000000" w:themeColor="text1"/>
        </w:rPr>
        <w:t xml:space="preserve">National Institute for Health and Care Excellence (NICE) (2023a) </w:t>
      </w:r>
      <w:r w:rsidRPr="002D298E">
        <w:rPr>
          <w:rFonts w:ascii="Arial" w:hAnsi="Arial" w:cs="Arial"/>
          <w:i/>
          <w:iCs/>
          <w:color w:val="000000" w:themeColor="text1"/>
        </w:rPr>
        <w:t>Hypertension in adults: diagnosis and management (NG136).</w:t>
      </w:r>
      <w:r w:rsidRPr="002D298E">
        <w:rPr>
          <w:rFonts w:ascii="Arial" w:hAnsi="Arial" w:cs="Arial"/>
          <w:color w:val="000000" w:themeColor="text1"/>
        </w:rPr>
        <w:t xml:space="preserve"> Available at: </w:t>
      </w:r>
      <w:hyperlink r:id="rId48" w:tgtFrame="_new" w:history="1">
        <w:r w:rsidRPr="002D298E">
          <w:rPr>
            <w:rStyle w:val="Hyperlink"/>
            <w:rFonts w:ascii="Arial" w:hAnsi="Arial" w:cs="Arial"/>
            <w:color w:val="000000" w:themeColor="text1"/>
          </w:rPr>
          <w:t>https://www.nice.org.uk/guidance/ng136</w:t>
        </w:r>
      </w:hyperlink>
      <w:r w:rsidRPr="002D298E">
        <w:rPr>
          <w:rFonts w:ascii="Arial" w:hAnsi="Arial" w:cs="Arial"/>
          <w:color w:val="000000" w:themeColor="text1"/>
        </w:rPr>
        <w:t>. (Accessed: 5 July 2026).</w:t>
      </w:r>
    </w:p>
    <w:p w14:paraId="2FB32351" w14:textId="77777777" w:rsidR="00722357" w:rsidRPr="002D298E" w:rsidRDefault="00722357" w:rsidP="004757A6">
      <w:pPr>
        <w:spacing w:after="120" w:line="360" w:lineRule="auto"/>
        <w:ind w:left="360"/>
        <w:rPr>
          <w:rFonts w:ascii="Arial" w:hAnsi="Arial" w:cs="Arial"/>
          <w:color w:val="000000" w:themeColor="text1"/>
        </w:rPr>
      </w:pPr>
      <w:r w:rsidRPr="002D298E">
        <w:rPr>
          <w:rFonts w:ascii="Arial" w:hAnsi="Arial" w:cs="Arial"/>
          <w:color w:val="000000" w:themeColor="text1"/>
        </w:rPr>
        <w:t xml:space="preserve">NHS England (2019) </w:t>
      </w:r>
      <w:r w:rsidRPr="002D298E">
        <w:rPr>
          <w:rFonts w:ascii="Arial" w:hAnsi="Arial" w:cs="Arial"/>
          <w:i/>
          <w:iCs/>
          <w:color w:val="000000" w:themeColor="text1"/>
        </w:rPr>
        <w:t>Social prescribing and community-based support: Summary guide</w:t>
      </w:r>
      <w:r w:rsidRPr="002D298E">
        <w:rPr>
          <w:rFonts w:ascii="Arial" w:hAnsi="Arial" w:cs="Arial"/>
          <w:color w:val="000000" w:themeColor="text1"/>
        </w:rPr>
        <w:t xml:space="preserve">. Available at: </w:t>
      </w:r>
      <w:hyperlink r:id="rId49" w:tgtFrame="_new" w:history="1">
        <w:r w:rsidRPr="002D298E">
          <w:rPr>
            <w:rStyle w:val="Hyperlink"/>
            <w:rFonts w:ascii="Arial" w:hAnsi="Arial" w:cs="Arial"/>
            <w:color w:val="000000" w:themeColor="text1"/>
          </w:rPr>
          <w:t>https://www.england.nhs.uk/publication/social-prescribing-and-</w:t>
        </w:r>
        <w:r w:rsidRPr="002D298E">
          <w:rPr>
            <w:rStyle w:val="Hyperlink"/>
            <w:rFonts w:ascii="Arial" w:hAnsi="Arial" w:cs="Arial"/>
            <w:color w:val="000000" w:themeColor="text1"/>
          </w:rPr>
          <w:t>community-based-support-summary-guide/</w:t>
        </w:r>
      </w:hyperlink>
      <w:r w:rsidRPr="002D298E">
        <w:rPr>
          <w:rFonts w:ascii="Arial" w:hAnsi="Arial" w:cs="Arial"/>
          <w:color w:val="000000" w:themeColor="text1"/>
        </w:rPr>
        <w:t xml:space="preserve"> (Accessed: 5 July 2026)</w:t>
      </w:r>
    </w:p>
    <w:p w14:paraId="065E9792" w14:textId="77777777" w:rsidR="00722357" w:rsidRPr="002D298E" w:rsidRDefault="00722357" w:rsidP="004757A6">
      <w:pPr>
        <w:spacing w:after="120" w:line="360" w:lineRule="auto"/>
        <w:ind w:left="360"/>
        <w:jc w:val="both"/>
        <w:rPr>
          <w:rFonts w:ascii="Arial" w:hAnsi="Arial" w:cs="Arial"/>
          <w:color w:val="000000" w:themeColor="text1"/>
        </w:rPr>
      </w:pPr>
      <w:r w:rsidRPr="002D298E">
        <w:rPr>
          <w:rFonts w:ascii="Arial" w:eastAsia="Times New Roman" w:hAnsi="Arial" w:cs="Arial"/>
          <w:color w:val="000000" w:themeColor="text1"/>
          <w:lang w:eastAsia="en-GB"/>
        </w:rPr>
        <w:t xml:space="preserve">NHS England (2019) </w:t>
      </w:r>
      <w:r w:rsidRPr="002D298E">
        <w:rPr>
          <w:rFonts w:ascii="Arial" w:eastAsia="Times New Roman" w:hAnsi="Arial" w:cs="Arial"/>
          <w:i/>
          <w:iCs/>
          <w:color w:val="000000" w:themeColor="text1"/>
          <w:lang w:eastAsia="en-GB"/>
        </w:rPr>
        <w:t>The NHS Long Term Plan</w:t>
      </w:r>
      <w:r w:rsidRPr="002D298E">
        <w:rPr>
          <w:rFonts w:ascii="Arial" w:eastAsia="Times New Roman" w:hAnsi="Arial" w:cs="Arial"/>
          <w:color w:val="000000" w:themeColor="text1"/>
          <w:lang w:eastAsia="en-GB"/>
        </w:rPr>
        <w:t xml:space="preserve">. Available at: </w:t>
      </w:r>
      <w:hyperlink r:id="rId50" w:tgtFrame="_new" w:history="1">
        <w:r w:rsidRPr="002D298E">
          <w:rPr>
            <w:rStyle w:val="Hyperlink"/>
            <w:rFonts w:ascii="Arial" w:eastAsia="Times New Roman" w:hAnsi="Arial" w:cs="Arial"/>
            <w:color w:val="000000" w:themeColor="text1"/>
            <w:lang w:eastAsia="en-GB"/>
          </w:rPr>
          <w:t>https://www.longtermplan.nhs.uk/wp-content/uploads/2019/08/nhs-long-term-plan-version-1.2.pdf</w:t>
        </w:r>
      </w:hyperlink>
      <w:r w:rsidRPr="002D298E">
        <w:rPr>
          <w:rFonts w:ascii="Arial" w:eastAsia="Times New Roman" w:hAnsi="Arial" w:cs="Arial"/>
          <w:color w:val="000000" w:themeColor="text1"/>
          <w:lang w:eastAsia="en-GB"/>
        </w:rPr>
        <w:t xml:space="preserve">. (Accessed: 5 July 2026). </w:t>
      </w:r>
    </w:p>
    <w:p w14:paraId="75E977E7" w14:textId="77777777" w:rsidR="00722357" w:rsidRPr="002D298E" w:rsidRDefault="00722357" w:rsidP="004757A6">
      <w:pPr>
        <w:spacing w:after="120" w:line="360" w:lineRule="auto"/>
        <w:ind w:left="360"/>
        <w:rPr>
          <w:rFonts w:ascii="Arial" w:hAnsi="Arial" w:cs="Arial"/>
          <w:color w:val="000000" w:themeColor="text1"/>
        </w:rPr>
      </w:pPr>
      <w:r w:rsidRPr="002D298E">
        <w:rPr>
          <w:rFonts w:ascii="Arial" w:hAnsi="Arial" w:cs="Arial"/>
          <w:color w:val="000000" w:themeColor="text1"/>
        </w:rPr>
        <w:t xml:space="preserve">NHS England (2023) </w:t>
      </w:r>
      <w:r w:rsidRPr="002D298E">
        <w:rPr>
          <w:rFonts w:ascii="Arial" w:hAnsi="Arial" w:cs="Arial"/>
          <w:i/>
          <w:iCs/>
          <w:color w:val="000000" w:themeColor="text1"/>
        </w:rPr>
        <w:t>Home blood pressure monitoring</w:t>
      </w:r>
      <w:r w:rsidRPr="002D298E">
        <w:rPr>
          <w:rFonts w:ascii="Arial" w:hAnsi="Arial" w:cs="Arial"/>
          <w:color w:val="000000" w:themeColor="text1"/>
        </w:rPr>
        <w:t xml:space="preserve">. Available at: </w:t>
      </w:r>
      <w:hyperlink r:id="rId51" w:tgtFrame="_new" w:history="1">
        <w:r w:rsidRPr="002D298E">
          <w:rPr>
            <w:rStyle w:val="Hyperlink"/>
            <w:rFonts w:ascii="Arial" w:hAnsi="Arial" w:cs="Arial"/>
            <w:color w:val="000000" w:themeColor="text1"/>
          </w:rPr>
          <w:t>https://www.england.nhs.uk/ourwork/clinical-policy/cvd/home-blood-pressure-monitoring/</w:t>
        </w:r>
      </w:hyperlink>
      <w:r w:rsidRPr="002D298E">
        <w:rPr>
          <w:rFonts w:ascii="Arial" w:hAnsi="Arial" w:cs="Arial"/>
          <w:color w:val="000000" w:themeColor="text1"/>
        </w:rPr>
        <w:t xml:space="preserve"> (Accessed: 5 July 2026).</w:t>
      </w:r>
    </w:p>
    <w:p w14:paraId="18A9DE25" w14:textId="77777777" w:rsidR="00722357" w:rsidRPr="002D298E" w:rsidRDefault="00722357" w:rsidP="002A0D26">
      <w:pPr>
        <w:pStyle w:val="pdq2pgselectionanchorcontainer"/>
        <w:spacing w:after="120" w:line="360" w:lineRule="auto"/>
        <w:ind w:left="360"/>
        <w:rPr>
          <w:rFonts w:ascii="Arial" w:hAnsi="Arial" w:cs="Arial"/>
          <w:color w:val="000000" w:themeColor="text1"/>
          <w:sz w:val="22"/>
          <w:szCs w:val="22"/>
        </w:rPr>
      </w:pPr>
      <w:r w:rsidRPr="002D298E">
        <w:rPr>
          <w:rFonts w:ascii="Arial" w:hAnsi="Arial" w:cs="Arial"/>
          <w:color w:val="000000" w:themeColor="text1"/>
          <w:sz w:val="22"/>
          <w:szCs w:val="22"/>
        </w:rPr>
        <w:t xml:space="preserve">NHS England (2024) </w:t>
      </w:r>
      <w:r w:rsidRPr="002D298E">
        <w:rPr>
          <w:rFonts w:ascii="Arial" w:hAnsi="Arial" w:cs="Arial"/>
          <w:i/>
          <w:iCs/>
          <w:color w:val="000000" w:themeColor="text1"/>
          <w:sz w:val="22"/>
          <w:szCs w:val="22"/>
        </w:rPr>
        <w:t>Improving the physical health of people living with severe mental illness</w:t>
      </w:r>
      <w:r w:rsidRPr="002D298E">
        <w:rPr>
          <w:rFonts w:ascii="Arial" w:hAnsi="Arial" w:cs="Arial"/>
          <w:color w:val="000000" w:themeColor="text1"/>
          <w:sz w:val="22"/>
          <w:szCs w:val="22"/>
        </w:rPr>
        <w:t xml:space="preserve">. Available at: </w:t>
      </w:r>
      <w:hyperlink r:id="rId52" w:tgtFrame="_new" w:history="1">
        <w:r w:rsidRPr="002D298E">
          <w:rPr>
            <w:rStyle w:val="Hyperlink"/>
            <w:rFonts w:ascii="Arial" w:hAnsi="Arial" w:cs="Arial"/>
            <w:color w:val="000000" w:themeColor="text1"/>
            <w:sz w:val="22"/>
            <w:szCs w:val="22"/>
          </w:rPr>
          <w:t>https://www.england.nhs.uk/long-read/improving-the-physical-health-of-people-living-with-severe-mental-illness/</w:t>
        </w:r>
      </w:hyperlink>
      <w:r w:rsidRPr="002D298E">
        <w:rPr>
          <w:rFonts w:ascii="Arial" w:hAnsi="Arial" w:cs="Arial"/>
          <w:color w:val="000000" w:themeColor="text1"/>
          <w:sz w:val="22"/>
          <w:szCs w:val="22"/>
        </w:rPr>
        <w:t xml:space="preserve"> (Accessed: 9 July 2026).</w:t>
      </w:r>
    </w:p>
    <w:p w14:paraId="47BBE36B" w14:textId="77777777" w:rsidR="00722357" w:rsidRPr="002D298E" w:rsidRDefault="00722357" w:rsidP="004757A6">
      <w:pPr>
        <w:spacing w:after="120" w:line="360" w:lineRule="auto"/>
        <w:ind w:left="360"/>
        <w:jc w:val="both"/>
        <w:rPr>
          <w:rFonts w:ascii="Arial" w:hAnsi="Arial" w:cs="Arial"/>
          <w:color w:val="000000" w:themeColor="text1"/>
        </w:rPr>
      </w:pPr>
      <w:r w:rsidRPr="002D298E">
        <w:rPr>
          <w:rFonts w:ascii="Arial" w:hAnsi="Arial" w:cs="Arial"/>
          <w:color w:val="000000" w:themeColor="text1"/>
        </w:rPr>
        <w:t xml:space="preserve">NHS England (2025) “Health Survey for England 2024: Adults' health,” </w:t>
      </w:r>
      <w:r w:rsidRPr="002D298E">
        <w:rPr>
          <w:rFonts w:ascii="Arial" w:hAnsi="Arial" w:cs="Arial"/>
          <w:i/>
          <w:iCs/>
          <w:color w:val="000000" w:themeColor="text1"/>
        </w:rPr>
        <w:t>NHS England.</w:t>
      </w:r>
      <w:r w:rsidRPr="002D298E">
        <w:rPr>
          <w:rFonts w:ascii="Arial" w:hAnsi="Arial" w:cs="Arial"/>
          <w:color w:val="000000" w:themeColor="text1"/>
        </w:rPr>
        <w:t xml:space="preserve"> Available at: </w:t>
      </w:r>
      <w:hyperlink r:id="rId53" w:tgtFrame="_new" w:history="1">
        <w:r w:rsidRPr="002D298E">
          <w:rPr>
            <w:rStyle w:val="Hyperlink"/>
            <w:rFonts w:ascii="Arial" w:hAnsi="Arial" w:cs="Arial"/>
            <w:color w:val="000000" w:themeColor="text1"/>
          </w:rPr>
          <w:t>https://digital.nhs.uk/data-and-information/publications/statistical/health-survey-for-england/2024/adults-health</w:t>
        </w:r>
      </w:hyperlink>
      <w:r w:rsidRPr="002D298E">
        <w:rPr>
          <w:rFonts w:ascii="Arial" w:hAnsi="Arial" w:cs="Arial"/>
          <w:color w:val="000000" w:themeColor="text1"/>
        </w:rPr>
        <w:t>. (Accessed: 05 July 2026).</w:t>
      </w:r>
    </w:p>
    <w:p w14:paraId="0E105FA2" w14:textId="77777777" w:rsidR="00722357" w:rsidRPr="002D298E" w:rsidRDefault="00722357" w:rsidP="004757A6">
      <w:pPr>
        <w:spacing w:after="120" w:line="360" w:lineRule="auto"/>
        <w:ind w:left="360"/>
        <w:rPr>
          <w:rFonts w:ascii="Arial" w:hAnsi="Arial" w:cs="Arial"/>
          <w:color w:val="000000" w:themeColor="text1"/>
        </w:rPr>
      </w:pPr>
      <w:r w:rsidRPr="002D298E">
        <w:rPr>
          <w:rFonts w:ascii="Arial" w:hAnsi="Arial" w:cs="Arial"/>
          <w:color w:val="000000" w:themeColor="text1"/>
        </w:rPr>
        <w:lastRenderedPageBreak/>
        <w:t xml:space="preserve">NHS England (2026) </w:t>
      </w:r>
      <w:r w:rsidRPr="002D298E">
        <w:rPr>
          <w:rFonts w:ascii="Arial" w:hAnsi="Arial" w:cs="Arial"/>
          <w:i/>
          <w:iCs/>
          <w:color w:val="000000" w:themeColor="text1"/>
        </w:rPr>
        <w:t>Health Survey for England 2024: Adults’ health</w:t>
      </w:r>
      <w:r w:rsidRPr="002D298E">
        <w:rPr>
          <w:rFonts w:ascii="Arial" w:hAnsi="Arial" w:cs="Arial"/>
          <w:color w:val="000000" w:themeColor="text1"/>
        </w:rPr>
        <w:t xml:space="preserve">. Available at: </w:t>
      </w:r>
      <w:hyperlink r:id="rId54" w:tgtFrame="_new" w:history="1">
        <w:r w:rsidRPr="002D298E">
          <w:rPr>
            <w:rStyle w:val="Hyperlink"/>
            <w:rFonts w:ascii="Arial" w:hAnsi="Arial" w:cs="Arial"/>
            <w:color w:val="000000" w:themeColor="text1"/>
          </w:rPr>
          <w:t>https://digital.nhs.uk/data-and-information/publications/statistical/health-survey-for-england/2024/adults-health</w:t>
        </w:r>
      </w:hyperlink>
      <w:r w:rsidRPr="002D298E">
        <w:rPr>
          <w:rFonts w:ascii="Arial" w:hAnsi="Arial" w:cs="Arial"/>
          <w:color w:val="000000" w:themeColor="text1"/>
        </w:rPr>
        <w:t xml:space="preserve"> (Accessed: 5 July 2026).</w:t>
      </w:r>
    </w:p>
    <w:p w14:paraId="25318293" w14:textId="77777777" w:rsidR="00722357" w:rsidRPr="002D298E" w:rsidRDefault="00722357" w:rsidP="004757A6">
      <w:pPr>
        <w:spacing w:after="120" w:line="360" w:lineRule="auto"/>
        <w:ind w:left="360"/>
        <w:rPr>
          <w:rFonts w:ascii="Arial" w:hAnsi="Arial" w:cs="Arial"/>
          <w:color w:val="000000" w:themeColor="text1"/>
        </w:rPr>
      </w:pPr>
      <w:r w:rsidRPr="002D298E">
        <w:rPr>
          <w:rFonts w:ascii="Arial" w:hAnsi="Arial" w:cs="Arial"/>
          <w:color w:val="000000" w:themeColor="text1"/>
        </w:rPr>
        <w:t xml:space="preserve">NHS England. (2026) “Health Survey for England, 2024: Adults' health”, NHS England Digital. Available at: </w:t>
      </w:r>
      <w:hyperlink r:id="rId55" w:tgtFrame="_blank" w:history="1">
        <w:r w:rsidRPr="002D298E">
          <w:rPr>
            <w:rStyle w:val="Hyperlink"/>
            <w:rFonts w:ascii="Arial" w:hAnsi="Arial" w:cs="Arial"/>
            <w:color w:val="000000" w:themeColor="text1"/>
          </w:rPr>
          <w:t>https://digital.nhs.uk/data-and-information/publications/statistical/health-survey-for-england/2024/adults-health</w:t>
        </w:r>
      </w:hyperlink>
      <w:r w:rsidRPr="002D298E">
        <w:rPr>
          <w:rFonts w:ascii="Arial" w:hAnsi="Arial" w:cs="Arial"/>
          <w:color w:val="000000" w:themeColor="text1"/>
        </w:rPr>
        <w:t>. Accessed: 1 July 2026.</w:t>
      </w:r>
    </w:p>
    <w:p w14:paraId="776B0822" w14:textId="17FE5AEF" w:rsidR="00722357" w:rsidRPr="002D298E" w:rsidRDefault="00722357" w:rsidP="004757A6">
      <w:pPr>
        <w:spacing w:after="120" w:line="360" w:lineRule="auto"/>
        <w:ind w:left="360"/>
        <w:rPr>
          <w:rFonts w:ascii="Arial" w:hAnsi="Arial" w:cs="Arial"/>
          <w:color w:val="000000" w:themeColor="text1"/>
        </w:rPr>
      </w:pPr>
      <w:r w:rsidRPr="002D298E">
        <w:rPr>
          <w:rFonts w:ascii="Arial" w:hAnsi="Arial" w:cs="Arial"/>
          <w:color w:val="000000" w:themeColor="text1"/>
        </w:rPr>
        <w:t>Pan, Y</w:t>
      </w:r>
      <w:r w:rsidR="00604776">
        <w:rPr>
          <w:rFonts w:ascii="Arial" w:hAnsi="Arial" w:cs="Arial"/>
          <w:color w:val="000000" w:themeColor="text1"/>
        </w:rPr>
        <w:t>.</w:t>
      </w:r>
      <w:r w:rsidRPr="002D298E">
        <w:rPr>
          <w:rFonts w:ascii="Arial" w:hAnsi="Arial" w:cs="Arial"/>
          <w:color w:val="000000" w:themeColor="text1"/>
        </w:rPr>
        <w:t xml:space="preserve">, Cai, W., Cheng, Q., Dong, W., An, T. and Yan, J. (2015) “Association between anxiety and hypertension: a systematic review and meta-analysis of epidemiological studies”, </w:t>
      </w:r>
      <w:r w:rsidRPr="002D298E">
        <w:rPr>
          <w:rFonts w:ascii="Arial" w:hAnsi="Arial" w:cs="Arial"/>
          <w:i/>
          <w:iCs/>
          <w:color w:val="000000" w:themeColor="text1"/>
        </w:rPr>
        <w:t>Neuropsychiatric Disease and Treatment</w:t>
      </w:r>
      <w:r w:rsidRPr="002D298E">
        <w:rPr>
          <w:rFonts w:ascii="Arial" w:hAnsi="Arial" w:cs="Arial"/>
          <w:color w:val="000000" w:themeColor="text1"/>
        </w:rPr>
        <w:t>, 11, pp. 1121–1130. (Accessed: 05 July 2026).</w:t>
      </w:r>
    </w:p>
    <w:p w14:paraId="6023EC2C" w14:textId="77777777" w:rsidR="00722357" w:rsidRPr="002D298E" w:rsidRDefault="00722357" w:rsidP="003B688E">
      <w:pPr>
        <w:pStyle w:val="pdq2pgselectionanchorcontainer"/>
        <w:spacing w:after="120" w:line="360" w:lineRule="auto"/>
        <w:ind w:left="360"/>
        <w:rPr>
          <w:rFonts w:ascii="Arial" w:hAnsi="Arial" w:cs="Arial"/>
          <w:color w:val="000000" w:themeColor="text1"/>
          <w:sz w:val="22"/>
          <w:szCs w:val="22"/>
        </w:rPr>
      </w:pPr>
      <w:r w:rsidRPr="002D298E">
        <w:rPr>
          <w:rFonts w:ascii="Arial" w:hAnsi="Arial" w:cs="Arial"/>
          <w:color w:val="000000" w:themeColor="text1"/>
          <w:sz w:val="22"/>
          <w:szCs w:val="22"/>
        </w:rPr>
        <w:t>Slater, K</w:t>
      </w:r>
      <w:r w:rsidRPr="00C05F02">
        <w:rPr>
          <w:rFonts w:ascii="Arial" w:hAnsi="Arial" w:cs="Arial"/>
          <w:color w:val="000000" w:themeColor="text1"/>
          <w:sz w:val="22"/>
          <w:szCs w:val="22"/>
        </w:rPr>
        <w:t>. et al.</w:t>
      </w:r>
      <w:r w:rsidRPr="002D298E">
        <w:rPr>
          <w:rFonts w:ascii="Arial" w:hAnsi="Arial" w:cs="Arial"/>
          <w:color w:val="000000" w:themeColor="text1"/>
          <w:sz w:val="22"/>
          <w:szCs w:val="22"/>
        </w:rPr>
        <w:t xml:space="preserve"> (2026) “Patient personas exemplifying behavioural barriers and enablers to patient education across the hypertension journey: A qualitative framework analysis,” </w:t>
      </w:r>
      <w:r w:rsidRPr="002D298E">
        <w:rPr>
          <w:rFonts w:ascii="Arial" w:hAnsi="Arial" w:cs="Arial"/>
          <w:i/>
          <w:iCs/>
          <w:color w:val="000000" w:themeColor="text1"/>
          <w:sz w:val="22"/>
          <w:szCs w:val="22"/>
        </w:rPr>
        <w:t xml:space="preserve">Patient education and </w:t>
      </w:r>
      <w:proofErr w:type="spellStart"/>
      <w:r w:rsidRPr="002D298E">
        <w:rPr>
          <w:rFonts w:ascii="Arial" w:hAnsi="Arial" w:cs="Arial"/>
          <w:i/>
          <w:iCs/>
          <w:color w:val="000000" w:themeColor="text1"/>
          <w:sz w:val="22"/>
          <w:szCs w:val="22"/>
        </w:rPr>
        <w:t>counseling</w:t>
      </w:r>
      <w:proofErr w:type="spellEnd"/>
      <w:r w:rsidRPr="002D298E">
        <w:rPr>
          <w:rFonts w:ascii="Arial" w:hAnsi="Arial" w:cs="Arial"/>
          <w:i/>
          <w:iCs/>
          <w:color w:val="000000" w:themeColor="text1"/>
          <w:sz w:val="22"/>
          <w:szCs w:val="22"/>
        </w:rPr>
        <w:t>.</w:t>
      </w:r>
      <w:r w:rsidRPr="002D298E">
        <w:rPr>
          <w:rFonts w:ascii="Arial" w:hAnsi="Arial" w:cs="Arial"/>
          <w:color w:val="000000" w:themeColor="text1"/>
          <w:sz w:val="22"/>
          <w:szCs w:val="22"/>
        </w:rPr>
        <w:t xml:space="preserve">, 149. Available at: </w:t>
      </w:r>
      <w:hyperlink r:id="rId56" w:history="1">
        <w:r w:rsidRPr="002D298E">
          <w:rPr>
            <w:rStyle w:val="Hyperlink"/>
            <w:rFonts w:ascii="Arial" w:hAnsi="Arial" w:cs="Arial"/>
            <w:color w:val="000000" w:themeColor="text1"/>
            <w:sz w:val="22"/>
            <w:szCs w:val="22"/>
          </w:rPr>
          <w:t>https://doi.org/10.1016/j.pec.2026.109707</w:t>
        </w:r>
      </w:hyperlink>
      <w:r w:rsidRPr="002D298E">
        <w:rPr>
          <w:rFonts w:ascii="Arial" w:hAnsi="Arial" w:cs="Arial"/>
          <w:color w:val="000000" w:themeColor="text1"/>
          <w:sz w:val="22"/>
          <w:szCs w:val="22"/>
        </w:rPr>
        <w:t>. Accessed: 08 July 2026.</w:t>
      </w:r>
    </w:p>
    <w:p w14:paraId="5D283C82" w14:textId="77777777" w:rsidR="00722357" w:rsidRPr="002D298E" w:rsidRDefault="00722357" w:rsidP="004757A6">
      <w:pPr>
        <w:pStyle w:val="pdq2pgselectionanchorcontainer"/>
        <w:spacing w:before="0" w:beforeAutospacing="0" w:after="120" w:afterAutospacing="0" w:line="360" w:lineRule="auto"/>
        <w:ind w:left="360"/>
        <w:rPr>
          <w:rFonts w:ascii="Arial" w:hAnsi="Arial" w:cs="Arial"/>
          <w:color w:val="000000" w:themeColor="text1"/>
          <w:sz w:val="22"/>
          <w:szCs w:val="22"/>
        </w:rPr>
      </w:pPr>
      <w:r w:rsidRPr="002D298E">
        <w:rPr>
          <w:rFonts w:ascii="Arial" w:hAnsi="Arial" w:cs="Arial"/>
          <w:color w:val="000000" w:themeColor="text1"/>
          <w:sz w:val="22"/>
          <w:szCs w:val="22"/>
        </w:rPr>
        <w:t xml:space="preserve">SPRINT Research Group (2015) “A randomized trial of intensive versus standard blood-pressure control”, </w:t>
      </w:r>
      <w:r w:rsidRPr="002D298E">
        <w:rPr>
          <w:rFonts w:ascii="Arial" w:hAnsi="Arial" w:cs="Arial"/>
          <w:i/>
          <w:iCs/>
          <w:color w:val="000000" w:themeColor="text1"/>
          <w:sz w:val="22"/>
          <w:szCs w:val="22"/>
        </w:rPr>
        <w:t>New England Journal of Medicine</w:t>
      </w:r>
      <w:r w:rsidRPr="002D298E">
        <w:rPr>
          <w:rFonts w:ascii="Arial" w:hAnsi="Arial" w:cs="Arial"/>
          <w:color w:val="000000" w:themeColor="text1"/>
          <w:sz w:val="22"/>
          <w:szCs w:val="22"/>
        </w:rPr>
        <w:t>, 373(22), pp. 2103–2116. doi:10.1056/NEJMoa1511939. (Accessed: 5 July 2026).</w:t>
      </w:r>
    </w:p>
    <w:p w14:paraId="6BA62FF9" w14:textId="77777777" w:rsidR="00722357" w:rsidRPr="002D298E" w:rsidRDefault="00722357" w:rsidP="004757A6">
      <w:pPr>
        <w:spacing w:after="120" w:line="360" w:lineRule="auto"/>
        <w:ind w:left="360"/>
        <w:jc w:val="both"/>
        <w:rPr>
          <w:rFonts w:ascii="Arial" w:hAnsi="Arial" w:cs="Arial"/>
          <w:color w:val="000000" w:themeColor="text1"/>
        </w:rPr>
      </w:pPr>
      <w:r w:rsidRPr="002D298E">
        <w:rPr>
          <w:rFonts w:ascii="Arial" w:hAnsi="Arial" w:cs="Arial"/>
          <w:color w:val="000000" w:themeColor="text1"/>
        </w:rPr>
        <w:t xml:space="preserve">Stroke Association (2023) “State of the nation: stroke statistics,” London: </w:t>
      </w:r>
      <w:r w:rsidRPr="002D298E">
        <w:rPr>
          <w:rFonts w:ascii="Arial" w:hAnsi="Arial" w:cs="Arial"/>
          <w:i/>
          <w:iCs/>
          <w:color w:val="000000" w:themeColor="text1"/>
        </w:rPr>
        <w:t>Stroke Association</w:t>
      </w:r>
      <w:r w:rsidRPr="002D298E">
        <w:rPr>
          <w:rFonts w:ascii="Arial" w:hAnsi="Arial" w:cs="Arial"/>
          <w:color w:val="000000" w:themeColor="text1"/>
        </w:rPr>
        <w:t xml:space="preserve">. Available at: </w:t>
      </w:r>
      <w:hyperlink r:id="rId57" w:tgtFrame="_new" w:history="1">
        <w:r w:rsidRPr="002D298E">
          <w:rPr>
            <w:rStyle w:val="Hyperlink"/>
            <w:rFonts w:ascii="Arial" w:hAnsi="Arial" w:cs="Arial"/>
            <w:color w:val="000000" w:themeColor="text1"/>
          </w:rPr>
          <w:t>https://www.stroke.org.uk</w:t>
        </w:r>
      </w:hyperlink>
      <w:r w:rsidRPr="002D298E">
        <w:rPr>
          <w:rFonts w:ascii="Arial" w:hAnsi="Arial" w:cs="Arial"/>
          <w:color w:val="000000" w:themeColor="text1"/>
        </w:rPr>
        <w:t xml:space="preserve"> (Accessed: 24 June 2026).</w:t>
      </w:r>
    </w:p>
    <w:p w14:paraId="618B611C" w14:textId="77777777" w:rsidR="00722357" w:rsidRPr="002D298E" w:rsidRDefault="00722357" w:rsidP="004757A6">
      <w:pPr>
        <w:spacing w:after="120" w:line="360" w:lineRule="auto"/>
        <w:ind w:left="360"/>
        <w:rPr>
          <w:rFonts w:ascii="Arial" w:hAnsi="Arial" w:cs="Arial"/>
          <w:color w:val="000000" w:themeColor="text1"/>
        </w:rPr>
      </w:pPr>
      <w:r w:rsidRPr="002D298E">
        <w:rPr>
          <w:rFonts w:ascii="Arial" w:hAnsi="Arial" w:cs="Arial"/>
          <w:color w:val="000000" w:themeColor="text1"/>
        </w:rPr>
        <w:t>The Royal Buckinghamshire Hospital (2025</w:t>
      </w:r>
      <w:r w:rsidRPr="002D298E">
        <w:rPr>
          <w:rFonts w:ascii="Arial" w:hAnsi="Arial" w:cs="Arial"/>
          <w:i/>
          <w:iCs/>
          <w:color w:val="000000" w:themeColor="text1"/>
        </w:rPr>
        <w:t xml:space="preserve">) </w:t>
      </w:r>
      <w:r w:rsidRPr="002D298E">
        <w:rPr>
          <w:rFonts w:ascii="Arial" w:hAnsi="Arial" w:cs="Arial"/>
          <w:color w:val="000000" w:themeColor="text1"/>
        </w:rPr>
        <w:t>“Hypertension Management”,</w:t>
      </w:r>
      <w:r w:rsidRPr="002D298E">
        <w:rPr>
          <w:rFonts w:ascii="Arial" w:hAnsi="Arial" w:cs="Arial"/>
          <w:i/>
          <w:iCs/>
          <w:color w:val="000000" w:themeColor="text1"/>
        </w:rPr>
        <w:t xml:space="preserve"> Royal Buckinghamshire Hospital</w:t>
      </w:r>
      <w:r w:rsidRPr="002D298E">
        <w:rPr>
          <w:rFonts w:ascii="Arial" w:hAnsi="Arial" w:cs="Arial"/>
          <w:color w:val="000000" w:themeColor="text1"/>
        </w:rPr>
        <w:t xml:space="preserve">. Available at: </w:t>
      </w:r>
      <w:hyperlink r:id="rId58" w:history="1">
        <w:r w:rsidRPr="002D298E">
          <w:rPr>
            <w:rStyle w:val="Hyperlink"/>
            <w:rFonts w:ascii="Arial" w:hAnsi="Arial" w:cs="Arial"/>
            <w:color w:val="000000" w:themeColor="text1"/>
          </w:rPr>
          <w:t>https://www.royalbucks.co.uk/conditions-and-symptoms/hypertension/</w:t>
        </w:r>
      </w:hyperlink>
      <w:r w:rsidRPr="002D298E">
        <w:rPr>
          <w:rFonts w:ascii="Arial" w:hAnsi="Arial" w:cs="Arial"/>
          <w:color w:val="000000" w:themeColor="text1"/>
        </w:rPr>
        <w:t xml:space="preserve">. Accessed: 02 July 2026. </w:t>
      </w:r>
    </w:p>
    <w:p w14:paraId="3B19608A" w14:textId="77777777" w:rsidR="00722357" w:rsidRPr="002D298E" w:rsidRDefault="00722357" w:rsidP="004757A6">
      <w:pPr>
        <w:spacing w:after="120" w:line="360" w:lineRule="auto"/>
        <w:ind w:left="360"/>
        <w:rPr>
          <w:rFonts w:ascii="Arial" w:eastAsia="Times New Roman" w:hAnsi="Arial" w:cs="Arial"/>
          <w:color w:val="000000" w:themeColor="text1"/>
          <w:lang w:eastAsia="en-GB"/>
        </w:rPr>
      </w:pPr>
      <w:r w:rsidRPr="002D298E">
        <w:rPr>
          <w:rFonts w:ascii="Arial" w:eastAsia="Times New Roman" w:hAnsi="Arial" w:cs="Arial"/>
          <w:color w:val="000000" w:themeColor="text1"/>
          <w:lang w:eastAsia="en-GB"/>
        </w:rPr>
        <w:t xml:space="preserve">Todd, </w:t>
      </w:r>
      <w:r w:rsidRPr="009C3CD6">
        <w:rPr>
          <w:rFonts w:ascii="Arial" w:eastAsia="Times New Roman" w:hAnsi="Arial" w:cs="Arial"/>
          <w:color w:val="000000" w:themeColor="text1"/>
          <w:lang w:eastAsia="en-GB"/>
        </w:rPr>
        <w:t>O. et al. (2023)</w:t>
      </w:r>
      <w:r w:rsidRPr="002D298E">
        <w:rPr>
          <w:rFonts w:ascii="Arial" w:eastAsia="Times New Roman" w:hAnsi="Arial" w:cs="Arial"/>
          <w:color w:val="000000" w:themeColor="text1"/>
          <w:lang w:eastAsia="en-GB"/>
        </w:rPr>
        <w:t xml:space="preserve"> “Attainment of NICE blood pressure targets among older people with newly diagnosed hypertension: nationwide linked electronic health records cohort study,” </w:t>
      </w:r>
      <w:r w:rsidRPr="002D298E">
        <w:rPr>
          <w:rFonts w:ascii="Arial" w:eastAsia="Times New Roman" w:hAnsi="Arial" w:cs="Arial"/>
          <w:i/>
          <w:iCs/>
          <w:color w:val="000000" w:themeColor="text1"/>
          <w:lang w:eastAsia="en-GB"/>
        </w:rPr>
        <w:t>Age and Ageing</w:t>
      </w:r>
      <w:r w:rsidRPr="002D298E">
        <w:rPr>
          <w:rFonts w:ascii="Arial" w:eastAsia="Times New Roman" w:hAnsi="Arial" w:cs="Arial"/>
          <w:color w:val="000000" w:themeColor="text1"/>
          <w:lang w:eastAsia="en-GB"/>
        </w:rPr>
        <w:t xml:space="preserve">, 52(5). Available at: </w:t>
      </w:r>
      <w:hyperlink r:id="rId59" w:history="1">
        <w:r w:rsidRPr="002D298E">
          <w:rPr>
            <w:rStyle w:val="Hyperlink"/>
            <w:rFonts w:ascii="Arial" w:eastAsia="Times New Roman" w:hAnsi="Arial" w:cs="Arial"/>
            <w:color w:val="000000" w:themeColor="text1"/>
            <w:lang w:eastAsia="en-GB"/>
          </w:rPr>
          <w:t>https://doi.org/10.1093/ageing/afad077</w:t>
        </w:r>
      </w:hyperlink>
      <w:r w:rsidRPr="002D298E">
        <w:rPr>
          <w:rFonts w:ascii="Arial" w:eastAsia="Times New Roman" w:hAnsi="Arial" w:cs="Arial"/>
          <w:color w:val="000000" w:themeColor="text1"/>
          <w:lang w:eastAsia="en-GB"/>
        </w:rPr>
        <w:t xml:space="preserve">. </w:t>
      </w:r>
      <w:r w:rsidRPr="002D298E">
        <w:rPr>
          <w:rFonts w:ascii="Arial" w:hAnsi="Arial" w:cs="Arial"/>
          <w:color w:val="000000" w:themeColor="text1"/>
        </w:rPr>
        <w:t>Accessed: 05 July 2026.</w:t>
      </w:r>
    </w:p>
    <w:p w14:paraId="57996127" w14:textId="77777777" w:rsidR="00722357" w:rsidRPr="002D298E" w:rsidRDefault="00722357" w:rsidP="004757A6">
      <w:pPr>
        <w:spacing w:after="120" w:line="360" w:lineRule="auto"/>
        <w:ind w:left="360"/>
        <w:jc w:val="both"/>
        <w:rPr>
          <w:rFonts w:ascii="Arial" w:hAnsi="Arial" w:cs="Arial"/>
          <w:color w:val="000000" w:themeColor="text1"/>
        </w:rPr>
      </w:pPr>
      <w:r w:rsidRPr="002D298E">
        <w:rPr>
          <w:rFonts w:ascii="Arial" w:hAnsi="Arial" w:cs="Arial"/>
          <w:color w:val="000000" w:themeColor="text1"/>
        </w:rPr>
        <w:t xml:space="preserve">Valabhji, </w:t>
      </w:r>
      <w:r w:rsidRPr="00D90466">
        <w:rPr>
          <w:rFonts w:ascii="Arial" w:hAnsi="Arial" w:cs="Arial"/>
          <w:color w:val="000000" w:themeColor="text1"/>
        </w:rPr>
        <w:t>J. et al.</w:t>
      </w:r>
      <w:r w:rsidRPr="002D298E">
        <w:rPr>
          <w:rFonts w:ascii="Arial" w:hAnsi="Arial" w:cs="Arial"/>
          <w:color w:val="000000" w:themeColor="text1"/>
        </w:rPr>
        <w:t xml:space="preserve"> (2024) “Prevalence of multiple long-term conditions (multimorbidity) in England: a whole population study of over 60 million people,” </w:t>
      </w:r>
      <w:r w:rsidRPr="002D298E">
        <w:rPr>
          <w:rFonts w:ascii="Arial" w:hAnsi="Arial" w:cs="Arial"/>
          <w:i/>
          <w:iCs/>
          <w:color w:val="000000" w:themeColor="text1"/>
        </w:rPr>
        <w:t>Journal of the Royal Society of Medicine</w:t>
      </w:r>
      <w:r w:rsidRPr="002D298E">
        <w:rPr>
          <w:rFonts w:ascii="Arial" w:hAnsi="Arial" w:cs="Arial"/>
          <w:color w:val="000000" w:themeColor="text1"/>
        </w:rPr>
        <w:t xml:space="preserve">, 117(3), pp. 104–117. Available at: </w:t>
      </w:r>
      <w:hyperlink r:id="rId60" w:history="1">
        <w:r w:rsidRPr="002D298E">
          <w:rPr>
            <w:rStyle w:val="Hyperlink"/>
            <w:rFonts w:ascii="Arial" w:hAnsi="Arial" w:cs="Arial"/>
            <w:color w:val="000000" w:themeColor="text1"/>
          </w:rPr>
          <w:t>https://doi.org/10.1177/01410768231206033</w:t>
        </w:r>
      </w:hyperlink>
      <w:r w:rsidRPr="002D298E">
        <w:rPr>
          <w:rFonts w:ascii="Arial" w:hAnsi="Arial" w:cs="Arial"/>
          <w:color w:val="000000" w:themeColor="text1"/>
        </w:rPr>
        <w:t>. (Accessed: 26 June 2026).</w:t>
      </w:r>
    </w:p>
    <w:p w14:paraId="3230F8E6" w14:textId="77777777" w:rsidR="00722357" w:rsidRPr="002D298E" w:rsidRDefault="00722357" w:rsidP="004757A6">
      <w:pPr>
        <w:spacing w:after="120" w:line="360" w:lineRule="auto"/>
        <w:ind w:left="360"/>
        <w:rPr>
          <w:rFonts w:ascii="Arial" w:hAnsi="Arial" w:cs="Arial"/>
          <w:color w:val="000000" w:themeColor="text1"/>
        </w:rPr>
      </w:pPr>
      <w:r w:rsidRPr="002D298E">
        <w:rPr>
          <w:rFonts w:ascii="Arial" w:hAnsi="Arial" w:cs="Arial"/>
          <w:color w:val="000000" w:themeColor="text1"/>
        </w:rPr>
        <w:t>Vidal-</w:t>
      </w:r>
      <w:proofErr w:type="spellStart"/>
      <w:r w:rsidRPr="002D298E">
        <w:rPr>
          <w:rFonts w:ascii="Arial" w:hAnsi="Arial" w:cs="Arial"/>
          <w:color w:val="000000" w:themeColor="text1"/>
        </w:rPr>
        <w:t>Petiot</w:t>
      </w:r>
      <w:proofErr w:type="spellEnd"/>
      <w:r w:rsidRPr="002D298E">
        <w:rPr>
          <w:rFonts w:ascii="Arial" w:hAnsi="Arial" w:cs="Arial"/>
          <w:color w:val="000000" w:themeColor="text1"/>
        </w:rPr>
        <w:t xml:space="preserve">, E. (2022) “Thresholds for Hypertension Definition, Treatment Initiation, and Treatment Targets: Recent Guidelines at a Glance,” </w:t>
      </w:r>
      <w:r w:rsidRPr="002D298E">
        <w:rPr>
          <w:rFonts w:ascii="Arial" w:hAnsi="Arial" w:cs="Arial"/>
          <w:i/>
          <w:iCs/>
          <w:color w:val="000000" w:themeColor="text1"/>
        </w:rPr>
        <w:t>Circulation</w:t>
      </w:r>
      <w:r w:rsidRPr="002D298E">
        <w:rPr>
          <w:rFonts w:ascii="Arial" w:hAnsi="Arial" w:cs="Arial"/>
          <w:color w:val="000000" w:themeColor="text1"/>
        </w:rPr>
        <w:t xml:space="preserve">, 146(11), pp. 805–807. Available at: </w:t>
      </w:r>
      <w:hyperlink r:id="rId61" w:history="1">
        <w:r w:rsidRPr="002D298E">
          <w:rPr>
            <w:rStyle w:val="Hyperlink"/>
            <w:rFonts w:ascii="Arial" w:hAnsi="Arial" w:cs="Arial"/>
            <w:color w:val="000000" w:themeColor="text1"/>
          </w:rPr>
          <w:t>https://doi.org/10.1161/CIRCULATIONAHA.121.055177</w:t>
        </w:r>
      </w:hyperlink>
      <w:r w:rsidRPr="002D298E">
        <w:rPr>
          <w:rFonts w:ascii="Arial" w:hAnsi="Arial" w:cs="Arial"/>
          <w:color w:val="000000" w:themeColor="text1"/>
        </w:rPr>
        <w:t>. (Accessed: 02 July 2026).</w:t>
      </w:r>
    </w:p>
    <w:p w14:paraId="1BC96054" w14:textId="77777777" w:rsidR="00722357" w:rsidRPr="002D298E" w:rsidRDefault="00722357" w:rsidP="004757A6">
      <w:pPr>
        <w:spacing w:after="120" w:line="360" w:lineRule="auto"/>
        <w:ind w:left="360"/>
        <w:rPr>
          <w:rFonts w:ascii="Arial" w:hAnsi="Arial" w:cs="Arial"/>
          <w:color w:val="000000" w:themeColor="text1"/>
        </w:rPr>
      </w:pPr>
      <w:r w:rsidRPr="002D298E">
        <w:rPr>
          <w:rFonts w:ascii="Arial" w:hAnsi="Arial" w:cs="Arial"/>
          <w:color w:val="000000" w:themeColor="text1"/>
        </w:rPr>
        <w:t xml:space="preserve">Vijayaraghavan, M., Kushel, M.B., Vittinghoff, E., Kertesz, S., Jacobs, D., Lewis, C.E., Sidney, S. and Bibbins-Domingo, K. (2012) “Housing Instability and Incident Hypertension in the CARDIA Cohort.” </w:t>
      </w:r>
      <w:r w:rsidRPr="002D298E">
        <w:rPr>
          <w:rFonts w:ascii="Arial" w:hAnsi="Arial" w:cs="Arial"/>
          <w:i/>
          <w:iCs/>
          <w:color w:val="000000" w:themeColor="text1"/>
        </w:rPr>
        <w:t>Journal of Urban Health</w:t>
      </w:r>
      <w:r w:rsidRPr="002D298E">
        <w:rPr>
          <w:rFonts w:ascii="Arial" w:hAnsi="Arial" w:cs="Arial"/>
          <w:color w:val="000000" w:themeColor="text1"/>
        </w:rPr>
        <w:t xml:space="preserve">, pp.427–441. Available at: </w:t>
      </w:r>
      <w:hyperlink r:id="rId62" w:history="1">
        <w:r w:rsidRPr="002D298E">
          <w:rPr>
            <w:rStyle w:val="Hyperlink"/>
            <w:rFonts w:ascii="Arial" w:hAnsi="Arial" w:cs="Arial"/>
            <w:color w:val="000000" w:themeColor="text1"/>
          </w:rPr>
          <w:t>https://doi.org/10.1007/s11524-012-9729-z</w:t>
        </w:r>
      </w:hyperlink>
      <w:r w:rsidRPr="002D298E">
        <w:rPr>
          <w:rFonts w:ascii="Arial" w:hAnsi="Arial" w:cs="Arial"/>
          <w:color w:val="000000" w:themeColor="text1"/>
        </w:rPr>
        <w:t>. Accessed: 01 July 2026.</w:t>
      </w:r>
    </w:p>
    <w:p w14:paraId="17814904" w14:textId="77777777" w:rsidR="00722357" w:rsidRPr="002D298E" w:rsidRDefault="00722357" w:rsidP="004757A6">
      <w:pPr>
        <w:spacing w:after="120" w:line="360" w:lineRule="auto"/>
        <w:ind w:left="360"/>
        <w:rPr>
          <w:rFonts w:ascii="Arial" w:hAnsi="Arial" w:cs="Arial"/>
          <w:color w:val="000000" w:themeColor="text1"/>
        </w:rPr>
      </w:pPr>
      <w:r w:rsidRPr="002D298E">
        <w:rPr>
          <w:rFonts w:ascii="Arial" w:hAnsi="Arial" w:cs="Arial"/>
          <w:color w:val="000000" w:themeColor="text1"/>
        </w:rPr>
        <w:t xml:space="preserve">Wagner, E.H., Austin, B.T., Davis, C., Hindmarsh, M., Schaefer, J. and Bonomi, A. (2001) “Improving chronic illness care: translating evidence into action”, </w:t>
      </w:r>
      <w:r w:rsidRPr="002D298E">
        <w:rPr>
          <w:rFonts w:ascii="Arial" w:hAnsi="Arial" w:cs="Arial"/>
          <w:i/>
          <w:iCs/>
          <w:color w:val="000000" w:themeColor="text1"/>
        </w:rPr>
        <w:t>Health Affairs</w:t>
      </w:r>
      <w:r w:rsidRPr="002D298E">
        <w:rPr>
          <w:rFonts w:ascii="Arial" w:hAnsi="Arial" w:cs="Arial"/>
          <w:color w:val="000000" w:themeColor="text1"/>
        </w:rPr>
        <w:t xml:space="preserve">, 20(6), pp. 64–78. Available at: </w:t>
      </w:r>
      <w:hyperlink r:id="rId63" w:history="1">
        <w:r w:rsidRPr="002D298E">
          <w:rPr>
            <w:rStyle w:val="Hyperlink"/>
            <w:rFonts w:ascii="Arial" w:hAnsi="Arial" w:cs="Arial"/>
            <w:color w:val="000000" w:themeColor="text1"/>
          </w:rPr>
          <w:t>https://doi.org/10.1377/hlthaff.20.6.64</w:t>
        </w:r>
      </w:hyperlink>
      <w:r w:rsidRPr="002D298E">
        <w:rPr>
          <w:rFonts w:ascii="Arial" w:hAnsi="Arial" w:cs="Arial"/>
          <w:color w:val="000000" w:themeColor="text1"/>
        </w:rPr>
        <w:t>.  Accessed: 24 June 2026</w:t>
      </w:r>
    </w:p>
    <w:p w14:paraId="55DAD167" w14:textId="77777777" w:rsidR="00722357" w:rsidRPr="002D298E" w:rsidRDefault="00722357" w:rsidP="004757A6">
      <w:pPr>
        <w:spacing w:after="120" w:line="360" w:lineRule="auto"/>
        <w:ind w:left="360"/>
        <w:rPr>
          <w:rFonts w:ascii="Arial" w:hAnsi="Arial" w:cs="Arial"/>
          <w:color w:val="000000" w:themeColor="text1"/>
        </w:rPr>
      </w:pPr>
      <w:r w:rsidRPr="002D298E">
        <w:rPr>
          <w:rFonts w:ascii="Arial" w:hAnsi="Arial" w:cs="Arial"/>
          <w:color w:val="000000" w:themeColor="text1"/>
        </w:rPr>
        <w:t xml:space="preserve">Williams, B., Mancia, G., Spiering, W., </w:t>
      </w:r>
      <w:proofErr w:type="spellStart"/>
      <w:r w:rsidRPr="002D298E">
        <w:rPr>
          <w:rFonts w:ascii="Arial" w:hAnsi="Arial" w:cs="Arial"/>
          <w:color w:val="000000" w:themeColor="text1"/>
        </w:rPr>
        <w:t>Agabiti</w:t>
      </w:r>
      <w:proofErr w:type="spellEnd"/>
      <w:r w:rsidRPr="002D298E">
        <w:rPr>
          <w:rFonts w:ascii="Arial" w:hAnsi="Arial" w:cs="Arial"/>
          <w:color w:val="000000" w:themeColor="text1"/>
        </w:rPr>
        <w:t xml:space="preserve"> Rosei, E., Azizi, M., </w:t>
      </w:r>
      <w:proofErr w:type="spellStart"/>
      <w:r w:rsidRPr="002D298E">
        <w:rPr>
          <w:rFonts w:ascii="Arial" w:hAnsi="Arial" w:cs="Arial"/>
          <w:color w:val="000000" w:themeColor="text1"/>
        </w:rPr>
        <w:t>Burnier</w:t>
      </w:r>
      <w:proofErr w:type="spellEnd"/>
      <w:r w:rsidRPr="002D298E">
        <w:rPr>
          <w:rFonts w:ascii="Arial" w:hAnsi="Arial" w:cs="Arial"/>
          <w:color w:val="000000" w:themeColor="text1"/>
        </w:rPr>
        <w:t xml:space="preserve">, M., Clement, D.L., Coca, A., de Simone, G., Dominiczak, A. </w:t>
      </w:r>
      <w:r w:rsidRPr="002D298E">
        <w:rPr>
          <w:rFonts w:ascii="Arial" w:hAnsi="Arial" w:cs="Arial"/>
          <w:i/>
          <w:iCs/>
          <w:color w:val="000000" w:themeColor="text1"/>
        </w:rPr>
        <w:t>et al.</w:t>
      </w:r>
      <w:r w:rsidRPr="002D298E">
        <w:rPr>
          <w:rFonts w:ascii="Arial" w:hAnsi="Arial" w:cs="Arial"/>
          <w:color w:val="000000" w:themeColor="text1"/>
        </w:rPr>
        <w:t xml:space="preserve"> (2018) “2018 ESC/ESH Guidelines for the </w:t>
      </w:r>
      <w:r w:rsidRPr="002D298E">
        <w:rPr>
          <w:rFonts w:ascii="Arial" w:hAnsi="Arial" w:cs="Arial"/>
          <w:color w:val="000000" w:themeColor="text1"/>
        </w:rPr>
        <w:t xml:space="preserve">management of arterial hypertension”, </w:t>
      </w:r>
      <w:r w:rsidRPr="002D298E">
        <w:rPr>
          <w:rFonts w:ascii="Arial" w:hAnsi="Arial" w:cs="Arial"/>
          <w:i/>
          <w:iCs/>
          <w:color w:val="000000" w:themeColor="text1"/>
        </w:rPr>
        <w:t>European Heart Journal</w:t>
      </w:r>
      <w:r w:rsidRPr="002D298E">
        <w:rPr>
          <w:rFonts w:ascii="Arial" w:hAnsi="Arial" w:cs="Arial"/>
          <w:color w:val="000000" w:themeColor="text1"/>
        </w:rPr>
        <w:t xml:space="preserve">, </w:t>
      </w:r>
      <w:r w:rsidRPr="00E50681">
        <w:rPr>
          <w:rFonts w:ascii="Arial" w:hAnsi="Arial" w:cs="Arial"/>
          <w:color w:val="000000" w:themeColor="text1"/>
        </w:rPr>
        <w:t>39(33</w:t>
      </w:r>
      <w:r w:rsidRPr="002D298E">
        <w:rPr>
          <w:rFonts w:ascii="Arial" w:hAnsi="Arial" w:cs="Arial"/>
          <w:color w:val="000000" w:themeColor="text1"/>
        </w:rPr>
        <w:t>), pp. 3021–3104. doi:10.1093/</w:t>
      </w:r>
      <w:proofErr w:type="spellStart"/>
      <w:r w:rsidRPr="002D298E">
        <w:rPr>
          <w:rFonts w:ascii="Arial" w:hAnsi="Arial" w:cs="Arial"/>
          <w:color w:val="000000" w:themeColor="text1"/>
        </w:rPr>
        <w:t>eurheartj</w:t>
      </w:r>
      <w:proofErr w:type="spellEnd"/>
      <w:r w:rsidRPr="002D298E">
        <w:rPr>
          <w:rFonts w:ascii="Arial" w:hAnsi="Arial" w:cs="Arial"/>
          <w:color w:val="000000" w:themeColor="text1"/>
        </w:rPr>
        <w:t xml:space="preserve">/ehy339. (Accessed: 05 July 2026). </w:t>
      </w:r>
    </w:p>
    <w:p w14:paraId="46A04A0A" w14:textId="77777777" w:rsidR="00722357" w:rsidRPr="002D298E" w:rsidRDefault="00722357" w:rsidP="004757A6">
      <w:pPr>
        <w:spacing w:after="120" w:line="360" w:lineRule="auto"/>
        <w:ind w:left="360"/>
        <w:jc w:val="both"/>
        <w:rPr>
          <w:rFonts w:ascii="Arial" w:hAnsi="Arial" w:cs="Arial"/>
          <w:color w:val="000000" w:themeColor="text1"/>
        </w:rPr>
      </w:pPr>
      <w:r w:rsidRPr="002D298E">
        <w:rPr>
          <w:rFonts w:ascii="Arial" w:hAnsi="Arial" w:cs="Arial"/>
          <w:color w:val="000000" w:themeColor="text1"/>
        </w:rPr>
        <w:t xml:space="preserve">World Health Organization (2023). “Hypertension”, </w:t>
      </w:r>
      <w:r w:rsidRPr="002D298E">
        <w:rPr>
          <w:rFonts w:ascii="Arial" w:hAnsi="Arial" w:cs="Arial"/>
          <w:i/>
          <w:iCs/>
          <w:color w:val="000000" w:themeColor="text1"/>
        </w:rPr>
        <w:t>World Health Organization</w:t>
      </w:r>
      <w:r w:rsidRPr="002D298E">
        <w:rPr>
          <w:rFonts w:ascii="Arial" w:hAnsi="Arial" w:cs="Arial"/>
          <w:color w:val="000000" w:themeColor="text1"/>
        </w:rPr>
        <w:t xml:space="preserve">. Available at: </w:t>
      </w:r>
      <w:hyperlink r:id="rId64" w:history="1">
        <w:r w:rsidRPr="002D298E">
          <w:rPr>
            <w:rStyle w:val="Hyperlink"/>
            <w:rFonts w:ascii="Arial" w:hAnsi="Arial" w:cs="Arial"/>
            <w:color w:val="000000" w:themeColor="text1"/>
          </w:rPr>
          <w:t>https://www.who.int/news-room/fact-sheets/detail/hypertension</w:t>
        </w:r>
      </w:hyperlink>
      <w:r w:rsidRPr="002D298E">
        <w:rPr>
          <w:rFonts w:ascii="Arial" w:hAnsi="Arial" w:cs="Arial"/>
          <w:color w:val="000000" w:themeColor="text1"/>
        </w:rPr>
        <w:t>. (Accessed: 26 June 2026).</w:t>
      </w:r>
    </w:p>
    <w:p w14:paraId="0E453182" w14:textId="77777777" w:rsidR="00722357" w:rsidRPr="002D298E" w:rsidRDefault="00722357" w:rsidP="004757A6">
      <w:pPr>
        <w:spacing w:after="120" w:line="360" w:lineRule="auto"/>
        <w:ind w:left="360"/>
        <w:rPr>
          <w:rFonts w:ascii="Arial" w:hAnsi="Arial" w:cs="Arial"/>
          <w:color w:val="000000" w:themeColor="text1"/>
        </w:rPr>
      </w:pPr>
      <w:r w:rsidRPr="002D298E">
        <w:rPr>
          <w:rFonts w:ascii="Arial" w:hAnsi="Arial" w:cs="Arial"/>
          <w:color w:val="000000" w:themeColor="text1"/>
        </w:rPr>
        <w:t xml:space="preserve">World Health Organization (WHO) (2023) “Global report on hypertension: the race against a silent killer.” </w:t>
      </w:r>
      <w:r w:rsidRPr="002D298E">
        <w:rPr>
          <w:rFonts w:ascii="Arial" w:hAnsi="Arial" w:cs="Arial"/>
          <w:i/>
          <w:iCs/>
          <w:color w:val="000000" w:themeColor="text1"/>
        </w:rPr>
        <w:t>Geneva: World Health Organization</w:t>
      </w:r>
      <w:r w:rsidRPr="002D298E">
        <w:rPr>
          <w:rFonts w:ascii="Arial" w:hAnsi="Arial" w:cs="Arial"/>
          <w:color w:val="000000" w:themeColor="text1"/>
        </w:rPr>
        <w:t xml:space="preserve">. Available at: </w:t>
      </w:r>
      <w:hyperlink r:id="rId65" w:tgtFrame="_new" w:history="1">
        <w:r w:rsidRPr="002D298E">
          <w:rPr>
            <w:rStyle w:val="Hyperlink"/>
            <w:rFonts w:ascii="Arial" w:hAnsi="Arial" w:cs="Arial"/>
            <w:color w:val="000000" w:themeColor="text1"/>
          </w:rPr>
          <w:t>https://www.who.int/publications/i/item/9789240081062</w:t>
        </w:r>
      </w:hyperlink>
      <w:r w:rsidRPr="002D298E">
        <w:rPr>
          <w:rFonts w:ascii="Arial" w:hAnsi="Arial" w:cs="Arial"/>
          <w:color w:val="000000" w:themeColor="text1"/>
        </w:rPr>
        <w:t xml:space="preserve"> (Accessed: 5 July 2026).</w:t>
      </w:r>
    </w:p>
    <w:p w14:paraId="0F8913D5" w14:textId="77777777" w:rsidR="00722357" w:rsidRPr="002D298E" w:rsidRDefault="00722357" w:rsidP="004757A6">
      <w:pPr>
        <w:pStyle w:val="pdq2pgselectionanchorcontainer"/>
        <w:spacing w:before="0" w:beforeAutospacing="0" w:after="120" w:afterAutospacing="0" w:line="360" w:lineRule="auto"/>
        <w:ind w:left="360"/>
        <w:rPr>
          <w:rFonts w:ascii="Arial" w:hAnsi="Arial" w:cs="Arial"/>
          <w:color w:val="000000" w:themeColor="text1"/>
          <w:sz w:val="22"/>
          <w:szCs w:val="22"/>
        </w:rPr>
      </w:pPr>
      <w:r w:rsidRPr="002D298E">
        <w:rPr>
          <w:rFonts w:ascii="Arial" w:hAnsi="Arial" w:cs="Arial"/>
          <w:color w:val="000000" w:themeColor="text1"/>
          <w:sz w:val="22"/>
          <w:szCs w:val="22"/>
        </w:rPr>
        <w:t xml:space="preserve">World Health Organization (WHO) (2025) </w:t>
      </w:r>
      <w:r w:rsidRPr="002D298E">
        <w:rPr>
          <w:rStyle w:val="Emphasis"/>
          <w:rFonts w:ascii="Arial" w:hAnsi="Arial" w:cs="Arial"/>
          <w:color w:val="000000" w:themeColor="text1"/>
          <w:sz w:val="22"/>
          <w:szCs w:val="22"/>
        </w:rPr>
        <w:t>Hypertension</w:t>
      </w:r>
      <w:r w:rsidRPr="002D298E">
        <w:rPr>
          <w:rFonts w:ascii="Arial" w:hAnsi="Arial" w:cs="Arial"/>
          <w:color w:val="000000" w:themeColor="text1"/>
          <w:sz w:val="22"/>
          <w:szCs w:val="22"/>
        </w:rPr>
        <w:t xml:space="preserve">. Available at: </w:t>
      </w:r>
      <w:hyperlink r:id="rId66" w:tgtFrame="_new" w:history="1">
        <w:r w:rsidRPr="002D298E">
          <w:rPr>
            <w:rStyle w:val="Hyperlink"/>
            <w:rFonts w:ascii="Arial" w:hAnsi="Arial" w:cs="Arial"/>
            <w:color w:val="000000" w:themeColor="text1"/>
            <w:sz w:val="22"/>
            <w:szCs w:val="22"/>
          </w:rPr>
          <w:t>https://www.who.int/news-room/fact-sheets/detail/hypertension</w:t>
        </w:r>
      </w:hyperlink>
      <w:r w:rsidRPr="002D298E">
        <w:rPr>
          <w:rFonts w:ascii="Arial" w:hAnsi="Arial" w:cs="Arial"/>
          <w:color w:val="000000" w:themeColor="text1"/>
          <w:sz w:val="22"/>
          <w:szCs w:val="22"/>
        </w:rPr>
        <w:t xml:space="preserve"> (Accessed: 5 July 2026). </w:t>
      </w:r>
    </w:p>
    <w:p w14:paraId="17BE38A8" w14:textId="5DB4E51B" w:rsidR="00FF23D8" w:rsidRPr="002D298E" w:rsidRDefault="00FF23D8" w:rsidP="004757A6">
      <w:pPr>
        <w:pStyle w:val="pdq2pgselectionanchorcontainer"/>
        <w:spacing w:before="0" w:beforeAutospacing="0" w:after="120" w:afterAutospacing="0" w:line="360" w:lineRule="auto"/>
        <w:ind w:left="360"/>
        <w:rPr>
          <w:rFonts w:ascii="Arial" w:hAnsi="Arial" w:cs="Arial"/>
          <w:color w:val="000000" w:themeColor="text1"/>
          <w:sz w:val="22"/>
          <w:szCs w:val="22"/>
        </w:rPr>
      </w:pPr>
    </w:p>
    <w:sectPr w:rsidR="00FF23D8" w:rsidRPr="002D298E" w:rsidSect="006C4883">
      <w:headerReference w:type="default" r:id="rId67"/>
      <w:footerReference w:type="default" r:id="rId68"/>
      <w:pgSz w:w="16838" w:h="11906" w:orient="landscape"/>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F0F2CF" w14:textId="77777777" w:rsidR="00FD2399" w:rsidRDefault="00FD2399" w:rsidP="00FA2875">
      <w:pPr>
        <w:spacing w:after="0" w:line="240" w:lineRule="auto"/>
      </w:pPr>
      <w:r>
        <w:separator/>
      </w:r>
    </w:p>
  </w:endnote>
  <w:endnote w:type="continuationSeparator" w:id="0">
    <w:p w14:paraId="44B3CD83" w14:textId="77777777" w:rsidR="00FD2399" w:rsidRDefault="00FD2399" w:rsidP="00FA28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6050039"/>
      <w:docPartObj>
        <w:docPartGallery w:val="Page Numbers (Bottom of Page)"/>
        <w:docPartUnique/>
      </w:docPartObj>
    </w:sdtPr>
    <w:sdtEndPr>
      <w:rPr>
        <w:noProof/>
      </w:rPr>
    </w:sdtEndPr>
    <w:sdtContent>
      <w:p w14:paraId="1F60981A" w14:textId="427EB151" w:rsidR="005D0876" w:rsidRDefault="005D087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BC98D7" w14:textId="1711C288" w:rsidR="00EE29F6" w:rsidRDefault="00EE29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CDC66F" w14:textId="77777777" w:rsidR="00FD2399" w:rsidRDefault="00FD2399" w:rsidP="00FA2875">
      <w:pPr>
        <w:spacing w:after="0" w:line="240" w:lineRule="auto"/>
      </w:pPr>
      <w:r>
        <w:separator/>
      </w:r>
    </w:p>
  </w:footnote>
  <w:footnote w:type="continuationSeparator" w:id="0">
    <w:p w14:paraId="7DD53D8F" w14:textId="77777777" w:rsidR="00FD2399" w:rsidRDefault="00FD2399" w:rsidP="00FA28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A9094" w14:textId="567D38F8" w:rsidR="00C752FE" w:rsidRDefault="00C752FE">
    <w:pPr>
      <w:pStyle w:val="Header"/>
    </w:pPr>
    <w:r>
      <w:rPr>
        <w:rFonts w:ascii="Times New Roman"/>
        <w:noProof/>
        <w:sz w:val="20"/>
        <w:lang w:eastAsia="en-GB"/>
      </w:rPr>
      <w:drawing>
        <wp:inline distT="0" distB="0" distL="0" distR="0" wp14:anchorId="1CFF7064" wp14:editId="51F7B869">
          <wp:extent cx="1684421" cy="540084"/>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1695962" cy="543784"/>
                  </a:xfrm>
                  <a:prstGeom prst="rect">
                    <a:avLst/>
                  </a:prstGeom>
                </pic:spPr>
              </pic:pic>
            </a:graphicData>
          </a:graphic>
        </wp:inline>
      </w:drawing>
    </w:r>
  </w:p>
  <w:p w14:paraId="44C733F5" w14:textId="77777777" w:rsidR="00C752FE" w:rsidRDefault="00C752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5774"/>
    <w:multiLevelType w:val="multilevel"/>
    <w:tmpl w:val="8FD21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4940AE"/>
    <w:multiLevelType w:val="multilevel"/>
    <w:tmpl w:val="07F80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4E4F74"/>
    <w:multiLevelType w:val="multilevel"/>
    <w:tmpl w:val="ABDA4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66A62"/>
    <w:multiLevelType w:val="multilevel"/>
    <w:tmpl w:val="04963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46118B"/>
    <w:multiLevelType w:val="multilevel"/>
    <w:tmpl w:val="79D0C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6D705B"/>
    <w:multiLevelType w:val="multilevel"/>
    <w:tmpl w:val="41802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2C1B6C"/>
    <w:multiLevelType w:val="multilevel"/>
    <w:tmpl w:val="8EA85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A40103"/>
    <w:multiLevelType w:val="multilevel"/>
    <w:tmpl w:val="FC422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B44035"/>
    <w:multiLevelType w:val="multilevel"/>
    <w:tmpl w:val="C0561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BC448A"/>
    <w:multiLevelType w:val="multilevel"/>
    <w:tmpl w:val="688AD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03483D"/>
    <w:multiLevelType w:val="multilevel"/>
    <w:tmpl w:val="16562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6F6539"/>
    <w:multiLevelType w:val="multilevel"/>
    <w:tmpl w:val="123CC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4B20FC"/>
    <w:multiLevelType w:val="multilevel"/>
    <w:tmpl w:val="3D58C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1D61B8"/>
    <w:multiLevelType w:val="hybridMultilevel"/>
    <w:tmpl w:val="5492D4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F371E99"/>
    <w:multiLevelType w:val="multilevel"/>
    <w:tmpl w:val="04629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F13DC3"/>
    <w:multiLevelType w:val="multilevel"/>
    <w:tmpl w:val="3FA03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BC3ABE"/>
    <w:multiLevelType w:val="hybridMultilevel"/>
    <w:tmpl w:val="946466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C46B21"/>
    <w:multiLevelType w:val="multilevel"/>
    <w:tmpl w:val="3D4C1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BD5256"/>
    <w:multiLevelType w:val="multilevel"/>
    <w:tmpl w:val="ECC49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7A0E63"/>
    <w:multiLevelType w:val="multilevel"/>
    <w:tmpl w:val="5CA47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AB2706"/>
    <w:multiLevelType w:val="multilevel"/>
    <w:tmpl w:val="7BB65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F15A06"/>
    <w:multiLevelType w:val="multilevel"/>
    <w:tmpl w:val="DEB0C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0C2BA9"/>
    <w:multiLevelType w:val="multilevel"/>
    <w:tmpl w:val="35320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3F5207"/>
    <w:multiLevelType w:val="multilevel"/>
    <w:tmpl w:val="5C94F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4D4027"/>
    <w:multiLevelType w:val="multilevel"/>
    <w:tmpl w:val="D1B6A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5E5FC5"/>
    <w:multiLevelType w:val="hybridMultilevel"/>
    <w:tmpl w:val="41F231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BA51E13"/>
    <w:multiLevelType w:val="multilevel"/>
    <w:tmpl w:val="0750C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903CC6"/>
    <w:multiLevelType w:val="multilevel"/>
    <w:tmpl w:val="61709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C86B80"/>
    <w:multiLevelType w:val="multilevel"/>
    <w:tmpl w:val="96104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C914C6"/>
    <w:multiLevelType w:val="multilevel"/>
    <w:tmpl w:val="3AC86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DC340F"/>
    <w:multiLevelType w:val="multilevel"/>
    <w:tmpl w:val="BAEC6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591D3A"/>
    <w:multiLevelType w:val="multilevel"/>
    <w:tmpl w:val="E8102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ED5901"/>
    <w:multiLevelType w:val="multilevel"/>
    <w:tmpl w:val="66B6B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4158B9"/>
    <w:multiLevelType w:val="multilevel"/>
    <w:tmpl w:val="DC1CB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4F54595"/>
    <w:multiLevelType w:val="multilevel"/>
    <w:tmpl w:val="61A45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3A714F"/>
    <w:multiLevelType w:val="multilevel"/>
    <w:tmpl w:val="4184C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484F2F"/>
    <w:multiLevelType w:val="multilevel"/>
    <w:tmpl w:val="28406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1E6E82"/>
    <w:multiLevelType w:val="hybridMultilevel"/>
    <w:tmpl w:val="992A4D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4AA64B2"/>
    <w:multiLevelType w:val="multilevel"/>
    <w:tmpl w:val="9FD88D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74C738B2"/>
    <w:multiLevelType w:val="multilevel"/>
    <w:tmpl w:val="863E9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687498"/>
    <w:multiLevelType w:val="multilevel"/>
    <w:tmpl w:val="60CCC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B57057"/>
    <w:multiLevelType w:val="multilevel"/>
    <w:tmpl w:val="33021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CD1A58"/>
    <w:multiLevelType w:val="multilevel"/>
    <w:tmpl w:val="991C6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045329"/>
    <w:multiLevelType w:val="hybridMultilevel"/>
    <w:tmpl w:val="119A99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4841664">
    <w:abstractNumId w:val="15"/>
  </w:num>
  <w:num w:numId="2" w16cid:durableId="52699160">
    <w:abstractNumId w:val="34"/>
  </w:num>
  <w:num w:numId="3" w16cid:durableId="1891067292">
    <w:abstractNumId w:val="31"/>
  </w:num>
  <w:num w:numId="4" w16cid:durableId="809521566">
    <w:abstractNumId w:val="33"/>
  </w:num>
  <w:num w:numId="5" w16cid:durableId="374895471">
    <w:abstractNumId w:val="35"/>
  </w:num>
  <w:num w:numId="6" w16cid:durableId="2020231786">
    <w:abstractNumId w:val="17"/>
  </w:num>
  <w:num w:numId="7" w16cid:durableId="770927955">
    <w:abstractNumId w:val="1"/>
  </w:num>
  <w:num w:numId="8" w16cid:durableId="1706825584">
    <w:abstractNumId w:val="23"/>
  </w:num>
  <w:num w:numId="9" w16cid:durableId="1056658858">
    <w:abstractNumId w:val="32"/>
  </w:num>
  <w:num w:numId="10" w16cid:durableId="462118313">
    <w:abstractNumId w:val="6"/>
  </w:num>
  <w:num w:numId="11" w16cid:durableId="592052427">
    <w:abstractNumId w:val="30"/>
  </w:num>
  <w:num w:numId="12" w16cid:durableId="1565026418">
    <w:abstractNumId w:val="7"/>
  </w:num>
  <w:num w:numId="13" w16cid:durableId="294726990">
    <w:abstractNumId w:val="12"/>
  </w:num>
  <w:num w:numId="14" w16cid:durableId="1786995493">
    <w:abstractNumId w:val="19"/>
  </w:num>
  <w:num w:numId="15" w16cid:durableId="1422948620">
    <w:abstractNumId w:val="29"/>
  </w:num>
  <w:num w:numId="16" w16cid:durableId="471362963">
    <w:abstractNumId w:val="9"/>
  </w:num>
  <w:num w:numId="17" w16cid:durableId="956330782">
    <w:abstractNumId w:val="42"/>
  </w:num>
  <w:num w:numId="18" w16cid:durableId="962887676">
    <w:abstractNumId w:val="4"/>
  </w:num>
  <w:num w:numId="19" w16cid:durableId="1705130175">
    <w:abstractNumId w:val="21"/>
  </w:num>
  <w:num w:numId="20" w16cid:durableId="598441434">
    <w:abstractNumId w:val="18"/>
  </w:num>
  <w:num w:numId="21" w16cid:durableId="249505394">
    <w:abstractNumId w:val="26"/>
  </w:num>
  <w:num w:numId="22" w16cid:durableId="104931212">
    <w:abstractNumId w:val="2"/>
  </w:num>
  <w:num w:numId="23" w16cid:durableId="707140992">
    <w:abstractNumId w:val="40"/>
  </w:num>
  <w:num w:numId="24" w16cid:durableId="521943432">
    <w:abstractNumId w:val="36"/>
  </w:num>
  <w:num w:numId="25" w16cid:durableId="1690253911">
    <w:abstractNumId w:val="28"/>
  </w:num>
  <w:num w:numId="26" w16cid:durableId="763301231">
    <w:abstractNumId w:val="24"/>
  </w:num>
  <w:num w:numId="27" w16cid:durableId="1857307638">
    <w:abstractNumId w:val="0"/>
  </w:num>
  <w:num w:numId="28" w16cid:durableId="556817832">
    <w:abstractNumId w:val="39"/>
  </w:num>
  <w:num w:numId="29" w16cid:durableId="1780829012">
    <w:abstractNumId w:val="14"/>
  </w:num>
  <w:num w:numId="30" w16cid:durableId="883954452">
    <w:abstractNumId w:val="3"/>
  </w:num>
  <w:num w:numId="31" w16cid:durableId="117571962">
    <w:abstractNumId w:val="11"/>
  </w:num>
  <w:num w:numId="32" w16cid:durableId="801656951">
    <w:abstractNumId w:val="22"/>
  </w:num>
  <w:num w:numId="33" w16cid:durableId="1021903692">
    <w:abstractNumId w:val="8"/>
  </w:num>
  <w:num w:numId="34" w16cid:durableId="1502621454">
    <w:abstractNumId w:val="10"/>
  </w:num>
  <w:num w:numId="35" w16cid:durableId="1734354852">
    <w:abstractNumId w:val="27"/>
  </w:num>
  <w:num w:numId="36" w16cid:durableId="37316766">
    <w:abstractNumId w:val="41"/>
  </w:num>
  <w:num w:numId="37" w16cid:durableId="133569910">
    <w:abstractNumId w:val="20"/>
  </w:num>
  <w:num w:numId="38" w16cid:durableId="2089502452">
    <w:abstractNumId w:val="5"/>
  </w:num>
  <w:num w:numId="39" w16cid:durableId="2142653388">
    <w:abstractNumId w:val="38"/>
  </w:num>
  <w:num w:numId="40" w16cid:durableId="892809854">
    <w:abstractNumId w:val="16"/>
  </w:num>
  <w:num w:numId="41" w16cid:durableId="2030332173">
    <w:abstractNumId w:val="25"/>
  </w:num>
  <w:num w:numId="42" w16cid:durableId="1958173464">
    <w:abstractNumId w:val="43"/>
  </w:num>
  <w:num w:numId="43" w16cid:durableId="1784228435">
    <w:abstractNumId w:val="37"/>
  </w:num>
  <w:num w:numId="44" w16cid:durableId="201845659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883"/>
    <w:rsid w:val="00001AAF"/>
    <w:rsid w:val="00003AAF"/>
    <w:rsid w:val="00015E4B"/>
    <w:rsid w:val="00017020"/>
    <w:rsid w:val="000202C8"/>
    <w:rsid w:val="0002207D"/>
    <w:rsid w:val="00034B9C"/>
    <w:rsid w:val="000426B0"/>
    <w:rsid w:val="0004688E"/>
    <w:rsid w:val="00051A34"/>
    <w:rsid w:val="00075C7D"/>
    <w:rsid w:val="00085EB3"/>
    <w:rsid w:val="00086E5E"/>
    <w:rsid w:val="00097AB9"/>
    <w:rsid w:val="000A00F1"/>
    <w:rsid w:val="000A0911"/>
    <w:rsid w:val="000A41E6"/>
    <w:rsid w:val="000B0E18"/>
    <w:rsid w:val="000B3546"/>
    <w:rsid w:val="000B5FC3"/>
    <w:rsid w:val="000C56D6"/>
    <w:rsid w:val="000C696B"/>
    <w:rsid w:val="000D3309"/>
    <w:rsid w:val="000D54BA"/>
    <w:rsid w:val="000E1A62"/>
    <w:rsid w:val="000E39BC"/>
    <w:rsid w:val="000E41A4"/>
    <w:rsid w:val="000E6F49"/>
    <w:rsid w:val="000E739A"/>
    <w:rsid w:val="000E7911"/>
    <w:rsid w:val="000F1CBA"/>
    <w:rsid w:val="000F3194"/>
    <w:rsid w:val="000F402B"/>
    <w:rsid w:val="000F4F12"/>
    <w:rsid w:val="000F59A5"/>
    <w:rsid w:val="00103814"/>
    <w:rsid w:val="00105409"/>
    <w:rsid w:val="00113A46"/>
    <w:rsid w:val="00113E99"/>
    <w:rsid w:val="00116273"/>
    <w:rsid w:val="001234B8"/>
    <w:rsid w:val="001238B9"/>
    <w:rsid w:val="00124220"/>
    <w:rsid w:val="0012662B"/>
    <w:rsid w:val="00130D6D"/>
    <w:rsid w:val="00134EBB"/>
    <w:rsid w:val="0015379B"/>
    <w:rsid w:val="00153918"/>
    <w:rsid w:val="00153ED8"/>
    <w:rsid w:val="00154332"/>
    <w:rsid w:val="0015648A"/>
    <w:rsid w:val="001618A4"/>
    <w:rsid w:val="00162153"/>
    <w:rsid w:val="00162C18"/>
    <w:rsid w:val="00163DC7"/>
    <w:rsid w:val="0016589F"/>
    <w:rsid w:val="00171022"/>
    <w:rsid w:val="0017134A"/>
    <w:rsid w:val="001732A5"/>
    <w:rsid w:val="0017741D"/>
    <w:rsid w:val="001805B8"/>
    <w:rsid w:val="00180796"/>
    <w:rsid w:val="00182CC5"/>
    <w:rsid w:val="0018514E"/>
    <w:rsid w:val="001937CD"/>
    <w:rsid w:val="0019781D"/>
    <w:rsid w:val="001A1F6B"/>
    <w:rsid w:val="001B06D7"/>
    <w:rsid w:val="001B1E95"/>
    <w:rsid w:val="001C2702"/>
    <w:rsid w:val="001C6C88"/>
    <w:rsid w:val="001C6DAD"/>
    <w:rsid w:val="001E01D3"/>
    <w:rsid w:val="001E576D"/>
    <w:rsid w:val="001F1BE5"/>
    <w:rsid w:val="001F629C"/>
    <w:rsid w:val="001F71B0"/>
    <w:rsid w:val="00200D30"/>
    <w:rsid w:val="00216DCF"/>
    <w:rsid w:val="002175B1"/>
    <w:rsid w:val="00220BCD"/>
    <w:rsid w:val="002218C3"/>
    <w:rsid w:val="002228F7"/>
    <w:rsid w:val="00224D7D"/>
    <w:rsid w:val="00241303"/>
    <w:rsid w:val="002420D3"/>
    <w:rsid w:val="00242C3E"/>
    <w:rsid w:val="0024341A"/>
    <w:rsid w:val="00245E86"/>
    <w:rsid w:val="00247491"/>
    <w:rsid w:val="00247D85"/>
    <w:rsid w:val="0025365F"/>
    <w:rsid w:val="002545E4"/>
    <w:rsid w:val="002600FC"/>
    <w:rsid w:val="002608D5"/>
    <w:rsid w:val="0026622E"/>
    <w:rsid w:val="00271C9B"/>
    <w:rsid w:val="0027205A"/>
    <w:rsid w:val="00275529"/>
    <w:rsid w:val="00275E34"/>
    <w:rsid w:val="002901D0"/>
    <w:rsid w:val="00294527"/>
    <w:rsid w:val="002956B4"/>
    <w:rsid w:val="002A0D26"/>
    <w:rsid w:val="002A359D"/>
    <w:rsid w:val="002A4C43"/>
    <w:rsid w:val="002A60CE"/>
    <w:rsid w:val="002B3AED"/>
    <w:rsid w:val="002B6983"/>
    <w:rsid w:val="002B77C8"/>
    <w:rsid w:val="002C5364"/>
    <w:rsid w:val="002D298E"/>
    <w:rsid w:val="002D5747"/>
    <w:rsid w:val="002E0F7C"/>
    <w:rsid w:val="002E4634"/>
    <w:rsid w:val="002E7F23"/>
    <w:rsid w:val="002F43F9"/>
    <w:rsid w:val="002F4411"/>
    <w:rsid w:val="002F4E3B"/>
    <w:rsid w:val="002F63D4"/>
    <w:rsid w:val="003002CE"/>
    <w:rsid w:val="00301FB2"/>
    <w:rsid w:val="00306EFB"/>
    <w:rsid w:val="003077AF"/>
    <w:rsid w:val="00307B6E"/>
    <w:rsid w:val="0031305E"/>
    <w:rsid w:val="003159CD"/>
    <w:rsid w:val="0031728E"/>
    <w:rsid w:val="00317CB9"/>
    <w:rsid w:val="00317CC4"/>
    <w:rsid w:val="00325CBC"/>
    <w:rsid w:val="00326F2A"/>
    <w:rsid w:val="00327203"/>
    <w:rsid w:val="00330A80"/>
    <w:rsid w:val="0033547A"/>
    <w:rsid w:val="003365CC"/>
    <w:rsid w:val="00340654"/>
    <w:rsid w:val="00342F90"/>
    <w:rsid w:val="00343F1A"/>
    <w:rsid w:val="003527B1"/>
    <w:rsid w:val="00354363"/>
    <w:rsid w:val="0035463E"/>
    <w:rsid w:val="0035746F"/>
    <w:rsid w:val="00361951"/>
    <w:rsid w:val="003636E3"/>
    <w:rsid w:val="00365047"/>
    <w:rsid w:val="0037382F"/>
    <w:rsid w:val="00374006"/>
    <w:rsid w:val="00377603"/>
    <w:rsid w:val="00381296"/>
    <w:rsid w:val="00381E72"/>
    <w:rsid w:val="003820CC"/>
    <w:rsid w:val="00384893"/>
    <w:rsid w:val="003911CC"/>
    <w:rsid w:val="00392E15"/>
    <w:rsid w:val="0039479B"/>
    <w:rsid w:val="003A231D"/>
    <w:rsid w:val="003A4FDC"/>
    <w:rsid w:val="003B1C68"/>
    <w:rsid w:val="003B2008"/>
    <w:rsid w:val="003B59A2"/>
    <w:rsid w:val="003B688E"/>
    <w:rsid w:val="003C0B54"/>
    <w:rsid w:val="003C30D4"/>
    <w:rsid w:val="003C4BBF"/>
    <w:rsid w:val="003C5490"/>
    <w:rsid w:val="003D0494"/>
    <w:rsid w:val="003D6DD7"/>
    <w:rsid w:val="003E2DB9"/>
    <w:rsid w:val="003E4CB2"/>
    <w:rsid w:val="003E65EC"/>
    <w:rsid w:val="003F01FA"/>
    <w:rsid w:val="003F1215"/>
    <w:rsid w:val="003F13E2"/>
    <w:rsid w:val="003F37A1"/>
    <w:rsid w:val="003F5118"/>
    <w:rsid w:val="00404D9E"/>
    <w:rsid w:val="00414399"/>
    <w:rsid w:val="0041673C"/>
    <w:rsid w:val="0042130F"/>
    <w:rsid w:val="00422439"/>
    <w:rsid w:val="004232BD"/>
    <w:rsid w:val="00426834"/>
    <w:rsid w:val="00433D14"/>
    <w:rsid w:val="00433F22"/>
    <w:rsid w:val="004350C0"/>
    <w:rsid w:val="0044497B"/>
    <w:rsid w:val="00445001"/>
    <w:rsid w:val="00452CFE"/>
    <w:rsid w:val="00455D31"/>
    <w:rsid w:val="004562FE"/>
    <w:rsid w:val="00464088"/>
    <w:rsid w:val="00464496"/>
    <w:rsid w:val="00466F0D"/>
    <w:rsid w:val="00471494"/>
    <w:rsid w:val="004757A6"/>
    <w:rsid w:val="004770E8"/>
    <w:rsid w:val="0048093C"/>
    <w:rsid w:val="00486504"/>
    <w:rsid w:val="00493540"/>
    <w:rsid w:val="00494A0E"/>
    <w:rsid w:val="004A1DA6"/>
    <w:rsid w:val="004A3F11"/>
    <w:rsid w:val="004B0C3C"/>
    <w:rsid w:val="004B1D9B"/>
    <w:rsid w:val="004B2274"/>
    <w:rsid w:val="004B3358"/>
    <w:rsid w:val="004C199E"/>
    <w:rsid w:val="004C5168"/>
    <w:rsid w:val="004C53E9"/>
    <w:rsid w:val="004D47FA"/>
    <w:rsid w:val="004E6247"/>
    <w:rsid w:val="004F0E6D"/>
    <w:rsid w:val="004F3F47"/>
    <w:rsid w:val="004F5C60"/>
    <w:rsid w:val="004F63D9"/>
    <w:rsid w:val="00513917"/>
    <w:rsid w:val="00516871"/>
    <w:rsid w:val="00516998"/>
    <w:rsid w:val="00520F60"/>
    <w:rsid w:val="005215F3"/>
    <w:rsid w:val="00524292"/>
    <w:rsid w:val="005249FB"/>
    <w:rsid w:val="00530167"/>
    <w:rsid w:val="005325CB"/>
    <w:rsid w:val="00536E02"/>
    <w:rsid w:val="00542113"/>
    <w:rsid w:val="00544989"/>
    <w:rsid w:val="00544C6C"/>
    <w:rsid w:val="0054586A"/>
    <w:rsid w:val="005517A7"/>
    <w:rsid w:val="005539A5"/>
    <w:rsid w:val="005560F3"/>
    <w:rsid w:val="00557097"/>
    <w:rsid w:val="005601C2"/>
    <w:rsid w:val="00560444"/>
    <w:rsid w:val="00562A13"/>
    <w:rsid w:val="005645B9"/>
    <w:rsid w:val="00574CC2"/>
    <w:rsid w:val="005818C7"/>
    <w:rsid w:val="0058267C"/>
    <w:rsid w:val="00591DF2"/>
    <w:rsid w:val="00591F33"/>
    <w:rsid w:val="00593888"/>
    <w:rsid w:val="00593B77"/>
    <w:rsid w:val="00595C7C"/>
    <w:rsid w:val="005A4F58"/>
    <w:rsid w:val="005A52A8"/>
    <w:rsid w:val="005A5328"/>
    <w:rsid w:val="005A7E87"/>
    <w:rsid w:val="005B3F26"/>
    <w:rsid w:val="005B4870"/>
    <w:rsid w:val="005B4CB4"/>
    <w:rsid w:val="005C15D4"/>
    <w:rsid w:val="005C7B0A"/>
    <w:rsid w:val="005C7B1F"/>
    <w:rsid w:val="005D0876"/>
    <w:rsid w:val="005D3465"/>
    <w:rsid w:val="005D45F4"/>
    <w:rsid w:val="005E44F2"/>
    <w:rsid w:val="005E6CC6"/>
    <w:rsid w:val="005F1852"/>
    <w:rsid w:val="005F5542"/>
    <w:rsid w:val="00604776"/>
    <w:rsid w:val="006161B7"/>
    <w:rsid w:val="00620B35"/>
    <w:rsid w:val="00623CC6"/>
    <w:rsid w:val="006258EB"/>
    <w:rsid w:val="00626CB6"/>
    <w:rsid w:val="00627949"/>
    <w:rsid w:val="00630B8F"/>
    <w:rsid w:val="0063218C"/>
    <w:rsid w:val="006376F9"/>
    <w:rsid w:val="00641923"/>
    <w:rsid w:val="0064426F"/>
    <w:rsid w:val="006450FB"/>
    <w:rsid w:val="0064566E"/>
    <w:rsid w:val="0064709C"/>
    <w:rsid w:val="00647726"/>
    <w:rsid w:val="00656DC1"/>
    <w:rsid w:val="00657575"/>
    <w:rsid w:val="00661FD9"/>
    <w:rsid w:val="00662FAF"/>
    <w:rsid w:val="00664484"/>
    <w:rsid w:val="00665B78"/>
    <w:rsid w:val="00666368"/>
    <w:rsid w:val="00670AC0"/>
    <w:rsid w:val="006716C0"/>
    <w:rsid w:val="00681E14"/>
    <w:rsid w:val="00686C5A"/>
    <w:rsid w:val="00690205"/>
    <w:rsid w:val="0069464B"/>
    <w:rsid w:val="0069528B"/>
    <w:rsid w:val="00697CEC"/>
    <w:rsid w:val="006A1138"/>
    <w:rsid w:val="006A1733"/>
    <w:rsid w:val="006A20BF"/>
    <w:rsid w:val="006A2F76"/>
    <w:rsid w:val="006A4DDD"/>
    <w:rsid w:val="006A797A"/>
    <w:rsid w:val="006C10E9"/>
    <w:rsid w:val="006C2B88"/>
    <w:rsid w:val="006C4883"/>
    <w:rsid w:val="006C61E2"/>
    <w:rsid w:val="006C719E"/>
    <w:rsid w:val="006C71FB"/>
    <w:rsid w:val="006D1AF1"/>
    <w:rsid w:val="006D2207"/>
    <w:rsid w:val="006D252F"/>
    <w:rsid w:val="006D5AFB"/>
    <w:rsid w:val="006D5D7E"/>
    <w:rsid w:val="006D6EDB"/>
    <w:rsid w:val="006D7E4C"/>
    <w:rsid w:val="006E49ED"/>
    <w:rsid w:val="006E7621"/>
    <w:rsid w:val="007028D8"/>
    <w:rsid w:val="00721741"/>
    <w:rsid w:val="00722268"/>
    <w:rsid w:val="00722357"/>
    <w:rsid w:val="00727A9B"/>
    <w:rsid w:val="0073146C"/>
    <w:rsid w:val="00731781"/>
    <w:rsid w:val="00734C65"/>
    <w:rsid w:val="00734E3D"/>
    <w:rsid w:val="00740E5E"/>
    <w:rsid w:val="00743BF6"/>
    <w:rsid w:val="00745CC8"/>
    <w:rsid w:val="00752FE5"/>
    <w:rsid w:val="00760838"/>
    <w:rsid w:val="00764739"/>
    <w:rsid w:val="00764851"/>
    <w:rsid w:val="00770926"/>
    <w:rsid w:val="0077272F"/>
    <w:rsid w:val="00772C1D"/>
    <w:rsid w:val="00775113"/>
    <w:rsid w:val="0077628B"/>
    <w:rsid w:val="007768DD"/>
    <w:rsid w:val="0077728F"/>
    <w:rsid w:val="007829A0"/>
    <w:rsid w:val="007843E1"/>
    <w:rsid w:val="00784EDD"/>
    <w:rsid w:val="00786765"/>
    <w:rsid w:val="007879FF"/>
    <w:rsid w:val="0079055C"/>
    <w:rsid w:val="007944E2"/>
    <w:rsid w:val="007953C0"/>
    <w:rsid w:val="007B1909"/>
    <w:rsid w:val="007B5202"/>
    <w:rsid w:val="007C11A6"/>
    <w:rsid w:val="007C5802"/>
    <w:rsid w:val="007C589B"/>
    <w:rsid w:val="007D0A13"/>
    <w:rsid w:val="007D2381"/>
    <w:rsid w:val="007D35F3"/>
    <w:rsid w:val="007D38C3"/>
    <w:rsid w:val="007D7CDF"/>
    <w:rsid w:val="007E2CF0"/>
    <w:rsid w:val="007E2EE7"/>
    <w:rsid w:val="007E38FF"/>
    <w:rsid w:val="007E5AFE"/>
    <w:rsid w:val="007E7923"/>
    <w:rsid w:val="007F3D0E"/>
    <w:rsid w:val="007F708E"/>
    <w:rsid w:val="00801345"/>
    <w:rsid w:val="008019FF"/>
    <w:rsid w:val="00801DDA"/>
    <w:rsid w:val="0080530F"/>
    <w:rsid w:val="00806635"/>
    <w:rsid w:val="00812673"/>
    <w:rsid w:val="0081629A"/>
    <w:rsid w:val="0082339E"/>
    <w:rsid w:val="0082407D"/>
    <w:rsid w:val="00827936"/>
    <w:rsid w:val="008309EC"/>
    <w:rsid w:val="0083120E"/>
    <w:rsid w:val="0083178A"/>
    <w:rsid w:val="00832379"/>
    <w:rsid w:val="0083556F"/>
    <w:rsid w:val="008441CD"/>
    <w:rsid w:val="00845028"/>
    <w:rsid w:val="00845CA3"/>
    <w:rsid w:val="00852477"/>
    <w:rsid w:val="00862E3C"/>
    <w:rsid w:val="00863A76"/>
    <w:rsid w:val="00864597"/>
    <w:rsid w:val="00864A0C"/>
    <w:rsid w:val="00864D0F"/>
    <w:rsid w:val="00865684"/>
    <w:rsid w:val="00867F5F"/>
    <w:rsid w:val="00872B8B"/>
    <w:rsid w:val="00876849"/>
    <w:rsid w:val="008810E3"/>
    <w:rsid w:val="00881BF8"/>
    <w:rsid w:val="00883933"/>
    <w:rsid w:val="00887887"/>
    <w:rsid w:val="00895C4A"/>
    <w:rsid w:val="00897B9E"/>
    <w:rsid w:val="008A1114"/>
    <w:rsid w:val="008B1351"/>
    <w:rsid w:val="008B1C5F"/>
    <w:rsid w:val="008C12E0"/>
    <w:rsid w:val="008C335C"/>
    <w:rsid w:val="008C4017"/>
    <w:rsid w:val="008C5D67"/>
    <w:rsid w:val="008C6E4C"/>
    <w:rsid w:val="008D1D68"/>
    <w:rsid w:val="008D1F9A"/>
    <w:rsid w:val="008D7006"/>
    <w:rsid w:val="008E0989"/>
    <w:rsid w:val="008E1749"/>
    <w:rsid w:val="008E3493"/>
    <w:rsid w:val="008E3ED1"/>
    <w:rsid w:val="008E493F"/>
    <w:rsid w:val="008E54E1"/>
    <w:rsid w:val="008F225D"/>
    <w:rsid w:val="008F2760"/>
    <w:rsid w:val="008F4417"/>
    <w:rsid w:val="008F6EA5"/>
    <w:rsid w:val="009012D8"/>
    <w:rsid w:val="009052A4"/>
    <w:rsid w:val="009135CC"/>
    <w:rsid w:val="00913D16"/>
    <w:rsid w:val="00917D0B"/>
    <w:rsid w:val="00924098"/>
    <w:rsid w:val="0092705D"/>
    <w:rsid w:val="00932510"/>
    <w:rsid w:val="009343D7"/>
    <w:rsid w:val="00941510"/>
    <w:rsid w:val="00943B8F"/>
    <w:rsid w:val="00951927"/>
    <w:rsid w:val="00954F65"/>
    <w:rsid w:val="00960D6D"/>
    <w:rsid w:val="009622AC"/>
    <w:rsid w:val="00965A88"/>
    <w:rsid w:val="00967962"/>
    <w:rsid w:val="00970C3A"/>
    <w:rsid w:val="00973DEC"/>
    <w:rsid w:val="009770FC"/>
    <w:rsid w:val="00977929"/>
    <w:rsid w:val="00984B7E"/>
    <w:rsid w:val="00984F9F"/>
    <w:rsid w:val="00986220"/>
    <w:rsid w:val="0099312F"/>
    <w:rsid w:val="00993AC7"/>
    <w:rsid w:val="0099611C"/>
    <w:rsid w:val="009B5579"/>
    <w:rsid w:val="009B7330"/>
    <w:rsid w:val="009C1E17"/>
    <w:rsid w:val="009C1E9C"/>
    <w:rsid w:val="009C3CD6"/>
    <w:rsid w:val="009C7E0A"/>
    <w:rsid w:val="009D141F"/>
    <w:rsid w:val="009E6FF7"/>
    <w:rsid w:val="009F0F94"/>
    <w:rsid w:val="009F2C79"/>
    <w:rsid w:val="009F337D"/>
    <w:rsid w:val="009F41EA"/>
    <w:rsid w:val="009F4568"/>
    <w:rsid w:val="009F5C79"/>
    <w:rsid w:val="009F7F69"/>
    <w:rsid w:val="00A00D0B"/>
    <w:rsid w:val="00A019B3"/>
    <w:rsid w:val="00A12683"/>
    <w:rsid w:val="00A12AEA"/>
    <w:rsid w:val="00A135EA"/>
    <w:rsid w:val="00A16DB4"/>
    <w:rsid w:val="00A26111"/>
    <w:rsid w:val="00A26CF1"/>
    <w:rsid w:val="00A32912"/>
    <w:rsid w:val="00A34295"/>
    <w:rsid w:val="00A41088"/>
    <w:rsid w:val="00A41FF2"/>
    <w:rsid w:val="00A43101"/>
    <w:rsid w:val="00A50B57"/>
    <w:rsid w:val="00A52FDF"/>
    <w:rsid w:val="00A53EC6"/>
    <w:rsid w:val="00A6634B"/>
    <w:rsid w:val="00A67FD4"/>
    <w:rsid w:val="00A71F5B"/>
    <w:rsid w:val="00A74254"/>
    <w:rsid w:val="00A75377"/>
    <w:rsid w:val="00A75B5A"/>
    <w:rsid w:val="00A80CE9"/>
    <w:rsid w:val="00A80D3F"/>
    <w:rsid w:val="00A861CD"/>
    <w:rsid w:val="00A92CCD"/>
    <w:rsid w:val="00A94D2E"/>
    <w:rsid w:val="00A97350"/>
    <w:rsid w:val="00AA0091"/>
    <w:rsid w:val="00AA27B9"/>
    <w:rsid w:val="00AA4E84"/>
    <w:rsid w:val="00AA6D01"/>
    <w:rsid w:val="00AB1CF3"/>
    <w:rsid w:val="00AB6C86"/>
    <w:rsid w:val="00AC5D0A"/>
    <w:rsid w:val="00AC7A91"/>
    <w:rsid w:val="00AD0F0A"/>
    <w:rsid w:val="00AD754F"/>
    <w:rsid w:val="00AD7DBC"/>
    <w:rsid w:val="00AE45BA"/>
    <w:rsid w:val="00AF280E"/>
    <w:rsid w:val="00AF3B73"/>
    <w:rsid w:val="00AF4FD4"/>
    <w:rsid w:val="00AF5DCC"/>
    <w:rsid w:val="00AF6002"/>
    <w:rsid w:val="00AF6FBB"/>
    <w:rsid w:val="00B01473"/>
    <w:rsid w:val="00B03EF0"/>
    <w:rsid w:val="00B05ECE"/>
    <w:rsid w:val="00B1024B"/>
    <w:rsid w:val="00B11825"/>
    <w:rsid w:val="00B11977"/>
    <w:rsid w:val="00B11A9C"/>
    <w:rsid w:val="00B20391"/>
    <w:rsid w:val="00B22849"/>
    <w:rsid w:val="00B22E48"/>
    <w:rsid w:val="00B31167"/>
    <w:rsid w:val="00B32275"/>
    <w:rsid w:val="00B34335"/>
    <w:rsid w:val="00B355EC"/>
    <w:rsid w:val="00B37272"/>
    <w:rsid w:val="00B404D9"/>
    <w:rsid w:val="00B44BE9"/>
    <w:rsid w:val="00B505EB"/>
    <w:rsid w:val="00B54B73"/>
    <w:rsid w:val="00B62E0D"/>
    <w:rsid w:val="00B74DD4"/>
    <w:rsid w:val="00B7726E"/>
    <w:rsid w:val="00B83083"/>
    <w:rsid w:val="00B84F2B"/>
    <w:rsid w:val="00B85285"/>
    <w:rsid w:val="00B90A63"/>
    <w:rsid w:val="00B914FE"/>
    <w:rsid w:val="00B92ABC"/>
    <w:rsid w:val="00B96C5A"/>
    <w:rsid w:val="00B9744A"/>
    <w:rsid w:val="00B97938"/>
    <w:rsid w:val="00BA0B9E"/>
    <w:rsid w:val="00BA109D"/>
    <w:rsid w:val="00BB0E6C"/>
    <w:rsid w:val="00BB604E"/>
    <w:rsid w:val="00BC1A1E"/>
    <w:rsid w:val="00BC2F3F"/>
    <w:rsid w:val="00BC384F"/>
    <w:rsid w:val="00BC64E9"/>
    <w:rsid w:val="00BC6E85"/>
    <w:rsid w:val="00BC7068"/>
    <w:rsid w:val="00BD18E7"/>
    <w:rsid w:val="00BD1C3E"/>
    <w:rsid w:val="00BD2832"/>
    <w:rsid w:val="00BD4B36"/>
    <w:rsid w:val="00BD67FB"/>
    <w:rsid w:val="00BD7414"/>
    <w:rsid w:val="00BD78CE"/>
    <w:rsid w:val="00BE1476"/>
    <w:rsid w:val="00BE22FD"/>
    <w:rsid w:val="00BE3380"/>
    <w:rsid w:val="00BF6599"/>
    <w:rsid w:val="00BF6EEC"/>
    <w:rsid w:val="00BF7CCA"/>
    <w:rsid w:val="00C000A5"/>
    <w:rsid w:val="00C05F02"/>
    <w:rsid w:val="00C07699"/>
    <w:rsid w:val="00C12202"/>
    <w:rsid w:val="00C12B95"/>
    <w:rsid w:val="00C132A7"/>
    <w:rsid w:val="00C1502B"/>
    <w:rsid w:val="00C16CA1"/>
    <w:rsid w:val="00C2067C"/>
    <w:rsid w:val="00C21A0F"/>
    <w:rsid w:val="00C2417D"/>
    <w:rsid w:val="00C267A8"/>
    <w:rsid w:val="00C268BD"/>
    <w:rsid w:val="00C35A10"/>
    <w:rsid w:val="00C36253"/>
    <w:rsid w:val="00C37929"/>
    <w:rsid w:val="00C42E47"/>
    <w:rsid w:val="00C5166C"/>
    <w:rsid w:val="00C52048"/>
    <w:rsid w:val="00C526B8"/>
    <w:rsid w:val="00C576A0"/>
    <w:rsid w:val="00C62B79"/>
    <w:rsid w:val="00C6635A"/>
    <w:rsid w:val="00C670B2"/>
    <w:rsid w:val="00C73033"/>
    <w:rsid w:val="00C74B32"/>
    <w:rsid w:val="00C752FE"/>
    <w:rsid w:val="00C80290"/>
    <w:rsid w:val="00C81434"/>
    <w:rsid w:val="00C97232"/>
    <w:rsid w:val="00C976EC"/>
    <w:rsid w:val="00CA0810"/>
    <w:rsid w:val="00CA0E91"/>
    <w:rsid w:val="00CA3A49"/>
    <w:rsid w:val="00CB169F"/>
    <w:rsid w:val="00CB591F"/>
    <w:rsid w:val="00CC1C09"/>
    <w:rsid w:val="00CC3509"/>
    <w:rsid w:val="00CC7A90"/>
    <w:rsid w:val="00CD2481"/>
    <w:rsid w:val="00CD5C14"/>
    <w:rsid w:val="00CD67C8"/>
    <w:rsid w:val="00CE6568"/>
    <w:rsid w:val="00CE7845"/>
    <w:rsid w:val="00D03929"/>
    <w:rsid w:val="00D0580A"/>
    <w:rsid w:val="00D05E17"/>
    <w:rsid w:val="00D068BE"/>
    <w:rsid w:val="00D07580"/>
    <w:rsid w:val="00D11A0F"/>
    <w:rsid w:val="00D13641"/>
    <w:rsid w:val="00D15631"/>
    <w:rsid w:val="00D15BAF"/>
    <w:rsid w:val="00D21568"/>
    <w:rsid w:val="00D22295"/>
    <w:rsid w:val="00D275A1"/>
    <w:rsid w:val="00D27E16"/>
    <w:rsid w:val="00D27F13"/>
    <w:rsid w:val="00D307D7"/>
    <w:rsid w:val="00D326C1"/>
    <w:rsid w:val="00D331F6"/>
    <w:rsid w:val="00D35472"/>
    <w:rsid w:val="00D403B2"/>
    <w:rsid w:val="00D4057E"/>
    <w:rsid w:val="00D4143E"/>
    <w:rsid w:val="00D43D49"/>
    <w:rsid w:val="00D45406"/>
    <w:rsid w:val="00D479EB"/>
    <w:rsid w:val="00D5239E"/>
    <w:rsid w:val="00D55BCD"/>
    <w:rsid w:val="00D61256"/>
    <w:rsid w:val="00D62014"/>
    <w:rsid w:val="00D70041"/>
    <w:rsid w:val="00D719D9"/>
    <w:rsid w:val="00D74886"/>
    <w:rsid w:val="00D826EE"/>
    <w:rsid w:val="00D87017"/>
    <w:rsid w:val="00D90466"/>
    <w:rsid w:val="00D907F7"/>
    <w:rsid w:val="00D92F55"/>
    <w:rsid w:val="00DA1B2D"/>
    <w:rsid w:val="00DA25B6"/>
    <w:rsid w:val="00DA5920"/>
    <w:rsid w:val="00DD1787"/>
    <w:rsid w:val="00DD45C4"/>
    <w:rsid w:val="00DD7384"/>
    <w:rsid w:val="00DE13D1"/>
    <w:rsid w:val="00DE14FA"/>
    <w:rsid w:val="00DE2683"/>
    <w:rsid w:val="00DE2BDE"/>
    <w:rsid w:val="00DE4AFB"/>
    <w:rsid w:val="00DE4BF4"/>
    <w:rsid w:val="00DF131D"/>
    <w:rsid w:val="00DF3743"/>
    <w:rsid w:val="00DF5C87"/>
    <w:rsid w:val="00E03BE3"/>
    <w:rsid w:val="00E045E4"/>
    <w:rsid w:val="00E0643D"/>
    <w:rsid w:val="00E13539"/>
    <w:rsid w:val="00E14489"/>
    <w:rsid w:val="00E1689A"/>
    <w:rsid w:val="00E23898"/>
    <w:rsid w:val="00E2398F"/>
    <w:rsid w:val="00E2437E"/>
    <w:rsid w:val="00E248CB"/>
    <w:rsid w:val="00E27634"/>
    <w:rsid w:val="00E31686"/>
    <w:rsid w:val="00E319C4"/>
    <w:rsid w:val="00E31E79"/>
    <w:rsid w:val="00E33830"/>
    <w:rsid w:val="00E35272"/>
    <w:rsid w:val="00E43C89"/>
    <w:rsid w:val="00E46B08"/>
    <w:rsid w:val="00E50681"/>
    <w:rsid w:val="00E51976"/>
    <w:rsid w:val="00E52062"/>
    <w:rsid w:val="00E542B8"/>
    <w:rsid w:val="00E6345E"/>
    <w:rsid w:val="00E65F40"/>
    <w:rsid w:val="00E73854"/>
    <w:rsid w:val="00E76696"/>
    <w:rsid w:val="00E84102"/>
    <w:rsid w:val="00E850CF"/>
    <w:rsid w:val="00E852D9"/>
    <w:rsid w:val="00E86698"/>
    <w:rsid w:val="00E95E66"/>
    <w:rsid w:val="00EA0914"/>
    <w:rsid w:val="00EA1D34"/>
    <w:rsid w:val="00EA7609"/>
    <w:rsid w:val="00EB1343"/>
    <w:rsid w:val="00EB1A8F"/>
    <w:rsid w:val="00EB300F"/>
    <w:rsid w:val="00EB479C"/>
    <w:rsid w:val="00EB5B7E"/>
    <w:rsid w:val="00EC36D4"/>
    <w:rsid w:val="00ED0EA1"/>
    <w:rsid w:val="00EE226D"/>
    <w:rsid w:val="00EE29F6"/>
    <w:rsid w:val="00EE7A52"/>
    <w:rsid w:val="00EF0562"/>
    <w:rsid w:val="00EF06A8"/>
    <w:rsid w:val="00EF1CF0"/>
    <w:rsid w:val="00EF5794"/>
    <w:rsid w:val="00F0373C"/>
    <w:rsid w:val="00F04396"/>
    <w:rsid w:val="00F06191"/>
    <w:rsid w:val="00F06879"/>
    <w:rsid w:val="00F10E2D"/>
    <w:rsid w:val="00F1130E"/>
    <w:rsid w:val="00F13BE0"/>
    <w:rsid w:val="00F14734"/>
    <w:rsid w:val="00F157C0"/>
    <w:rsid w:val="00F16224"/>
    <w:rsid w:val="00F249D3"/>
    <w:rsid w:val="00F40C09"/>
    <w:rsid w:val="00F4505B"/>
    <w:rsid w:val="00F461E8"/>
    <w:rsid w:val="00F61427"/>
    <w:rsid w:val="00F63CF4"/>
    <w:rsid w:val="00F67268"/>
    <w:rsid w:val="00F72CB3"/>
    <w:rsid w:val="00F7411D"/>
    <w:rsid w:val="00F755D2"/>
    <w:rsid w:val="00F76AEA"/>
    <w:rsid w:val="00F77C92"/>
    <w:rsid w:val="00F8084B"/>
    <w:rsid w:val="00F80973"/>
    <w:rsid w:val="00F8189F"/>
    <w:rsid w:val="00F8626F"/>
    <w:rsid w:val="00F93267"/>
    <w:rsid w:val="00F93D05"/>
    <w:rsid w:val="00F96842"/>
    <w:rsid w:val="00F9687E"/>
    <w:rsid w:val="00FA27F5"/>
    <w:rsid w:val="00FA2875"/>
    <w:rsid w:val="00FA3750"/>
    <w:rsid w:val="00FA5CAB"/>
    <w:rsid w:val="00FA7671"/>
    <w:rsid w:val="00FB2CE1"/>
    <w:rsid w:val="00FB6BEA"/>
    <w:rsid w:val="00FC72AE"/>
    <w:rsid w:val="00FD03B4"/>
    <w:rsid w:val="00FD2399"/>
    <w:rsid w:val="00FD611A"/>
    <w:rsid w:val="00FD6D06"/>
    <w:rsid w:val="00FE1D6D"/>
    <w:rsid w:val="00FE2592"/>
    <w:rsid w:val="00FE3DB3"/>
    <w:rsid w:val="00FE66C8"/>
    <w:rsid w:val="00FF1642"/>
    <w:rsid w:val="00FF23D8"/>
    <w:rsid w:val="00FF3C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B5FB5"/>
  <w15:docId w15:val="{E46B6229-B0E1-4143-B5B5-5B47922B4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07D"/>
  </w:style>
  <w:style w:type="paragraph" w:styleId="Heading1">
    <w:name w:val="heading 1"/>
    <w:basedOn w:val="Normal"/>
    <w:next w:val="Normal"/>
    <w:link w:val="Heading1Char"/>
    <w:uiPriority w:val="9"/>
    <w:qFormat/>
    <w:rsid w:val="006C4883"/>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semiHidden/>
    <w:unhideWhenUsed/>
    <w:qFormat/>
    <w:rsid w:val="006C4883"/>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6C4883"/>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6C4883"/>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6C4883"/>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6C4883"/>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6C4883"/>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6C4883"/>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6C4883"/>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4883"/>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semiHidden/>
    <w:rsid w:val="006C4883"/>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6C4883"/>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6C4883"/>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6C4883"/>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6C4883"/>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6C4883"/>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6C4883"/>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6C4883"/>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6C4883"/>
    <w:pPr>
      <w:spacing w:line="240" w:lineRule="auto"/>
    </w:pPr>
    <w:rPr>
      <w:b/>
      <w:bCs/>
      <w:smallCaps/>
      <w:color w:val="595959" w:themeColor="text1" w:themeTint="A6"/>
    </w:rPr>
  </w:style>
  <w:style w:type="paragraph" w:styleId="Title">
    <w:name w:val="Title"/>
    <w:basedOn w:val="Normal"/>
    <w:next w:val="Normal"/>
    <w:link w:val="TitleChar"/>
    <w:uiPriority w:val="10"/>
    <w:qFormat/>
    <w:rsid w:val="006C4883"/>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6C4883"/>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6C4883"/>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6C4883"/>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6C4883"/>
    <w:rPr>
      <w:b/>
      <w:bCs/>
    </w:rPr>
  </w:style>
  <w:style w:type="character" w:styleId="Emphasis">
    <w:name w:val="Emphasis"/>
    <w:basedOn w:val="DefaultParagraphFont"/>
    <w:uiPriority w:val="20"/>
    <w:qFormat/>
    <w:rsid w:val="006C4883"/>
    <w:rPr>
      <w:i/>
      <w:iCs/>
    </w:rPr>
  </w:style>
  <w:style w:type="paragraph" w:styleId="NoSpacing">
    <w:name w:val="No Spacing"/>
    <w:uiPriority w:val="1"/>
    <w:qFormat/>
    <w:rsid w:val="006C4883"/>
    <w:pPr>
      <w:spacing w:after="0" w:line="240" w:lineRule="auto"/>
    </w:pPr>
  </w:style>
  <w:style w:type="paragraph" w:styleId="Quote">
    <w:name w:val="Quote"/>
    <w:basedOn w:val="Normal"/>
    <w:next w:val="Normal"/>
    <w:link w:val="QuoteChar"/>
    <w:uiPriority w:val="29"/>
    <w:qFormat/>
    <w:rsid w:val="006C4883"/>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6C4883"/>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6C4883"/>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6C4883"/>
    <w:rPr>
      <w:color w:val="404040" w:themeColor="text1" w:themeTint="BF"/>
      <w:sz w:val="32"/>
      <w:szCs w:val="32"/>
    </w:rPr>
  </w:style>
  <w:style w:type="character" w:styleId="SubtleEmphasis">
    <w:name w:val="Subtle Emphasis"/>
    <w:basedOn w:val="DefaultParagraphFont"/>
    <w:uiPriority w:val="19"/>
    <w:qFormat/>
    <w:rsid w:val="006C4883"/>
    <w:rPr>
      <w:i/>
      <w:iCs/>
      <w:color w:val="595959" w:themeColor="text1" w:themeTint="A6"/>
    </w:rPr>
  </w:style>
  <w:style w:type="character" w:styleId="IntenseEmphasis">
    <w:name w:val="Intense Emphasis"/>
    <w:basedOn w:val="DefaultParagraphFont"/>
    <w:uiPriority w:val="21"/>
    <w:qFormat/>
    <w:rsid w:val="006C4883"/>
    <w:rPr>
      <w:b/>
      <w:bCs/>
      <w:i/>
      <w:iCs/>
    </w:rPr>
  </w:style>
  <w:style w:type="character" w:styleId="SubtleReference">
    <w:name w:val="Subtle Reference"/>
    <w:basedOn w:val="DefaultParagraphFont"/>
    <w:uiPriority w:val="31"/>
    <w:qFormat/>
    <w:rsid w:val="006C4883"/>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C4883"/>
    <w:rPr>
      <w:b/>
      <w:bCs/>
      <w:caps w:val="0"/>
      <w:smallCaps/>
      <w:color w:val="auto"/>
      <w:spacing w:val="3"/>
      <w:u w:val="single"/>
    </w:rPr>
  </w:style>
  <w:style w:type="character" w:styleId="BookTitle">
    <w:name w:val="Book Title"/>
    <w:basedOn w:val="DefaultParagraphFont"/>
    <w:uiPriority w:val="33"/>
    <w:qFormat/>
    <w:rsid w:val="006C4883"/>
    <w:rPr>
      <w:b/>
      <w:bCs/>
      <w:smallCaps/>
      <w:spacing w:val="7"/>
    </w:rPr>
  </w:style>
  <w:style w:type="paragraph" w:styleId="TOCHeading">
    <w:name w:val="TOC Heading"/>
    <w:basedOn w:val="Heading1"/>
    <w:next w:val="Normal"/>
    <w:uiPriority w:val="39"/>
    <w:semiHidden/>
    <w:unhideWhenUsed/>
    <w:qFormat/>
    <w:rsid w:val="006C4883"/>
    <w:pPr>
      <w:outlineLvl w:val="9"/>
    </w:pPr>
  </w:style>
  <w:style w:type="table" w:styleId="TableGrid">
    <w:name w:val="Table Grid"/>
    <w:basedOn w:val="TableNormal"/>
    <w:uiPriority w:val="59"/>
    <w:rsid w:val="002F4E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A28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2875"/>
  </w:style>
  <w:style w:type="paragraph" w:styleId="Footer">
    <w:name w:val="footer"/>
    <w:basedOn w:val="Normal"/>
    <w:link w:val="FooterChar"/>
    <w:uiPriority w:val="99"/>
    <w:unhideWhenUsed/>
    <w:rsid w:val="00FA28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2875"/>
  </w:style>
  <w:style w:type="character" w:styleId="Hyperlink">
    <w:name w:val="Hyperlink"/>
    <w:basedOn w:val="DefaultParagraphFont"/>
    <w:uiPriority w:val="99"/>
    <w:unhideWhenUsed/>
    <w:rsid w:val="00E65F40"/>
    <w:rPr>
      <w:color w:val="0000FF" w:themeColor="hyperlink"/>
      <w:u w:val="single"/>
    </w:rPr>
  </w:style>
  <w:style w:type="character" w:styleId="FollowedHyperlink">
    <w:name w:val="FollowedHyperlink"/>
    <w:basedOn w:val="DefaultParagraphFont"/>
    <w:uiPriority w:val="99"/>
    <w:semiHidden/>
    <w:unhideWhenUsed/>
    <w:rsid w:val="009F0F94"/>
    <w:rPr>
      <w:color w:val="800080" w:themeColor="followedHyperlink"/>
      <w:u w:val="single"/>
    </w:rPr>
  </w:style>
  <w:style w:type="character" w:styleId="UnresolvedMention">
    <w:name w:val="Unresolved Mention"/>
    <w:basedOn w:val="DefaultParagraphFont"/>
    <w:uiPriority w:val="99"/>
    <w:semiHidden/>
    <w:unhideWhenUsed/>
    <w:rsid w:val="00F7411D"/>
    <w:rPr>
      <w:color w:val="605E5C"/>
      <w:shd w:val="clear" w:color="auto" w:fill="E1DFDD"/>
    </w:rPr>
  </w:style>
  <w:style w:type="paragraph" w:styleId="ListParagraph">
    <w:name w:val="List Paragraph"/>
    <w:basedOn w:val="Normal"/>
    <w:uiPriority w:val="34"/>
    <w:qFormat/>
    <w:rsid w:val="00CE7845"/>
    <w:pPr>
      <w:ind w:left="720"/>
      <w:contextualSpacing/>
    </w:pPr>
  </w:style>
  <w:style w:type="paragraph" w:customStyle="1" w:styleId="pdq2pgselectionanchorcontainer">
    <w:name w:val="pdq2pg_selectionanchorcontainer"/>
    <w:basedOn w:val="Normal"/>
    <w:rsid w:val="00C3792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bhf.org.uk" TargetMode="External"/><Relationship Id="rId21" Type="http://schemas.openxmlformats.org/officeDocument/2006/relationships/image" Target="media/image17.jpeg"/><Relationship Id="rId42" Type="http://schemas.openxmlformats.org/officeDocument/2006/relationships/hyperlink" Target="https://doi.org/10.1111/jep.13618" TargetMode="External"/><Relationship Id="rId47" Type="http://schemas.openxmlformats.org/officeDocument/2006/relationships/hyperlink" Target="https://www.nice.org.uk/guidance/ng222" TargetMode="External"/><Relationship Id="rId63" Type="http://schemas.openxmlformats.org/officeDocument/2006/relationships/hyperlink" Target="https://doi.org/10.1377/hlthaff.20.6.64" TargetMode="External"/><Relationship Id="rId68"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diagramColors" Target="diagrams/colors1.xml"/><Relationship Id="rId29" Type="http://schemas.openxmlformats.org/officeDocument/2006/relationships/hyperlink" Target="https://doi.org/10.1016/j.healthpol.2024.105237" TargetMode="External"/><Relationship Id="rId11" Type="http://schemas.openxmlformats.org/officeDocument/2006/relationships/image" Target="media/image2.jpeg"/><Relationship Id="rId24" Type="http://schemas.openxmlformats.org/officeDocument/2006/relationships/hyperlink" Target="https://doi.org/10.1093/eurjpc/zwaf733" TargetMode="External"/><Relationship Id="rId32" Type="http://schemas.openxmlformats.org/officeDocument/2006/relationships/hyperlink" Target="https://doi.org/10.31083/j.rcm2309302" TargetMode="External"/><Relationship Id="rId37" Type="http://schemas.openxmlformats.org/officeDocument/2006/relationships/hyperlink" Target="https://doi.org/10.1038/hr.2010.9" TargetMode="External"/><Relationship Id="rId40" Type="http://schemas.openxmlformats.org/officeDocument/2006/relationships/hyperlink" Target="https://www.local.gov.uk/sites/default/files/documents/overarching-value-case-pd-f5e.pdf" TargetMode="External"/><Relationship Id="rId45" Type="http://schemas.openxmlformats.org/officeDocument/2006/relationships/hyperlink" Target="https://www.nice.org.uk/guidance/ng197" TargetMode="External"/><Relationship Id="rId53" Type="http://schemas.openxmlformats.org/officeDocument/2006/relationships/hyperlink" Target="https://digital.nhs.uk/data-and-information/publications/statistical/health-survey-for-england/2024/adults-health" TargetMode="External"/><Relationship Id="rId58" Type="http://schemas.openxmlformats.org/officeDocument/2006/relationships/hyperlink" Target="https://www.royalbucks.co.uk/conditions-and-symptoms/hypertension/" TargetMode="External"/><Relationship Id="rId66" Type="http://schemas.openxmlformats.org/officeDocument/2006/relationships/hyperlink" Target="https://www.who.int/news-room/fact-sheets/detail/hypertension" TargetMode="External"/><Relationship Id="rId5" Type="http://schemas.openxmlformats.org/officeDocument/2006/relationships/styles" Target="styles.xml"/><Relationship Id="rId61" Type="http://schemas.openxmlformats.org/officeDocument/2006/relationships/hyperlink" Target="https://doi.org/10.1161/CIRCULATIONAHA.121.055177" TargetMode="External"/><Relationship Id="rId19" Type="http://schemas.openxmlformats.org/officeDocument/2006/relationships/image" Target="media/image15.jpeg"/><Relationship Id="rId14" Type="http://schemas.openxmlformats.org/officeDocument/2006/relationships/diagramLayout" Target="diagrams/layout1.xml"/><Relationship Id="rId22" Type="http://schemas.openxmlformats.org/officeDocument/2006/relationships/image" Target="media/image18.jpeg"/><Relationship Id="rId27" Type="http://schemas.openxmlformats.org/officeDocument/2006/relationships/hyperlink" Target="https://doi.org/10.1161/HYPERTENSIONAHA.123.21354" TargetMode="External"/><Relationship Id="rId30" Type="http://schemas.openxmlformats.org/officeDocument/2006/relationships/hyperlink" Target="https://doi.org/10.1586/erc.10.78" TargetMode="External"/><Relationship Id="rId35" Type="http://schemas.openxmlformats.org/officeDocument/2006/relationships/hyperlink" Target="https://doi.org/10.1007/s11906-019-0972-5" TargetMode="External"/><Relationship Id="rId43" Type="http://schemas.openxmlformats.org/officeDocument/2006/relationships/hyperlink" Target="https://doi.org/10.1136/bmj.m693" TargetMode="External"/><Relationship Id="rId48" Type="http://schemas.openxmlformats.org/officeDocument/2006/relationships/hyperlink" Target="https://www.nice.org.uk/guidance/ng136" TargetMode="External"/><Relationship Id="rId56" Type="http://schemas.openxmlformats.org/officeDocument/2006/relationships/hyperlink" Target="https://doi.org/10.1016/j.pec.2026.109707" TargetMode="External"/><Relationship Id="rId64" Type="http://schemas.openxmlformats.org/officeDocument/2006/relationships/hyperlink" Target="https://www.who.int/news-room/fact-sheets/detail/hypertension" TargetMode="External"/><Relationship Id="rId69"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hyperlink" Target="https://www.england.nhs.uk/ourwork/clinical-policy/cvd/home-blood-pressure-monitoring/" TargetMode="External"/><Relationship Id="rId3" Type="http://schemas.openxmlformats.org/officeDocument/2006/relationships/customXml" Target="../customXml/item3.xml"/><Relationship Id="rId12" Type="http://schemas.openxmlformats.org/officeDocument/2006/relationships/image" Target="media/image3.png"/><Relationship Id="rId17" Type="http://schemas.microsoft.com/office/2007/relationships/diagramDrawing" Target="diagrams/drawing1.xml"/><Relationship Id="rId25" Type="http://schemas.openxmlformats.org/officeDocument/2006/relationships/hyperlink" Target="https://doi.org/10.1192/bjo.2024.548" TargetMode="External"/><Relationship Id="rId33" Type="http://schemas.openxmlformats.org/officeDocument/2006/relationships/hyperlink" Target="https://doi.org/10.1161/JAHA.118.008888.30" TargetMode="External"/><Relationship Id="rId38" Type="http://schemas.openxmlformats.org/officeDocument/2006/relationships/hyperlink" Target="https://doi.org/10.1038/s41371-022-00776-9" TargetMode="External"/><Relationship Id="rId46" Type="http://schemas.openxmlformats.org/officeDocument/2006/relationships/hyperlink" Target="https://www.nice.org.uk/guidance/ng222" TargetMode="External"/><Relationship Id="rId59" Type="http://schemas.openxmlformats.org/officeDocument/2006/relationships/hyperlink" Target="https://doi.org/10.1093/ageing/afad077" TargetMode="External"/><Relationship Id="rId67" Type="http://schemas.openxmlformats.org/officeDocument/2006/relationships/header" Target="header1.xml"/><Relationship Id="rId20" Type="http://schemas.openxmlformats.org/officeDocument/2006/relationships/image" Target="media/image16.png"/><Relationship Id="rId41" Type="http://schemas.openxmlformats.org/officeDocument/2006/relationships/hyperlink" Target="https://primarycare.northeastlondon.icb.nhs.uk/wp-content/uploads/2024/07/London-talking-therapies-LTC-pathways-April-2024.pdf" TargetMode="External"/><Relationship Id="rId54" Type="http://schemas.openxmlformats.org/officeDocument/2006/relationships/hyperlink" Target="https://digital.nhs.uk/data-and-information/publications/statistical/health-survey-for-england/2024/adults-health?utm_source=chatgpt.com" TargetMode="External"/><Relationship Id="rId62" Type="http://schemas.openxmlformats.org/officeDocument/2006/relationships/hyperlink" Target="https://doi.org/10.1007/s11524-012-9729-z"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image" Target="media/image19.png"/><Relationship Id="rId28" Type="http://schemas.openxmlformats.org/officeDocument/2006/relationships/hyperlink" Target="https://doi.org/10.1080/14635240.2019.1595526" TargetMode="External"/><Relationship Id="rId36" Type="http://schemas.openxmlformats.org/officeDocument/2006/relationships/hyperlink" Target="https://www.kidneyresearchuk.org" TargetMode="External"/><Relationship Id="rId49" Type="http://schemas.openxmlformats.org/officeDocument/2006/relationships/hyperlink" Target="https://www.england.nhs.uk/publication/social-prescribing-and-community-based-support-summary-guide/" TargetMode="External"/><Relationship Id="rId57" Type="http://schemas.openxmlformats.org/officeDocument/2006/relationships/hyperlink" Target="https://www.stroke.org.uk" TargetMode="External"/><Relationship Id="rId10" Type="http://schemas.openxmlformats.org/officeDocument/2006/relationships/image" Target="media/image1.jpeg"/><Relationship Id="rId31" Type="http://schemas.openxmlformats.org/officeDocument/2006/relationships/hyperlink" Target="https://www.nature.com/articles/s41371-025-01061-1?utm_source=chatgpt.com" TargetMode="External"/><Relationship Id="rId44" Type="http://schemas.openxmlformats.org/officeDocument/2006/relationships/hyperlink" Target="https://www.nice.org.uk/guidance/ng56" TargetMode="External"/><Relationship Id="rId52" Type="http://schemas.openxmlformats.org/officeDocument/2006/relationships/hyperlink" Target="https://www.england.nhs.uk/long-read/improving-the-physical-health-of-people-living-with-severe-mental-illness/" TargetMode="External"/><Relationship Id="rId60" Type="http://schemas.openxmlformats.org/officeDocument/2006/relationships/hyperlink" Target="https://doi.org/10.1177/01410768231206033" TargetMode="External"/><Relationship Id="rId65" Type="http://schemas.openxmlformats.org/officeDocument/2006/relationships/hyperlink" Target="https://www.who.int/publications/i/item/9789240081062" TargetMode="Externa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14.png"/><Relationship Id="rId39" Type="http://schemas.openxmlformats.org/officeDocument/2006/relationships/hyperlink" Target="https://doi.org/10.1161/HYPERTENSIONAHA.119.13926" TargetMode="External"/><Relationship Id="rId34" Type="http://schemas.openxmlformats.org/officeDocument/2006/relationships/hyperlink" Target="https://doi.org/10.1046/j.1440-1681.1999.03081.x" TargetMode="External"/><Relationship Id="rId50" Type="http://schemas.openxmlformats.org/officeDocument/2006/relationships/hyperlink" Target="https://www.longtermplan.nhs.uk/wp-content/uploads/2019/08/nhs-long-term-plan-version-1.2.pdf" TargetMode="External"/><Relationship Id="rId55" Type="http://schemas.openxmlformats.org/officeDocument/2006/relationships/hyperlink" Target="https://digital.nhs.uk/data-and-information/publications/statistical/health-survey-for-england/2024/adults-health?utm_source=chatgp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0.jpeg"/></Relationships>
</file>

<file path=word/diagrams/_rels/data1.xml.rels><?xml version="1.0" encoding="UTF-8" standalone="yes"?>
<Relationships xmlns="http://schemas.openxmlformats.org/package/2006/relationships"><Relationship Id="rId8" Type="http://schemas.openxmlformats.org/officeDocument/2006/relationships/image" Target="../media/image11.svg"/><Relationship Id="rId3" Type="http://schemas.openxmlformats.org/officeDocument/2006/relationships/image" Target="../media/image6.png"/><Relationship Id="rId7" Type="http://schemas.openxmlformats.org/officeDocument/2006/relationships/image" Target="../media/image10.png"/><Relationship Id="rId2" Type="http://schemas.openxmlformats.org/officeDocument/2006/relationships/image" Target="../media/image5.svg"/><Relationship Id="rId1" Type="http://schemas.openxmlformats.org/officeDocument/2006/relationships/image" Target="../media/image4.png"/><Relationship Id="rId6" Type="http://schemas.openxmlformats.org/officeDocument/2006/relationships/image" Target="../media/image9.svg"/><Relationship Id="rId5" Type="http://schemas.openxmlformats.org/officeDocument/2006/relationships/image" Target="../media/image8.png"/><Relationship Id="rId10" Type="http://schemas.openxmlformats.org/officeDocument/2006/relationships/image" Target="../media/image13.svg"/><Relationship Id="rId4" Type="http://schemas.openxmlformats.org/officeDocument/2006/relationships/image" Target="../media/image7.svg"/><Relationship Id="rId9" Type="http://schemas.openxmlformats.org/officeDocument/2006/relationships/image" Target="../media/image12.png"/></Relationships>
</file>

<file path=word/diagrams/_rels/drawing1.xml.rels><?xml version="1.0" encoding="UTF-8" standalone="yes"?>
<Relationships xmlns="http://schemas.openxmlformats.org/package/2006/relationships"><Relationship Id="rId8" Type="http://schemas.openxmlformats.org/officeDocument/2006/relationships/image" Target="../media/image11.svg"/><Relationship Id="rId3" Type="http://schemas.openxmlformats.org/officeDocument/2006/relationships/image" Target="../media/image6.png"/><Relationship Id="rId7" Type="http://schemas.openxmlformats.org/officeDocument/2006/relationships/image" Target="../media/image10.png"/><Relationship Id="rId2" Type="http://schemas.openxmlformats.org/officeDocument/2006/relationships/image" Target="../media/image5.svg"/><Relationship Id="rId1" Type="http://schemas.openxmlformats.org/officeDocument/2006/relationships/image" Target="../media/image4.png"/><Relationship Id="rId6" Type="http://schemas.openxmlformats.org/officeDocument/2006/relationships/image" Target="../media/image9.svg"/><Relationship Id="rId5" Type="http://schemas.openxmlformats.org/officeDocument/2006/relationships/image" Target="../media/image8.png"/><Relationship Id="rId10" Type="http://schemas.openxmlformats.org/officeDocument/2006/relationships/image" Target="../media/image13.svg"/><Relationship Id="rId4" Type="http://schemas.openxmlformats.org/officeDocument/2006/relationships/image" Target="../media/image7.svg"/><Relationship Id="rId9" Type="http://schemas.openxmlformats.org/officeDocument/2006/relationships/image" Target="../media/image12.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32A72D5-DD76-4D1D-B49E-B683CBA9FAAC}" type="doc">
      <dgm:prSet loTypeId="urn:microsoft.com/office/officeart/2005/8/layout/vList3" loCatId="list" qsTypeId="urn:microsoft.com/office/officeart/2005/8/quickstyle/simple1" qsCatId="simple" csTypeId="urn:microsoft.com/office/officeart/2005/8/colors/colorful1" csCatId="colorful" phldr="1"/>
      <dgm:spPr/>
      <dgm:t>
        <a:bodyPr/>
        <a:lstStyle/>
        <a:p>
          <a:endParaRPr lang="en-GB"/>
        </a:p>
      </dgm:t>
    </dgm:pt>
    <dgm:pt modelId="{632E6046-8DED-4FE3-A4EB-1AA42321F887}">
      <dgm:prSet phldrT="[Text]"/>
      <dgm:spPr/>
      <dgm:t>
        <a:bodyPr/>
        <a:lstStyle/>
        <a:p>
          <a:pPr algn="l">
            <a:buFont typeface="Arial" panose="020B0604020202020204" pitchFamily="34" charset="0"/>
            <a:buChar char="•"/>
          </a:pPr>
          <a:r>
            <a:rPr lang="en-GB" b="0" i="0" cap="none" spc="0">
              <a:ln w="0"/>
              <a:solidFill>
                <a:schemeClr val="tx1"/>
              </a:solidFill>
              <a:effectLst>
                <a:outerShdw blurRad="38100" dist="19050" dir="2700000" algn="tl" rotWithShape="0">
                  <a:schemeClr val="dk1">
                    <a:alpha val="40000"/>
                  </a:schemeClr>
                </a:outerShdw>
              </a:effectLst>
            </a:rPr>
            <a:t>An estimated 1.4 billion adults aged 30–79 years worldwide had hypertension in 2024; this represents 33% of the popluation in this age range.</a:t>
          </a:r>
          <a:endParaRPr lang="en-GB" b="0" cap="none" spc="0">
            <a:ln w="0"/>
            <a:solidFill>
              <a:schemeClr val="tx1"/>
            </a:solidFill>
            <a:effectLst>
              <a:outerShdw blurRad="38100" dist="19050" dir="2700000" algn="tl" rotWithShape="0">
                <a:schemeClr val="dk1">
                  <a:alpha val="40000"/>
                </a:schemeClr>
              </a:outerShdw>
            </a:effectLst>
          </a:endParaRPr>
        </a:p>
      </dgm:t>
    </dgm:pt>
    <dgm:pt modelId="{B99C8224-F03C-411F-AEDC-C599F14B1B19}" type="parTrans" cxnId="{F024C4F4-2E9D-4C3C-A7D5-EFA27FA79098}">
      <dgm:prSet/>
      <dgm:spPr/>
      <dgm:t>
        <a:bodyPr/>
        <a:lstStyle/>
        <a:p>
          <a:pPr algn="l"/>
          <a:endParaRPr lang="en-GB"/>
        </a:p>
      </dgm:t>
    </dgm:pt>
    <dgm:pt modelId="{90655E9F-88BF-44BC-9519-07F5205F2DCE}" type="sibTrans" cxnId="{F024C4F4-2E9D-4C3C-A7D5-EFA27FA79098}">
      <dgm:prSet/>
      <dgm:spPr/>
      <dgm:t>
        <a:bodyPr/>
        <a:lstStyle/>
        <a:p>
          <a:pPr algn="l"/>
          <a:endParaRPr lang="en-GB"/>
        </a:p>
      </dgm:t>
    </dgm:pt>
    <dgm:pt modelId="{C04EC46E-B1DA-4775-899B-BEE3C19D1469}">
      <dgm:prSet/>
      <dgm:spPr/>
      <dgm:t>
        <a:bodyPr/>
        <a:lstStyle/>
        <a:p>
          <a:pPr algn="l">
            <a:buFont typeface="Arial" panose="020B0604020202020204" pitchFamily="34" charset="0"/>
            <a:buChar char="•"/>
          </a:pPr>
          <a:r>
            <a:rPr lang="en-GB" b="0" i="0" cap="none" spc="0">
              <a:ln w="0"/>
              <a:solidFill>
                <a:schemeClr val="tx1"/>
              </a:solidFill>
              <a:effectLst>
                <a:outerShdw blurRad="38100" dist="19050" dir="2700000" algn="tl" rotWithShape="0">
                  <a:schemeClr val="dk1">
                    <a:alpha val="40000"/>
                  </a:schemeClr>
                </a:outerShdw>
              </a:effectLst>
            </a:rPr>
            <a:t>Two-thirds of adults aged 30–79 years who have hypertension live in low- and middle-income countries.</a:t>
          </a:r>
        </a:p>
      </dgm:t>
    </dgm:pt>
    <dgm:pt modelId="{2D2E34CA-35F8-40F8-960D-91971BF91174}" type="parTrans" cxnId="{7F11651F-ADBC-4F7E-8B04-2B0CF8F421B2}">
      <dgm:prSet/>
      <dgm:spPr/>
      <dgm:t>
        <a:bodyPr/>
        <a:lstStyle/>
        <a:p>
          <a:pPr algn="l"/>
          <a:endParaRPr lang="en-GB"/>
        </a:p>
      </dgm:t>
    </dgm:pt>
    <dgm:pt modelId="{E0F7A546-C560-4B82-90FF-6732B6C94F42}" type="sibTrans" cxnId="{7F11651F-ADBC-4F7E-8B04-2B0CF8F421B2}">
      <dgm:prSet/>
      <dgm:spPr/>
      <dgm:t>
        <a:bodyPr/>
        <a:lstStyle/>
        <a:p>
          <a:pPr algn="l"/>
          <a:endParaRPr lang="en-GB"/>
        </a:p>
      </dgm:t>
    </dgm:pt>
    <dgm:pt modelId="{05502E50-0D16-4CC2-AEAB-20E9C8D7D2E8}">
      <dgm:prSet/>
      <dgm:spPr/>
      <dgm:t>
        <a:bodyPr/>
        <a:lstStyle/>
        <a:p>
          <a:pPr algn="l">
            <a:buFont typeface="Arial" panose="020B0604020202020204" pitchFamily="34" charset="0"/>
            <a:buChar char="•"/>
          </a:pPr>
          <a:r>
            <a:rPr lang="en-GB" b="0" i="0" cap="none" spc="0">
              <a:ln w="0"/>
              <a:solidFill>
                <a:schemeClr val="tx1"/>
              </a:solidFill>
              <a:effectLst>
                <a:outerShdw blurRad="38100" dist="19050" dir="2700000" algn="tl" rotWithShape="0">
                  <a:schemeClr val="dk1">
                    <a:alpha val="40000"/>
                  </a:schemeClr>
                </a:outerShdw>
              </a:effectLst>
            </a:rPr>
            <a:t>An estimated 600 million adults with hypertension (44%) are unaware that they have the condition.</a:t>
          </a:r>
        </a:p>
      </dgm:t>
    </dgm:pt>
    <dgm:pt modelId="{D71BB341-B1A9-4031-B5B9-1EEED44E2C95}" type="parTrans" cxnId="{FADD6681-DC08-4021-8B0F-7050A8836937}">
      <dgm:prSet/>
      <dgm:spPr/>
      <dgm:t>
        <a:bodyPr/>
        <a:lstStyle/>
        <a:p>
          <a:pPr algn="l"/>
          <a:endParaRPr lang="en-GB"/>
        </a:p>
      </dgm:t>
    </dgm:pt>
    <dgm:pt modelId="{9A6BA7FB-1D74-4A67-A072-56016BF08EF3}" type="sibTrans" cxnId="{FADD6681-DC08-4021-8B0F-7050A8836937}">
      <dgm:prSet/>
      <dgm:spPr/>
      <dgm:t>
        <a:bodyPr/>
        <a:lstStyle/>
        <a:p>
          <a:pPr algn="l"/>
          <a:endParaRPr lang="en-GB"/>
        </a:p>
      </dgm:t>
    </dgm:pt>
    <dgm:pt modelId="{5A752899-E1A5-4F8E-A81C-15AFD865317E}">
      <dgm:prSet/>
      <dgm:spPr/>
      <dgm:t>
        <a:bodyPr/>
        <a:lstStyle/>
        <a:p>
          <a:pPr algn="l">
            <a:buFont typeface="Arial" panose="020B0604020202020204" pitchFamily="34" charset="0"/>
            <a:buChar char="•"/>
          </a:pPr>
          <a:r>
            <a:rPr lang="en-GB" b="0" i="0" cap="none" spc="0">
              <a:ln w="0"/>
              <a:solidFill>
                <a:schemeClr val="tx1"/>
              </a:solidFill>
              <a:effectLst>
                <a:outerShdw blurRad="38100" dist="19050" dir="2700000" algn="tl" rotWithShape="0">
                  <a:schemeClr val="dk1">
                    <a:alpha val="40000"/>
                  </a:schemeClr>
                </a:outerShdw>
              </a:effectLst>
            </a:rPr>
            <a:t>Approximately 630 million adults with hypertension (44%) are diagnosed and treated.</a:t>
          </a:r>
        </a:p>
      </dgm:t>
    </dgm:pt>
    <dgm:pt modelId="{75D394FD-4D72-4133-8DBA-7C143CFD0D50}" type="parTrans" cxnId="{71A82D56-8325-48B4-96B5-FD4AF2CFB963}">
      <dgm:prSet/>
      <dgm:spPr/>
      <dgm:t>
        <a:bodyPr/>
        <a:lstStyle/>
        <a:p>
          <a:pPr algn="l"/>
          <a:endParaRPr lang="en-GB"/>
        </a:p>
      </dgm:t>
    </dgm:pt>
    <dgm:pt modelId="{0A6699EB-EF21-4E95-9376-CE9F6096ACC6}" type="sibTrans" cxnId="{71A82D56-8325-48B4-96B5-FD4AF2CFB963}">
      <dgm:prSet/>
      <dgm:spPr/>
      <dgm:t>
        <a:bodyPr/>
        <a:lstStyle/>
        <a:p>
          <a:pPr algn="l"/>
          <a:endParaRPr lang="en-GB"/>
        </a:p>
      </dgm:t>
    </dgm:pt>
    <dgm:pt modelId="{62A1E666-5D07-47B7-8F0B-FFD91565649C}">
      <dgm:prSet/>
      <dgm:spPr/>
      <dgm:t>
        <a:bodyPr/>
        <a:lstStyle/>
        <a:p>
          <a:pPr algn="l">
            <a:buFont typeface="Arial" panose="020B0604020202020204" pitchFamily="34" charset="0"/>
            <a:buChar char="•"/>
          </a:pPr>
          <a:r>
            <a:rPr lang="en-GB" b="0" i="0" cap="none" spc="0">
              <a:ln w="0"/>
              <a:solidFill>
                <a:schemeClr val="tx1"/>
              </a:solidFill>
              <a:effectLst>
                <a:outerShdw blurRad="38100" dist="19050" dir="2700000" algn="tl" rotWithShape="0">
                  <a:schemeClr val="dk1">
                    <a:alpha val="40000"/>
                  </a:schemeClr>
                </a:outerShdw>
              </a:effectLst>
            </a:rPr>
            <a:t>Approximately 320 million adults with hypertension (23%) have it under control.</a:t>
          </a:r>
        </a:p>
      </dgm:t>
    </dgm:pt>
    <dgm:pt modelId="{6BE933EA-D482-4FBC-89CD-1BD8AB3F466A}" type="parTrans" cxnId="{C98F7014-131D-4F4C-BEB6-9C727F832127}">
      <dgm:prSet/>
      <dgm:spPr/>
      <dgm:t>
        <a:bodyPr/>
        <a:lstStyle/>
        <a:p>
          <a:pPr algn="l"/>
          <a:endParaRPr lang="en-GB"/>
        </a:p>
      </dgm:t>
    </dgm:pt>
    <dgm:pt modelId="{A26068F6-F569-4FAC-8C38-DF154D0A09DE}" type="sibTrans" cxnId="{C98F7014-131D-4F4C-BEB6-9C727F832127}">
      <dgm:prSet/>
      <dgm:spPr/>
      <dgm:t>
        <a:bodyPr/>
        <a:lstStyle/>
        <a:p>
          <a:pPr algn="l"/>
          <a:endParaRPr lang="en-GB"/>
        </a:p>
      </dgm:t>
    </dgm:pt>
    <dgm:pt modelId="{47F5D880-4AE0-4D1A-BCCA-AB61DF960100}">
      <dgm:prSet/>
      <dgm:spPr/>
      <dgm:t>
        <a:bodyPr/>
        <a:lstStyle/>
        <a:p>
          <a:pPr algn="l">
            <a:buFont typeface="Arial" panose="020B0604020202020204" pitchFamily="34" charset="0"/>
            <a:buChar char="•"/>
          </a:pPr>
          <a:r>
            <a:rPr lang="en-GB" b="0" i="0" cap="none" spc="0">
              <a:ln w="0"/>
              <a:solidFill>
                <a:schemeClr val="tx1"/>
              </a:solidFill>
              <a:effectLst>
                <a:outerShdw blurRad="38100" dist="19050" dir="2700000" algn="tl" rotWithShape="0">
                  <a:schemeClr val="dk1">
                    <a:alpha val="40000"/>
                  </a:schemeClr>
                </a:outerShdw>
              </a:effectLst>
            </a:rPr>
            <a:t>Hypertension is a major cause of premature death worldwide.</a:t>
          </a:r>
        </a:p>
      </dgm:t>
    </dgm:pt>
    <dgm:pt modelId="{F101CAB5-1A5C-4239-97A7-2C3E215C4832}" type="parTrans" cxnId="{FE27B9A5-5352-45CA-AA6B-B22370467A3A}">
      <dgm:prSet/>
      <dgm:spPr/>
      <dgm:t>
        <a:bodyPr/>
        <a:lstStyle/>
        <a:p>
          <a:pPr algn="l"/>
          <a:endParaRPr lang="en-GB"/>
        </a:p>
      </dgm:t>
    </dgm:pt>
    <dgm:pt modelId="{2BF8FC59-746C-4EE6-8875-74AEB4145F78}" type="sibTrans" cxnId="{FE27B9A5-5352-45CA-AA6B-B22370467A3A}">
      <dgm:prSet/>
      <dgm:spPr/>
      <dgm:t>
        <a:bodyPr/>
        <a:lstStyle/>
        <a:p>
          <a:pPr algn="l"/>
          <a:endParaRPr lang="en-GB"/>
        </a:p>
      </dgm:t>
    </dgm:pt>
    <dgm:pt modelId="{D1BE7B02-1A59-47DF-A5AD-9FB7D6B69836}">
      <dgm:prSet/>
      <dgm:spPr/>
      <dgm:t>
        <a:bodyPr/>
        <a:lstStyle/>
        <a:p>
          <a:pPr algn="l">
            <a:buFont typeface="Arial" panose="020B0604020202020204" pitchFamily="34" charset="0"/>
            <a:buChar char="•"/>
          </a:pPr>
          <a:r>
            <a:rPr lang="en-GB" b="0" i="0" cap="none" spc="0">
              <a:ln w="0"/>
              <a:solidFill>
                <a:schemeClr val="tx1"/>
              </a:solidFill>
              <a:effectLst>
                <a:outerShdw blurRad="38100" dist="19050" dir="2700000" algn="tl" rotWithShape="0">
                  <a:schemeClr val="dk1">
                    <a:alpha val="40000"/>
                  </a:schemeClr>
                </a:outerShdw>
              </a:effectLst>
            </a:rPr>
            <a:t>One of the global targets for noncommunicable diseases is to reduce the prevalence of uncontrolled hypertension by 25% between 2010 and 2025.</a:t>
          </a:r>
        </a:p>
      </dgm:t>
    </dgm:pt>
    <dgm:pt modelId="{D8F3C801-1E5C-451E-A832-AF5D69DB748E}" type="parTrans" cxnId="{2CC158DC-311D-4ED1-AAC3-1C3F77EE87CC}">
      <dgm:prSet/>
      <dgm:spPr/>
      <dgm:t>
        <a:bodyPr/>
        <a:lstStyle/>
        <a:p>
          <a:pPr algn="l"/>
          <a:endParaRPr lang="en-GB"/>
        </a:p>
      </dgm:t>
    </dgm:pt>
    <dgm:pt modelId="{124660BD-BD5C-4277-A302-80357D502B38}" type="sibTrans" cxnId="{2CC158DC-311D-4ED1-AAC3-1C3F77EE87CC}">
      <dgm:prSet/>
      <dgm:spPr/>
      <dgm:t>
        <a:bodyPr/>
        <a:lstStyle/>
        <a:p>
          <a:pPr algn="l"/>
          <a:endParaRPr lang="en-GB"/>
        </a:p>
      </dgm:t>
    </dgm:pt>
    <dgm:pt modelId="{9856441D-E23C-4BC6-B432-F65A2FFC5167}" type="pres">
      <dgm:prSet presAssocID="{632A72D5-DD76-4D1D-B49E-B683CBA9FAAC}" presName="linearFlow" presStyleCnt="0">
        <dgm:presLayoutVars>
          <dgm:dir/>
          <dgm:resizeHandles val="exact"/>
        </dgm:presLayoutVars>
      </dgm:prSet>
      <dgm:spPr/>
    </dgm:pt>
    <dgm:pt modelId="{E6A8B067-99D2-4F08-A515-9850FE9DAD49}" type="pres">
      <dgm:prSet presAssocID="{632E6046-8DED-4FE3-A4EB-1AA42321F887}" presName="composite" presStyleCnt="0"/>
      <dgm:spPr/>
    </dgm:pt>
    <dgm:pt modelId="{6CF582B6-8AB0-4ECF-BA7F-30699EAF39A1}" type="pres">
      <dgm:prSet presAssocID="{632E6046-8DED-4FE3-A4EB-1AA42321F887}" presName="imgShp" presStyleLbl="fgImgPlace1" presStyleIdx="0" presStyleCnt="7"/>
      <dgm:spPr>
        <a:blipFill>
          <a:blip xmlns:r="http://schemas.openxmlformats.org/officeDocument/2006/relationships" r:embed="rId1">
            <a:extLst>
              <a:ext uri="{96DAC541-7B7A-43D3-8B79-37D633B846F1}">
                <asvg:svgBlip xmlns:asvg="http://schemas.microsoft.com/office/drawing/2016/SVG/main" r:embed="rId2"/>
              </a:ext>
            </a:extLst>
          </a:blip>
          <a:srcRect/>
          <a:stretch>
            <a:fillRect/>
          </a:stretch>
        </a:blipFill>
      </dgm:spPr>
      <dgm:extLst>
        <a:ext uri="{E40237B7-FDA0-4F09-8148-C483321AD2D9}">
          <dgm14:cNvPr xmlns:dgm14="http://schemas.microsoft.com/office/drawing/2010/diagram" id="0" name="" descr="Arrow Right with solid fill"/>
        </a:ext>
      </dgm:extLst>
    </dgm:pt>
    <dgm:pt modelId="{D1887E4C-AC05-4E0F-BE69-D274A4B9C4AD}" type="pres">
      <dgm:prSet presAssocID="{632E6046-8DED-4FE3-A4EB-1AA42321F887}" presName="txShp" presStyleLbl="node1" presStyleIdx="0" presStyleCnt="7">
        <dgm:presLayoutVars>
          <dgm:bulletEnabled val="1"/>
        </dgm:presLayoutVars>
      </dgm:prSet>
      <dgm:spPr/>
    </dgm:pt>
    <dgm:pt modelId="{F20851DB-F856-4696-B710-4B4F4918766F}" type="pres">
      <dgm:prSet presAssocID="{90655E9F-88BF-44BC-9519-07F5205F2DCE}" presName="spacing" presStyleCnt="0"/>
      <dgm:spPr/>
    </dgm:pt>
    <dgm:pt modelId="{87506046-747D-4B5E-A105-D6C42474E8CF}" type="pres">
      <dgm:prSet presAssocID="{C04EC46E-B1DA-4775-899B-BEE3C19D1469}" presName="composite" presStyleCnt="0"/>
      <dgm:spPr/>
    </dgm:pt>
    <dgm:pt modelId="{3FD1E1FE-76F7-434B-8D2D-E10B39766B61}" type="pres">
      <dgm:prSet presAssocID="{C04EC46E-B1DA-4775-899B-BEE3C19D1469}" presName="imgShp" presStyleLbl="fgImgPlace1" presStyleIdx="1" presStyleCnt="7"/>
      <dgm:spPr>
        <a:blipFill>
          <a:blip xmlns:r="http://schemas.openxmlformats.org/officeDocument/2006/relationships" r:embed="rId3">
            <a:extLst>
              <a:ext uri="{96DAC541-7B7A-43D3-8B79-37D633B846F1}">
                <asvg:svgBlip xmlns:asvg="http://schemas.microsoft.com/office/drawing/2016/SVG/main" r:embed="rId4"/>
              </a:ext>
            </a:extLst>
          </a:blip>
          <a:srcRect/>
          <a:stretch>
            <a:fillRect/>
          </a:stretch>
        </a:blipFill>
      </dgm:spPr>
      <dgm:extLst>
        <a:ext uri="{E40237B7-FDA0-4F09-8148-C483321AD2D9}">
          <dgm14:cNvPr xmlns:dgm14="http://schemas.microsoft.com/office/drawing/2010/diagram" id="0" name="" descr="Arrow Right with solid fill"/>
        </a:ext>
      </dgm:extLst>
    </dgm:pt>
    <dgm:pt modelId="{FA595F66-C52C-450A-84B0-96281D2A24BE}" type="pres">
      <dgm:prSet presAssocID="{C04EC46E-B1DA-4775-899B-BEE3C19D1469}" presName="txShp" presStyleLbl="node1" presStyleIdx="1" presStyleCnt="7">
        <dgm:presLayoutVars>
          <dgm:bulletEnabled val="1"/>
        </dgm:presLayoutVars>
      </dgm:prSet>
      <dgm:spPr/>
    </dgm:pt>
    <dgm:pt modelId="{F5C44EA3-9714-4668-85EA-9DE24A701AAE}" type="pres">
      <dgm:prSet presAssocID="{E0F7A546-C560-4B82-90FF-6732B6C94F42}" presName="spacing" presStyleCnt="0"/>
      <dgm:spPr/>
    </dgm:pt>
    <dgm:pt modelId="{B4533D75-32C6-46D4-A4B7-60A7083544EF}" type="pres">
      <dgm:prSet presAssocID="{05502E50-0D16-4CC2-AEAB-20E9C8D7D2E8}" presName="composite" presStyleCnt="0"/>
      <dgm:spPr/>
    </dgm:pt>
    <dgm:pt modelId="{6B6F7368-4A36-4C7B-BC74-5675C45D8E34}" type="pres">
      <dgm:prSet presAssocID="{05502E50-0D16-4CC2-AEAB-20E9C8D7D2E8}" presName="imgShp" presStyleLbl="fgImgPlace1" presStyleIdx="2" presStyleCnt="7"/>
      <dgm:spPr>
        <a:blipFill>
          <a:blip xmlns:r="http://schemas.openxmlformats.org/officeDocument/2006/relationships" r:embed="rId5">
            <a:extLst>
              <a:ext uri="{96DAC541-7B7A-43D3-8B79-37D633B846F1}">
                <asvg:svgBlip xmlns:asvg="http://schemas.microsoft.com/office/drawing/2016/SVG/main" r:embed="rId6"/>
              </a:ext>
            </a:extLst>
          </a:blip>
          <a:srcRect/>
          <a:stretch>
            <a:fillRect/>
          </a:stretch>
        </a:blipFill>
      </dgm:spPr>
      <dgm:extLst>
        <a:ext uri="{E40237B7-FDA0-4F09-8148-C483321AD2D9}">
          <dgm14:cNvPr xmlns:dgm14="http://schemas.microsoft.com/office/drawing/2010/diagram" id="0" name="" descr="Arrow Right with solid fill"/>
        </a:ext>
      </dgm:extLst>
    </dgm:pt>
    <dgm:pt modelId="{8E0EC8BB-5200-48FB-869A-B85A829C3909}" type="pres">
      <dgm:prSet presAssocID="{05502E50-0D16-4CC2-AEAB-20E9C8D7D2E8}" presName="txShp" presStyleLbl="node1" presStyleIdx="2" presStyleCnt="7">
        <dgm:presLayoutVars>
          <dgm:bulletEnabled val="1"/>
        </dgm:presLayoutVars>
      </dgm:prSet>
      <dgm:spPr/>
    </dgm:pt>
    <dgm:pt modelId="{5F24D46C-70F1-44CB-81F7-0522C9E6719A}" type="pres">
      <dgm:prSet presAssocID="{9A6BA7FB-1D74-4A67-A072-56016BF08EF3}" presName="spacing" presStyleCnt="0"/>
      <dgm:spPr/>
    </dgm:pt>
    <dgm:pt modelId="{C518A719-80B4-4690-8F23-6A56559BB158}" type="pres">
      <dgm:prSet presAssocID="{5A752899-E1A5-4F8E-A81C-15AFD865317E}" presName="composite" presStyleCnt="0"/>
      <dgm:spPr/>
    </dgm:pt>
    <dgm:pt modelId="{CA646EC9-493A-4561-B213-6739605160C0}" type="pres">
      <dgm:prSet presAssocID="{5A752899-E1A5-4F8E-A81C-15AFD865317E}" presName="imgShp" presStyleLbl="fgImgPlace1" presStyleIdx="3" presStyleCnt="7"/>
      <dgm:spPr>
        <a:blipFill>
          <a:blip xmlns:r="http://schemas.openxmlformats.org/officeDocument/2006/relationships" r:embed="rId7">
            <a:extLst>
              <a:ext uri="{96DAC541-7B7A-43D3-8B79-37D633B846F1}">
                <asvg:svgBlip xmlns:asvg="http://schemas.microsoft.com/office/drawing/2016/SVG/main" r:embed="rId8"/>
              </a:ext>
            </a:extLst>
          </a:blip>
          <a:srcRect/>
          <a:stretch>
            <a:fillRect/>
          </a:stretch>
        </a:blipFill>
      </dgm:spPr>
      <dgm:extLst>
        <a:ext uri="{E40237B7-FDA0-4F09-8148-C483321AD2D9}">
          <dgm14:cNvPr xmlns:dgm14="http://schemas.microsoft.com/office/drawing/2010/diagram" id="0" name="" descr="Arrow Right with solid fill"/>
        </a:ext>
      </dgm:extLst>
    </dgm:pt>
    <dgm:pt modelId="{4740C804-4085-44C8-A8E5-FC93390F0E64}" type="pres">
      <dgm:prSet presAssocID="{5A752899-E1A5-4F8E-A81C-15AFD865317E}" presName="txShp" presStyleLbl="node1" presStyleIdx="3" presStyleCnt="7">
        <dgm:presLayoutVars>
          <dgm:bulletEnabled val="1"/>
        </dgm:presLayoutVars>
      </dgm:prSet>
      <dgm:spPr/>
    </dgm:pt>
    <dgm:pt modelId="{4AA94410-B61C-41DD-82B9-DC2247245268}" type="pres">
      <dgm:prSet presAssocID="{0A6699EB-EF21-4E95-9376-CE9F6096ACC6}" presName="spacing" presStyleCnt="0"/>
      <dgm:spPr/>
    </dgm:pt>
    <dgm:pt modelId="{F02A9D16-B0A5-4DDF-8DE5-0559EE82CA29}" type="pres">
      <dgm:prSet presAssocID="{62A1E666-5D07-47B7-8F0B-FFD91565649C}" presName="composite" presStyleCnt="0"/>
      <dgm:spPr/>
    </dgm:pt>
    <dgm:pt modelId="{623CC80B-655C-4F95-94CD-CE79B49EF7A8}" type="pres">
      <dgm:prSet presAssocID="{62A1E666-5D07-47B7-8F0B-FFD91565649C}" presName="imgShp" presStyleLbl="fgImgPlace1" presStyleIdx="4" presStyleCnt="7"/>
      <dgm:spPr>
        <a:blipFill>
          <a:blip xmlns:r="http://schemas.openxmlformats.org/officeDocument/2006/relationships" r:embed="rId9">
            <a:extLst>
              <a:ext uri="{96DAC541-7B7A-43D3-8B79-37D633B846F1}">
                <asvg:svgBlip xmlns:asvg="http://schemas.microsoft.com/office/drawing/2016/SVG/main" r:embed="rId10"/>
              </a:ext>
            </a:extLst>
          </a:blip>
          <a:srcRect/>
          <a:stretch>
            <a:fillRect/>
          </a:stretch>
        </a:blipFill>
      </dgm:spPr>
      <dgm:extLst>
        <a:ext uri="{E40237B7-FDA0-4F09-8148-C483321AD2D9}">
          <dgm14:cNvPr xmlns:dgm14="http://schemas.microsoft.com/office/drawing/2010/diagram" id="0" name="" descr="Arrow Right with solid fill"/>
        </a:ext>
      </dgm:extLst>
    </dgm:pt>
    <dgm:pt modelId="{70B64A14-A47B-4B76-AD14-DBB02A4990A8}" type="pres">
      <dgm:prSet presAssocID="{62A1E666-5D07-47B7-8F0B-FFD91565649C}" presName="txShp" presStyleLbl="node1" presStyleIdx="4" presStyleCnt="7">
        <dgm:presLayoutVars>
          <dgm:bulletEnabled val="1"/>
        </dgm:presLayoutVars>
      </dgm:prSet>
      <dgm:spPr/>
    </dgm:pt>
    <dgm:pt modelId="{949E3AD0-D66C-411B-88B1-E5C10BE02BE6}" type="pres">
      <dgm:prSet presAssocID="{A26068F6-F569-4FAC-8C38-DF154D0A09DE}" presName="spacing" presStyleCnt="0"/>
      <dgm:spPr/>
    </dgm:pt>
    <dgm:pt modelId="{B9165711-1DCC-4721-A691-7CEFAF02D7A2}" type="pres">
      <dgm:prSet presAssocID="{47F5D880-4AE0-4D1A-BCCA-AB61DF960100}" presName="composite" presStyleCnt="0"/>
      <dgm:spPr/>
    </dgm:pt>
    <dgm:pt modelId="{9B738566-209C-4156-B420-6FAE1F86CCED}" type="pres">
      <dgm:prSet presAssocID="{47F5D880-4AE0-4D1A-BCCA-AB61DF960100}" presName="imgShp" presStyleLbl="fgImgPlace1" presStyleIdx="5" presStyleCnt="7"/>
      <dgm:spPr>
        <a:blipFill>
          <a:blip xmlns:r="http://schemas.openxmlformats.org/officeDocument/2006/relationships" r:embed="rId1">
            <a:extLst>
              <a:ext uri="{96DAC541-7B7A-43D3-8B79-37D633B846F1}">
                <asvg:svgBlip xmlns:asvg="http://schemas.microsoft.com/office/drawing/2016/SVG/main" r:embed="rId2"/>
              </a:ext>
            </a:extLst>
          </a:blip>
          <a:srcRect/>
          <a:stretch>
            <a:fillRect/>
          </a:stretch>
        </a:blipFill>
      </dgm:spPr>
      <dgm:extLst>
        <a:ext uri="{E40237B7-FDA0-4F09-8148-C483321AD2D9}">
          <dgm14:cNvPr xmlns:dgm14="http://schemas.microsoft.com/office/drawing/2010/diagram" id="0" name="" descr="Arrow Right with solid fill"/>
        </a:ext>
      </dgm:extLst>
    </dgm:pt>
    <dgm:pt modelId="{1BDA9C04-5284-4425-A113-08A73A78E4AE}" type="pres">
      <dgm:prSet presAssocID="{47F5D880-4AE0-4D1A-BCCA-AB61DF960100}" presName="txShp" presStyleLbl="node1" presStyleIdx="5" presStyleCnt="7">
        <dgm:presLayoutVars>
          <dgm:bulletEnabled val="1"/>
        </dgm:presLayoutVars>
      </dgm:prSet>
      <dgm:spPr/>
    </dgm:pt>
    <dgm:pt modelId="{B0657A5F-296F-4E3D-9EEC-1B6AD22AA296}" type="pres">
      <dgm:prSet presAssocID="{2BF8FC59-746C-4EE6-8875-74AEB4145F78}" presName="spacing" presStyleCnt="0"/>
      <dgm:spPr/>
    </dgm:pt>
    <dgm:pt modelId="{AA3D230C-A8BE-4518-99B9-5D93A63E7ED3}" type="pres">
      <dgm:prSet presAssocID="{D1BE7B02-1A59-47DF-A5AD-9FB7D6B69836}" presName="composite" presStyleCnt="0"/>
      <dgm:spPr/>
    </dgm:pt>
    <dgm:pt modelId="{95408F2C-6E65-4FF4-B8DD-B39750BF8C5A}" type="pres">
      <dgm:prSet presAssocID="{D1BE7B02-1A59-47DF-A5AD-9FB7D6B69836}" presName="imgShp" presStyleLbl="fgImgPlace1" presStyleIdx="6" presStyleCnt="7"/>
      <dgm:spPr>
        <a:blipFill>
          <a:blip xmlns:r="http://schemas.openxmlformats.org/officeDocument/2006/relationships" r:embed="rId3">
            <a:extLst>
              <a:ext uri="{96DAC541-7B7A-43D3-8B79-37D633B846F1}">
                <asvg:svgBlip xmlns:asvg="http://schemas.microsoft.com/office/drawing/2016/SVG/main" r:embed="rId4"/>
              </a:ext>
            </a:extLst>
          </a:blip>
          <a:srcRect/>
          <a:stretch>
            <a:fillRect/>
          </a:stretch>
        </a:blipFill>
      </dgm:spPr>
      <dgm:extLst>
        <a:ext uri="{E40237B7-FDA0-4F09-8148-C483321AD2D9}">
          <dgm14:cNvPr xmlns:dgm14="http://schemas.microsoft.com/office/drawing/2010/diagram" id="0" name="" descr="Arrow Right with solid fill"/>
        </a:ext>
      </dgm:extLst>
    </dgm:pt>
    <dgm:pt modelId="{29A62560-304B-4B35-A5D1-ABFD40A05228}" type="pres">
      <dgm:prSet presAssocID="{D1BE7B02-1A59-47DF-A5AD-9FB7D6B69836}" presName="txShp" presStyleLbl="node1" presStyleIdx="6" presStyleCnt="7">
        <dgm:presLayoutVars>
          <dgm:bulletEnabled val="1"/>
        </dgm:presLayoutVars>
      </dgm:prSet>
      <dgm:spPr/>
    </dgm:pt>
  </dgm:ptLst>
  <dgm:cxnLst>
    <dgm:cxn modelId="{C98F7014-131D-4F4C-BEB6-9C727F832127}" srcId="{632A72D5-DD76-4D1D-B49E-B683CBA9FAAC}" destId="{62A1E666-5D07-47B7-8F0B-FFD91565649C}" srcOrd="4" destOrd="0" parTransId="{6BE933EA-D482-4FBC-89CD-1BD8AB3F466A}" sibTransId="{A26068F6-F569-4FAC-8C38-DF154D0A09DE}"/>
    <dgm:cxn modelId="{7F11651F-ADBC-4F7E-8B04-2B0CF8F421B2}" srcId="{632A72D5-DD76-4D1D-B49E-B683CBA9FAAC}" destId="{C04EC46E-B1DA-4775-899B-BEE3C19D1469}" srcOrd="1" destOrd="0" parTransId="{2D2E34CA-35F8-40F8-960D-91971BF91174}" sibTransId="{E0F7A546-C560-4B82-90FF-6732B6C94F42}"/>
    <dgm:cxn modelId="{9CA67C2B-BE89-47FC-A5DB-7224F0F05063}" type="presOf" srcId="{47F5D880-4AE0-4D1A-BCCA-AB61DF960100}" destId="{1BDA9C04-5284-4425-A113-08A73A78E4AE}" srcOrd="0" destOrd="0" presId="urn:microsoft.com/office/officeart/2005/8/layout/vList3"/>
    <dgm:cxn modelId="{EBD9DB47-4076-40DE-81D5-82497CD658E9}" type="presOf" srcId="{62A1E666-5D07-47B7-8F0B-FFD91565649C}" destId="{70B64A14-A47B-4B76-AD14-DBB02A4990A8}" srcOrd="0" destOrd="0" presId="urn:microsoft.com/office/officeart/2005/8/layout/vList3"/>
    <dgm:cxn modelId="{51886469-CA43-41EC-9CE7-0A8AD9438BC7}" type="presOf" srcId="{5A752899-E1A5-4F8E-A81C-15AFD865317E}" destId="{4740C804-4085-44C8-A8E5-FC93390F0E64}" srcOrd="0" destOrd="0" presId="urn:microsoft.com/office/officeart/2005/8/layout/vList3"/>
    <dgm:cxn modelId="{71A82D56-8325-48B4-96B5-FD4AF2CFB963}" srcId="{632A72D5-DD76-4D1D-B49E-B683CBA9FAAC}" destId="{5A752899-E1A5-4F8E-A81C-15AFD865317E}" srcOrd="3" destOrd="0" parTransId="{75D394FD-4D72-4133-8DBA-7C143CFD0D50}" sibTransId="{0A6699EB-EF21-4E95-9376-CE9F6096ACC6}"/>
    <dgm:cxn modelId="{FF68F97A-80DD-4DBB-BCC3-E7F26B06A614}" type="presOf" srcId="{632A72D5-DD76-4D1D-B49E-B683CBA9FAAC}" destId="{9856441D-E23C-4BC6-B432-F65A2FFC5167}" srcOrd="0" destOrd="0" presId="urn:microsoft.com/office/officeart/2005/8/layout/vList3"/>
    <dgm:cxn modelId="{FADD6681-DC08-4021-8B0F-7050A8836937}" srcId="{632A72D5-DD76-4D1D-B49E-B683CBA9FAAC}" destId="{05502E50-0D16-4CC2-AEAB-20E9C8D7D2E8}" srcOrd="2" destOrd="0" parTransId="{D71BB341-B1A9-4031-B5B9-1EEED44E2C95}" sibTransId="{9A6BA7FB-1D74-4A67-A072-56016BF08EF3}"/>
    <dgm:cxn modelId="{43329588-A3CF-4C2E-A566-8092940768F0}" type="presOf" srcId="{632E6046-8DED-4FE3-A4EB-1AA42321F887}" destId="{D1887E4C-AC05-4E0F-BE69-D274A4B9C4AD}" srcOrd="0" destOrd="0" presId="urn:microsoft.com/office/officeart/2005/8/layout/vList3"/>
    <dgm:cxn modelId="{73A1328A-6909-4884-AD04-375706BFCB83}" type="presOf" srcId="{05502E50-0D16-4CC2-AEAB-20E9C8D7D2E8}" destId="{8E0EC8BB-5200-48FB-869A-B85A829C3909}" srcOrd="0" destOrd="0" presId="urn:microsoft.com/office/officeart/2005/8/layout/vList3"/>
    <dgm:cxn modelId="{FE27B9A5-5352-45CA-AA6B-B22370467A3A}" srcId="{632A72D5-DD76-4D1D-B49E-B683CBA9FAAC}" destId="{47F5D880-4AE0-4D1A-BCCA-AB61DF960100}" srcOrd="5" destOrd="0" parTransId="{F101CAB5-1A5C-4239-97A7-2C3E215C4832}" sibTransId="{2BF8FC59-746C-4EE6-8875-74AEB4145F78}"/>
    <dgm:cxn modelId="{1F39FFC4-544A-4640-A4CA-C6D459B53BF2}" type="presOf" srcId="{C04EC46E-B1DA-4775-899B-BEE3C19D1469}" destId="{FA595F66-C52C-450A-84B0-96281D2A24BE}" srcOrd="0" destOrd="0" presId="urn:microsoft.com/office/officeart/2005/8/layout/vList3"/>
    <dgm:cxn modelId="{2CC158DC-311D-4ED1-AAC3-1C3F77EE87CC}" srcId="{632A72D5-DD76-4D1D-B49E-B683CBA9FAAC}" destId="{D1BE7B02-1A59-47DF-A5AD-9FB7D6B69836}" srcOrd="6" destOrd="0" parTransId="{D8F3C801-1E5C-451E-A832-AF5D69DB748E}" sibTransId="{124660BD-BD5C-4277-A302-80357D502B38}"/>
    <dgm:cxn modelId="{0C195FF1-7AC9-4D1D-98E7-6B55EF192EF5}" type="presOf" srcId="{D1BE7B02-1A59-47DF-A5AD-9FB7D6B69836}" destId="{29A62560-304B-4B35-A5D1-ABFD40A05228}" srcOrd="0" destOrd="0" presId="urn:microsoft.com/office/officeart/2005/8/layout/vList3"/>
    <dgm:cxn modelId="{F024C4F4-2E9D-4C3C-A7D5-EFA27FA79098}" srcId="{632A72D5-DD76-4D1D-B49E-B683CBA9FAAC}" destId="{632E6046-8DED-4FE3-A4EB-1AA42321F887}" srcOrd="0" destOrd="0" parTransId="{B99C8224-F03C-411F-AEDC-C599F14B1B19}" sibTransId="{90655E9F-88BF-44BC-9519-07F5205F2DCE}"/>
    <dgm:cxn modelId="{0CF222AA-649A-49D4-AF9B-6184965BF702}" type="presParOf" srcId="{9856441D-E23C-4BC6-B432-F65A2FFC5167}" destId="{E6A8B067-99D2-4F08-A515-9850FE9DAD49}" srcOrd="0" destOrd="0" presId="urn:microsoft.com/office/officeart/2005/8/layout/vList3"/>
    <dgm:cxn modelId="{C5E98365-ED72-4D76-8FB4-D0A1BED7EDB4}" type="presParOf" srcId="{E6A8B067-99D2-4F08-A515-9850FE9DAD49}" destId="{6CF582B6-8AB0-4ECF-BA7F-30699EAF39A1}" srcOrd="0" destOrd="0" presId="urn:microsoft.com/office/officeart/2005/8/layout/vList3"/>
    <dgm:cxn modelId="{1AFD595C-D564-4FAD-9016-27860AE5580A}" type="presParOf" srcId="{E6A8B067-99D2-4F08-A515-9850FE9DAD49}" destId="{D1887E4C-AC05-4E0F-BE69-D274A4B9C4AD}" srcOrd="1" destOrd="0" presId="urn:microsoft.com/office/officeart/2005/8/layout/vList3"/>
    <dgm:cxn modelId="{C2625CB6-0838-4572-A75A-B9CE85E1B16A}" type="presParOf" srcId="{9856441D-E23C-4BC6-B432-F65A2FFC5167}" destId="{F20851DB-F856-4696-B710-4B4F4918766F}" srcOrd="1" destOrd="0" presId="urn:microsoft.com/office/officeart/2005/8/layout/vList3"/>
    <dgm:cxn modelId="{28F51D59-C6B7-404E-9A04-6148CA139D12}" type="presParOf" srcId="{9856441D-E23C-4BC6-B432-F65A2FFC5167}" destId="{87506046-747D-4B5E-A105-D6C42474E8CF}" srcOrd="2" destOrd="0" presId="urn:microsoft.com/office/officeart/2005/8/layout/vList3"/>
    <dgm:cxn modelId="{9A8373FC-17E3-4793-BB38-63DAD306DA38}" type="presParOf" srcId="{87506046-747D-4B5E-A105-D6C42474E8CF}" destId="{3FD1E1FE-76F7-434B-8D2D-E10B39766B61}" srcOrd="0" destOrd="0" presId="urn:microsoft.com/office/officeart/2005/8/layout/vList3"/>
    <dgm:cxn modelId="{29B5ECB3-2584-4CB9-8DE5-38E20D966279}" type="presParOf" srcId="{87506046-747D-4B5E-A105-D6C42474E8CF}" destId="{FA595F66-C52C-450A-84B0-96281D2A24BE}" srcOrd="1" destOrd="0" presId="urn:microsoft.com/office/officeart/2005/8/layout/vList3"/>
    <dgm:cxn modelId="{6BD80E9B-4C6E-4A6A-9192-33003A6F2E17}" type="presParOf" srcId="{9856441D-E23C-4BC6-B432-F65A2FFC5167}" destId="{F5C44EA3-9714-4668-85EA-9DE24A701AAE}" srcOrd="3" destOrd="0" presId="urn:microsoft.com/office/officeart/2005/8/layout/vList3"/>
    <dgm:cxn modelId="{BC0BD7BB-9D91-48A8-B23E-D52999F4542C}" type="presParOf" srcId="{9856441D-E23C-4BC6-B432-F65A2FFC5167}" destId="{B4533D75-32C6-46D4-A4B7-60A7083544EF}" srcOrd="4" destOrd="0" presId="urn:microsoft.com/office/officeart/2005/8/layout/vList3"/>
    <dgm:cxn modelId="{6DB2855D-4851-4379-A70F-AF8F297C077C}" type="presParOf" srcId="{B4533D75-32C6-46D4-A4B7-60A7083544EF}" destId="{6B6F7368-4A36-4C7B-BC74-5675C45D8E34}" srcOrd="0" destOrd="0" presId="urn:microsoft.com/office/officeart/2005/8/layout/vList3"/>
    <dgm:cxn modelId="{0417EC97-CF41-4284-964C-14E76E6184C9}" type="presParOf" srcId="{B4533D75-32C6-46D4-A4B7-60A7083544EF}" destId="{8E0EC8BB-5200-48FB-869A-B85A829C3909}" srcOrd="1" destOrd="0" presId="urn:microsoft.com/office/officeart/2005/8/layout/vList3"/>
    <dgm:cxn modelId="{8CCB2EF2-6A62-4739-BC87-BE1360B6FD46}" type="presParOf" srcId="{9856441D-E23C-4BC6-B432-F65A2FFC5167}" destId="{5F24D46C-70F1-44CB-81F7-0522C9E6719A}" srcOrd="5" destOrd="0" presId="urn:microsoft.com/office/officeart/2005/8/layout/vList3"/>
    <dgm:cxn modelId="{5A028AC8-ADF5-4EA3-B316-78C270661CBC}" type="presParOf" srcId="{9856441D-E23C-4BC6-B432-F65A2FFC5167}" destId="{C518A719-80B4-4690-8F23-6A56559BB158}" srcOrd="6" destOrd="0" presId="urn:microsoft.com/office/officeart/2005/8/layout/vList3"/>
    <dgm:cxn modelId="{688765C0-0A0C-4498-97AC-FE8AFDBD9F4C}" type="presParOf" srcId="{C518A719-80B4-4690-8F23-6A56559BB158}" destId="{CA646EC9-493A-4561-B213-6739605160C0}" srcOrd="0" destOrd="0" presId="urn:microsoft.com/office/officeart/2005/8/layout/vList3"/>
    <dgm:cxn modelId="{B92B55D7-2BCF-41EE-BB0C-15EFE8EED380}" type="presParOf" srcId="{C518A719-80B4-4690-8F23-6A56559BB158}" destId="{4740C804-4085-44C8-A8E5-FC93390F0E64}" srcOrd="1" destOrd="0" presId="urn:microsoft.com/office/officeart/2005/8/layout/vList3"/>
    <dgm:cxn modelId="{4EA2BC51-31CF-4AB5-BCFD-E39F9B386807}" type="presParOf" srcId="{9856441D-E23C-4BC6-B432-F65A2FFC5167}" destId="{4AA94410-B61C-41DD-82B9-DC2247245268}" srcOrd="7" destOrd="0" presId="urn:microsoft.com/office/officeart/2005/8/layout/vList3"/>
    <dgm:cxn modelId="{1B076F4F-8539-46A6-B1F2-89C6BA5795F1}" type="presParOf" srcId="{9856441D-E23C-4BC6-B432-F65A2FFC5167}" destId="{F02A9D16-B0A5-4DDF-8DE5-0559EE82CA29}" srcOrd="8" destOrd="0" presId="urn:microsoft.com/office/officeart/2005/8/layout/vList3"/>
    <dgm:cxn modelId="{C2A60108-3706-49AA-A86D-8294F086DCF6}" type="presParOf" srcId="{F02A9D16-B0A5-4DDF-8DE5-0559EE82CA29}" destId="{623CC80B-655C-4F95-94CD-CE79B49EF7A8}" srcOrd="0" destOrd="0" presId="urn:microsoft.com/office/officeart/2005/8/layout/vList3"/>
    <dgm:cxn modelId="{22E3725A-8D89-4981-917D-2C984EBB56E8}" type="presParOf" srcId="{F02A9D16-B0A5-4DDF-8DE5-0559EE82CA29}" destId="{70B64A14-A47B-4B76-AD14-DBB02A4990A8}" srcOrd="1" destOrd="0" presId="urn:microsoft.com/office/officeart/2005/8/layout/vList3"/>
    <dgm:cxn modelId="{7491E291-38C4-42AC-B386-7764619286FF}" type="presParOf" srcId="{9856441D-E23C-4BC6-B432-F65A2FFC5167}" destId="{949E3AD0-D66C-411B-88B1-E5C10BE02BE6}" srcOrd="9" destOrd="0" presId="urn:microsoft.com/office/officeart/2005/8/layout/vList3"/>
    <dgm:cxn modelId="{5E87B1DA-7336-4F1E-9E58-8BCEB52AF127}" type="presParOf" srcId="{9856441D-E23C-4BC6-B432-F65A2FFC5167}" destId="{B9165711-1DCC-4721-A691-7CEFAF02D7A2}" srcOrd="10" destOrd="0" presId="urn:microsoft.com/office/officeart/2005/8/layout/vList3"/>
    <dgm:cxn modelId="{D36231CF-6E6A-4821-8C17-1468B133C043}" type="presParOf" srcId="{B9165711-1DCC-4721-A691-7CEFAF02D7A2}" destId="{9B738566-209C-4156-B420-6FAE1F86CCED}" srcOrd="0" destOrd="0" presId="urn:microsoft.com/office/officeart/2005/8/layout/vList3"/>
    <dgm:cxn modelId="{ED8A692D-217A-4938-8814-9E4B268E395B}" type="presParOf" srcId="{B9165711-1DCC-4721-A691-7CEFAF02D7A2}" destId="{1BDA9C04-5284-4425-A113-08A73A78E4AE}" srcOrd="1" destOrd="0" presId="urn:microsoft.com/office/officeart/2005/8/layout/vList3"/>
    <dgm:cxn modelId="{A6CBA9DB-9500-4FFE-9978-99A690C4ED3C}" type="presParOf" srcId="{9856441D-E23C-4BC6-B432-F65A2FFC5167}" destId="{B0657A5F-296F-4E3D-9EEC-1B6AD22AA296}" srcOrd="11" destOrd="0" presId="urn:microsoft.com/office/officeart/2005/8/layout/vList3"/>
    <dgm:cxn modelId="{F43DB7FC-D66C-4848-95A9-EE42BE2C810E}" type="presParOf" srcId="{9856441D-E23C-4BC6-B432-F65A2FFC5167}" destId="{AA3D230C-A8BE-4518-99B9-5D93A63E7ED3}" srcOrd="12" destOrd="0" presId="urn:microsoft.com/office/officeart/2005/8/layout/vList3"/>
    <dgm:cxn modelId="{8E38C2E2-E4DE-460E-9626-378A2A9A3ED9}" type="presParOf" srcId="{AA3D230C-A8BE-4518-99B9-5D93A63E7ED3}" destId="{95408F2C-6E65-4FF4-B8DD-B39750BF8C5A}" srcOrd="0" destOrd="0" presId="urn:microsoft.com/office/officeart/2005/8/layout/vList3"/>
    <dgm:cxn modelId="{5AB4EE4F-14D7-4700-A554-D932F5507716}" type="presParOf" srcId="{AA3D230C-A8BE-4518-99B9-5D93A63E7ED3}" destId="{29A62560-304B-4B35-A5D1-ABFD40A05228}" srcOrd="1" destOrd="0" presId="urn:microsoft.com/office/officeart/2005/8/layout/vList3"/>
  </dgm:cxnLst>
  <dgm:bg>
    <a:noFill/>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887E4C-AC05-4E0F-BE69-D274A4B9C4AD}">
      <dsp:nvSpPr>
        <dsp:cNvPr id="0" name=""/>
        <dsp:cNvSpPr/>
      </dsp:nvSpPr>
      <dsp:spPr>
        <a:xfrm rot="10800000">
          <a:off x="798222" y="1546"/>
          <a:ext cx="2742547" cy="429721"/>
        </a:xfrm>
        <a:prstGeom prst="homePlat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89495" tIns="30480" rIns="56896" bIns="30480" numCol="1" spcCol="1270" anchor="ctr" anchorCtr="0">
          <a:noAutofit/>
        </a:bodyPr>
        <a:lstStyle/>
        <a:p>
          <a:pPr marL="0" lvl="0" indent="0" algn="l" defTabSz="355600">
            <a:lnSpc>
              <a:spcPct val="90000"/>
            </a:lnSpc>
            <a:spcBef>
              <a:spcPct val="0"/>
            </a:spcBef>
            <a:spcAft>
              <a:spcPct val="35000"/>
            </a:spcAft>
            <a:buFont typeface="Arial" panose="020B0604020202020204" pitchFamily="34" charset="0"/>
            <a:buNone/>
          </a:pPr>
          <a:r>
            <a:rPr lang="en-GB" sz="800" b="0" i="0" kern="1200" cap="none" spc="0">
              <a:ln w="0"/>
              <a:solidFill>
                <a:schemeClr val="tx1"/>
              </a:solidFill>
              <a:effectLst>
                <a:outerShdw blurRad="38100" dist="19050" dir="2700000" algn="tl" rotWithShape="0">
                  <a:schemeClr val="dk1">
                    <a:alpha val="40000"/>
                  </a:schemeClr>
                </a:outerShdw>
              </a:effectLst>
            </a:rPr>
            <a:t>An estimated 1.4 billion adults aged 30–79 years worldwide had hypertension in 2024; this represents 33% of the popluation in this age range.</a:t>
          </a:r>
          <a:endParaRPr lang="en-GB" sz="800" b="0" kern="1200" cap="none" spc="0">
            <a:ln w="0"/>
            <a:solidFill>
              <a:schemeClr val="tx1"/>
            </a:solidFill>
            <a:effectLst>
              <a:outerShdw blurRad="38100" dist="19050" dir="2700000" algn="tl" rotWithShape="0">
                <a:schemeClr val="dk1">
                  <a:alpha val="40000"/>
                </a:schemeClr>
              </a:outerShdw>
            </a:effectLst>
          </a:endParaRPr>
        </a:p>
      </dsp:txBody>
      <dsp:txXfrm rot="10800000">
        <a:off x="905652" y="1546"/>
        <a:ext cx="2635117" cy="429721"/>
      </dsp:txXfrm>
    </dsp:sp>
    <dsp:sp modelId="{6CF582B6-8AB0-4ECF-BA7F-30699EAF39A1}">
      <dsp:nvSpPr>
        <dsp:cNvPr id="0" name=""/>
        <dsp:cNvSpPr/>
      </dsp:nvSpPr>
      <dsp:spPr>
        <a:xfrm>
          <a:off x="583361" y="1546"/>
          <a:ext cx="429721" cy="429721"/>
        </a:xfrm>
        <a:prstGeom prst="ellipse">
          <a:avLst/>
        </a:prstGeom>
        <a:blipFill>
          <a:blip xmlns:r="http://schemas.openxmlformats.org/officeDocument/2006/relationships" r:embed="rId1">
            <a:extLst>
              <a:ext uri="{96DAC541-7B7A-43D3-8B79-37D633B846F1}">
                <asvg:svgBlip xmlns:asvg="http://schemas.microsoft.com/office/drawing/2016/SVG/main" r:embed="rId2"/>
              </a:ext>
            </a:extLst>
          </a:blip>
          <a:srcRect/>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A595F66-C52C-450A-84B0-96281D2A24BE}">
      <dsp:nvSpPr>
        <dsp:cNvPr id="0" name=""/>
        <dsp:cNvSpPr/>
      </dsp:nvSpPr>
      <dsp:spPr>
        <a:xfrm rot="10800000">
          <a:off x="798222" y="559542"/>
          <a:ext cx="2742547" cy="429721"/>
        </a:xfrm>
        <a:prstGeom prst="homePlat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89495" tIns="30480" rIns="56896" bIns="30480" numCol="1" spcCol="1270" anchor="ctr" anchorCtr="0">
          <a:noAutofit/>
        </a:bodyPr>
        <a:lstStyle/>
        <a:p>
          <a:pPr marL="0" lvl="0" indent="0" algn="l" defTabSz="355600">
            <a:lnSpc>
              <a:spcPct val="90000"/>
            </a:lnSpc>
            <a:spcBef>
              <a:spcPct val="0"/>
            </a:spcBef>
            <a:spcAft>
              <a:spcPct val="35000"/>
            </a:spcAft>
            <a:buFont typeface="Arial" panose="020B0604020202020204" pitchFamily="34" charset="0"/>
            <a:buNone/>
          </a:pPr>
          <a:r>
            <a:rPr lang="en-GB" sz="800" b="0" i="0" kern="1200" cap="none" spc="0">
              <a:ln w="0"/>
              <a:solidFill>
                <a:schemeClr val="tx1"/>
              </a:solidFill>
              <a:effectLst>
                <a:outerShdw blurRad="38100" dist="19050" dir="2700000" algn="tl" rotWithShape="0">
                  <a:schemeClr val="dk1">
                    <a:alpha val="40000"/>
                  </a:schemeClr>
                </a:outerShdw>
              </a:effectLst>
            </a:rPr>
            <a:t>Two-thirds of adults aged 30–79 years who have hypertension live in low- and middle-income countries.</a:t>
          </a:r>
        </a:p>
      </dsp:txBody>
      <dsp:txXfrm rot="10800000">
        <a:off x="905652" y="559542"/>
        <a:ext cx="2635117" cy="429721"/>
      </dsp:txXfrm>
    </dsp:sp>
    <dsp:sp modelId="{3FD1E1FE-76F7-434B-8D2D-E10B39766B61}">
      <dsp:nvSpPr>
        <dsp:cNvPr id="0" name=""/>
        <dsp:cNvSpPr/>
      </dsp:nvSpPr>
      <dsp:spPr>
        <a:xfrm>
          <a:off x="583361" y="559542"/>
          <a:ext cx="429721" cy="429721"/>
        </a:xfrm>
        <a:prstGeom prst="ellipse">
          <a:avLst/>
        </a:prstGeom>
        <a:blipFill>
          <a:blip xmlns:r="http://schemas.openxmlformats.org/officeDocument/2006/relationships" r:embed="rId3">
            <a:extLst>
              <a:ext uri="{96DAC541-7B7A-43D3-8B79-37D633B846F1}">
                <asvg:svgBlip xmlns:asvg="http://schemas.microsoft.com/office/drawing/2016/SVG/main" r:embed="rId4"/>
              </a:ext>
            </a:extLst>
          </a:blip>
          <a:srcRect/>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8E0EC8BB-5200-48FB-869A-B85A829C3909}">
      <dsp:nvSpPr>
        <dsp:cNvPr id="0" name=""/>
        <dsp:cNvSpPr/>
      </dsp:nvSpPr>
      <dsp:spPr>
        <a:xfrm rot="10800000">
          <a:off x="798222" y="1117538"/>
          <a:ext cx="2742547" cy="429721"/>
        </a:xfrm>
        <a:prstGeom prst="homePlat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89495" tIns="30480" rIns="56896" bIns="30480" numCol="1" spcCol="1270" anchor="ctr" anchorCtr="0">
          <a:noAutofit/>
        </a:bodyPr>
        <a:lstStyle/>
        <a:p>
          <a:pPr marL="0" lvl="0" indent="0" algn="l" defTabSz="355600">
            <a:lnSpc>
              <a:spcPct val="90000"/>
            </a:lnSpc>
            <a:spcBef>
              <a:spcPct val="0"/>
            </a:spcBef>
            <a:spcAft>
              <a:spcPct val="35000"/>
            </a:spcAft>
            <a:buFont typeface="Arial" panose="020B0604020202020204" pitchFamily="34" charset="0"/>
            <a:buNone/>
          </a:pPr>
          <a:r>
            <a:rPr lang="en-GB" sz="800" b="0" i="0" kern="1200" cap="none" spc="0">
              <a:ln w="0"/>
              <a:solidFill>
                <a:schemeClr val="tx1"/>
              </a:solidFill>
              <a:effectLst>
                <a:outerShdw blurRad="38100" dist="19050" dir="2700000" algn="tl" rotWithShape="0">
                  <a:schemeClr val="dk1">
                    <a:alpha val="40000"/>
                  </a:schemeClr>
                </a:outerShdw>
              </a:effectLst>
            </a:rPr>
            <a:t>An estimated 600 million adults with hypertension (44%) are unaware that they have the condition.</a:t>
          </a:r>
        </a:p>
      </dsp:txBody>
      <dsp:txXfrm rot="10800000">
        <a:off x="905652" y="1117538"/>
        <a:ext cx="2635117" cy="429721"/>
      </dsp:txXfrm>
    </dsp:sp>
    <dsp:sp modelId="{6B6F7368-4A36-4C7B-BC74-5675C45D8E34}">
      <dsp:nvSpPr>
        <dsp:cNvPr id="0" name=""/>
        <dsp:cNvSpPr/>
      </dsp:nvSpPr>
      <dsp:spPr>
        <a:xfrm>
          <a:off x="583361" y="1117538"/>
          <a:ext cx="429721" cy="429721"/>
        </a:xfrm>
        <a:prstGeom prst="ellipse">
          <a:avLst/>
        </a:prstGeom>
        <a:blipFill>
          <a:blip xmlns:r="http://schemas.openxmlformats.org/officeDocument/2006/relationships" r:embed="rId5">
            <a:extLst>
              <a:ext uri="{96DAC541-7B7A-43D3-8B79-37D633B846F1}">
                <asvg:svgBlip xmlns:asvg="http://schemas.microsoft.com/office/drawing/2016/SVG/main" r:embed="rId6"/>
              </a:ext>
            </a:extLst>
          </a:blip>
          <a:srcRect/>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740C804-4085-44C8-A8E5-FC93390F0E64}">
      <dsp:nvSpPr>
        <dsp:cNvPr id="0" name=""/>
        <dsp:cNvSpPr/>
      </dsp:nvSpPr>
      <dsp:spPr>
        <a:xfrm rot="10800000">
          <a:off x="798222" y="1675534"/>
          <a:ext cx="2742547" cy="429721"/>
        </a:xfrm>
        <a:prstGeom prst="homePlat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89495" tIns="30480" rIns="56896" bIns="30480" numCol="1" spcCol="1270" anchor="ctr" anchorCtr="0">
          <a:noAutofit/>
        </a:bodyPr>
        <a:lstStyle/>
        <a:p>
          <a:pPr marL="0" lvl="0" indent="0" algn="l" defTabSz="355600">
            <a:lnSpc>
              <a:spcPct val="90000"/>
            </a:lnSpc>
            <a:spcBef>
              <a:spcPct val="0"/>
            </a:spcBef>
            <a:spcAft>
              <a:spcPct val="35000"/>
            </a:spcAft>
            <a:buFont typeface="Arial" panose="020B0604020202020204" pitchFamily="34" charset="0"/>
            <a:buNone/>
          </a:pPr>
          <a:r>
            <a:rPr lang="en-GB" sz="800" b="0" i="0" kern="1200" cap="none" spc="0">
              <a:ln w="0"/>
              <a:solidFill>
                <a:schemeClr val="tx1"/>
              </a:solidFill>
              <a:effectLst>
                <a:outerShdw blurRad="38100" dist="19050" dir="2700000" algn="tl" rotWithShape="0">
                  <a:schemeClr val="dk1">
                    <a:alpha val="40000"/>
                  </a:schemeClr>
                </a:outerShdw>
              </a:effectLst>
            </a:rPr>
            <a:t>Approximately 630 million adults with hypertension (44%) are diagnosed and treated.</a:t>
          </a:r>
        </a:p>
      </dsp:txBody>
      <dsp:txXfrm rot="10800000">
        <a:off x="905652" y="1675534"/>
        <a:ext cx="2635117" cy="429721"/>
      </dsp:txXfrm>
    </dsp:sp>
    <dsp:sp modelId="{CA646EC9-493A-4561-B213-6739605160C0}">
      <dsp:nvSpPr>
        <dsp:cNvPr id="0" name=""/>
        <dsp:cNvSpPr/>
      </dsp:nvSpPr>
      <dsp:spPr>
        <a:xfrm>
          <a:off x="583361" y="1675534"/>
          <a:ext cx="429721" cy="429721"/>
        </a:xfrm>
        <a:prstGeom prst="ellipse">
          <a:avLst/>
        </a:prstGeom>
        <a:blipFill>
          <a:blip xmlns:r="http://schemas.openxmlformats.org/officeDocument/2006/relationships" r:embed="rId7">
            <a:extLst>
              <a:ext uri="{96DAC541-7B7A-43D3-8B79-37D633B846F1}">
                <asvg:svgBlip xmlns:asvg="http://schemas.microsoft.com/office/drawing/2016/SVG/main" r:embed="rId8"/>
              </a:ext>
            </a:extLst>
          </a:blip>
          <a:srcRect/>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70B64A14-A47B-4B76-AD14-DBB02A4990A8}">
      <dsp:nvSpPr>
        <dsp:cNvPr id="0" name=""/>
        <dsp:cNvSpPr/>
      </dsp:nvSpPr>
      <dsp:spPr>
        <a:xfrm rot="10800000">
          <a:off x="798222" y="2233530"/>
          <a:ext cx="2742547" cy="429721"/>
        </a:xfrm>
        <a:prstGeom prst="homePlate">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89495" tIns="30480" rIns="56896" bIns="30480" numCol="1" spcCol="1270" anchor="ctr" anchorCtr="0">
          <a:noAutofit/>
        </a:bodyPr>
        <a:lstStyle/>
        <a:p>
          <a:pPr marL="0" lvl="0" indent="0" algn="l" defTabSz="355600">
            <a:lnSpc>
              <a:spcPct val="90000"/>
            </a:lnSpc>
            <a:spcBef>
              <a:spcPct val="0"/>
            </a:spcBef>
            <a:spcAft>
              <a:spcPct val="35000"/>
            </a:spcAft>
            <a:buFont typeface="Arial" panose="020B0604020202020204" pitchFamily="34" charset="0"/>
            <a:buNone/>
          </a:pPr>
          <a:r>
            <a:rPr lang="en-GB" sz="800" b="0" i="0" kern="1200" cap="none" spc="0">
              <a:ln w="0"/>
              <a:solidFill>
                <a:schemeClr val="tx1"/>
              </a:solidFill>
              <a:effectLst>
                <a:outerShdw blurRad="38100" dist="19050" dir="2700000" algn="tl" rotWithShape="0">
                  <a:schemeClr val="dk1">
                    <a:alpha val="40000"/>
                  </a:schemeClr>
                </a:outerShdw>
              </a:effectLst>
            </a:rPr>
            <a:t>Approximately 320 million adults with hypertension (23%) have it under control.</a:t>
          </a:r>
        </a:p>
      </dsp:txBody>
      <dsp:txXfrm rot="10800000">
        <a:off x="905652" y="2233530"/>
        <a:ext cx="2635117" cy="429721"/>
      </dsp:txXfrm>
    </dsp:sp>
    <dsp:sp modelId="{623CC80B-655C-4F95-94CD-CE79B49EF7A8}">
      <dsp:nvSpPr>
        <dsp:cNvPr id="0" name=""/>
        <dsp:cNvSpPr/>
      </dsp:nvSpPr>
      <dsp:spPr>
        <a:xfrm>
          <a:off x="583361" y="2233530"/>
          <a:ext cx="429721" cy="429721"/>
        </a:xfrm>
        <a:prstGeom prst="ellipse">
          <a:avLst/>
        </a:prstGeom>
        <a:blipFill>
          <a:blip xmlns:r="http://schemas.openxmlformats.org/officeDocument/2006/relationships" r:embed="rId9">
            <a:extLst>
              <a:ext uri="{96DAC541-7B7A-43D3-8B79-37D633B846F1}">
                <asvg:svgBlip xmlns:asvg="http://schemas.microsoft.com/office/drawing/2016/SVG/main" r:embed="rId10"/>
              </a:ext>
            </a:extLst>
          </a:blip>
          <a:srcRect/>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BDA9C04-5284-4425-A113-08A73A78E4AE}">
      <dsp:nvSpPr>
        <dsp:cNvPr id="0" name=""/>
        <dsp:cNvSpPr/>
      </dsp:nvSpPr>
      <dsp:spPr>
        <a:xfrm rot="10800000">
          <a:off x="798222" y="2791526"/>
          <a:ext cx="2742547" cy="429721"/>
        </a:xfrm>
        <a:prstGeom prst="homePlat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89495" tIns="30480" rIns="56896" bIns="30480" numCol="1" spcCol="1270" anchor="ctr" anchorCtr="0">
          <a:noAutofit/>
        </a:bodyPr>
        <a:lstStyle/>
        <a:p>
          <a:pPr marL="0" lvl="0" indent="0" algn="l" defTabSz="355600">
            <a:lnSpc>
              <a:spcPct val="90000"/>
            </a:lnSpc>
            <a:spcBef>
              <a:spcPct val="0"/>
            </a:spcBef>
            <a:spcAft>
              <a:spcPct val="35000"/>
            </a:spcAft>
            <a:buFont typeface="Arial" panose="020B0604020202020204" pitchFamily="34" charset="0"/>
            <a:buNone/>
          </a:pPr>
          <a:r>
            <a:rPr lang="en-GB" sz="800" b="0" i="0" kern="1200" cap="none" spc="0">
              <a:ln w="0"/>
              <a:solidFill>
                <a:schemeClr val="tx1"/>
              </a:solidFill>
              <a:effectLst>
                <a:outerShdw blurRad="38100" dist="19050" dir="2700000" algn="tl" rotWithShape="0">
                  <a:schemeClr val="dk1">
                    <a:alpha val="40000"/>
                  </a:schemeClr>
                </a:outerShdw>
              </a:effectLst>
            </a:rPr>
            <a:t>Hypertension is a major cause of premature death worldwide.</a:t>
          </a:r>
        </a:p>
      </dsp:txBody>
      <dsp:txXfrm rot="10800000">
        <a:off x="905652" y="2791526"/>
        <a:ext cx="2635117" cy="429721"/>
      </dsp:txXfrm>
    </dsp:sp>
    <dsp:sp modelId="{9B738566-209C-4156-B420-6FAE1F86CCED}">
      <dsp:nvSpPr>
        <dsp:cNvPr id="0" name=""/>
        <dsp:cNvSpPr/>
      </dsp:nvSpPr>
      <dsp:spPr>
        <a:xfrm>
          <a:off x="583361" y="2791526"/>
          <a:ext cx="429721" cy="429721"/>
        </a:xfrm>
        <a:prstGeom prst="ellipse">
          <a:avLst/>
        </a:prstGeom>
        <a:blipFill>
          <a:blip xmlns:r="http://schemas.openxmlformats.org/officeDocument/2006/relationships" r:embed="rId1">
            <a:extLst>
              <a:ext uri="{96DAC541-7B7A-43D3-8B79-37D633B846F1}">
                <asvg:svgBlip xmlns:asvg="http://schemas.microsoft.com/office/drawing/2016/SVG/main" r:embed="rId2"/>
              </a:ext>
            </a:extLst>
          </a:blip>
          <a:srcRect/>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29A62560-304B-4B35-A5D1-ABFD40A05228}">
      <dsp:nvSpPr>
        <dsp:cNvPr id="0" name=""/>
        <dsp:cNvSpPr/>
      </dsp:nvSpPr>
      <dsp:spPr>
        <a:xfrm rot="10800000">
          <a:off x="798222" y="3349522"/>
          <a:ext cx="2742547" cy="429721"/>
        </a:xfrm>
        <a:prstGeom prst="homePlat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89495" tIns="30480" rIns="56896" bIns="30480" numCol="1" spcCol="1270" anchor="ctr" anchorCtr="0">
          <a:noAutofit/>
        </a:bodyPr>
        <a:lstStyle/>
        <a:p>
          <a:pPr marL="0" lvl="0" indent="0" algn="l" defTabSz="355600">
            <a:lnSpc>
              <a:spcPct val="90000"/>
            </a:lnSpc>
            <a:spcBef>
              <a:spcPct val="0"/>
            </a:spcBef>
            <a:spcAft>
              <a:spcPct val="35000"/>
            </a:spcAft>
            <a:buFont typeface="Arial" panose="020B0604020202020204" pitchFamily="34" charset="0"/>
            <a:buNone/>
          </a:pPr>
          <a:r>
            <a:rPr lang="en-GB" sz="800" b="0" i="0" kern="1200" cap="none" spc="0">
              <a:ln w="0"/>
              <a:solidFill>
                <a:schemeClr val="tx1"/>
              </a:solidFill>
              <a:effectLst>
                <a:outerShdw blurRad="38100" dist="19050" dir="2700000" algn="tl" rotWithShape="0">
                  <a:schemeClr val="dk1">
                    <a:alpha val="40000"/>
                  </a:schemeClr>
                </a:outerShdw>
              </a:effectLst>
            </a:rPr>
            <a:t>One of the global targets for noncommunicable diseases is to reduce the prevalence of uncontrolled hypertension by 25% between 2010 and 2025.</a:t>
          </a:r>
        </a:p>
      </dsp:txBody>
      <dsp:txXfrm rot="10800000">
        <a:off x="905652" y="3349522"/>
        <a:ext cx="2635117" cy="429721"/>
      </dsp:txXfrm>
    </dsp:sp>
    <dsp:sp modelId="{95408F2C-6E65-4FF4-B8DD-B39750BF8C5A}">
      <dsp:nvSpPr>
        <dsp:cNvPr id="0" name=""/>
        <dsp:cNvSpPr/>
      </dsp:nvSpPr>
      <dsp:spPr>
        <a:xfrm>
          <a:off x="583361" y="3349522"/>
          <a:ext cx="429721" cy="429721"/>
        </a:xfrm>
        <a:prstGeom prst="ellipse">
          <a:avLst/>
        </a:prstGeom>
        <a:blipFill>
          <a:blip xmlns:r="http://schemas.openxmlformats.org/officeDocument/2006/relationships" r:embed="rId3">
            <a:extLst>
              <a:ext uri="{96DAC541-7B7A-43D3-8B79-37D633B846F1}">
                <asvg:svgBlip xmlns:asvg="http://schemas.microsoft.com/office/drawing/2016/SVG/main" r:embed="rId4"/>
              </a:ext>
            </a:extLst>
          </a:blip>
          <a:srcRect/>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vList3">
  <dgm:title val=""/>
  <dgm:desc val=""/>
  <dgm:catLst>
    <dgm:cat type="list" pri="14000"/>
    <dgm:cat type="convert" pri="3000"/>
    <dgm:cat type="picture" pri="27000"/>
    <dgm:cat type="pictureconvert" pri="27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w" for="ch" forName="composite" refType="w"/>
      <dgm:constr type="h" for="ch" forName="composite" refType="h"/>
      <dgm:constr type="h" for="ch" forName="spacing" refType="h" refFor="ch" refForName="composite" fact="0.25"/>
      <dgm:constr type="h" for="ch" forName="spacing" refType="w" op="lte" fact="0.1"/>
      <dgm:constr type="primFontSz" for="des" ptType="node"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w" for="ch" forName="imgShp" refType="w" fact="0.335"/>
              <dgm:constr type="h" for="ch" forName="imgShp" refType="w" refFor="ch" refForName="imgShp" op="equ"/>
              <dgm:constr type="h" for="ch" forName="imgShp" refType="h" op="lte"/>
              <dgm:constr type="ctrY" for="ch" forName="imgShp" refType="h" fact="0.5"/>
              <dgm:constr type="l" for="ch" forName="imgShp"/>
              <dgm:constr type="w" for="ch" forName="txShp" refType="w" op="equ" fact="0.665"/>
              <dgm:constr type="h" for="ch" forName="txShp" refType="h" refFor="ch" refForName="imgShp" op="equ"/>
              <dgm:constr type="ctrY" for="ch" forName="txShp" refType="h" fact="0.5"/>
              <dgm:constr type="l" for="ch" forName="txShp" refType="w" refFor="ch" refForName="imgShp" fact="0.5"/>
              <dgm:constr type="lMarg" for="ch" forName="txShp" refType="w" refFor="ch" refForName="imgShp" fact="1.25"/>
            </dgm:constrLst>
          </dgm:if>
          <dgm:else name="Name3">
            <dgm:constrLst>
              <dgm:constr type="w" for="ch" forName="imgShp" refType="w" fact="0.335"/>
              <dgm:constr type="h" for="ch" forName="imgShp" refType="w" refFor="ch" refForName="imgShp" op="equ"/>
              <dgm:constr type="h" for="ch" forName="imgShp" refType="h" op="lte"/>
              <dgm:constr type="ctrY" for="ch" forName="imgShp" refType="h" fact="0.5"/>
              <dgm:constr type="r" for="ch" forName="imgShp" refType="w"/>
              <dgm:constr type="w" for="ch" forName="txShp" refType="w" op="equ" fact="0.665"/>
              <dgm:constr type="h" for="ch" forName="txShp" refType="h" refFor="ch" refForName="imgShp" op="equ"/>
              <dgm:constr type="ctrY" for="ch" forName="txShp" refType="h" fact="0.5"/>
              <dgm:constr type="r" for="ch" forName="txShp" refType="ctrX" refFor="ch" refForName="imgShp"/>
              <dgm:constr type="rMarg" for="ch" forName="txShp" refType="w" refFor="ch" refForName="imgShp" fact="1.25"/>
            </dgm:constrLst>
          </dgm:else>
        </dgm:choose>
        <dgm:ruleLst/>
        <dgm:layoutNode name="imgShp" styleLbl="fgImgPlace1">
          <dgm:alg type="sp"/>
          <dgm:shape xmlns:r="http://schemas.openxmlformats.org/officeDocument/2006/relationships" type="ellipse" r:blip="" blipPhldr="1">
            <dgm:adjLst/>
          </dgm:shape>
          <dgm:presOf/>
          <dgm:constrLst/>
          <dgm:ruleLst/>
        </dgm:layoutNode>
        <dgm:layoutNode name="txShp">
          <dgm:varLst>
            <dgm:bulletEnabled val="1"/>
          </dgm:varLst>
          <dgm:alg type="tx"/>
          <dgm:choose name="Name4">
            <dgm:if name="Name5" func="var" arg="dir" op="equ" val="norm">
              <dgm:shape xmlns:r="http://schemas.openxmlformats.org/officeDocument/2006/relationships" rot="180" type="homePlate" r:blip="" zOrderOff="-1">
                <dgm:adjLst/>
              </dgm:shape>
            </dgm:if>
            <dgm:else name="Name6">
              <dgm:shape xmlns:r="http://schemas.openxmlformats.org/officeDocument/2006/relationships" type="homePlate" r:blip="" zOrderOff="-1">
                <dgm:adjLst/>
              </dgm:shape>
            </dgm:else>
          </dgm:choose>
          <dgm:presOf axis="desOrSelf" ptType="node"/>
          <dgm:constrLst>
            <dgm:constr type="tMarg" refType="primFontSz" fact="0.3"/>
            <dgm:constr type="bMarg" refType="primFontSz" fact="0.3"/>
          </dgm:constrLst>
          <dgm:ruleLst>
            <dgm:rule type="primFontSz" val="5" fact="NaN" max="NaN"/>
          </dgm:ruleLst>
        </dgm:layoutNode>
      </dgm:layoutNode>
      <dgm:forEach name="Name7" axis="followSib" ptType="sibTrans" cnt="1">
        <dgm:layoutNode name="spacing">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E61463923763747934411F8A7747912" ma:contentTypeVersion="14" ma:contentTypeDescription="Create a new document." ma:contentTypeScope="" ma:versionID="76804772d3cefa71ae11b20fb11d9edb">
  <xsd:schema xmlns:xsd="http://www.w3.org/2001/XMLSchema" xmlns:xs="http://www.w3.org/2001/XMLSchema" xmlns:p="http://schemas.microsoft.com/office/2006/metadata/properties" xmlns:ns3="63b1c55e-397b-44e8-a0a0-55d52bc170b8" xmlns:ns4="21893288-4161-4708-b8d9-f88209a4a02f" targetNamespace="http://schemas.microsoft.com/office/2006/metadata/properties" ma:root="true" ma:fieldsID="8cb0cbc76ee99e47f3586dd732ffb051" ns3:_="" ns4:_="">
    <xsd:import namespace="63b1c55e-397b-44e8-a0a0-55d52bc170b8"/>
    <xsd:import namespace="21893288-4161-4708-b8d9-f88209a4a02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b1c55e-397b-44e8-a0a0-55d52bc170b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893288-4161-4708-b8d9-f88209a4a02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DateTaken" ma:index="20" nillable="true" ma:displayName="MediaServiceDateTaken" ma:hidden="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1C0E97-DCD1-46FD-8511-8952C15C86D3}">
  <ds:schemaRefs>
    <ds:schemaRef ds:uri="http://schemas.microsoft.com/sharepoint/v3/contenttype/forms"/>
  </ds:schemaRefs>
</ds:datastoreItem>
</file>

<file path=customXml/itemProps2.xml><?xml version="1.0" encoding="utf-8"?>
<ds:datastoreItem xmlns:ds="http://schemas.openxmlformats.org/officeDocument/2006/customXml" ds:itemID="{A9536488-3088-4212-A3DA-AE0AC841F4D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5C2EFB5-2CBD-4A89-88D6-A388C19A18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b1c55e-397b-44e8-a0a0-55d52bc170b8"/>
    <ds:schemaRef ds:uri="21893288-4161-4708-b8d9-f88209a4a0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1833</TotalTime>
  <Pages>21</Pages>
  <Words>6383</Words>
  <Characters>36386</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Annette Helliwell</dc:creator>
  <cp:keywords/>
  <dc:description/>
  <cp:lastModifiedBy>Rehana Intisar</cp:lastModifiedBy>
  <cp:revision>732</cp:revision>
  <dcterms:created xsi:type="dcterms:W3CDTF">2026-06-17T15:07:00Z</dcterms:created>
  <dcterms:modified xsi:type="dcterms:W3CDTF">2026-07-11T14:05:00Z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0x010100FE61463923763747934411F8A7747912</vt:lpwstr>
  </property>
  <property fmtid="{D5CDD505-2E9C-101B-9397-08002B2CF9AE}" pid="3" name="GrammarlyDocumentId">
    <vt:lpwstr>96e1396f-aaa1-4142-94e3-fa37ac9d7bf6</vt:lpwstr>
  </property>
</Properties>
</file>