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CA1DFA" w14:textId="77777777" w:rsidR="006D6E6A" w:rsidRPr="002A3D79" w:rsidRDefault="006D6E6A" w:rsidP="006D6E6A">
      <w:pPr>
        <w:overflowPunct w:val="0"/>
        <w:autoSpaceDE w:val="0"/>
        <w:autoSpaceDN w:val="0"/>
        <w:adjustRightInd w:val="0"/>
        <w:textAlignment w:val="baseline"/>
        <w:rPr>
          <w:rFonts w:ascii="Arial" w:eastAsia="Times New Roman" w:hAnsi="Arial" w:cs="Arial"/>
          <w:color w:val="000000"/>
          <w:sz w:val="20"/>
          <w:szCs w:val="20"/>
          <w:lang w:eastAsia="en-GB"/>
        </w:rPr>
      </w:pPr>
      <w:r w:rsidRPr="002A3D79">
        <w:rPr>
          <w:rFonts w:ascii="Arial" w:eastAsia="Times New Roman" w:hAnsi="Arial" w:cs="Arial"/>
          <w:noProof/>
          <w:color w:val="000000"/>
          <w:sz w:val="20"/>
          <w:szCs w:val="20"/>
          <w:lang w:eastAsia="en-GB"/>
        </w:rPr>
        <w:drawing>
          <wp:inline distT="0" distB="0" distL="0" distR="0" wp14:anchorId="6E89DADA" wp14:editId="399DC2B9">
            <wp:extent cx="2028825" cy="704850"/>
            <wp:effectExtent l="0" t="0" r="0" b="0"/>
            <wp:docPr id="913768847" name="Picture 91376884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768847" name="Picture 913768847"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FECB0BF" w14:textId="77777777" w:rsidR="006D6E6A" w:rsidRPr="002A3D79" w:rsidRDefault="006D6E6A" w:rsidP="006D6E6A">
      <w:pPr>
        <w:overflowPunct w:val="0"/>
        <w:autoSpaceDE w:val="0"/>
        <w:autoSpaceDN w:val="0"/>
        <w:adjustRightInd w:val="0"/>
        <w:textAlignment w:val="baseline"/>
        <w:rPr>
          <w:rFonts w:ascii="Times New Roman" w:eastAsia="Times New Roman" w:hAnsi="Times New Roman" w:cs="Times New Roman"/>
          <w:color w:val="000000"/>
          <w:lang w:eastAsia="en-GB"/>
        </w:rPr>
      </w:pPr>
    </w:p>
    <w:p w14:paraId="664580AD" w14:textId="77777777" w:rsidR="006D6E6A" w:rsidRPr="002A3D79" w:rsidRDefault="006D6E6A" w:rsidP="006D6E6A">
      <w:pPr>
        <w:rPr>
          <w:rFonts w:ascii="Times New Roman" w:eastAsia="Times New Roman" w:hAnsi="Times New Roman" w:cs="Arial"/>
          <w:b/>
          <w:bCs/>
          <w:sz w:val="48"/>
          <w:szCs w:val="48"/>
          <w:lang w:eastAsia="en-GB"/>
        </w:rPr>
      </w:pPr>
      <w:r w:rsidRPr="002A3D79">
        <w:rPr>
          <w:rFonts w:ascii="Times New Roman" w:eastAsia="Times New Roman" w:hAnsi="Times New Roman" w:cs="Times New Roman"/>
          <w:b/>
          <w:sz w:val="48"/>
          <w:szCs w:val="48"/>
          <w:lang w:eastAsia="en-GB"/>
        </w:rPr>
        <w:t xml:space="preserve">GRADUATE CERTIFICATE in </w:t>
      </w:r>
      <w:r w:rsidRPr="002A3D79">
        <w:rPr>
          <w:rFonts w:ascii="Times New Roman" w:eastAsia="Times New Roman" w:hAnsi="Times New Roman" w:cs="Arial"/>
          <w:b/>
          <w:bCs/>
          <w:sz w:val="48"/>
          <w:szCs w:val="48"/>
          <w:lang w:eastAsia="en-GB"/>
        </w:rPr>
        <w:t>Consolidation of Social Work Practice</w:t>
      </w:r>
    </w:p>
    <w:p w14:paraId="13665F44" w14:textId="77777777" w:rsidR="006D6E6A" w:rsidRPr="002A3D79" w:rsidRDefault="006D6E6A" w:rsidP="006D6E6A">
      <w:pPr>
        <w:ind w:right="-957"/>
        <w:rPr>
          <w:rFonts w:ascii="Times New Roman" w:eastAsia="Times New Roman" w:hAnsi="Times New Roman" w:cs="Times New Roman"/>
          <w:b/>
          <w:sz w:val="48"/>
          <w:szCs w:val="20"/>
          <w:lang w:eastAsia="en-GB"/>
        </w:rPr>
      </w:pPr>
      <w:r w:rsidRPr="002A3D79">
        <w:rPr>
          <w:rFonts w:ascii="Times New Roman" w:eastAsia="Times New Roman" w:hAnsi="Times New Roman" w:cs="Times New Roman"/>
          <w:b/>
          <w:sz w:val="48"/>
          <w:szCs w:val="20"/>
          <w:lang w:eastAsia="en-GB"/>
        </w:rPr>
        <w:t>LEVEL 6 - 60 Credits</w:t>
      </w:r>
    </w:p>
    <w:p w14:paraId="59617530" w14:textId="77777777" w:rsidR="006D6E6A" w:rsidRPr="002A3D79" w:rsidRDefault="006D6E6A" w:rsidP="006D6E6A">
      <w:pPr>
        <w:ind w:right="-957"/>
        <w:rPr>
          <w:rFonts w:ascii="Times New Roman" w:eastAsia="Times New Roman" w:hAnsi="Times New Roman" w:cs="Times New Roman"/>
          <w:b/>
          <w:sz w:val="48"/>
          <w:szCs w:val="20"/>
          <w:lang w:eastAsia="en-GB"/>
        </w:rPr>
      </w:pPr>
      <w:r w:rsidRPr="002A3D79">
        <w:rPr>
          <w:rFonts w:ascii="Times New Roman" w:eastAsia="Times New Roman" w:hAnsi="Times New Roman" w:cs="Times New Roman"/>
          <w:b/>
          <w:sz w:val="48"/>
          <w:szCs w:val="20"/>
          <w:lang w:eastAsia="en-GB"/>
        </w:rPr>
        <w:t>BMPF6044</w:t>
      </w:r>
    </w:p>
    <w:p w14:paraId="0AD9A934" w14:textId="77777777" w:rsidR="006D6E6A" w:rsidRPr="002A3D79" w:rsidRDefault="006D6E6A" w:rsidP="006D6E6A">
      <w:pPr>
        <w:ind w:right="-957"/>
        <w:rPr>
          <w:rFonts w:ascii="Times New Roman" w:eastAsia="Times New Roman" w:hAnsi="Times New Roman" w:cs="Times New Roman"/>
          <w:b/>
          <w:sz w:val="48"/>
          <w:szCs w:val="20"/>
          <w:lang w:eastAsia="en-GB"/>
        </w:rPr>
      </w:pPr>
    </w:p>
    <w:p w14:paraId="5B3CDF8B" w14:textId="77777777" w:rsidR="006D6E6A" w:rsidRPr="002A3D79" w:rsidRDefault="006D6E6A" w:rsidP="006D6E6A">
      <w:pPr>
        <w:ind w:right="-957"/>
        <w:rPr>
          <w:rFonts w:ascii="Times New Roman" w:eastAsia="Times New Roman" w:hAnsi="Times New Roman" w:cs="Times New Roman"/>
          <w:b/>
          <w:sz w:val="18"/>
          <w:szCs w:val="2"/>
          <w:lang w:eastAsia="en-GB"/>
        </w:rPr>
      </w:pPr>
    </w:p>
    <w:p w14:paraId="4958C56A" w14:textId="77777777" w:rsidR="006D6E6A" w:rsidRPr="002A3D79" w:rsidRDefault="006D6E6A" w:rsidP="006D6E6A">
      <w:pPr>
        <w:ind w:right="-957"/>
        <w:rPr>
          <w:rFonts w:ascii="Times New Roman" w:eastAsia="Times New Roman" w:hAnsi="Times New Roman" w:cs="Times New Roman"/>
          <w:b/>
          <w:sz w:val="48"/>
          <w:szCs w:val="20"/>
          <w:lang w:eastAsia="en-GB"/>
        </w:rPr>
      </w:pPr>
      <w:r w:rsidRPr="002A3D79">
        <w:rPr>
          <w:rFonts w:ascii="Times New Roman" w:eastAsia="Times New Roman" w:hAnsi="Times New Roman" w:cs="Times New Roman"/>
          <w:b/>
          <w:sz w:val="48"/>
          <w:szCs w:val="20"/>
          <w:lang w:eastAsia="en-GB"/>
        </w:rPr>
        <w:t>LEARNER PORTFOLIO</w:t>
      </w:r>
    </w:p>
    <w:p w14:paraId="6D9A5F41" w14:textId="77777777" w:rsidR="006D6E6A" w:rsidRPr="002A3D79" w:rsidRDefault="006D6E6A" w:rsidP="006D6E6A">
      <w:pPr>
        <w:ind w:right="-957"/>
        <w:rPr>
          <w:rFonts w:ascii="Times New Roman" w:eastAsia="Times New Roman" w:hAnsi="Times New Roman" w:cs="Times New Roman"/>
          <w:b/>
          <w:bCs/>
          <w:sz w:val="48"/>
          <w:szCs w:val="48"/>
          <w:lang w:eastAsia="en-GB"/>
        </w:rPr>
      </w:pPr>
      <w:r w:rsidRPr="002A3D79">
        <w:rPr>
          <w:rFonts w:ascii="Times New Roman" w:eastAsia="Times New Roman" w:hAnsi="Times New Roman" w:cs="Times New Roman"/>
          <w:b/>
          <w:bCs/>
          <w:sz w:val="48"/>
          <w:szCs w:val="48"/>
          <w:lang w:eastAsia="en-GB"/>
        </w:rPr>
        <w:t>(PORTH AGORED and UNIVERSITY OF WALES TRINITY SAINT DAVID)</w:t>
      </w:r>
    </w:p>
    <w:p w14:paraId="56452218" w14:textId="77777777" w:rsidR="006D6E6A" w:rsidRPr="002A3D79" w:rsidRDefault="006D6E6A" w:rsidP="006D6E6A">
      <w:pPr>
        <w:ind w:right="-957"/>
        <w:rPr>
          <w:rFonts w:ascii="Times New Roman" w:eastAsia="Times New Roman" w:hAnsi="Times New Roman" w:cs="Times New Roman"/>
          <w:b/>
          <w:sz w:val="14"/>
          <w:szCs w:val="2"/>
          <w:lang w:eastAsia="en-GB"/>
        </w:rPr>
      </w:pPr>
    </w:p>
    <w:tbl>
      <w:tblPr>
        <w:tblpPr w:leftFromText="180" w:rightFromText="180" w:vertAnchor="text" w:horzAnchor="margin" w:tblpXSpec="center" w:tblpY="491"/>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6D6E6A" w:rsidRPr="002A3D79" w14:paraId="31188DFA" w14:textId="77777777" w:rsidTr="00FB57C6">
        <w:tc>
          <w:tcPr>
            <w:tcW w:w="10368" w:type="dxa"/>
            <w:shd w:val="clear" w:color="auto" w:fill="auto"/>
          </w:tcPr>
          <w:p w14:paraId="3539D8B2" w14:textId="77777777" w:rsidR="006D6E6A" w:rsidRPr="002A3D79" w:rsidRDefault="006D6E6A" w:rsidP="00FB57C6">
            <w:pPr>
              <w:ind w:right="-957"/>
              <w:rPr>
                <w:rFonts w:ascii="Times New Roman" w:eastAsia="Times New Roman" w:hAnsi="Times New Roman" w:cs="Times New Roman"/>
                <w:b/>
                <w:sz w:val="44"/>
                <w:szCs w:val="44"/>
                <w:lang w:eastAsia="en-GB"/>
              </w:rPr>
            </w:pPr>
            <w:r w:rsidRPr="002A3D79">
              <w:rPr>
                <w:rFonts w:ascii="Times New Roman" w:eastAsia="Times New Roman" w:hAnsi="Times New Roman" w:cs="Times New Roman"/>
                <w:b/>
                <w:sz w:val="44"/>
                <w:szCs w:val="44"/>
                <w:lang w:eastAsia="en-GB"/>
              </w:rPr>
              <w:t xml:space="preserve">Learner’s name: </w:t>
            </w:r>
            <w:r w:rsidRPr="006A491B">
              <w:rPr>
                <w:rFonts w:ascii="Times New Roman" w:eastAsia="Times New Roman" w:hAnsi="Times New Roman" w:cs="Times New Roman"/>
                <w:b/>
                <w:sz w:val="44"/>
                <w:szCs w:val="44"/>
                <w:lang w:eastAsia="en-GB"/>
              </w:rPr>
              <w:t xml:space="preserve">Louise Norman </w:t>
            </w:r>
          </w:p>
          <w:p w14:paraId="073B06AD" w14:textId="77777777" w:rsidR="006D6E6A" w:rsidRPr="002A3D79" w:rsidRDefault="006D6E6A" w:rsidP="00FB57C6">
            <w:pPr>
              <w:ind w:right="-957"/>
              <w:rPr>
                <w:rFonts w:ascii="Times New Roman" w:eastAsia="Times New Roman" w:hAnsi="Times New Roman" w:cs="Times New Roman"/>
                <w:b/>
                <w:sz w:val="44"/>
                <w:szCs w:val="44"/>
                <w:lang w:eastAsia="en-GB"/>
              </w:rPr>
            </w:pPr>
          </w:p>
          <w:p w14:paraId="7E7BBE6F" w14:textId="77777777" w:rsidR="006D6E6A" w:rsidRPr="002A3D79" w:rsidRDefault="006D6E6A" w:rsidP="00FB57C6">
            <w:pPr>
              <w:ind w:right="-957"/>
              <w:rPr>
                <w:rFonts w:ascii="Times New Roman" w:eastAsia="Times New Roman" w:hAnsi="Times New Roman" w:cs="Times New Roman"/>
                <w:b/>
                <w:sz w:val="44"/>
                <w:szCs w:val="44"/>
                <w:lang w:eastAsia="en-GB"/>
              </w:rPr>
            </w:pPr>
            <w:r w:rsidRPr="002A3D79">
              <w:rPr>
                <w:rFonts w:ascii="Times New Roman" w:eastAsia="Times New Roman" w:hAnsi="Times New Roman" w:cs="Times New Roman"/>
                <w:b/>
                <w:sz w:val="44"/>
                <w:szCs w:val="44"/>
                <w:lang w:eastAsia="en-GB"/>
              </w:rPr>
              <w:t>Email address:</w:t>
            </w:r>
            <w:r w:rsidRPr="006A491B">
              <w:rPr>
                <w:rFonts w:ascii="Times New Roman" w:eastAsia="Times New Roman" w:hAnsi="Times New Roman" w:cs="Times New Roman"/>
                <w:b/>
                <w:sz w:val="44"/>
                <w:szCs w:val="44"/>
                <w:lang w:eastAsia="en-GB"/>
              </w:rPr>
              <w:t>Louise.norman87@hotmail.co.uk</w:t>
            </w:r>
          </w:p>
          <w:p w14:paraId="6C45B33D" w14:textId="77777777" w:rsidR="006D6E6A" w:rsidRPr="002A3D79" w:rsidRDefault="006D6E6A" w:rsidP="00FB57C6">
            <w:pPr>
              <w:ind w:right="-957"/>
              <w:rPr>
                <w:rFonts w:ascii="Times New Roman" w:eastAsia="Times New Roman" w:hAnsi="Times New Roman" w:cs="Times New Roman"/>
                <w:b/>
                <w:sz w:val="44"/>
                <w:szCs w:val="44"/>
                <w:lang w:eastAsia="en-GB"/>
              </w:rPr>
            </w:pPr>
          </w:p>
          <w:p w14:paraId="48FA225F" w14:textId="77777777" w:rsidR="006D6E6A" w:rsidRPr="002A3D79" w:rsidRDefault="006D6E6A" w:rsidP="00FB57C6">
            <w:pPr>
              <w:ind w:right="-957"/>
              <w:rPr>
                <w:rFonts w:ascii="Times New Roman" w:eastAsia="Times New Roman" w:hAnsi="Times New Roman" w:cs="Times New Roman"/>
                <w:b/>
                <w:sz w:val="44"/>
                <w:szCs w:val="44"/>
                <w:lang w:eastAsia="en-GB"/>
              </w:rPr>
            </w:pPr>
            <w:r w:rsidRPr="002A3D79">
              <w:rPr>
                <w:rFonts w:ascii="Times New Roman" w:eastAsia="Times New Roman" w:hAnsi="Times New Roman" w:cs="Times New Roman"/>
                <w:b/>
                <w:sz w:val="44"/>
                <w:szCs w:val="44"/>
                <w:lang w:eastAsia="en-GB"/>
              </w:rPr>
              <w:t>Learner’s University Registration Number:</w:t>
            </w:r>
            <w:r w:rsidRPr="006A491B">
              <w:rPr>
                <w:rFonts w:ascii="Times New Roman" w:eastAsia="Times New Roman" w:hAnsi="Times New Roman" w:cs="Times New Roman"/>
                <w:b/>
                <w:sz w:val="44"/>
                <w:szCs w:val="44"/>
                <w:lang w:eastAsia="en-GB"/>
              </w:rPr>
              <w:t>2319568</w:t>
            </w:r>
          </w:p>
          <w:p w14:paraId="3F05700D" w14:textId="77777777" w:rsidR="006D6E6A" w:rsidRPr="002A3D79" w:rsidRDefault="006D6E6A" w:rsidP="00FB57C6">
            <w:pPr>
              <w:ind w:right="-957"/>
              <w:rPr>
                <w:rFonts w:ascii="Times New Roman" w:eastAsia="Times New Roman" w:hAnsi="Times New Roman" w:cs="Times New Roman"/>
                <w:b/>
                <w:sz w:val="44"/>
                <w:szCs w:val="44"/>
                <w:lang w:eastAsia="en-GB"/>
              </w:rPr>
            </w:pPr>
          </w:p>
          <w:p w14:paraId="4EA87EE2" w14:textId="77777777" w:rsidR="006D6E6A" w:rsidRPr="002A3D79" w:rsidRDefault="006D6E6A" w:rsidP="00FB57C6">
            <w:pPr>
              <w:ind w:right="-957"/>
              <w:rPr>
                <w:rFonts w:ascii="Times New Roman" w:eastAsia="Times New Roman" w:hAnsi="Times New Roman" w:cs="Times New Roman"/>
                <w:b/>
                <w:sz w:val="48"/>
                <w:szCs w:val="20"/>
                <w:lang w:eastAsia="en-GB"/>
              </w:rPr>
            </w:pPr>
            <w:r w:rsidRPr="002A3D79">
              <w:rPr>
                <w:rFonts w:ascii="Times New Roman" w:eastAsia="Times New Roman" w:hAnsi="Times New Roman" w:cs="Times New Roman"/>
                <w:b/>
                <w:sz w:val="44"/>
                <w:szCs w:val="44"/>
                <w:lang w:eastAsia="en-GB"/>
              </w:rPr>
              <w:t>Cohort: 21 onwards</w:t>
            </w:r>
          </w:p>
        </w:tc>
      </w:tr>
    </w:tbl>
    <w:p w14:paraId="160B7C8D" w14:textId="77777777" w:rsidR="006D6E6A" w:rsidRPr="002A3D79" w:rsidRDefault="006D6E6A" w:rsidP="006D6E6A">
      <w:pPr>
        <w:ind w:right="-957"/>
        <w:rPr>
          <w:rFonts w:ascii="Times New Roman" w:eastAsia="Times New Roman" w:hAnsi="Times New Roman" w:cs="Times New Roman"/>
          <w:b/>
          <w:sz w:val="48"/>
          <w:szCs w:val="20"/>
          <w:lang w:eastAsia="en-GB"/>
        </w:rPr>
      </w:pPr>
    </w:p>
    <w:p w14:paraId="51B5E0B3" w14:textId="77777777" w:rsidR="006D6E6A" w:rsidRPr="002A3D79" w:rsidRDefault="006D6E6A" w:rsidP="006D6E6A">
      <w:pPr>
        <w:ind w:right="-957"/>
        <w:rPr>
          <w:rFonts w:ascii="Times New Roman" w:eastAsia="Times New Roman" w:hAnsi="Times New Roman" w:cs="Times New Roman"/>
          <w:b/>
          <w:sz w:val="48"/>
          <w:szCs w:val="20"/>
          <w:lang w:eastAsia="en-GB"/>
        </w:rPr>
      </w:pPr>
      <w:r w:rsidRPr="002A3D79">
        <w:rPr>
          <w:rFonts w:ascii="Times New Roman" w:eastAsia="Times New Roman" w:hAnsi="Times New Roman" w:cs="Times New Roman"/>
          <w:b/>
          <w:sz w:val="48"/>
          <w:szCs w:val="20"/>
          <w:lang w:eastAsia="en-GB"/>
        </w:rPr>
        <w:t xml:space="preserve"> </w:t>
      </w:r>
    </w:p>
    <w:p w14:paraId="497A04B3" w14:textId="77777777" w:rsidR="006D6E6A" w:rsidRPr="002A3D79" w:rsidRDefault="006D6E6A" w:rsidP="006D6E6A">
      <w:pPr>
        <w:rPr>
          <w:rFonts w:ascii="Times New Roman" w:eastAsia="Times New Roman" w:hAnsi="Times New Roman" w:cs="Times New Roman"/>
          <w:szCs w:val="20"/>
          <w:lang w:eastAsia="en-GB"/>
        </w:rPr>
      </w:pPr>
    </w:p>
    <w:p w14:paraId="6913206A" w14:textId="77777777" w:rsidR="006D6E6A" w:rsidRPr="002A3D79" w:rsidRDefault="006D6E6A" w:rsidP="006D6E6A">
      <w:pPr>
        <w:ind w:right="-957"/>
        <w:rPr>
          <w:rFonts w:ascii="Times New Roman" w:eastAsia="Times New Roman" w:hAnsi="Times New Roman" w:cs="Times New Roman"/>
          <w:b/>
          <w:sz w:val="48"/>
          <w:szCs w:val="20"/>
          <w:lang w:eastAsia="en-GB"/>
        </w:rPr>
      </w:pPr>
    </w:p>
    <w:p w14:paraId="1DCF7719" w14:textId="77777777" w:rsidR="006D6E6A" w:rsidRPr="002A3D79" w:rsidRDefault="006D6E6A" w:rsidP="006D6E6A">
      <w:pPr>
        <w:overflowPunct w:val="0"/>
        <w:autoSpaceDE w:val="0"/>
        <w:autoSpaceDN w:val="0"/>
        <w:adjustRightInd w:val="0"/>
        <w:jc w:val="center"/>
        <w:textAlignment w:val="baseline"/>
        <w:rPr>
          <w:rFonts w:ascii="Arial" w:eastAsia="Times New Roman" w:hAnsi="Arial" w:cs="Arial"/>
          <w:b/>
          <w:color w:val="000000"/>
          <w:lang w:eastAsia="en-GB"/>
        </w:rPr>
      </w:pPr>
      <w:r w:rsidRPr="002A3D79">
        <w:rPr>
          <w:rFonts w:ascii="Arial" w:eastAsia="Times New Roman" w:hAnsi="Arial" w:cs="Arial"/>
          <w:b/>
          <w:color w:val="000000"/>
          <w:lang w:eastAsia="en-GB"/>
        </w:rPr>
        <w:br w:type="page"/>
      </w:r>
    </w:p>
    <w:p w14:paraId="3B18C5D6" w14:textId="77777777" w:rsidR="006D6E6A" w:rsidRPr="002A3D79" w:rsidRDefault="006D6E6A" w:rsidP="006D6E6A">
      <w:pPr>
        <w:overflowPunct w:val="0"/>
        <w:autoSpaceDE w:val="0"/>
        <w:autoSpaceDN w:val="0"/>
        <w:adjustRightInd w:val="0"/>
        <w:jc w:val="center"/>
        <w:textAlignment w:val="baseline"/>
        <w:rPr>
          <w:rFonts w:ascii="Arial" w:eastAsia="Times New Roman" w:hAnsi="Arial" w:cs="Arial"/>
          <w:b/>
          <w:color w:val="000000"/>
          <w:sz w:val="28"/>
          <w:szCs w:val="28"/>
          <w:lang w:eastAsia="en-GB"/>
        </w:rPr>
      </w:pPr>
    </w:p>
    <w:p w14:paraId="406A6EB8" w14:textId="77777777" w:rsidR="006D6E6A" w:rsidRPr="002A3D79" w:rsidRDefault="006D6E6A" w:rsidP="006D6E6A">
      <w:pPr>
        <w:overflowPunct w:val="0"/>
        <w:autoSpaceDE w:val="0"/>
        <w:autoSpaceDN w:val="0"/>
        <w:adjustRightInd w:val="0"/>
        <w:jc w:val="center"/>
        <w:textAlignment w:val="baseline"/>
        <w:rPr>
          <w:rFonts w:ascii="Arial" w:eastAsia="Times New Roman" w:hAnsi="Arial" w:cs="Arial"/>
          <w:b/>
          <w:color w:val="000000"/>
          <w:lang w:eastAsia="en-GB"/>
        </w:rPr>
      </w:pPr>
    </w:p>
    <w:p w14:paraId="4E2669BA" w14:textId="77777777" w:rsidR="006D6E6A" w:rsidRPr="002A3D79" w:rsidRDefault="006D6E6A" w:rsidP="006D6E6A">
      <w:pPr>
        <w:overflowPunct w:val="0"/>
        <w:autoSpaceDE w:val="0"/>
        <w:autoSpaceDN w:val="0"/>
        <w:adjustRightInd w:val="0"/>
        <w:jc w:val="center"/>
        <w:textAlignment w:val="baseline"/>
        <w:rPr>
          <w:rFonts w:ascii="Arial" w:eastAsia="Times New Roman" w:hAnsi="Arial" w:cs="Arial"/>
          <w:color w:val="000000"/>
          <w:sz w:val="28"/>
          <w:szCs w:val="28"/>
          <w:lang w:eastAsia="en-GB"/>
        </w:rPr>
      </w:pPr>
      <w:r w:rsidRPr="002A3D79">
        <w:rPr>
          <w:rFonts w:ascii="Arial" w:eastAsia="Times New Roman" w:hAnsi="Arial" w:cs="Arial"/>
          <w:b/>
          <w:color w:val="000000"/>
          <w:sz w:val="28"/>
          <w:szCs w:val="28"/>
          <w:lang w:eastAsia="en-GB"/>
        </w:rPr>
        <w:t>Task 3</w:t>
      </w:r>
    </w:p>
    <w:p w14:paraId="32B2D917" w14:textId="77777777" w:rsidR="006D6E6A" w:rsidRPr="002A3D79" w:rsidRDefault="006D6E6A" w:rsidP="006D6E6A">
      <w:pPr>
        <w:overflowPunct w:val="0"/>
        <w:autoSpaceDE w:val="0"/>
        <w:autoSpaceDN w:val="0"/>
        <w:adjustRightInd w:val="0"/>
        <w:jc w:val="center"/>
        <w:textAlignment w:val="baseline"/>
        <w:rPr>
          <w:rFonts w:ascii="Arial" w:eastAsia="Times New Roman" w:hAnsi="Arial" w:cs="Arial"/>
          <w:b/>
          <w:color w:val="000000"/>
          <w:sz w:val="28"/>
          <w:szCs w:val="28"/>
          <w:lang w:eastAsia="en-GB"/>
        </w:rPr>
      </w:pPr>
    </w:p>
    <w:p w14:paraId="123F1D00" w14:textId="77777777" w:rsidR="006D6E6A" w:rsidRPr="002A3D79" w:rsidRDefault="006D6E6A" w:rsidP="006D6E6A">
      <w:pPr>
        <w:overflowPunct w:val="0"/>
        <w:autoSpaceDE w:val="0"/>
        <w:autoSpaceDN w:val="0"/>
        <w:adjustRightInd w:val="0"/>
        <w:jc w:val="center"/>
        <w:textAlignment w:val="baseline"/>
        <w:rPr>
          <w:rFonts w:ascii="Arial" w:eastAsia="Times New Roman" w:hAnsi="Arial" w:cs="Arial"/>
          <w:b/>
          <w:sz w:val="28"/>
          <w:szCs w:val="28"/>
          <w:lang w:eastAsia="en-GB"/>
        </w:rPr>
      </w:pPr>
      <w:r w:rsidRPr="002A3D79">
        <w:rPr>
          <w:rFonts w:ascii="Arial" w:eastAsia="Times New Roman" w:hAnsi="Arial" w:cs="Arial"/>
          <w:b/>
          <w:sz w:val="28"/>
          <w:szCs w:val="28"/>
          <w:lang w:eastAsia="en-GB"/>
        </w:rPr>
        <w:t>Safeguarding and working in complex situations – Case Study</w:t>
      </w:r>
    </w:p>
    <w:p w14:paraId="1A485415" w14:textId="77777777" w:rsidR="006D6E6A" w:rsidRPr="002A3D79" w:rsidRDefault="006D6E6A" w:rsidP="006D6E6A">
      <w:pPr>
        <w:overflowPunct w:val="0"/>
        <w:autoSpaceDE w:val="0"/>
        <w:autoSpaceDN w:val="0"/>
        <w:adjustRightInd w:val="0"/>
        <w:textAlignment w:val="baseline"/>
        <w:rPr>
          <w:rFonts w:ascii="Arial" w:eastAsia="Times New Roman" w:hAnsi="Arial" w:cs="Arial"/>
          <w:b/>
          <w:lang w:eastAsia="en-GB"/>
        </w:rPr>
      </w:pPr>
    </w:p>
    <w:p w14:paraId="63CE5D41" w14:textId="77777777" w:rsidR="006D6E6A" w:rsidRPr="002A3D79" w:rsidRDefault="006D6E6A" w:rsidP="006D6E6A">
      <w:pPr>
        <w:overflowPunct w:val="0"/>
        <w:autoSpaceDE w:val="0"/>
        <w:autoSpaceDN w:val="0"/>
        <w:adjustRightInd w:val="0"/>
        <w:textAlignment w:val="baseline"/>
        <w:rPr>
          <w:rFonts w:ascii="Arial" w:eastAsia="Times New Roman" w:hAnsi="Arial" w:cs="Arial"/>
          <w:b/>
          <w:lang w:eastAsia="en-GB"/>
        </w:rPr>
      </w:pPr>
      <w:r w:rsidRPr="002A3D79">
        <w:rPr>
          <w:rFonts w:ascii="Arial" w:eastAsia="Times New Roman" w:hAnsi="Arial" w:cs="Arial"/>
          <w:b/>
          <w:lang w:eastAsia="en-GB"/>
        </w:rPr>
        <w:t>Guidance;</w:t>
      </w:r>
    </w:p>
    <w:p w14:paraId="7EDC6638" w14:textId="77777777" w:rsidR="006D6E6A" w:rsidRPr="002A3D79" w:rsidRDefault="006D6E6A" w:rsidP="006D6E6A">
      <w:pPr>
        <w:overflowPunct w:val="0"/>
        <w:autoSpaceDE w:val="0"/>
        <w:autoSpaceDN w:val="0"/>
        <w:adjustRightInd w:val="0"/>
        <w:jc w:val="both"/>
        <w:textAlignment w:val="baseline"/>
        <w:rPr>
          <w:rFonts w:ascii="Arial" w:eastAsia="Times New Roman" w:hAnsi="Arial" w:cs="Arial"/>
          <w:i/>
          <w:iCs/>
          <w:color w:val="000000"/>
          <w:lang w:eastAsia="en-GB"/>
        </w:rPr>
      </w:pPr>
      <w:r w:rsidRPr="002A3D79">
        <w:rPr>
          <w:rFonts w:ascii="Arial" w:eastAsia="Times New Roman" w:hAnsi="Arial" w:cs="Arial"/>
          <w:i/>
          <w:iCs/>
          <w:color w:val="000000"/>
          <w:lang w:eastAsia="en-GB"/>
        </w:rPr>
        <w:t xml:space="preserve">Please ensure that you meet the National Occupational Standards and assigned Learning Outcomes for this task (see appendix 5 and 6 of the handbook). </w:t>
      </w:r>
    </w:p>
    <w:p w14:paraId="684A69DA" w14:textId="77777777" w:rsidR="006D6E6A" w:rsidRPr="002A3D79" w:rsidRDefault="006D6E6A" w:rsidP="006D6E6A">
      <w:pPr>
        <w:overflowPunct w:val="0"/>
        <w:autoSpaceDE w:val="0"/>
        <w:autoSpaceDN w:val="0"/>
        <w:adjustRightInd w:val="0"/>
        <w:jc w:val="both"/>
        <w:textAlignment w:val="baseline"/>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D6E6A" w:rsidRPr="002A3D79" w14:paraId="138EF641" w14:textId="77777777" w:rsidTr="00FB57C6">
        <w:tc>
          <w:tcPr>
            <w:tcW w:w="10031" w:type="dxa"/>
            <w:shd w:val="clear" w:color="auto" w:fill="auto"/>
          </w:tcPr>
          <w:p w14:paraId="09CBC59D" w14:textId="77777777" w:rsidR="006D6E6A" w:rsidRPr="002A3D79" w:rsidRDefault="006D6E6A" w:rsidP="00FB57C6">
            <w:pPr>
              <w:spacing w:line="360" w:lineRule="auto"/>
              <w:jc w:val="both"/>
              <w:rPr>
                <w:rFonts w:ascii="Arial" w:hAnsi="Arial" w:cs="Arial"/>
                <w:b/>
                <w:bCs/>
                <w:lang w:eastAsia="en-GB"/>
              </w:rPr>
            </w:pPr>
            <w:r w:rsidRPr="002A3D79">
              <w:rPr>
                <w:rFonts w:ascii="Arial" w:hAnsi="Arial" w:cs="Arial"/>
                <w:b/>
                <w:bCs/>
                <w:lang w:eastAsia="en-GB"/>
              </w:rPr>
              <w:t>Question:</w:t>
            </w:r>
          </w:p>
          <w:p w14:paraId="6968BD59" w14:textId="77777777" w:rsidR="006D6E6A" w:rsidRPr="002A3D79" w:rsidRDefault="006D6E6A" w:rsidP="00FB57C6">
            <w:pPr>
              <w:spacing w:line="360" w:lineRule="auto"/>
              <w:jc w:val="both"/>
              <w:rPr>
                <w:rFonts w:ascii="Arial" w:hAnsi="Arial" w:cs="Arial"/>
                <w:b/>
                <w:bCs/>
                <w:lang w:eastAsia="en-GB"/>
              </w:rPr>
            </w:pPr>
            <w:r w:rsidRPr="002A3D79">
              <w:rPr>
                <w:rFonts w:ascii="Arial" w:hAnsi="Arial" w:cs="Arial"/>
                <w:b/>
                <w:bCs/>
                <w:lang w:eastAsia="en-GB"/>
              </w:rPr>
              <w:t xml:space="preserve">Complete a critically reflective case study based on an assessment that you have undertaken with others, 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7234EAB4" w14:textId="77777777" w:rsidR="006D6E6A" w:rsidRPr="002A3D79" w:rsidRDefault="006D6E6A" w:rsidP="00FB57C6">
            <w:pPr>
              <w:spacing w:line="360" w:lineRule="auto"/>
              <w:jc w:val="both"/>
              <w:rPr>
                <w:rFonts w:ascii="Arial" w:hAnsi="Arial" w:cs="Arial"/>
                <w:lang w:eastAsia="en-GB"/>
              </w:rPr>
            </w:pPr>
          </w:p>
          <w:p w14:paraId="731CE064"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4000 words (+/- 10%: include your actual word count at the end of each section).</w:t>
            </w:r>
          </w:p>
          <w:p w14:paraId="35D956D6" w14:textId="77777777" w:rsidR="006D6E6A" w:rsidRPr="002A3D79" w:rsidRDefault="006D6E6A" w:rsidP="00FB57C6">
            <w:pPr>
              <w:spacing w:line="360" w:lineRule="auto"/>
              <w:jc w:val="both"/>
              <w:rPr>
                <w:rFonts w:ascii="Arial" w:hAnsi="Arial" w:cs="Arial"/>
                <w:lang w:eastAsia="en-GB"/>
              </w:rPr>
            </w:pPr>
          </w:p>
          <w:p w14:paraId="6DE528FB"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 xml:space="preserve">Currently I am a social worker within child and family services, </w:t>
            </w:r>
            <w:r w:rsidRPr="00C33C69">
              <w:rPr>
                <w:rFonts w:ascii="Arial" w:hAnsi="Arial" w:cs="Arial"/>
              </w:rPr>
              <w:t>working with</w:t>
            </w:r>
            <w:r w:rsidRPr="002A3D79">
              <w:rPr>
                <w:rFonts w:ascii="Arial" w:hAnsi="Arial" w:cs="Arial"/>
                <w:lang w:eastAsia="en-GB"/>
              </w:rPr>
              <w:t xml:space="preserve"> children and their families at all levels of the continuation of need (ref). Including child in need of care and support (CINCS), child protection and public Law outline (PLO)</w:t>
            </w:r>
            <w:r w:rsidRPr="00C33C69">
              <w:rPr>
                <w:rFonts w:ascii="Arial" w:hAnsi="Arial" w:cs="Arial"/>
              </w:rPr>
              <w:t xml:space="preserve">, </w:t>
            </w:r>
            <w:proofErr w:type="spellStart"/>
            <w:r w:rsidRPr="00C33C69">
              <w:rPr>
                <w:rFonts w:ascii="Arial" w:hAnsi="Arial" w:cs="Arial"/>
              </w:rPr>
              <w:t>a</w:t>
            </w:r>
            <w:r w:rsidRPr="002A3D79">
              <w:rPr>
                <w:rFonts w:ascii="Arial" w:hAnsi="Arial" w:cs="Arial"/>
                <w:lang w:eastAsia="en-GB"/>
              </w:rPr>
              <w:t>swell</w:t>
            </w:r>
            <w:proofErr w:type="spellEnd"/>
            <w:r w:rsidRPr="002A3D79">
              <w:rPr>
                <w:rFonts w:ascii="Arial" w:hAnsi="Arial" w:cs="Arial"/>
                <w:lang w:eastAsia="en-GB"/>
              </w:rPr>
              <w:t xml:space="preserve"> as private law. Within my role, it is essential to understand legal frameworks as it direct</w:t>
            </w:r>
            <w:r w:rsidRPr="00C33C69">
              <w:rPr>
                <w:rFonts w:ascii="Arial" w:hAnsi="Arial" w:cs="Arial"/>
              </w:rPr>
              <w:t>s</w:t>
            </w:r>
            <w:r w:rsidRPr="002A3D79">
              <w:rPr>
                <w:rFonts w:ascii="Arial" w:hAnsi="Arial" w:cs="Arial"/>
                <w:lang w:eastAsia="en-GB"/>
              </w:rPr>
              <w:t xml:space="preserve"> safe and ethical practice. The legislation overarching any support offered within Wales is the Social Services Wellbeing (Wales) Act 2014, alongside Wales Safeguarding Procedures 2019, and The Children Act 1989.  The children Act 1989 has a fundamental principle that a child’s welfare is paramount. This </w:t>
            </w:r>
            <w:r w:rsidRPr="00C33C69">
              <w:rPr>
                <w:rFonts w:ascii="Arial" w:hAnsi="Arial" w:cs="Arial"/>
              </w:rPr>
              <w:t>in line</w:t>
            </w:r>
            <w:r w:rsidRPr="002A3D79">
              <w:rPr>
                <w:rFonts w:ascii="Arial" w:hAnsi="Arial" w:cs="Arial"/>
                <w:lang w:eastAsia="en-GB"/>
              </w:rPr>
              <w:t xml:space="preserve"> with the Human Rights Act 1998, equality act, secures the rights of adults, children and minority groups respectfully. </w:t>
            </w:r>
          </w:p>
          <w:p w14:paraId="0B620BD7" w14:textId="77777777" w:rsidR="006D6E6A" w:rsidRPr="002A3D79" w:rsidRDefault="006D6E6A" w:rsidP="00FB57C6">
            <w:pPr>
              <w:spacing w:line="360" w:lineRule="auto"/>
              <w:jc w:val="both"/>
              <w:rPr>
                <w:rFonts w:ascii="Arial" w:hAnsi="Arial" w:cs="Arial"/>
                <w:lang w:eastAsia="en-GB"/>
              </w:rPr>
            </w:pPr>
          </w:p>
          <w:p w14:paraId="4B6CE4E3"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lastRenderedPageBreak/>
              <w:t xml:space="preserve">Within my role, I work with family to safeguard them with my knowledge, skills and values to practice effectively (Roche,2010), It is important I understand these processes to promote and protect children and families. Duties imposed by law give social workers obligations to carry out certain functions (SCW,2017,3.1), whereas power has an element of discretion. Power is usually up for interpretation, to assist with this interpretation guidance is found in the Codes of Professional Practice (SCW, 2017). Alongside power, rights are also open to interpretation, with moral, civil, political and cultural rights individuals are legally entitled to (Brammer,2020). </w:t>
            </w:r>
          </w:p>
          <w:p w14:paraId="2B95B1A2" w14:textId="77777777" w:rsidR="006D6E6A" w:rsidRPr="002A3D79" w:rsidRDefault="006D6E6A" w:rsidP="00FB57C6">
            <w:pPr>
              <w:spacing w:line="360" w:lineRule="auto"/>
              <w:jc w:val="both"/>
              <w:rPr>
                <w:rFonts w:ascii="Arial" w:hAnsi="Arial" w:cs="Arial"/>
                <w:lang w:eastAsia="en-GB"/>
              </w:rPr>
            </w:pPr>
          </w:p>
          <w:p w14:paraId="28CC4D2C"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Legislation offers a framework for social workers to apply their knowledge (Roche, 2010). Social workers require this knowledge to understand their duties and responsibilities under the Social Care Wales Codes of Professional Practice (SCW, 2017). Legislation is defined by change and contestation, and many reforms have been implemented in recent years. Wales has devolved legal authorities during the last two decades, beginning with secondary legislation enacted by the Government of Wales Act 1999. The Wales Act of 2014 granted full legislative powers. Empowerment, cooperation, and anti-oppressive practice are the values that underpin legal systems (Brammer 2020). For example, the Social Services Well-being (Wales) Act 2014, which serves as the overarching foundation, Underpinning duties and powers of social workers in Wales, as well as legislative and regulatory conditions for effective social work practice (SCW, 2017, 6.1).</w:t>
            </w:r>
          </w:p>
          <w:p w14:paraId="40B9691A" w14:textId="77777777" w:rsidR="006D6E6A" w:rsidRPr="002A3D79" w:rsidRDefault="006D6E6A" w:rsidP="00FB57C6">
            <w:pPr>
              <w:spacing w:line="360" w:lineRule="auto"/>
              <w:jc w:val="both"/>
              <w:rPr>
                <w:rFonts w:ascii="Arial" w:hAnsi="Arial" w:cs="Arial"/>
                <w:lang w:eastAsia="en-GB"/>
              </w:rPr>
            </w:pPr>
          </w:p>
          <w:p w14:paraId="2401D54D"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To evidence understanding of legislation,</w:t>
            </w:r>
            <w:r w:rsidRPr="00C33C69">
              <w:rPr>
                <w:rFonts w:ascii="Arial" w:hAnsi="Arial" w:cs="Arial"/>
              </w:rPr>
              <w:t xml:space="preserve"> </w:t>
            </w:r>
            <w:r w:rsidRPr="002A3D79">
              <w:rPr>
                <w:rFonts w:ascii="Arial" w:hAnsi="Arial" w:cs="Arial"/>
                <w:lang w:eastAsia="en-GB"/>
              </w:rPr>
              <w:t xml:space="preserve">theories, professional Judgement and critical analysis. A case study will be used. To identify appropriate action and support supplied through assessment analyses and reports conducted following the legal guidance and framework. </w:t>
            </w:r>
          </w:p>
          <w:p w14:paraId="7560B00E" w14:textId="77777777" w:rsidR="006D6E6A" w:rsidRPr="002A3D79" w:rsidRDefault="006D6E6A" w:rsidP="00FB57C6">
            <w:pPr>
              <w:spacing w:line="360" w:lineRule="auto"/>
              <w:jc w:val="both"/>
              <w:rPr>
                <w:rFonts w:ascii="Arial" w:hAnsi="Arial" w:cs="Arial"/>
                <w:lang w:eastAsia="en-GB"/>
              </w:rPr>
            </w:pPr>
          </w:p>
          <w:p w14:paraId="194EF50F"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 xml:space="preserve">The family of the case study have not been known to services previously, although their first involvement has been known since September 2023. The </w:t>
            </w:r>
            <w:r w:rsidRPr="00C33C69">
              <w:rPr>
                <w:rFonts w:ascii="Arial" w:hAnsi="Arial" w:cs="Arial"/>
              </w:rPr>
              <w:t xml:space="preserve">children’s </w:t>
            </w:r>
            <w:r w:rsidRPr="002A3D79">
              <w:rPr>
                <w:rFonts w:ascii="Arial" w:hAnsi="Arial" w:cs="Arial"/>
                <w:lang w:eastAsia="en-GB"/>
              </w:rPr>
              <w:t>school initiated a referral to social services under the principles outlined in the Children Act 1989 and The Children and Families (Wales) Measure 2010, emphasizing the need for timely interventions to protect children at risk.</w:t>
            </w:r>
            <w:r w:rsidRPr="00C33C69">
              <w:rPr>
                <w:rFonts w:ascii="Arial" w:hAnsi="Arial" w:cs="Arial"/>
              </w:rPr>
              <w:t xml:space="preserve"> As they had disclosed that Mother had hit them. </w:t>
            </w:r>
          </w:p>
          <w:p w14:paraId="051C108D" w14:textId="77777777" w:rsidR="006D6E6A" w:rsidRDefault="006D6E6A" w:rsidP="00FB57C6">
            <w:pPr>
              <w:spacing w:line="360" w:lineRule="auto"/>
              <w:jc w:val="both"/>
              <w:rPr>
                <w:rFonts w:ascii="Arial" w:hAnsi="Arial" w:cs="Arial"/>
                <w:lang w:eastAsia="en-GB"/>
              </w:rPr>
            </w:pPr>
            <w:r w:rsidRPr="002A3D79">
              <w:rPr>
                <w:rFonts w:ascii="Arial" w:hAnsi="Arial" w:cs="Arial"/>
                <w:lang w:eastAsia="en-GB"/>
              </w:rPr>
              <w:lastRenderedPageBreak/>
              <w:t>In Wales, safeguarding is governed by legislation such as the Social Services and Well-being (Wales) Act 2014, which mandates a child-centred approach in safeguarding practices. This act emphasizes the importance of children’s voices in the assessment process and the necessity of collaboration between agencies, including health, education, and social services</w:t>
            </w:r>
            <w:sdt>
              <w:sdtPr>
                <w:rPr>
                  <w:rFonts w:ascii="Arial" w:hAnsi="Arial" w:cs="Arial"/>
                  <w:lang w:eastAsia="en-GB"/>
                </w:rPr>
                <w:id w:val="-1986688470"/>
                <w:citation/>
              </w:sdtPr>
              <w:sdtContent>
                <w:r>
                  <w:rPr>
                    <w:rFonts w:ascii="Arial" w:hAnsi="Arial" w:cs="Arial"/>
                    <w:lang w:eastAsia="en-GB"/>
                  </w:rPr>
                  <w:fldChar w:fldCharType="begin"/>
                </w:r>
                <w:r>
                  <w:rPr>
                    <w:rFonts w:ascii="Arial" w:hAnsi="Arial" w:cs="Arial"/>
                    <w:lang w:eastAsia="en-GB"/>
                  </w:rPr>
                  <w:instrText xml:space="preserve"> CITATION Ada09 \l 2057 </w:instrText>
                </w:r>
                <w:r>
                  <w:rPr>
                    <w:rFonts w:ascii="Arial" w:hAnsi="Arial" w:cs="Arial"/>
                    <w:lang w:eastAsia="en-GB"/>
                  </w:rPr>
                  <w:fldChar w:fldCharType="separate"/>
                </w:r>
                <w:r>
                  <w:rPr>
                    <w:rFonts w:ascii="Arial" w:hAnsi="Arial" w:cs="Arial"/>
                    <w:noProof/>
                    <w:lang w:eastAsia="en-GB"/>
                  </w:rPr>
                  <w:t xml:space="preserve"> </w:t>
                </w:r>
                <w:r w:rsidRPr="006B6173">
                  <w:rPr>
                    <w:rFonts w:ascii="Arial" w:hAnsi="Arial" w:cs="Arial"/>
                    <w:noProof/>
                    <w:lang w:eastAsia="en-GB"/>
                  </w:rPr>
                  <w:t>(Adams, et al., 2009)</w:t>
                </w:r>
                <w:r>
                  <w:rPr>
                    <w:rFonts w:ascii="Arial" w:hAnsi="Arial" w:cs="Arial"/>
                    <w:lang w:eastAsia="en-GB"/>
                  </w:rPr>
                  <w:fldChar w:fldCharType="end"/>
                </w:r>
              </w:sdtContent>
            </w:sdt>
            <w:r w:rsidRPr="002A3D79">
              <w:rPr>
                <w:rFonts w:ascii="Arial" w:hAnsi="Arial" w:cs="Arial"/>
                <w:lang w:eastAsia="en-GB"/>
              </w:rPr>
              <w:t>.</w:t>
            </w:r>
          </w:p>
          <w:p w14:paraId="20B3AB5F" w14:textId="77777777" w:rsidR="006D6E6A" w:rsidRPr="002A3D79" w:rsidRDefault="006D6E6A" w:rsidP="00FB57C6">
            <w:pPr>
              <w:spacing w:line="360" w:lineRule="auto"/>
              <w:jc w:val="both"/>
              <w:rPr>
                <w:rFonts w:ascii="Arial" w:hAnsi="Arial" w:cs="Arial"/>
                <w:lang w:eastAsia="en-GB"/>
              </w:rPr>
            </w:pPr>
          </w:p>
          <w:p w14:paraId="27C20D31"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 xml:space="preserve">I became their allocated worker in early 2024, following the children being placed on the child protection register. The children are currently cared for by both parents, under a Child Arrangement Order (ref). Before my allocated the Family were support by universal services and then had </w:t>
            </w:r>
            <w:proofErr w:type="spellStart"/>
            <w:r w:rsidRPr="002A3D79">
              <w:rPr>
                <w:rFonts w:ascii="Arial" w:hAnsi="Arial" w:cs="Arial"/>
                <w:lang w:eastAsia="en-GB"/>
              </w:rPr>
              <w:t>a</w:t>
            </w:r>
            <w:proofErr w:type="spellEnd"/>
            <w:r w:rsidRPr="002A3D79">
              <w:rPr>
                <w:rFonts w:ascii="Arial" w:hAnsi="Arial" w:cs="Arial"/>
                <w:lang w:eastAsia="en-GB"/>
              </w:rPr>
              <w:t xml:space="preserve"> assessment carried out under A child in need of care and support. To allow confidentiality in line with General Data Protection Regulations (2016), I will refer to the children as ‘Child 1’ and ‘Child 2’ and mother and father. </w:t>
            </w:r>
          </w:p>
          <w:p w14:paraId="5A80D4AF" w14:textId="77777777" w:rsidR="006D6E6A" w:rsidRPr="002A3D79" w:rsidRDefault="006D6E6A" w:rsidP="00FB57C6">
            <w:pPr>
              <w:spacing w:line="360" w:lineRule="auto"/>
              <w:jc w:val="both"/>
              <w:rPr>
                <w:rFonts w:ascii="Arial" w:hAnsi="Arial" w:cs="Arial"/>
                <w:lang w:eastAsia="en-GB"/>
              </w:rPr>
            </w:pPr>
          </w:p>
          <w:p w14:paraId="1B6C2D25"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 xml:space="preserve">My work started in February 2024, although both children have only been supported by services for six months, there has been many several workers allocated before myself. This already resulted in a lack of confidence from the family towards professionals, which made it difficult to develop relationships (Bachinsky 2022). Mother and Father didn’t feel heard and were in a middle of a crisis, which showed as non-engagement and non-compliance. Alongside this there was a constant </w:t>
            </w:r>
            <w:r w:rsidRPr="00C33C69">
              <w:rPr>
                <w:rFonts w:ascii="Arial" w:hAnsi="Arial" w:cs="Arial"/>
              </w:rPr>
              <w:t>change</w:t>
            </w:r>
            <w:r w:rsidRPr="002A3D79">
              <w:rPr>
                <w:rFonts w:ascii="Arial" w:hAnsi="Arial" w:cs="Arial"/>
                <w:lang w:eastAsia="en-GB"/>
              </w:rPr>
              <w:t xml:space="preserve"> over of professionals, due to demand of services. There was already a barrier recognised between </w:t>
            </w:r>
            <w:r w:rsidRPr="00C33C69">
              <w:rPr>
                <w:rFonts w:ascii="Arial" w:hAnsi="Arial" w:cs="Arial"/>
              </w:rPr>
              <w:t>me</w:t>
            </w:r>
            <w:r w:rsidRPr="002A3D79">
              <w:rPr>
                <w:rFonts w:ascii="Arial" w:hAnsi="Arial" w:cs="Arial"/>
                <w:lang w:eastAsia="en-GB"/>
              </w:rPr>
              <w:t xml:space="preserve"> and the family.  I had to rely on research and theory to support positive change. Research tells us that positive change occurs when professionals establish trust (Beckett and Horner, 2006). This allows professionals to support families using strengths – based approaches. </w:t>
            </w:r>
          </w:p>
          <w:p w14:paraId="200CA9AD" w14:textId="77777777" w:rsidR="006D6E6A" w:rsidRPr="002A3D79" w:rsidRDefault="006D6E6A" w:rsidP="00FB57C6">
            <w:pPr>
              <w:spacing w:line="360" w:lineRule="auto"/>
              <w:jc w:val="both"/>
              <w:rPr>
                <w:rFonts w:ascii="Arial" w:hAnsi="Arial" w:cs="Arial"/>
                <w:lang w:eastAsia="en-GB"/>
              </w:rPr>
            </w:pPr>
          </w:p>
          <w:p w14:paraId="20D62565" w14:textId="77777777" w:rsidR="006D6E6A" w:rsidRPr="00C33C69" w:rsidRDefault="006D6E6A" w:rsidP="00FB57C6">
            <w:pPr>
              <w:spacing w:line="360" w:lineRule="auto"/>
              <w:jc w:val="both"/>
              <w:rPr>
                <w:rFonts w:ascii="Arial" w:hAnsi="Arial" w:cs="Arial"/>
              </w:rPr>
            </w:pPr>
            <w:r w:rsidRPr="002A3D79">
              <w:rPr>
                <w:rFonts w:ascii="Arial" w:hAnsi="Arial" w:cs="Arial"/>
                <w:lang w:eastAsia="en-GB"/>
              </w:rPr>
              <w:t xml:space="preserve">Both Mother and Father had </w:t>
            </w:r>
            <w:r w:rsidRPr="00C33C69">
              <w:rPr>
                <w:rFonts w:ascii="Arial" w:hAnsi="Arial" w:cs="Arial"/>
                <w:lang w:eastAsia="en-GB"/>
              </w:rPr>
              <w:t>positive</w:t>
            </w:r>
            <w:r w:rsidRPr="002A3D79">
              <w:rPr>
                <w:rFonts w:ascii="Arial" w:hAnsi="Arial" w:cs="Arial"/>
                <w:lang w:eastAsia="en-GB"/>
              </w:rPr>
              <w:t xml:space="preserve"> childhoods, </w:t>
            </w:r>
            <w:r w:rsidRPr="00C33C69">
              <w:rPr>
                <w:rFonts w:ascii="Arial" w:hAnsi="Arial" w:cs="Arial"/>
                <w:lang w:eastAsia="en-GB"/>
              </w:rPr>
              <w:t>with no social services involvement. however,</w:t>
            </w:r>
            <w:r w:rsidRPr="002A3D79">
              <w:rPr>
                <w:rFonts w:ascii="Arial" w:hAnsi="Arial" w:cs="Arial"/>
                <w:lang w:eastAsia="en-GB"/>
              </w:rPr>
              <w:t xml:space="preserve"> there was a collapse within their relationship, where the children experienced Domestic </w:t>
            </w:r>
            <w:r w:rsidRPr="00C33C69">
              <w:rPr>
                <w:rFonts w:ascii="Arial" w:hAnsi="Arial" w:cs="Arial"/>
                <w:lang w:eastAsia="en-GB"/>
              </w:rPr>
              <w:t>a</w:t>
            </w:r>
            <w:r w:rsidRPr="002A3D79">
              <w:rPr>
                <w:rFonts w:ascii="Arial" w:hAnsi="Arial" w:cs="Arial"/>
                <w:lang w:eastAsia="en-GB"/>
              </w:rPr>
              <w:t xml:space="preserve">buse, emotional abuse and physical abuse from both mother and father. The </w:t>
            </w:r>
            <w:r>
              <w:rPr>
                <w:rFonts w:ascii="Arial" w:hAnsi="Arial" w:cs="Arial"/>
                <w:lang w:eastAsia="en-GB"/>
              </w:rPr>
              <w:t>O</w:t>
            </w:r>
            <w:r w:rsidRPr="002A3D79">
              <w:rPr>
                <w:rFonts w:ascii="Arial" w:hAnsi="Arial" w:cs="Arial"/>
                <w:lang w:eastAsia="en-GB"/>
              </w:rPr>
              <w:t xml:space="preserve">ffice of </w:t>
            </w:r>
            <w:r>
              <w:rPr>
                <w:rFonts w:ascii="Arial" w:hAnsi="Arial" w:cs="Arial"/>
                <w:lang w:eastAsia="en-GB"/>
              </w:rPr>
              <w:t>N</w:t>
            </w:r>
            <w:r w:rsidRPr="002A3D79">
              <w:rPr>
                <w:rFonts w:ascii="Arial" w:hAnsi="Arial" w:cs="Arial"/>
                <w:lang w:eastAsia="en-GB"/>
              </w:rPr>
              <w:t xml:space="preserve">ational </w:t>
            </w:r>
            <w:r>
              <w:rPr>
                <w:rFonts w:ascii="Arial" w:hAnsi="Arial" w:cs="Arial"/>
                <w:lang w:eastAsia="en-GB"/>
              </w:rPr>
              <w:t>S</w:t>
            </w:r>
            <w:r w:rsidRPr="002A3D79">
              <w:rPr>
                <w:rFonts w:ascii="Arial" w:hAnsi="Arial" w:cs="Arial"/>
                <w:lang w:eastAsia="en-GB"/>
              </w:rPr>
              <w:t>tatistics (2023) survey</w:t>
            </w:r>
            <w:r>
              <w:rPr>
                <w:rFonts w:ascii="Arial" w:hAnsi="Arial" w:cs="Arial"/>
                <w:lang w:eastAsia="en-GB"/>
              </w:rPr>
              <w:t>,</w:t>
            </w:r>
            <w:r w:rsidRPr="002A3D79">
              <w:rPr>
                <w:rFonts w:ascii="Arial" w:hAnsi="Arial" w:cs="Arial"/>
                <w:lang w:eastAsia="en-GB"/>
              </w:rPr>
              <w:t xml:space="preserve"> estimated that 4.4% of people aged 16 years and over experienced domestic abuse in the last year. </w:t>
            </w:r>
            <w:r w:rsidRPr="00C33C69">
              <w:rPr>
                <w:rFonts w:ascii="Arial" w:hAnsi="Arial" w:cs="Arial"/>
                <w:lang w:eastAsia="en-GB"/>
              </w:rPr>
              <w:t xml:space="preserve">Although there is no history with this family the Welsh Index of Deprivation </w:t>
            </w:r>
            <w:r w:rsidRPr="00C33C69">
              <w:rPr>
                <w:rFonts w:ascii="Arial" w:hAnsi="Arial" w:cs="Arial"/>
                <w:lang w:eastAsia="en-GB"/>
              </w:rPr>
              <w:lastRenderedPageBreak/>
              <w:t xml:space="preserve">(2019), highlights that they reside in an area that is 50% deprived in the following areas: access to services, housing, health and employment. </w:t>
            </w:r>
          </w:p>
          <w:p w14:paraId="52655B79" w14:textId="77777777" w:rsidR="006D6E6A" w:rsidRPr="00C33C69" w:rsidRDefault="006D6E6A" w:rsidP="00FB57C6">
            <w:pPr>
              <w:spacing w:line="360" w:lineRule="auto"/>
              <w:jc w:val="both"/>
              <w:rPr>
                <w:rFonts w:ascii="Arial" w:hAnsi="Arial" w:cs="Arial"/>
              </w:rPr>
            </w:pPr>
          </w:p>
          <w:p w14:paraId="15730B40" w14:textId="77777777" w:rsidR="006D6E6A" w:rsidRPr="00C33C69" w:rsidRDefault="006D6E6A" w:rsidP="00FB57C6">
            <w:pPr>
              <w:spacing w:line="360" w:lineRule="auto"/>
              <w:jc w:val="both"/>
              <w:rPr>
                <w:rFonts w:ascii="Arial" w:hAnsi="Arial" w:cs="Arial"/>
              </w:rPr>
            </w:pPr>
            <w:r w:rsidRPr="00C33C69">
              <w:rPr>
                <w:rFonts w:ascii="Arial" w:hAnsi="Arial" w:cs="Arial"/>
              </w:rPr>
              <w:t>The initial concerns were that mother had chastised both her children, to resolve negative behaviour towards her. At the time of the report both parents were identify as separated however were still cohabitating in their martial home. This was causing emotional harm to both children as they were experiencing arguments and fighting in their family home daily</w:t>
            </w:r>
            <w:sdt>
              <w:sdtPr>
                <w:rPr>
                  <w:rFonts w:ascii="Arial" w:hAnsi="Arial" w:cs="Arial"/>
                </w:rPr>
                <w:id w:val="1224415654"/>
                <w:citation/>
              </w:sdtPr>
              <w:sdtContent>
                <w:r>
                  <w:rPr>
                    <w:rFonts w:ascii="Arial" w:hAnsi="Arial" w:cs="Arial"/>
                  </w:rPr>
                  <w:fldChar w:fldCharType="begin"/>
                </w:r>
                <w:r>
                  <w:rPr>
                    <w:rFonts w:ascii="Arial" w:hAnsi="Arial" w:cs="Arial"/>
                  </w:rPr>
                  <w:instrText xml:space="preserve"> CITATION Bag22 \l 2057 </w:instrText>
                </w:r>
                <w:r>
                  <w:rPr>
                    <w:rFonts w:ascii="Arial" w:hAnsi="Arial" w:cs="Arial"/>
                  </w:rPr>
                  <w:fldChar w:fldCharType="separate"/>
                </w:r>
                <w:r>
                  <w:rPr>
                    <w:rFonts w:ascii="Arial" w:hAnsi="Arial" w:cs="Arial"/>
                    <w:noProof/>
                  </w:rPr>
                  <w:t xml:space="preserve"> </w:t>
                </w:r>
                <w:r w:rsidRPr="006B6173">
                  <w:rPr>
                    <w:rFonts w:ascii="Arial" w:hAnsi="Arial" w:cs="Arial"/>
                    <w:noProof/>
                  </w:rPr>
                  <w:t>(Baginsky, 2022)</w:t>
                </w:r>
                <w:r>
                  <w:rPr>
                    <w:rFonts w:ascii="Arial" w:hAnsi="Arial" w:cs="Arial"/>
                  </w:rPr>
                  <w:fldChar w:fldCharType="end"/>
                </w:r>
              </w:sdtContent>
            </w:sdt>
            <w:r w:rsidRPr="00C33C69">
              <w:rPr>
                <w:rFonts w:ascii="Arial" w:hAnsi="Arial" w:cs="Arial"/>
              </w:rPr>
              <w:t xml:space="preserve">. After a period of time with universal services and reports still being received of verbal and sometimes physical incidents at the home when the children were witnessing. This then led to s47 enquires and an escalation to a child protection conference in February 2024, due to the emotional harm the children were experiencing at their family home. </w:t>
            </w:r>
          </w:p>
          <w:p w14:paraId="79834501" w14:textId="77777777" w:rsidR="006D6E6A" w:rsidRPr="00C33C69" w:rsidRDefault="006D6E6A" w:rsidP="00FB57C6">
            <w:pPr>
              <w:spacing w:line="360" w:lineRule="auto"/>
              <w:jc w:val="both"/>
              <w:rPr>
                <w:rFonts w:ascii="Arial" w:hAnsi="Arial" w:cs="Arial"/>
              </w:rPr>
            </w:pPr>
          </w:p>
          <w:p w14:paraId="3BFB1E64" w14:textId="77777777" w:rsidR="006D6E6A" w:rsidRDefault="006D6E6A" w:rsidP="00FB57C6">
            <w:pPr>
              <w:spacing w:line="360" w:lineRule="auto"/>
              <w:jc w:val="both"/>
              <w:rPr>
                <w:rFonts w:ascii="Arial" w:hAnsi="Arial" w:cs="Arial"/>
                <w:lang w:eastAsia="en-GB"/>
              </w:rPr>
            </w:pPr>
            <w:r w:rsidRPr="002A3D79">
              <w:rPr>
                <w:rFonts w:ascii="Arial" w:hAnsi="Arial" w:cs="Arial"/>
                <w:lang w:eastAsia="en-GB"/>
              </w:rPr>
              <w:t xml:space="preserve">Upon receiving the referral, I conducted a preliminary assessment, gathering information from </w:t>
            </w:r>
            <w:r w:rsidRPr="00C33C69">
              <w:rPr>
                <w:rFonts w:ascii="Arial" w:hAnsi="Arial" w:cs="Arial"/>
              </w:rPr>
              <w:t>the children’s teachers</w:t>
            </w:r>
            <w:r w:rsidRPr="002A3D79">
              <w:rPr>
                <w:rFonts w:ascii="Arial" w:hAnsi="Arial" w:cs="Arial"/>
                <w:lang w:eastAsia="en-GB"/>
              </w:rPr>
              <w:t>, health professionals, and family</w:t>
            </w:r>
            <w:r w:rsidRPr="00C33C69">
              <w:rPr>
                <w:rFonts w:ascii="Arial" w:hAnsi="Arial" w:cs="Arial"/>
              </w:rPr>
              <w:t xml:space="preserve"> member</w:t>
            </w:r>
            <w:r w:rsidRPr="002A3D79">
              <w:rPr>
                <w:rFonts w:ascii="Arial" w:hAnsi="Arial" w:cs="Arial"/>
                <w:lang w:eastAsia="en-GB"/>
              </w:rPr>
              <w:t xml:space="preserve">. This step was crucial in understanding the broader context of </w:t>
            </w:r>
            <w:r w:rsidRPr="00C33C69">
              <w:rPr>
                <w:rFonts w:ascii="Arial" w:hAnsi="Arial" w:cs="Arial"/>
              </w:rPr>
              <w:t xml:space="preserve">the </w:t>
            </w:r>
            <w:r w:rsidRPr="002A3D79">
              <w:rPr>
                <w:rFonts w:ascii="Arial" w:hAnsi="Arial" w:cs="Arial"/>
                <w:lang w:eastAsia="en-GB"/>
              </w:rPr>
              <w:t xml:space="preserve">situation. A supervision with my manager and practice lead was held to determine next steps, from information already collected, so decision making could be clearer and with clear threshold of reasoning. </w:t>
            </w:r>
          </w:p>
          <w:p w14:paraId="2BC9B2E1" w14:textId="77777777" w:rsidR="006D6E6A" w:rsidRPr="002A3D79" w:rsidRDefault="006D6E6A" w:rsidP="00FB57C6">
            <w:pPr>
              <w:spacing w:line="360" w:lineRule="auto"/>
              <w:jc w:val="both"/>
              <w:rPr>
                <w:rFonts w:ascii="Arial" w:hAnsi="Arial" w:cs="Arial"/>
                <w:lang w:eastAsia="en-GB"/>
              </w:rPr>
            </w:pPr>
          </w:p>
          <w:p w14:paraId="73E01F54" w14:textId="77777777" w:rsidR="006D6E6A" w:rsidRDefault="006D6E6A" w:rsidP="00FB57C6">
            <w:pPr>
              <w:spacing w:line="360" w:lineRule="auto"/>
              <w:jc w:val="both"/>
              <w:rPr>
                <w:rFonts w:ascii="Arial" w:hAnsi="Arial" w:cs="Arial"/>
                <w:lang w:eastAsia="en-GB"/>
              </w:rPr>
            </w:pPr>
            <w:r w:rsidRPr="002A3D79">
              <w:rPr>
                <w:rFonts w:ascii="Arial" w:hAnsi="Arial" w:cs="Arial"/>
                <w:lang w:eastAsia="en-GB"/>
              </w:rPr>
              <w:t>I arranged a home visit to meet the child</w:t>
            </w:r>
            <w:r w:rsidRPr="00C33C69">
              <w:rPr>
                <w:rFonts w:ascii="Arial" w:hAnsi="Arial" w:cs="Arial"/>
              </w:rPr>
              <w:t>ren</w:t>
            </w:r>
            <w:r w:rsidRPr="002A3D79">
              <w:rPr>
                <w:rFonts w:ascii="Arial" w:hAnsi="Arial" w:cs="Arial"/>
                <w:lang w:eastAsia="en-GB"/>
              </w:rPr>
              <w:t xml:space="preserve"> and their parents. Building rapport was essential, as trust would facilitate more open communication. During the visit, I employed active listening and open-ended questioning to understand their perspectives. I approached the conversation in a non-judgemental way to promote identifying risks and needs of the family. Through my interactions, it became evident that the child’s parents were struggling with</w:t>
            </w:r>
            <w:r w:rsidRPr="00C33C69">
              <w:rPr>
                <w:rFonts w:ascii="Arial" w:hAnsi="Arial" w:cs="Arial"/>
              </w:rPr>
              <w:t xml:space="preserve"> understanding the impact of their behaviour on the children</w:t>
            </w:r>
            <w:r w:rsidRPr="002A3D79">
              <w:rPr>
                <w:rFonts w:ascii="Arial" w:hAnsi="Arial" w:cs="Arial"/>
                <w:lang w:eastAsia="en-GB"/>
              </w:rPr>
              <w:t xml:space="preserve">, which contributed to the </w:t>
            </w:r>
            <w:r w:rsidRPr="00C33C69">
              <w:rPr>
                <w:rFonts w:ascii="Arial" w:hAnsi="Arial" w:cs="Arial"/>
              </w:rPr>
              <w:t>emotional harm</w:t>
            </w:r>
            <w:r w:rsidRPr="002A3D79">
              <w:rPr>
                <w:rFonts w:ascii="Arial" w:hAnsi="Arial" w:cs="Arial"/>
                <w:lang w:eastAsia="en-GB"/>
              </w:rPr>
              <w:t xml:space="preserve">. This finding necessitated a multi-agency response to address both the </w:t>
            </w:r>
            <w:r w:rsidRPr="00C33C69">
              <w:rPr>
                <w:rFonts w:ascii="Arial" w:hAnsi="Arial" w:cs="Arial"/>
              </w:rPr>
              <w:t>children’s immediate</w:t>
            </w:r>
            <w:r w:rsidRPr="002A3D79">
              <w:rPr>
                <w:rFonts w:ascii="Arial" w:hAnsi="Arial" w:cs="Arial"/>
                <w:lang w:eastAsia="en-GB"/>
              </w:rPr>
              <w:t xml:space="preserve"> safety and the underlying issues affecting this family</w:t>
            </w:r>
            <w:sdt>
              <w:sdtPr>
                <w:rPr>
                  <w:rFonts w:ascii="Arial" w:hAnsi="Arial" w:cs="Arial"/>
                  <w:lang w:eastAsia="en-GB"/>
                </w:rPr>
                <w:id w:val="-91550314"/>
                <w:citation/>
              </w:sdtPr>
              <w:sdtContent>
                <w:r>
                  <w:rPr>
                    <w:rFonts w:ascii="Arial" w:hAnsi="Arial" w:cs="Arial"/>
                    <w:lang w:eastAsia="en-GB"/>
                  </w:rPr>
                  <w:fldChar w:fldCharType="begin"/>
                </w:r>
                <w:r>
                  <w:rPr>
                    <w:rFonts w:ascii="Arial" w:hAnsi="Arial" w:cs="Arial"/>
                    <w:lang w:eastAsia="en-GB"/>
                  </w:rPr>
                  <w:instrText xml:space="preserve"> CITATION Bri23 \l 2057 </w:instrText>
                </w:r>
                <w:r>
                  <w:rPr>
                    <w:rFonts w:ascii="Arial" w:hAnsi="Arial" w:cs="Arial"/>
                    <w:lang w:eastAsia="en-GB"/>
                  </w:rPr>
                  <w:fldChar w:fldCharType="separate"/>
                </w:r>
                <w:r>
                  <w:rPr>
                    <w:rFonts w:ascii="Arial" w:hAnsi="Arial" w:cs="Arial"/>
                    <w:noProof/>
                    <w:lang w:eastAsia="en-GB"/>
                  </w:rPr>
                  <w:t xml:space="preserve"> </w:t>
                </w:r>
                <w:r w:rsidRPr="006B6173">
                  <w:rPr>
                    <w:rFonts w:ascii="Arial" w:hAnsi="Arial" w:cs="Arial"/>
                    <w:noProof/>
                    <w:lang w:eastAsia="en-GB"/>
                  </w:rPr>
                  <w:t>((BASW), 2023)</w:t>
                </w:r>
                <w:r>
                  <w:rPr>
                    <w:rFonts w:ascii="Arial" w:hAnsi="Arial" w:cs="Arial"/>
                    <w:lang w:eastAsia="en-GB"/>
                  </w:rPr>
                  <w:fldChar w:fldCharType="end"/>
                </w:r>
              </w:sdtContent>
            </w:sdt>
            <w:r w:rsidRPr="002A3D79">
              <w:rPr>
                <w:rFonts w:ascii="Arial" w:hAnsi="Arial" w:cs="Arial"/>
                <w:lang w:eastAsia="en-GB"/>
              </w:rPr>
              <w:t>.</w:t>
            </w:r>
          </w:p>
          <w:p w14:paraId="781EBF31" w14:textId="77777777" w:rsidR="006D6E6A" w:rsidRPr="00C33C69" w:rsidRDefault="006D6E6A" w:rsidP="00FB57C6">
            <w:pPr>
              <w:spacing w:line="360" w:lineRule="auto"/>
              <w:jc w:val="both"/>
              <w:rPr>
                <w:rFonts w:ascii="Arial" w:hAnsi="Arial" w:cs="Arial"/>
              </w:rPr>
            </w:pPr>
          </w:p>
          <w:p w14:paraId="4E99A75F"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I was directed to work within a sign of safety approach when working with the family. The Signs of Safety model. The conversation regarding the high turnover of social work practitioners is supported by this model, which is a “safety-organized </w:t>
            </w:r>
            <w:r w:rsidRPr="00C33C69">
              <w:rPr>
                <w:rFonts w:ascii="Arial" w:hAnsi="Arial" w:cs="Arial"/>
              </w:rPr>
              <w:lastRenderedPageBreak/>
              <w:t>approach to child protection practice while trying to build relationships" (Sings of Safety, 2024). The key principle of signs or safety approach is having focus on the impact of the child. Although at time both parents believed they were not in the wrong and didn’t need support or to interact clearly with professionals. However, as time went on during the 6 weekly core group meetings, the impact on the children was highlighted to induce change. The collaborative working approach facilitated the sharing of concerns among professionals and parents, in accordance with the SSWBA 2014's mandate for continuous evaluations of the child protection plan.</w:t>
            </w:r>
          </w:p>
          <w:p w14:paraId="77B6C8FE" w14:textId="77777777" w:rsidR="006D6E6A" w:rsidRPr="00C33C69" w:rsidRDefault="006D6E6A" w:rsidP="00FB57C6">
            <w:pPr>
              <w:spacing w:line="360" w:lineRule="auto"/>
              <w:jc w:val="both"/>
              <w:rPr>
                <w:rFonts w:ascii="Arial" w:hAnsi="Arial" w:cs="Arial"/>
              </w:rPr>
            </w:pPr>
          </w:p>
          <w:p w14:paraId="3A499E2D"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The impact on the child is the focus of Signs of Safety, which was highlighted that parent residing together is causing significant harm (The Children Act, 1989). I made attempts to request parents to live separately although, both felt they had a right to stay at the family home. I found myself balancing human rights, significant harm and wishes and feelings of those I support. </w:t>
            </w:r>
          </w:p>
          <w:p w14:paraId="3545FF63" w14:textId="77777777" w:rsidR="006D6E6A" w:rsidRPr="00C33C69" w:rsidRDefault="006D6E6A" w:rsidP="00FB57C6">
            <w:pPr>
              <w:spacing w:line="360" w:lineRule="auto"/>
              <w:jc w:val="both"/>
              <w:rPr>
                <w:rFonts w:ascii="Arial" w:hAnsi="Arial" w:cs="Arial"/>
              </w:rPr>
            </w:pPr>
          </w:p>
          <w:p w14:paraId="5963470A" w14:textId="77777777" w:rsidR="006D6E6A" w:rsidRDefault="006D6E6A" w:rsidP="00FB57C6">
            <w:pPr>
              <w:spacing w:line="360" w:lineRule="auto"/>
              <w:jc w:val="both"/>
              <w:rPr>
                <w:rFonts w:ascii="Arial" w:hAnsi="Arial" w:cs="Arial"/>
              </w:rPr>
            </w:pPr>
            <w:r w:rsidRPr="00C33C69">
              <w:rPr>
                <w:rFonts w:ascii="Arial" w:hAnsi="Arial" w:cs="Arial"/>
              </w:rPr>
              <w:t>To balance this, I had to consider the provisions of the Human Rights Act of 1998, especially Article 8, which guarantees the right to respect for one's private and family life. As per the Wales Safeguarding Procedures (2019), it was evident at the time that the children were not in danger of "immediate harm.". As such, there was no need to initiate these processes, like calling the police or acting quickly to safeguard the children. Despite this, experts continued to be extremely concerned about what might be happening at home due to the ongoing worries.</w:t>
            </w:r>
          </w:p>
          <w:p w14:paraId="50A92ED0" w14:textId="77777777" w:rsidR="006D6E6A" w:rsidRDefault="006D6E6A" w:rsidP="00FB57C6">
            <w:pPr>
              <w:spacing w:line="360" w:lineRule="auto"/>
              <w:jc w:val="both"/>
              <w:rPr>
                <w:rFonts w:ascii="Arial" w:hAnsi="Arial" w:cs="Arial"/>
              </w:rPr>
            </w:pPr>
          </w:p>
          <w:p w14:paraId="0575B5C9" w14:textId="77777777" w:rsidR="006D6E6A" w:rsidRDefault="006D6E6A" w:rsidP="00FB57C6">
            <w:pPr>
              <w:spacing w:line="360" w:lineRule="auto"/>
              <w:jc w:val="both"/>
              <w:rPr>
                <w:rFonts w:ascii="Arial" w:hAnsi="Arial" w:cs="Arial"/>
              </w:rPr>
            </w:pPr>
            <w:r w:rsidRPr="004E399E">
              <w:rPr>
                <w:rFonts w:ascii="Arial" w:hAnsi="Arial" w:cs="Arial"/>
              </w:rPr>
              <w:t>Social work is fundamentally a value-driven profession (IFSW, 2014). However, the legal framework governing social work can sometimes be at odds with these core values, particularly when it comes to principle-based obligations (Adams, Dominelli, &amp; Payne, 2002). Legal principles are inherently objective, while values are inherently subjective (Brammer, 2020). Essential professional values, such as Human Rights and social justice, may face limitations (BASW, 2014).</w:t>
            </w:r>
          </w:p>
          <w:p w14:paraId="0FCB99CB" w14:textId="77777777" w:rsidR="006D6E6A" w:rsidRDefault="006D6E6A" w:rsidP="00FB57C6">
            <w:pPr>
              <w:spacing w:line="360" w:lineRule="auto"/>
              <w:jc w:val="both"/>
              <w:rPr>
                <w:rFonts w:ascii="Arial" w:hAnsi="Arial" w:cs="Arial"/>
              </w:rPr>
            </w:pPr>
          </w:p>
          <w:p w14:paraId="10D7B5F3" w14:textId="77777777" w:rsidR="006D6E6A" w:rsidRPr="004E399E" w:rsidRDefault="006D6E6A" w:rsidP="00FB57C6">
            <w:pPr>
              <w:spacing w:line="360" w:lineRule="auto"/>
              <w:jc w:val="both"/>
              <w:rPr>
                <w:rFonts w:ascii="Arial" w:hAnsi="Arial" w:cs="Arial"/>
              </w:rPr>
            </w:pPr>
            <w:r w:rsidRPr="004E399E">
              <w:rPr>
                <w:rFonts w:ascii="Arial" w:hAnsi="Arial" w:cs="Arial"/>
              </w:rPr>
              <w:t xml:space="preserve">It is the duty of practitioners to advocate for social justice by addressing issues of diversity, ensuring equitable service distribution, and fostering solidarity to combat </w:t>
            </w:r>
            <w:r w:rsidRPr="004E399E">
              <w:rPr>
                <w:rFonts w:ascii="Arial" w:hAnsi="Arial" w:cs="Arial"/>
              </w:rPr>
              <w:lastRenderedPageBreak/>
              <w:t>stigmatization and promote an inclusive society (BASW, 2014, 2.2). The law encompasses judgments and ideologies that practitioners may find necessary to contest (Brammer, 2020). Nevertheless, given that the law serves multiple functions, it can lead to contradictions, presenting practitioners with dilemmas regarding their responses. Nonetheless, adherence to anti-discriminatory practices can yield the most favourable outcomes (Thompson, 2018).</w:t>
            </w:r>
          </w:p>
          <w:p w14:paraId="3E6BDD68" w14:textId="77777777" w:rsidR="006D6E6A" w:rsidRPr="00C33C69" w:rsidRDefault="006D6E6A" w:rsidP="00FB57C6">
            <w:pPr>
              <w:spacing w:line="360" w:lineRule="auto"/>
              <w:jc w:val="both"/>
              <w:rPr>
                <w:rFonts w:ascii="Arial" w:hAnsi="Arial" w:cs="Arial"/>
              </w:rPr>
            </w:pPr>
          </w:p>
          <w:p w14:paraId="4B19A61D"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Following the first review child protection conference, as there was limited change due to the Living situation and that practice was knotted between legal frameworks. It was mother we sought legal advice around new living conditions where an occupation order, was served on dad to remove himself from the former martial home. Since May 2024 the family have been living separately and the impact of domestic abuse experienced by the children was less impactful. </w:t>
            </w:r>
          </w:p>
          <w:p w14:paraId="32067D61" w14:textId="77777777" w:rsidR="006D6E6A" w:rsidRPr="00C33C69" w:rsidRDefault="006D6E6A" w:rsidP="00FB57C6">
            <w:pPr>
              <w:spacing w:line="360" w:lineRule="auto"/>
              <w:jc w:val="both"/>
              <w:rPr>
                <w:rFonts w:ascii="Arial" w:hAnsi="Arial" w:cs="Arial"/>
              </w:rPr>
            </w:pPr>
          </w:p>
          <w:p w14:paraId="3E04B9B8" w14:textId="77777777" w:rsidR="006D6E6A" w:rsidRPr="00C33C69" w:rsidRDefault="006D6E6A" w:rsidP="00FB57C6">
            <w:pPr>
              <w:spacing w:line="360" w:lineRule="auto"/>
              <w:jc w:val="both"/>
              <w:rPr>
                <w:rFonts w:ascii="Arial" w:hAnsi="Arial" w:cs="Arial"/>
              </w:rPr>
            </w:pPr>
            <w:r w:rsidRPr="00C33C69">
              <w:rPr>
                <w:rFonts w:ascii="Arial" w:hAnsi="Arial" w:cs="Arial"/>
              </w:rPr>
              <w:t>I have sought regular supervision with my supervisor regarding the imitating behaviours Child 1 has been displaying in school and while in mothers care, suggest that this is the effects of the domestic abuse. On further exploring the reason and during Core Groups and information sharing with professionals, that the frustration and aggression displayed by Child 1, was mirroring his father’s beliefs and behaviours. This behaviour was not limited to peers at school, but adult family members, Aswell as professionals. These indicated that although parents were living separately with a shared care order in place for the children, the impact of the separation and emotional domestic abuse was still impacting the children (Barnardo’s 2024). Over time it became apparent that Child 1 had normalised the behaviour seen by parents at home</w:t>
            </w:r>
            <w:sdt>
              <w:sdtPr>
                <w:rPr>
                  <w:rFonts w:ascii="Arial" w:hAnsi="Arial" w:cs="Arial"/>
                </w:rPr>
                <w:id w:val="1700040465"/>
                <w:citation/>
              </w:sdtPr>
              <w:sdtContent>
                <w:r>
                  <w:rPr>
                    <w:rFonts w:ascii="Arial" w:hAnsi="Arial" w:cs="Arial"/>
                  </w:rPr>
                  <w:fldChar w:fldCharType="begin"/>
                </w:r>
                <w:r>
                  <w:rPr>
                    <w:rFonts w:ascii="Arial" w:hAnsi="Arial" w:cs="Arial"/>
                  </w:rPr>
                  <w:instrText xml:space="preserve"> CITATION Bar21 \l 2057 </w:instrText>
                </w:r>
                <w:r>
                  <w:rPr>
                    <w:rFonts w:ascii="Arial" w:hAnsi="Arial" w:cs="Arial"/>
                  </w:rPr>
                  <w:fldChar w:fldCharType="separate"/>
                </w:r>
                <w:r>
                  <w:rPr>
                    <w:rFonts w:ascii="Arial" w:hAnsi="Arial" w:cs="Arial"/>
                    <w:noProof/>
                  </w:rPr>
                  <w:t xml:space="preserve"> </w:t>
                </w:r>
                <w:r w:rsidRPr="006B6173">
                  <w:rPr>
                    <w:rFonts w:ascii="Arial" w:hAnsi="Arial" w:cs="Arial"/>
                    <w:noProof/>
                  </w:rPr>
                  <w:t>(Barnardo's, 2021)</w:t>
                </w:r>
                <w:r>
                  <w:rPr>
                    <w:rFonts w:ascii="Arial" w:hAnsi="Arial" w:cs="Arial"/>
                  </w:rPr>
                  <w:fldChar w:fldCharType="end"/>
                </w:r>
              </w:sdtContent>
            </w:sdt>
            <w:r w:rsidRPr="00C33C69">
              <w:rPr>
                <w:rFonts w:ascii="Arial" w:hAnsi="Arial" w:cs="Arial"/>
              </w:rPr>
              <w:t xml:space="preserve">. </w:t>
            </w:r>
          </w:p>
          <w:p w14:paraId="5655AC9F" w14:textId="77777777" w:rsidR="006D6E6A" w:rsidRPr="00C33C69" w:rsidRDefault="006D6E6A" w:rsidP="00FB57C6">
            <w:pPr>
              <w:spacing w:line="360" w:lineRule="auto"/>
              <w:jc w:val="both"/>
              <w:rPr>
                <w:rFonts w:ascii="Arial" w:hAnsi="Arial" w:cs="Arial"/>
              </w:rPr>
            </w:pPr>
          </w:p>
          <w:p w14:paraId="2FCC355E" w14:textId="77777777" w:rsidR="006D6E6A" w:rsidRPr="00C33C69" w:rsidRDefault="006D6E6A" w:rsidP="00FB57C6">
            <w:pPr>
              <w:spacing w:line="360" w:lineRule="auto"/>
              <w:jc w:val="both"/>
              <w:rPr>
                <w:rFonts w:ascii="Arial" w:hAnsi="Arial" w:cs="Arial"/>
              </w:rPr>
            </w:pPr>
            <w:r w:rsidRPr="00C33C69">
              <w:rPr>
                <w:rFonts w:ascii="Arial" w:hAnsi="Arial" w:cs="Arial"/>
              </w:rPr>
              <w:t>During Direct work sessions with child 1 and 2, they showed their individuality separately, however together they showed consist negative views regarding maternal family members and positive views regarding Paternal family members. After some thought, I realized how important it was</w:t>
            </w:r>
            <w:r>
              <w:rPr>
                <w:rFonts w:ascii="Arial" w:hAnsi="Arial" w:cs="Arial"/>
              </w:rPr>
              <w:t xml:space="preserve">, </w:t>
            </w:r>
            <w:r w:rsidRPr="00C33C69">
              <w:rPr>
                <w:rFonts w:ascii="Arial" w:hAnsi="Arial" w:cs="Arial"/>
              </w:rPr>
              <w:t xml:space="preserve">that the Core Group meetings continue </w:t>
            </w:r>
            <w:r>
              <w:rPr>
                <w:rFonts w:ascii="Arial" w:hAnsi="Arial" w:cs="Arial"/>
              </w:rPr>
              <w:t xml:space="preserve">on </w:t>
            </w:r>
            <w:r w:rsidRPr="00C33C69">
              <w:rPr>
                <w:rFonts w:ascii="Arial" w:hAnsi="Arial" w:cs="Arial"/>
              </w:rPr>
              <w:t>a regular basis. I am also </w:t>
            </w:r>
            <w:r>
              <w:rPr>
                <w:rFonts w:ascii="Arial" w:hAnsi="Arial" w:cs="Arial"/>
              </w:rPr>
              <w:t>grateful</w:t>
            </w:r>
            <w:r w:rsidRPr="00C33C69">
              <w:rPr>
                <w:rFonts w:ascii="Arial" w:hAnsi="Arial" w:cs="Arial"/>
              </w:rPr>
              <w:t xml:space="preserve"> I used my professional judgment to schedule these meetings every four weeks instead of every six, as this allowed the education department to provide important </w:t>
            </w:r>
            <w:r w:rsidRPr="00C33C69">
              <w:rPr>
                <w:rFonts w:ascii="Arial" w:hAnsi="Arial" w:cs="Arial"/>
              </w:rPr>
              <w:lastRenderedPageBreak/>
              <w:t xml:space="preserve">information based on their observations of the children in school. Conversations with the children highlighted that they had been exposed to patterns of negative behaviour and communication from father, where they were exposed to adult conversations and topics. </w:t>
            </w:r>
          </w:p>
          <w:p w14:paraId="48281650" w14:textId="77777777" w:rsidR="006D6E6A" w:rsidRPr="00C33C69" w:rsidRDefault="006D6E6A" w:rsidP="00FB57C6">
            <w:pPr>
              <w:spacing w:line="360" w:lineRule="auto"/>
              <w:jc w:val="both"/>
              <w:rPr>
                <w:rFonts w:ascii="Arial" w:hAnsi="Arial" w:cs="Arial"/>
              </w:rPr>
            </w:pPr>
          </w:p>
          <w:p w14:paraId="44ECD99F" w14:textId="77777777" w:rsidR="006D6E6A" w:rsidRPr="00C33C69" w:rsidRDefault="006D6E6A" w:rsidP="00FB57C6">
            <w:pPr>
              <w:spacing w:line="360" w:lineRule="auto"/>
              <w:jc w:val="both"/>
              <w:rPr>
                <w:rFonts w:ascii="Arial" w:hAnsi="Arial" w:cs="Arial"/>
              </w:rPr>
            </w:pPr>
            <w:r w:rsidRPr="00C33C69">
              <w:rPr>
                <w:rFonts w:ascii="Arial" w:hAnsi="Arial" w:cs="Arial"/>
              </w:rPr>
              <w:t>The evidence from direct work, and hypothesis from supervision explored the possibility of the children possibly being alienated from their mother.</w:t>
            </w:r>
            <w:sdt>
              <w:sdtPr>
                <w:rPr>
                  <w:rFonts w:ascii="Arial" w:hAnsi="Arial" w:cs="Arial"/>
                </w:rPr>
                <w:id w:val="2123955319"/>
                <w:citation/>
              </w:sdtPr>
              <w:sdtContent>
                <w:r>
                  <w:rPr>
                    <w:rFonts w:ascii="Arial" w:hAnsi="Arial" w:cs="Arial"/>
                  </w:rPr>
                  <w:fldChar w:fldCharType="begin"/>
                </w:r>
                <w:r>
                  <w:rPr>
                    <w:rFonts w:ascii="Arial" w:hAnsi="Arial" w:cs="Arial"/>
                  </w:rPr>
                  <w:instrText xml:space="preserve"> CITATION Ais24 \l 2057 </w:instrText>
                </w:r>
                <w:r>
                  <w:rPr>
                    <w:rFonts w:ascii="Arial" w:hAnsi="Arial" w:cs="Arial"/>
                  </w:rPr>
                  <w:fldChar w:fldCharType="separate"/>
                </w:r>
                <w:r>
                  <w:rPr>
                    <w:rFonts w:ascii="Arial" w:hAnsi="Arial" w:cs="Arial"/>
                    <w:noProof/>
                  </w:rPr>
                  <w:t xml:space="preserve"> </w:t>
                </w:r>
                <w:r w:rsidRPr="006B6173">
                  <w:rPr>
                    <w:rFonts w:ascii="Arial" w:hAnsi="Arial" w:cs="Arial"/>
                    <w:noProof/>
                  </w:rPr>
                  <w:t>(Aishwarya, 2024)</w:t>
                </w:r>
                <w:r>
                  <w:rPr>
                    <w:rFonts w:ascii="Arial" w:hAnsi="Arial" w:cs="Arial"/>
                  </w:rPr>
                  <w:fldChar w:fldCharType="end"/>
                </w:r>
              </w:sdtContent>
            </w:sdt>
            <w:r w:rsidRPr="00C33C69">
              <w:rPr>
                <w:rFonts w:ascii="Arial" w:hAnsi="Arial" w:cs="Arial"/>
              </w:rPr>
              <w:t xml:space="preserve"> This evidence showed that mother of the children was subjected to derogatory remark, communications, and behaviours that are meant to, dehumanize, ridicule, or ignore her. Together with the comparatively low presence of discernible positive attitudes and behaviours, it entails telling a child untrue tales or beliefs about the other parent and withholding positive information from them (Johnson and Sullivan (2020).</w:t>
            </w:r>
          </w:p>
          <w:p w14:paraId="4D658B71" w14:textId="77777777" w:rsidR="006D6E6A" w:rsidRPr="00C33C69" w:rsidRDefault="006D6E6A" w:rsidP="00FB57C6">
            <w:pPr>
              <w:spacing w:line="360" w:lineRule="auto"/>
              <w:jc w:val="both"/>
              <w:rPr>
                <w:rFonts w:ascii="Arial" w:hAnsi="Arial" w:cs="Arial"/>
              </w:rPr>
            </w:pPr>
          </w:p>
          <w:p w14:paraId="4BA3505B"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Following these conversations, a section 47 was initiated under the </w:t>
            </w:r>
            <w:r>
              <w:rPr>
                <w:rFonts w:ascii="Arial" w:hAnsi="Arial" w:cs="Arial"/>
              </w:rPr>
              <w:t>C</w:t>
            </w:r>
            <w:r w:rsidRPr="00C33C69">
              <w:rPr>
                <w:rFonts w:ascii="Arial" w:hAnsi="Arial" w:cs="Arial"/>
              </w:rPr>
              <w:t xml:space="preserve">hildren Act 1989, as there was evidence to suggest the children had suffered and were likely to suffer significant emotional harm (Wales safeguarding procedures, 2019). Mother had explained that there are now increasing worries as the children behaviour has turned physical with her and they are running away from her care. However, as the evidence stipulates that father had been emotionally abusing the children, Mother appeared not be </w:t>
            </w:r>
            <w:proofErr w:type="spellStart"/>
            <w:r w:rsidRPr="00C33C69">
              <w:rPr>
                <w:rFonts w:ascii="Arial" w:hAnsi="Arial" w:cs="Arial"/>
              </w:rPr>
              <w:t>to</w:t>
            </w:r>
            <w:proofErr w:type="spellEnd"/>
            <w:r w:rsidRPr="00C33C69">
              <w:rPr>
                <w:rFonts w:ascii="Arial" w:hAnsi="Arial" w:cs="Arial"/>
              </w:rPr>
              <w:t xml:space="preserve"> able to safeguard her children behaviour. As the children a reliant on both parents to ensure all their needs are met. It was decided that an assessment to clarify the children needs would be conducted to understand from the children’s perspective what’s important. </w:t>
            </w:r>
          </w:p>
          <w:p w14:paraId="534E98E3" w14:textId="77777777" w:rsidR="006D6E6A" w:rsidRPr="00C33C69" w:rsidRDefault="006D6E6A" w:rsidP="00FB57C6">
            <w:pPr>
              <w:spacing w:line="360" w:lineRule="auto"/>
              <w:jc w:val="both"/>
              <w:rPr>
                <w:rFonts w:ascii="Arial" w:hAnsi="Arial" w:cs="Arial"/>
              </w:rPr>
            </w:pPr>
          </w:p>
          <w:p w14:paraId="094C108A"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Furthermore, although mother felt that I was doing everything within my power and professional judgement, as dad has PR and there were no concerns reported with his level of care of the children that she will apply to court for a Child Arrangement Order governed by section 8 Children Act 1989. As it became apparent from the assessment of what important for the children, they wanted to see both parents equally and continue to see their friends, the social clubs and attend school to be the best that they could be. </w:t>
            </w:r>
          </w:p>
          <w:p w14:paraId="462329F7" w14:textId="77777777" w:rsidR="006D6E6A" w:rsidRPr="00C33C69" w:rsidRDefault="006D6E6A" w:rsidP="00FB57C6">
            <w:pPr>
              <w:spacing w:line="360" w:lineRule="auto"/>
              <w:jc w:val="both"/>
              <w:rPr>
                <w:rFonts w:ascii="Arial" w:hAnsi="Arial" w:cs="Arial"/>
              </w:rPr>
            </w:pPr>
          </w:p>
          <w:p w14:paraId="4E0DCC89" w14:textId="77777777" w:rsidR="006D6E6A" w:rsidRPr="00C33C69" w:rsidRDefault="006D6E6A" w:rsidP="00FB57C6">
            <w:pPr>
              <w:spacing w:line="360" w:lineRule="auto"/>
              <w:jc w:val="both"/>
              <w:rPr>
                <w:rFonts w:ascii="Arial" w:hAnsi="Arial" w:cs="Arial"/>
              </w:rPr>
            </w:pPr>
            <w:r w:rsidRPr="00C33C69">
              <w:rPr>
                <w:rFonts w:ascii="Arial" w:hAnsi="Arial" w:cs="Arial"/>
              </w:rPr>
              <w:lastRenderedPageBreak/>
              <w:t xml:space="preserve">The court ordered a S7 report from Children Act 1989, to report the welfare of the child to the court. The court had granted an extended period of 14 weeks, to develop a report due to the complexities of the case. The process usually consists of a 12- week assessment period, where appropriate sessions can be undertaken by a social worker to highlight parenting styles, whom the children should live with and all parties’ views, on the situation. (Care inspectorate Wales, 2024). This assessment would also highlight if there were any additional learning needs or cognitive assessments that need to be undertaken so everyone understand what is being asked of them. </w:t>
            </w:r>
            <w:sdt>
              <w:sdtPr>
                <w:rPr>
                  <w:rFonts w:ascii="Arial" w:hAnsi="Arial" w:cs="Arial"/>
                </w:rPr>
                <w:id w:val="-1735768780"/>
                <w:citation/>
              </w:sdtPr>
              <w:sdtContent>
                <w:r>
                  <w:rPr>
                    <w:rFonts w:ascii="Arial" w:hAnsi="Arial" w:cs="Arial"/>
                  </w:rPr>
                  <w:fldChar w:fldCharType="begin"/>
                </w:r>
                <w:r>
                  <w:rPr>
                    <w:rFonts w:ascii="Arial" w:hAnsi="Arial" w:cs="Arial"/>
                  </w:rPr>
                  <w:instrText xml:space="preserve"> CITATION Bri231 \l 2057 </w:instrText>
                </w:r>
                <w:r>
                  <w:rPr>
                    <w:rFonts w:ascii="Arial" w:hAnsi="Arial" w:cs="Arial"/>
                  </w:rPr>
                  <w:fldChar w:fldCharType="separate"/>
                </w:r>
                <w:r w:rsidRPr="00761A8F">
                  <w:rPr>
                    <w:rFonts w:ascii="Arial" w:hAnsi="Arial" w:cs="Arial"/>
                    <w:noProof/>
                  </w:rPr>
                  <w:t>((BASW), 2023)</w:t>
                </w:r>
                <w:r>
                  <w:rPr>
                    <w:rFonts w:ascii="Arial" w:hAnsi="Arial" w:cs="Arial"/>
                  </w:rPr>
                  <w:fldChar w:fldCharType="end"/>
                </w:r>
              </w:sdtContent>
            </w:sdt>
          </w:p>
          <w:p w14:paraId="026C7B84" w14:textId="77777777" w:rsidR="006D6E6A" w:rsidRPr="00C33C69" w:rsidRDefault="006D6E6A" w:rsidP="00FB57C6">
            <w:pPr>
              <w:spacing w:line="360" w:lineRule="auto"/>
              <w:jc w:val="both"/>
              <w:rPr>
                <w:rFonts w:ascii="Arial" w:hAnsi="Arial" w:cs="Arial"/>
              </w:rPr>
            </w:pPr>
          </w:p>
          <w:p w14:paraId="16CB1EF8"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On completion on the s7 report, the local authority needs to conclude their findings to assist the court in their decision making, however as I made a professional judgement around possible care arrangements of continuing 50-50 shared care. Both parents disagreed with these findings and an addendum report submitted to highlight any new information, this also allowed me to further evidence patterns of alienating behaviours. </w:t>
            </w:r>
          </w:p>
          <w:p w14:paraId="096FC36D" w14:textId="77777777" w:rsidR="006D6E6A" w:rsidRPr="00C33C69" w:rsidRDefault="006D6E6A" w:rsidP="00FB57C6">
            <w:pPr>
              <w:spacing w:line="360" w:lineRule="auto"/>
              <w:jc w:val="both"/>
              <w:rPr>
                <w:rFonts w:ascii="Arial" w:hAnsi="Arial" w:cs="Arial"/>
              </w:rPr>
            </w:pPr>
          </w:p>
          <w:p w14:paraId="1FA8E0FA" w14:textId="3FE811B8" w:rsidR="006D6E6A" w:rsidRPr="00C33C69" w:rsidRDefault="006D6E6A" w:rsidP="00FB57C6">
            <w:pPr>
              <w:spacing w:line="360" w:lineRule="auto"/>
              <w:jc w:val="both"/>
              <w:rPr>
                <w:rFonts w:ascii="Arial" w:hAnsi="Arial" w:cs="Arial"/>
              </w:rPr>
            </w:pPr>
            <w:r w:rsidRPr="00C33C69">
              <w:rPr>
                <w:rFonts w:ascii="Arial" w:hAnsi="Arial" w:cs="Arial"/>
              </w:rPr>
              <w:t xml:space="preserve">During the s7 assessment period dad was removed from the family home by an occupation order, however had not gained himself appropriate accommodation for himself and the </w:t>
            </w:r>
            <w:r w:rsidR="0076172C" w:rsidRPr="00C33C69">
              <w:rPr>
                <w:rFonts w:ascii="Arial" w:hAnsi="Arial" w:cs="Arial"/>
              </w:rPr>
              <w:t>children But</w:t>
            </w:r>
            <w:r w:rsidRPr="00C33C69">
              <w:rPr>
                <w:rFonts w:ascii="Arial" w:hAnsi="Arial" w:cs="Arial"/>
              </w:rPr>
              <w:t xml:space="preserve"> was residing in his sister house. This made visits with father difficult as family members would always be around, although I would use confidentiality and ask for them to remove themselves. Father would ask them to stay, father would try and say he felt safer with family around, as he felt that the power of professionals has made him lose himself</w:t>
            </w:r>
            <w:sdt>
              <w:sdtPr>
                <w:rPr>
                  <w:rFonts w:ascii="Arial" w:hAnsi="Arial" w:cs="Arial"/>
                </w:rPr>
                <w:id w:val="-1266610418"/>
                <w:citation/>
              </w:sdtPr>
              <w:sdtContent>
                <w:r>
                  <w:rPr>
                    <w:rFonts w:ascii="Arial" w:hAnsi="Arial" w:cs="Arial"/>
                  </w:rPr>
                  <w:fldChar w:fldCharType="begin"/>
                </w:r>
                <w:r>
                  <w:rPr>
                    <w:rFonts w:ascii="Arial" w:hAnsi="Arial" w:cs="Arial"/>
                  </w:rPr>
                  <w:instrText xml:space="preserve"> CITATION Tho20 \l 2057 </w:instrText>
                </w:r>
                <w:r>
                  <w:rPr>
                    <w:rFonts w:ascii="Arial" w:hAnsi="Arial" w:cs="Arial"/>
                  </w:rPr>
                  <w:fldChar w:fldCharType="separate"/>
                </w:r>
                <w:r>
                  <w:rPr>
                    <w:rFonts w:ascii="Arial" w:hAnsi="Arial" w:cs="Arial"/>
                    <w:noProof/>
                  </w:rPr>
                  <w:t xml:space="preserve"> </w:t>
                </w:r>
                <w:r w:rsidRPr="00761A8F">
                  <w:rPr>
                    <w:rFonts w:ascii="Arial" w:hAnsi="Arial" w:cs="Arial"/>
                    <w:noProof/>
                  </w:rPr>
                  <w:t>(Thompson, 2020)</w:t>
                </w:r>
                <w:r>
                  <w:rPr>
                    <w:rFonts w:ascii="Arial" w:hAnsi="Arial" w:cs="Arial"/>
                  </w:rPr>
                  <w:fldChar w:fldCharType="end"/>
                </w:r>
              </w:sdtContent>
            </w:sdt>
            <w:r w:rsidRPr="00C33C69">
              <w:rPr>
                <w:rFonts w:ascii="Arial" w:hAnsi="Arial" w:cs="Arial"/>
              </w:rPr>
              <w:t xml:space="preserve">. On reflection, this conversation allowed father to regain control of his support as he felt that professionals were targeting him for sharing his views and frustrations. I tried to share information with father on the impact of his views on the children although he did not want to engage with this work. This made any positive change difficult to support, especially when critically analysing information for the s7 report. </w:t>
            </w:r>
          </w:p>
          <w:p w14:paraId="2CCB8906" w14:textId="77777777" w:rsidR="006D6E6A" w:rsidRPr="00C33C69" w:rsidRDefault="006D6E6A" w:rsidP="00FB57C6">
            <w:pPr>
              <w:spacing w:line="360" w:lineRule="auto"/>
              <w:jc w:val="both"/>
              <w:rPr>
                <w:rFonts w:ascii="Arial" w:hAnsi="Arial" w:cs="Arial"/>
              </w:rPr>
            </w:pPr>
          </w:p>
          <w:p w14:paraId="1754797C"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Direct work sessions with the children throughout the s7 assessment period, highlighted that both children would show emotional responses when talking about their parents. Child 1 displayed multiple attachment styles to both parents, to begin </w:t>
            </w:r>
            <w:r w:rsidRPr="00C33C69">
              <w:rPr>
                <w:rFonts w:ascii="Arial" w:hAnsi="Arial" w:cs="Arial"/>
              </w:rPr>
              <w:lastRenderedPageBreak/>
              <w:t>with Child 1 showed signs of ambivalent attachment and became very distressed when Father would leave. Which is usually as a result of poor parental availability (Bowlby</w:t>
            </w:r>
            <w:r>
              <w:rPr>
                <w:rFonts w:ascii="Arial" w:hAnsi="Arial" w:cs="Arial"/>
              </w:rPr>
              <w:t>,1956</w:t>
            </w:r>
            <w:r w:rsidRPr="00C33C69">
              <w:rPr>
                <w:rFonts w:ascii="Arial" w:hAnsi="Arial" w:cs="Arial"/>
              </w:rPr>
              <w:t xml:space="preserve">). However, child 2 displayed behaviours associated with avoidant attachment, there was no preference between parents and a stranger, which is usually learnt from abusive parenting where children avoid seeking help. </w:t>
            </w:r>
            <w:r>
              <w:rPr>
                <w:rFonts w:ascii="Arial" w:hAnsi="Arial" w:cs="Arial"/>
              </w:rPr>
              <w:t>(Bowlby,1956).</w:t>
            </w:r>
          </w:p>
          <w:p w14:paraId="1EC53668" w14:textId="77777777" w:rsidR="006D6E6A" w:rsidRPr="00C33C69" w:rsidRDefault="006D6E6A" w:rsidP="00FB57C6">
            <w:pPr>
              <w:spacing w:line="360" w:lineRule="auto"/>
              <w:jc w:val="both"/>
              <w:rPr>
                <w:rFonts w:ascii="Arial" w:hAnsi="Arial" w:cs="Arial"/>
              </w:rPr>
            </w:pPr>
          </w:p>
          <w:p w14:paraId="0EC4FBA4" w14:textId="77777777" w:rsidR="006D6E6A" w:rsidRPr="00C33C69" w:rsidRDefault="006D6E6A" w:rsidP="00FB57C6">
            <w:pPr>
              <w:spacing w:line="360" w:lineRule="auto"/>
              <w:jc w:val="both"/>
              <w:rPr>
                <w:rFonts w:ascii="Arial" w:hAnsi="Arial" w:cs="Arial"/>
              </w:rPr>
            </w:pPr>
            <w:r w:rsidRPr="00C33C69">
              <w:rPr>
                <w:rFonts w:ascii="Arial" w:hAnsi="Arial" w:cs="Arial"/>
              </w:rPr>
              <w:t xml:space="preserve">Furthermore, as both children settled into routine of their new plan of 5 days with each parent every 2 weeks. Both children started should signs </w:t>
            </w:r>
            <w:r>
              <w:rPr>
                <w:rFonts w:ascii="Arial" w:hAnsi="Arial" w:cs="Arial"/>
              </w:rPr>
              <w:t>of dis</w:t>
            </w:r>
            <w:r w:rsidRPr="00C33C69">
              <w:rPr>
                <w:rFonts w:ascii="Arial" w:hAnsi="Arial" w:cs="Arial"/>
              </w:rPr>
              <w:t xml:space="preserve">organised attachment. At this time, the critical analysis demonstrated that the children were confused and </w:t>
            </w:r>
            <w:r>
              <w:rPr>
                <w:rFonts w:ascii="Arial" w:hAnsi="Arial" w:cs="Arial"/>
              </w:rPr>
              <w:t xml:space="preserve">fearful </w:t>
            </w:r>
            <w:r w:rsidRPr="00C33C69">
              <w:rPr>
                <w:rFonts w:ascii="Arial" w:hAnsi="Arial" w:cs="Arial"/>
              </w:rPr>
              <w:t>l</w:t>
            </w:r>
            <w:r>
              <w:rPr>
                <w:rFonts w:ascii="Arial" w:hAnsi="Arial" w:cs="Arial"/>
              </w:rPr>
              <w:t>(Bowlby,1956)</w:t>
            </w:r>
            <w:r w:rsidRPr="00C33C69">
              <w:rPr>
                <w:rFonts w:ascii="Arial" w:hAnsi="Arial" w:cs="Arial"/>
              </w:rPr>
              <w:t>. There was an increase in physical incidents in school with peers, as well at home with both parents. Research tells us that this is usually from the inconsistent parental behaviour</w:t>
            </w:r>
            <w:sdt>
              <w:sdtPr>
                <w:rPr>
                  <w:rFonts w:ascii="Arial" w:hAnsi="Arial" w:cs="Arial"/>
                </w:rPr>
                <w:id w:val="847293857"/>
                <w:citation/>
              </w:sdtPr>
              <w:sdtContent>
                <w:r>
                  <w:rPr>
                    <w:rFonts w:ascii="Arial" w:hAnsi="Arial" w:cs="Arial"/>
                  </w:rPr>
                  <w:fldChar w:fldCharType="begin"/>
                </w:r>
                <w:r>
                  <w:rPr>
                    <w:rFonts w:ascii="Arial" w:hAnsi="Arial" w:cs="Arial"/>
                  </w:rPr>
                  <w:instrText xml:space="preserve"> CITATION Bar21 \l 2057 </w:instrText>
                </w:r>
                <w:r>
                  <w:rPr>
                    <w:rFonts w:ascii="Arial" w:hAnsi="Arial" w:cs="Arial"/>
                  </w:rPr>
                  <w:fldChar w:fldCharType="separate"/>
                </w:r>
                <w:r>
                  <w:rPr>
                    <w:rFonts w:ascii="Arial" w:hAnsi="Arial" w:cs="Arial"/>
                    <w:noProof/>
                  </w:rPr>
                  <w:t xml:space="preserve"> </w:t>
                </w:r>
                <w:r w:rsidRPr="003009D5">
                  <w:rPr>
                    <w:rFonts w:ascii="Arial" w:hAnsi="Arial" w:cs="Arial"/>
                    <w:noProof/>
                  </w:rPr>
                  <w:t>(Barnardo's, 2021)</w:t>
                </w:r>
                <w:r>
                  <w:rPr>
                    <w:rFonts w:ascii="Arial" w:hAnsi="Arial" w:cs="Arial"/>
                  </w:rPr>
                  <w:fldChar w:fldCharType="end"/>
                </w:r>
              </w:sdtContent>
            </w:sdt>
            <w:r w:rsidRPr="00C33C69">
              <w:rPr>
                <w:rFonts w:ascii="Arial" w:hAnsi="Arial" w:cs="Arial"/>
              </w:rPr>
              <w:t xml:space="preserve">. </w:t>
            </w:r>
          </w:p>
          <w:p w14:paraId="35F67D79" w14:textId="77777777" w:rsidR="006D6E6A" w:rsidRPr="00C33C69" w:rsidRDefault="006D6E6A" w:rsidP="00FB57C6">
            <w:pPr>
              <w:spacing w:line="360" w:lineRule="auto"/>
              <w:jc w:val="both"/>
              <w:rPr>
                <w:rFonts w:ascii="Arial" w:hAnsi="Arial" w:cs="Arial"/>
              </w:rPr>
            </w:pPr>
          </w:p>
          <w:p w14:paraId="4C385BF4" w14:textId="77777777" w:rsidR="006D6E6A" w:rsidRPr="00C33C69" w:rsidRDefault="006D6E6A" w:rsidP="00FB57C6">
            <w:pPr>
              <w:spacing w:line="360" w:lineRule="auto"/>
              <w:jc w:val="both"/>
              <w:rPr>
                <w:rFonts w:ascii="Arial" w:hAnsi="Arial" w:cs="Arial"/>
              </w:rPr>
            </w:pPr>
            <w:r w:rsidRPr="00C33C69">
              <w:rPr>
                <w:rFonts w:ascii="Arial" w:hAnsi="Arial" w:cs="Arial"/>
              </w:rPr>
              <w:t>At the time of the children displayed disorganised attachment towards both parents, is where the alienation had lessened, father had his own residence and the children were settled in routine, however they were confused with all the information they had been told and were not sure of their own reality anymore</w:t>
            </w:r>
            <w:sdt>
              <w:sdtPr>
                <w:rPr>
                  <w:rFonts w:ascii="Arial" w:hAnsi="Arial" w:cs="Arial"/>
                </w:rPr>
                <w:id w:val="-661083391"/>
                <w:citation/>
              </w:sdtPr>
              <w:sdtContent>
                <w:r>
                  <w:rPr>
                    <w:rFonts w:ascii="Arial" w:hAnsi="Arial" w:cs="Arial"/>
                  </w:rPr>
                  <w:fldChar w:fldCharType="begin"/>
                </w:r>
                <w:r>
                  <w:rPr>
                    <w:rFonts w:ascii="Arial" w:hAnsi="Arial" w:cs="Arial"/>
                  </w:rPr>
                  <w:instrText xml:space="preserve"> CITATION Bar21 \l 2057 </w:instrText>
                </w:r>
                <w:r>
                  <w:rPr>
                    <w:rFonts w:ascii="Arial" w:hAnsi="Arial" w:cs="Arial"/>
                  </w:rPr>
                  <w:fldChar w:fldCharType="separate"/>
                </w:r>
                <w:r>
                  <w:rPr>
                    <w:rFonts w:ascii="Arial" w:hAnsi="Arial" w:cs="Arial"/>
                    <w:noProof/>
                  </w:rPr>
                  <w:t xml:space="preserve"> </w:t>
                </w:r>
                <w:r w:rsidRPr="00634019">
                  <w:rPr>
                    <w:rFonts w:ascii="Arial" w:hAnsi="Arial" w:cs="Arial"/>
                    <w:noProof/>
                  </w:rPr>
                  <w:t>(Barnardo's, 2021)</w:t>
                </w:r>
                <w:r>
                  <w:rPr>
                    <w:rFonts w:ascii="Arial" w:hAnsi="Arial" w:cs="Arial"/>
                  </w:rPr>
                  <w:fldChar w:fldCharType="end"/>
                </w:r>
              </w:sdtContent>
            </w:sdt>
            <w:r w:rsidRPr="00C33C69">
              <w:rPr>
                <w:rFonts w:ascii="Arial" w:hAnsi="Arial" w:cs="Arial"/>
              </w:rPr>
              <w:t xml:space="preserve">. During direct work it highlighted that both children loved their parents although were confused on what a safe parent is anymore. </w:t>
            </w:r>
          </w:p>
          <w:p w14:paraId="292C870B" w14:textId="77777777" w:rsidR="006D6E6A" w:rsidRPr="00C33C69" w:rsidRDefault="006D6E6A" w:rsidP="00FB57C6">
            <w:pPr>
              <w:spacing w:line="360" w:lineRule="auto"/>
              <w:jc w:val="both"/>
              <w:rPr>
                <w:rFonts w:ascii="Arial" w:hAnsi="Arial" w:cs="Arial"/>
              </w:rPr>
            </w:pPr>
          </w:p>
          <w:p w14:paraId="2C457DF3" w14:textId="77777777" w:rsidR="006D6E6A" w:rsidRPr="00C33C69" w:rsidRDefault="006D6E6A" w:rsidP="00FB57C6">
            <w:pPr>
              <w:spacing w:line="360" w:lineRule="auto"/>
              <w:jc w:val="both"/>
              <w:rPr>
                <w:rFonts w:ascii="Arial" w:hAnsi="Arial" w:cs="Arial"/>
              </w:rPr>
            </w:pPr>
            <w:r w:rsidRPr="00C33C69">
              <w:rPr>
                <w:rFonts w:ascii="Arial" w:hAnsi="Arial" w:cs="Arial"/>
              </w:rPr>
              <w:t>The assessment highlighted that both parents had significantly different parenting styles which were impacting further on the children</w:t>
            </w:r>
            <w:sdt>
              <w:sdtPr>
                <w:rPr>
                  <w:rFonts w:ascii="Arial" w:hAnsi="Arial" w:cs="Arial"/>
                </w:rPr>
                <w:id w:val="-420566018"/>
                <w:citation/>
              </w:sdtPr>
              <w:sdtContent>
                <w:r>
                  <w:rPr>
                    <w:rFonts w:ascii="Arial" w:hAnsi="Arial" w:cs="Arial"/>
                  </w:rPr>
                  <w:fldChar w:fldCharType="begin"/>
                </w:r>
                <w:r>
                  <w:rPr>
                    <w:rFonts w:ascii="Arial" w:hAnsi="Arial" w:cs="Arial"/>
                  </w:rPr>
                  <w:instrText xml:space="preserve"> CITATION Cai21 \l 2057 </w:instrText>
                </w:r>
                <w:r>
                  <w:rPr>
                    <w:rFonts w:ascii="Arial" w:hAnsi="Arial" w:cs="Arial"/>
                  </w:rPr>
                  <w:fldChar w:fldCharType="separate"/>
                </w:r>
                <w:r>
                  <w:rPr>
                    <w:rFonts w:ascii="Arial" w:hAnsi="Arial" w:cs="Arial"/>
                    <w:noProof/>
                  </w:rPr>
                  <w:t xml:space="preserve"> </w:t>
                </w:r>
                <w:r w:rsidRPr="00A5107F">
                  <w:rPr>
                    <w:rFonts w:ascii="Arial" w:hAnsi="Arial" w:cs="Arial"/>
                    <w:noProof/>
                  </w:rPr>
                  <w:t>(Caiels, 2021)</w:t>
                </w:r>
                <w:r>
                  <w:rPr>
                    <w:rFonts w:ascii="Arial" w:hAnsi="Arial" w:cs="Arial"/>
                  </w:rPr>
                  <w:fldChar w:fldCharType="end"/>
                </w:r>
              </w:sdtContent>
            </w:sdt>
            <w:r w:rsidRPr="00C33C69">
              <w:rPr>
                <w:rFonts w:ascii="Arial" w:hAnsi="Arial" w:cs="Arial"/>
              </w:rPr>
              <w:t xml:space="preserve">. I asked the children, how they would like their parents to be and developed a plan using their voices to instil change within the present parenting styles. Both parents had access to parenting support; to find common ground so the children were not confused in relation to their boundaries and routine. </w:t>
            </w:r>
          </w:p>
          <w:p w14:paraId="00FD9BAA" w14:textId="77777777" w:rsidR="006D6E6A" w:rsidRPr="00C33C69" w:rsidRDefault="006D6E6A" w:rsidP="00FB57C6">
            <w:pPr>
              <w:spacing w:line="360" w:lineRule="auto"/>
              <w:jc w:val="both"/>
              <w:rPr>
                <w:rFonts w:ascii="Arial" w:hAnsi="Arial" w:cs="Arial"/>
              </w:rPr>
            </w:pPr>
          </w:p>
          <w:p w14:paraId="1C4967B5" w14:textId="77777777" w:rsidR="006D6E6A" w:rsidRDefault="006D6E6A" w:rsidP="00FB57C6">
            <w:pPr>
              <w:spacing w:line="360" w:lineRule="auto"/>
              <w:jc w:val="both"/>
              <w:rPr>
                <w:rFonts w:ascii="Arial" w:hAnsi="Arial" w:cs="Arial"/>
              </w:rPr>
            </w:pPr>
            <w:r w:rsidRPr="00C33C69">
              <w:rPr>
                <w:rFonts w:ascii="Arial" w:hAnsi="Arial" w:cs="Arial"/>
              </w:rPr>
              <w:t xml:space="preserve">Hayes et al. (2022), attachment theory, originally formulated by John Bowlby, serves as a foundational element of Bronfenbrenner's bioecological theory and is integral to the concept of close interactions such as parenting, which are essential for the development of relationships. Hayes et al. (2022) emphasize that both theories </w:t>
            </w:r>
            <w:r w:rsidRPr="00C33C69">
              <w:rPr>
                <w:rFonts w:ascii="Arial" w:hAnsi="Arial" w:cs="Arial"/>
              </w:rPr>
              <w:lastRenderedPageBreak/>
              <w:t>highlight the vital importance of nurturing relationships with parenting in promoting positive developmental outcomes for children.</w:t>
            </w:r>
          </w:p>
          <w:p w14:paraId="471C3EE8" w14:textId="77777777" w:rsidR="006D6E6A" w:rsidRPr="00C33C69" w:rsidRDefault="006D6E6A" w:rsidP="00FB57C6">
            <w:pPr>
              <w:spacing w:line="360" w:lineRule="auto"/>
              <w:jc w:val="both"/>
              <w:rPr>
                <w:rFonts w:ascii="Arial" w:hAnsi="Arial" w:cs="Arial"/>
              </w:rPr>
            </w:pPr>
          </w:p>
          <w:p w14:paraId="21A61972" w14:textId="379D5946" w:rsidR="006D6E6A" w:rsidRPr="00A5107F" w:rsidRDefault="006D6E6A" w:rsidP="00FB57C6">
            <w:pPr>
              <w:spacing w:line="360" w:lineRule="auto"/>
              <w:jc w:val="both"/>
              <w:rPr>
                <w:rFonts w:ascii="Arial" w:hAnsi="Arial" w:cs="Arial"/>
              </w:rPr>
            </w:pPr>
            <w:r w:rsidRPr="00A5107F">
              <w:rPr>
                <w:rFonts w:ascii="Arial" w:hAnsi="Arial" w:cs="Arial"/>
              </w:rPr>
              <w:t xml:space="preserve">The internalisation of intimate interactions </w:t>
            </w:r>
            <w:r w:rsidR="0076172C" w:rsidRPr="00A5107F">
              <w:rPr>
                <w:rFonts w:ascii="Arial" w:hAnsi="Arial" w:cs="Arial"/>
              </w:rPr>
              <w:t>is</w:t>
            </w:r>
            <w:r w:rsidRPr="00A5107F">
              <w:rPr>
                <w:rFonts w:ascii="Arial" w:hAnsi="Arial" w:cs="Arial"/>
              </w:rPr>
              <w:t xml:space="preserve"> essential in shaping a child’s cognitive functioning and self-concept, integrating the principles of attachment theory to foster supportive and caring relationships.  The foundational sociocultural theory emphasizes the significance of nurturing relationships in the comprehensive development of children. Sociocultural perspectives recognize that individuals are not solely affected by external influences; rather, they are fundamentally moulded by sociocultural practices (Martin, 2014). </w:t>
            </w:r>
          </w:p>
          <w:p w14:paraId="7C2AED66" w14:textId="77777777" w:rsidR="006D6E6A" w:rsidRPr="00C33C69" w:rsidRDefault="006D6E6A" w:rsidP="00FB57C6">
            <w:pPr>
              <w:spacing w:line="360" w:lineRule="auto"/>
              <w:jc w:val="both"/>
              <w:rPr>
                <w:rFonts w:ascii="Arial" w:hAnsi="Arial" w:cs="Arial"/>
                <w:color w:val="000000"/>
                <w:shd w:val="clear" w:color="auto" w:fill="F4F5F6"/>
              </w:rPr>
            </w:pPr>
          </w:p>
          <w:p w14:paraId="15E24ABB" w14:textId="77777777" w:rsidR="006D6E6A" w:rsidRPr="00A5107F" w:rsidRDefault="006D6E6A" w:rsidP="00FB57C6">
            <w:pPr>
              <w:spacing w:line="360" w:lineRule="auto"/>
              <w:jc w:val="both"/>
              <w:rPr>
                <w:rFonts w:ascii="Arial" w:hAnsi="Arial" w:cs="Arial"/>
              </w:rPr>
            </w:pPr>
            <w:r w:rsidRPr="00A5107F">
              <w:rPr>
                <w:rFonts w:ascii="Arial" w:hAnsi="Arial" w:cs="Arial"/>
              </w:rPr>
              <w:t>The relationship between the children and the environment is effectively summarized in Vygotsky’s (1978, p. 57) genetic law of cultural development. This legislation posits that the internal and external dimensions of development are mutually dependent and undergo transformation. Each function in a child's cultural development occurs in two stages: first at the social level through interactions with others and subsequently at the individual level within the child. This principle is applicable to various cognitive processes, including voluntary attention, logical memory, and concept formation. All advanced functions emerge from actual relationships among individuals.</w:t>
            </w:r>
          </w:p>
          <w:p w14:paraId="2559B855" w14:textId="77777777" w:rsidR="006D6E6A" w:rsidRDefault="006D6E6A" w:rsidP="00FB57C6">
            <w:pPr>
              <w:spacing w:line="360" w:lineRule="auto"/>
              <w:jc w:val="both"/>
              <w:rPr>
                <w:rFonts w:ascii="Arial" w:hAnsi="Arial" w:cs="Arial"/>
                <w:color w:val="000000"/>
                <w:shd w:val="clear" w:color="auto" w:fill="F4F5F6"/>
              </w:rPr>
            </w:pPr>
          </w:p>
          <w:p w14:paraId="7E016AE5" w14:textId="77777777" w:rsidR="006D6E6A" w:rsidRPr="00245160" w:rsidRDefault="006D6E6A" w:rsidP="00FB57C6">
            <w:pPr>
              <w:spacing w:line="360" w:lineRule="auto"/>
              <w:jc w:val="both"/>
              <w:rPr>
                <w:rFonts w:ascii="Arial" w:hAnsi="Arial" w:cs="Arial"/>
                <w:color w:val="000000"/>
                <w:shd w:val="clear" w:color="auto" w:fill="F4F5F6"/>
              </w:rPr>
            </w:pPr>
            <w:r w:rsidRPr="00A5107F">
              <w:rPr>
                <w:rFonts w:ascii="Arial" w:hAnsi="Arial" w:cs="Arial"/>
              </w:rPr>
              <w:t>Both the children appear to have altered memories of past events due to stories they have been told from other people, who were not present. The children logic and understanding of situations which are quite normal to them, is limited and they appear not to understand the normal daily routine. Both children have been struggling in school with their learning and find homework difficult as this usually ends in arguments as they struggle to bond positively with their parents</w:t>
            </w:r>
            <w:r>
              <w:rPr>
                <w:rFonts w:ascii="Arial" w:hAnsi="Arial" w:cs="Arial"/>
                <w:color w:val="000000"/>
                <w:shd w:val="clear" w:color="auto" w:fill="F4F5F6"/>
              </w:rPr>
              <w:t xml:space="preserve">. </w:t>
            </w:r>
          </w:p>
          <w:p w14:paraId="176EC11D" w14:textId="77777777" w:rsidR="006D6E6A" w:rsidRPr="00C33C69" w:rsidRDefault="006D6E6A" w:rsidP="00FB57C6">
            <w:pPr>
              <w:spacing w:line="360" w:lineRule="auto"/>
              <w:jc w:val="both"/>
              <w:rPr>
                <w:rFonts w:ascii="Arial" w:hAnsi="Arial" w:cs="Arial"/>
              </w:rPr>
            </w:pPr>
          </w:p>
          <w:p w14:paraId="0EF33AFF" w14:textId="2908471A" w:rsidR="006D6E6A" w:rsidRPr="00C33C69" w:rsidRDefault="006D6E6A" w:rsidP="00FB57C6">
            <w:pPr>
              <w:spacing w:line="360" w:lineRule="auto"/>
              <w:jc w:val="both"/>
              <w:rPr>
                <w:rFonts w:ascii="Arial" w:hAnsi="Arial" w:cs="Arial"/>
              </w:rPr>
            </w:pPr>
            <w:r w:rsidRPr="00C33C69">
              <w:rPr>
                <w:rFonts w:ascii="Arial" w:hAnsi="Arial" w:cs="Arial"/>
              </w:rPr>
              <w:t xml:space="preserve">To monitor the social, cognitive, and physical development of the children, the Wellbeing of future generations (Wales) Act, empowers schools to intervene when they see signs of neglect or abuse, </w:t>
            </w:r>
            <w:r w:rsidR="0076172C" w:rsidRPr="00C33C69">
              <w:rPr>
                <w:rFonts w:ascii="Arial" w:hAnsi="Arial" w:cs="Arial"/>
              </w:rPr>
              <w:t>whereas</w:t>
            </w:r>
            <w:r w:rsidRPr="00C33C69">
              <w:rPr>
                <w:rFonts w:ascii="Arial" w:hAnsi="Arial" w:cs="Arial"/>
              </w:rPr>
              <w:t xml:space="preserve"> the SSWBA 2014. As schools are mandated to report any concerns regarding a child’s safety. safeguarding practices in schools, particularly the role of the Designated Safeguarding Person (DSP) and </w:t>
            </w:r>
            <w:r w:rsidRPr="00C33C69">
              <w:rPr>
                <w:rFonts w:ascii="Arial" w:hAnsi="Arial" w:cs="Arial"/>
              </w:rPr>
              <w:lastRenderedPageBreak/>
              <w:t>the principles of collaboration outlined in the Children and Families Act 2014 and the Working Together to Safeguard Children guidance. By having the headteacher serve as the DSP, schools can ensure that there is strong leadership and consistent communication regarding a child's welfare</w:t>
            </w:r>
            <w:sdt>
              <w:sdtPr>
                <w:rPr>
                  <w:rFonts w:ascii="Arial" w:hAnsi="Arial" w:cs="Arial"/>
                </w:rPr>
                <w:id w:val="-1006900906"/>
                <w:citation/>
              </w:sdtPr>
              <w:sdtContent>
                <w:r>
                  <w:rPr>
                    <w:rFonts w:ascii="Arial" w:hAnsi="Arial" w:cs="Arial"/>
                  </w:rPr>
                  <w:fldChar w:fldCharType="begin"/>
                </w:r>
                <w:r>
                  <w:rPr>
                    <w:rFonts w:ascii="Arial" w:hAnsi="Arial" w:cs="Arial"/>
                  </w:rPr>
                  <w:instrText xml:space="preserve"> CITATION Bri23 \l 2057 </w:instrText>
                </w:r>
                <w:r>
                  <w:rPr>
                    <w:rFonts w:ascii="Arial" w:hAnsi="Arial" w:cs="Arial"/>
                  </w:rPr>
                  <w:fldChar w:fldCharType="separate"/>
                </w:r>
                <w:r>
                  <w:rPr>
                    <w:rFonts w:ascii="Arial" w:hAnsi="Arial" w:cs="Arial"/>
                    <w:noProof/>
                  </w:rPr>
                  <w:t xml:space="preserve"> </w:t>
                </w:r>
                <w:r w:rsidRPr="00A5107F">
                  <w:rPr>
                    <w:rFonts w:ascii="Arial" w:hAnsi="Arial" w:cs="Arial"/>
                    <w:noProof/>
                  </w:rPr>
                  <w:t>((BASW), 2023)</w:t>
                </w:r>
                <w:r>
                  <w:rPr>
                    <w:rFonts w:ascii="Arial" w:hAnsi="Arial" w:cs="Arial"/>
                  </w:rPr>
                  <w:fldChar w:fldCharType="end"/>
                </w:r>
              </w:sdtContent>
            </w:sdt>
            <w:r w:rsidRPr="00C33C69">
              <w:rPr>
                <w:rFonts w:ascii="Arial" w:hAnsi="Arial" w:cs="Arial"/>
              </w:rPr>
              <w:t xml:space="preserve">. </w:t>
            </w:r>
            <w:r>
              <w:rPr>
                <w:rFonts w:ascii="Arial" w:hAnsi="Arial" w:cs="Arial"/>
              </w:rPr>
              <w:t>The headteachers p</w:t>
            </w:r>
            <w:r w:rsidRPr="00C33C69">
              <w:rPr>
                <w:rFonts w:ascii="Arial" w:hAnsi="Arial" w:cs="Arial"/>
              </w:rPr>
              <w:t>articipation in Core Group meetings allow</w:t>
            </w:r>
            <w:r>
              <w:rPr>
                <w:rFonts w:ascii="Arial" w:hAnsi="Arial" w:cs="Arial"/>
              </w:rPr>
              <w:t xml:space="preserve">ed </w:t>
            </w:r>
            <w:r w:rsidRPr="00C33C69">
              <w:rPr>
                <w:rFonts w:ascii="Arial" w:hAnsi="Arial" w:cs="Arial"/>
              </w:rPr>
              <w:t>information</w:t>
            </w:r>
            <w:r>
              <w:rPr>
                <w:rFonts w:ascii="Arial" w:hAnsi="Arial" w:cs="Arial"/>
              </w:rPr>
              <w:t xml:space="preserve"> to be shared </w:t>
            </w:r>
            <w:r w:rsidRPr="00C33C69">
              <w:rPr>
                <w:rFonts w:ascii="Arial" w:hAnsi="Arial" w:cs="Arial"/>
              </w:rPr>
              <w:t>about the child</w:t>
            </w:r>
            <w:r>
              <w:rPr>
                <w:rFonts w:ascii="Arial" w:hAnsi="Arial" w:cs="Arial"/>
              </w:rPr>
              <w:t>ren</w:t>
            </w:r>
            <w:r w:rsidRPr="00C33C69">
              <w:rPr>
                <w:rFonts w:ascii="Arial" w:hAnsi="Arial" w:cs="Arial"/>
              </w:rPr>
              <w:t>’s situation and coordinate effectively with other professionals involved in the child</w:t>
            </w:r>
            <w:r>
              <w:rPr>
                <w:rFonts w:ascii="Arial" w:hAnsi="Arial" w:cs="Arial"/>
              </w:rPr>
              <w:t xml:space="preserve">ren’s </w:t>
            </w:r>
            <w:r w:rsidRPr="00C33C69">
              <w:rPr>
                <w:rFonts w:ascii="Arial" w:hAnsi="Arial" w:cs="Arial"/>
              </w:rPr>
              <w:t>care. This proactive approach is crucial for timely interventions and support when a child's circumstances change.</w:t>
            </w:r>
          </w:p>
          <w:p w14:paraId="242B0ABA" w14:textId="77777777" w:rsidR="006D6E6A" w:rsidRPr="00C15349" w:rsidRDefault="006D6E6A" w:rsidP="00FB57C6">
            <w:pPr>
              <w:spacing w:line="360" w:lineRule="auto"/>
              <w:jc w:val="both"/>
              <w:rPr>
                <w:rFonts w:ascii="Arial" w:hAnsi="Arial" w:cs="Arial"/>
              </w:rPr>
            </w:pPr>
          </w:p>
          <w:p w14:paraId="22473CFE" w14:textId="77777777" w:rsidR="006D6E6A" w:rsidRPr="002A3D79" w:rsidRDefault="006D6E6A" w:rsidP="00FB57C6">
            <w:pPr>
              <w:spacing w:line="360" w:lineRule="auto"/>
              <w:jc w:val="both"/>
              <w:rPr>
                <w:rFonts w:ascii="Arial" w:hAnsi="Arial" w:cs="Arial"/>
                <w:lang w:eastAsia="en-GB"/>
              </w:rPr>
            </w:pPr>
            <w:r>
              <w:rPr>
                <w:rFonts w:ascii="Arial" w:hAnsi="Arial" w:cs="Arial"/>
                <w:lang w:eastAsia="en-GB"/>
              </w:rPr>
              <w:t>As both parents were contesting any outcomes within the s7 report, I was required to give evidence in court to ensure that the best interest of the children were maintained. As both parents were also contesting each other’s plan, it was extremely difficult to understand the children’s voices due to parents also sharing the same views.</w:t>
            </w:r>
            <w:sdt>
              <w:sdtPr>
                <w:rPr>
                  <w:rFonts w:ascii="Arial" w:hAnsi="Arial" w:cs="Arial"/>
                  <w:lang w:eastAsia="en-GB"/>
                </w:rPr>
                <w:id w:val="-2108724263"/>
                <w:citation/>
              </w:sdtPr>
              <w:sdtContent>
                <w:r>
                  <w:rPr>
                    <w:rFonts w:ascii="Arial" w:hAnsi="Arial" w:cs="Arial"/>
                    <w:lang w:eastAsia="en-GB"/>
                  </w:rPr>
                  <w:fldChar w:fldCharType="begin"/>
                </w:r>
                <w:r>
                  <w:rPr>
                    <w:rFonts w:ascii="Arial" w:hAnsi="Arial" w:cs="Arial"/>
                    <w:lang w:eastAsia="en-GB"/>
                  </w:rPr>
                  <w:instrText xml:space="preserve"> CITATION Ada09 \l 2057 </w:instrText>
                </w:r>
                <w:r>
                  <w:rPr>
                    <w:rFonts w:ascii="Arial" w:hAnsi="Arial" w:cs="Arial"/>
                    <w:lang w:eastAsia="en-GB"/>
                  </w:rPr>
                  <w:fldChar w:fldCharType="separate"/>
                </w:r>
                <w:r>
                  <w:rPr>
                    <w:rFonts w:ascii="Arial" w:hAnsi="Arial" w:cs="Arial"/>
                    <w:noProof/>
                    <w:lang w:eastAsia="en-GB"/>
                  </w:rPr>
                  <w:t xml:space="preserve"> </w:t>
                </w:r>
                <w:r w:rsidRPr="00A5107F">
                  <w:rPr>
                    <w:rFonts w:ascii="Arial" w:hAnsi="Arial" w:cs="Arial"/>
                    <w:noProof/>
                    <w:lang w:eastAsia="en-GB"/>
                  </w:rPr>
                  <w:t>(Adams, et al., 2009)</w:t>
                </w:r>
                <w:r>
                  <w:rPr>
                    <w:rFonts w:ascii="Arial" w:hAnsi="Arial" w:cs="Arial"/>
                    <w:lang w:eastAsia="en-GB"/>
                  </w:rPr>
                  <w:fldChar w:fldCharType="end"/>
                </w:r>
              </w:sdtContent>
            </w:sdt>
            <w:r>
              <w:rPr>
                <w:rFonts w:ascii="Arial" w:hAnsi="Arial" w:cs="Arial"/>
                <w:lang w:eastAsia="en-GB"/>
              </w:rPr>
              <w:t xml:space="preserve">. When in court I critically analysed all the information presented against the impact this may have on the children, both positively and negatively. I recognised that emotional harm and been evident over the course of the assessment process and the children attachment to mother appear more stable. However, I also had to recognise that there were no adults present for Father to discuss his frustrations with. It was difficult to evidence, although it may be the case of dad having adult conversations in front of the children rather than intentionally alienating mother from the children. However, as it had been going on for a considerable amount of time, in different settings it was agreed that intentional alienation was experienced, and the children were granted mother as a primary carer, with 1 weekly visit for father as well as every other weekend. </w:t>
            </w:r>
          </w:p>
          <w:p w14:paraId="21FB9153" w14:textId="77777777" w:rsidR="006D6E6A" w:rsidRDefault="006D6E6A" w:rsidP="00FB57C6">
            <w:pPr>
              <w:spacing w:line="360" w:lineRule="auto"/>
              <w:jc w:val="both"/>
              <w:rPr>
                <w:rFonts w:ascii="Arial" w:hAnsi="Arial" w:cs="Arial"/>
                <w:lang w:eastAsia="en-GB"/>
              </w:rPr>
            </w:pPr>
          </w:p>
          <w:p w14:paraId="4B02E7B5" w14:textId="77777777" w:rsidR="006D6E6A" w:rsidRPr="002A3D79" w:rsidRDefault="006D6E6A" w:rsidP="00FB57C6">
            <w:pPr>
              <w:spacing w:line="360" w:lineRule="auto"/>
              <w:jc w:val="both"/>
              <w:rPr>
                <w:rFonts w:ascii="Arial" w:hAnsi="Arial" w:cs="Arial"/>
                <w:lang w:eastAsia="en-GB"/>
              </w:rPr>
            </w:pPr>
            <w:r>
              <w:rPr>
                <w:rFonts w:ascii="Arial" w:hAnsi="Arial" w:cs="Arial"/>
                <w:lang w:eastAsia="en-GB"/>
              </w:rPr>
              <w:t xml:space="preserve">Although the children are safe from daily emotional harm, they remain on the child protection register to monitor the new situation and routine, this will allow professionals to but in any emotional and practice support needed for the children in a timely manner to maximise positive outcome. </w:t>
            </w:r>
          </w:p>
          <w:p w14:paraId="497FDA54" w14:textId="77777777" w:rsidR="006D6E6A" w:rsidRPr="002A3D79" w:rsidRDefault="006D6E6A" w:rsidP="00FB57C6">
            <w:pPr>
              <w:spacing w:line="360" w:lineRule="auto"/>
              <w:jc w:val="both"/>
              <w:rPr>
                <w:rFonts w:ascii="Arial" w:hAnsi="Arial" w:cs="Arial"/>
                <w:lang w:eastAsia="en-GB"/>
              </w:rPr>
            </w:pPr>
          </w:p>
          <w:p w14:paraId="48E79E9C" w14:textId="77777777" w:rsidR="006D6E6A" w:rsidRPr="002A3D79" w:rsidRDefault="006D6E6A" w:rsidP="00FB57C6">
            <w:pPr>
              <w:spacing w:line="360" w:lineRule="auto"/>
              <w:jc w:val="both"/>
              <w:rPr>
                <w:rFonts w:ascii="Arial" w:hAnsi="Arial" w:cs="Arial"/>
                <w:lang w:eastAsia="en-GB"/>
              </w:rPr>
            </w:pPr>
            <w:r w:rsidRPr="002A3D79">
              <w:rPr>
                <w:rFonts w:ascii="Arial" w:hAnsi="Arial" w:cs="Arial"/>
                <w:lang w:eastAsia="en-GB"/>
              </w:rPr>
              <w:t>This case study illustrates the intricate nature of safeguarding within the context of social work in Wales. The integration of legislative frameworks, collaborative practices, and social work theories enabled a comprehensive assessment of</w:t>
            </w:r>
            <w:r>
              <w:rPr>
                <w:rFonts w:ascii="Arial" w:hAnsi="Arial" w:cs="Arial"/>
                <w:lang w:eastAsia="en-GB"/>
              </w:rPr>
              <w:t xml:space="preserve"> the </w:t>
            </w:r>
            <w:r>
              <w:rPr>
                <w:rFonts w:ascii="Arial" w:hAnsi="Arial" w:cs="Arial"/>
                <w:lang w:eastAsia="en-GB"/>
              </w:rPr>
              <w:lastRenderedPageBreak/>
              <w:t>children’s</w:t>
            </w:r>
            <w:r w:rsidRPr="002A3D79">
              <w:rPr>
                <w:rFonts w:ascii="Arial" w:hAnsi="Arial" w:cs="Arial"/>
                <w:lang w:eastAsia="en-GB"/>
              </w:rPr>
              <w:t xml:space="preserve"> situation. While challenges were encountered, a person-centred and culturally sensitive approach facilitated positive engagement </w:t>
            </w:r>
            <w:r>
              <w:rPr>
                <w:rFonts w:ascii="Arial" w:hAnsi="Arial" w:cs="Arial"/>
                <w:lang w:eastAsia="en-GB"/>
              </w:rPr>
              <w:t xml:space="preserve">for the children. </w:t>
            </w:r>
          </w:p>
          <w:p w14:paraId="78BC9532" w14:textId="77777777" w:rsidR="006D6E6A" w:rsidRDefault="006D6E6A" w:rsidP="00FB57C6">
            <w:pPr>
              <w:spacing w:line="360" w:lineRule="auto"/>
              <w:jc w:val="both"/>
              <w:rPr>
                <w:rFonts w:ascii="Arial" w:hAnsi="Arial" w:cs="Arial"/>
                <w:lang w:eastAsia="en-GB"/>
              </w:rPr>
            </w:pPr>
            <w:r w:rsidRPr="002A3D79">
              <w:rPr>
                <w:rFonts w:ascii="Arial" w:hAnsi="Arial" w:cs="Arial"/>
                <w:lang w:eastAsia="en-GB"/>
              </w:rPr>
              <w:t xml:space="preserve">Reflecting on this experience underscores the importance of continuous learning and adaptation in safeguarding practices, particularly in addressing the complexities of each unique case while remaining committed to the principles of social work ethics and values. </w:t>
            </w:r>
          </w:p>
          <w:p w14:paraId="75B486C9" w14:textId="77777777" w:rsidR="006D6E6A" w:rsidRPr="002A3D79" w:rsidRDefault="006D6E6A" w:rsidP="00FB57C6">
            <w:pPr>
              <w:spacing w:line="360" w:lineRule="auto"/>
              <w:jc w:val="both"/>
              <w:rPr>
                <w:rFonts w:ascii="Arial" w:hAnsi="Arial" w:cs="Arial"/>
                <w:lang w:eastAsia="en-GB"/>
              </w:rPr>
            </w:pPr>
          </w:p>
          <w:p w14:paraId="29A3D551" w14:textId="77777777" w:rsidR="006D6E6A" w:rsidRPr="00A5107F" w:rsidRDefault="006D6E6A" w:rsidP="00FB57C6">
            <w:pPr>
              <w:spacing w:line="360" w:lineRule="auto"/>
              <w:jc w:val="both"/>
              <w:rPr>
                <w:rFonts w:ascii="Arial" w:hAnsi="Arial" w:cs="Arial"/>
              </w:rPr>
            </w:pPr>
            <w:r w:rsidRPr="00A5107F">
              <w:rPr>
                <w:rFonts w:ascii="Arial" w:hAnsi="Arial" w:cs="Arial"/>
              </w:rPr>
              <w:t>In conclusion, working closely with the family has provided me with learning, especially about how rapid concerns can escalate quickly and also how to accurately record evidence in a timely manner.   I’ve observed the reluctance of family members engagement with professionals due to a lack of trust and belief they are not needed, creating barriers to rapport building and meaningful support. This scenario has highlighted the importance of not only conducting significant direct interactions with the child but also examining the child's behaviours in light of relevant research, as these behaviours may reveal underlying concerns. Additionally, it emphasises the essential requirement for cooperation and collaboration with other professionals during Core Group and multi-disciplinary meetings, ensuring that information is communicated effectively to foster a unified approach in supporting both the family and the child.</w:t>
            </w:r>
          </w:p>
          <w:p w14:paraId="0D3B477D" w14:textId="77777777" w:rsidR="006D6E6A" w:rsidRDefault="006D6E6A" w:rsidP="00FB57C6">
            <w:pPr>
              <w:spacing w:line="360" w:lineRule="auto"/>
              <w:jc w:val="both"/>
              <w:rPr>
                <w:rFonts w:ascii="Arial" w:hAnsi="Arial" w:cs="Arial"/>
                <w:color w:val="000000"/>
                <w:sz w:val="27"/>
                <w:szCs w:val="27"/>
                <w:shd w:val="clear" w:color="auto" w:fill="F4F5F6"/>
              </w:rPr>
            </w:pPr>
          </w:p>
          <w:p w14:paraId="36324FB1" w14:textId="77777777" w:rsidR="006D6E6A" w:rsidRPr="002A3D79" w:rsidRDefault="006D6E6A" w:rsidP="00FB57C6">
            <w:pPr>
              <w:spacing w:line="360" w:lineRule="auto"/>
              <w:jc w:val="both"/>
              <w:rPr>
                <w:rFonts w:ascii="Arial" w:hAnsi="Arial" w:cs="Arial"/>
                <w:lang w:eastAsia="en-GB"/>
              </w:rPr>
            </w:pPr>
            <w:r>
              <w:rPr>
                <w:rFonts w:ascii="Arial" w:hAnsi="Arial" w:cs="Arial"/>
                <w:lang w:eastAsia="en-GB"/>
              </w:rPr>
              <w:t xml:space="preserve">Reflecting on future learning, I feel I would benefit from training to understand further behaviours linked to attachments and how social factors influence attachments being formed. I would also like to attend adverse childhood experience (ACE) training to understand the signs of ACES as well as the behavioural patterns that children can explicit. I hope this will allow me to further enhance my professional judgments into difficult cases of domestic abuse. Furthermore, reflecting on decision making in this case study, due to lack of engagement and open and honest communication from father, it is difficult to say if escalation was action at the right time. Although in future I will be mindful to weigh up evidence on complex cases where engagement is limited. Although I acknowledge if I continue to work Collaboratively with professionals, my professional judgements can be made collectively within core group. Although I do need to keep working on my confidence </w:t>
            </w:r>
            <w:r>
              <w:rPr>
                <w:rFonts w:ascii="Arial" w:hAnsi="Arial" w:cs="Arial"/>
                <w:lang w:eastAsia="en-GB"/>
              </w:rPr>
              <w:lastRenderedPageBreak/>
              <w:t xml:space="preserve">of professional judgements independently although I will continue to use supervision to develop further. </w:t>
            </w:r>
          </w:p>
          <w:p w14:paraId="43280581" w14:textId="77777777" w:rsidR="006D6E6A" w:rsidRPr="002A3D79" w:rsidRDefault="006D6E6A" w:rsidP="00FB57C6">
            <w:pPr>
              <w:spacing w:line="360" w:lineRule="auto"/>
              <w:jc w:val="both"/>
              <w:rPr>
                <w:rFonts w:ascii="Arial" w:hAnsi="Arial" w:cs="Arial"/>
                <w:lang w:eastAsia="en-GB"/>
              </w:rPr>
            </w:pPr>
          </w:p>
          <w:p w14:paraId="7167F549" w14:textId="77777777" w:rsidR="006D6E6A" w:rsidRPr="002A3D79" w:rsidRDefault="006D6E6A" w:rsidP="00FB57C6">
            <w:pPr>
              <w:spacing w:line="360" w:lineRule="auto"/>
              <w:jc w:val="both"/>
              <w:rPr>
                <w:rFonts w:ascii="Arial" w:hAnsi="Arial" w:cs="Arial"/>
                <w:lang w:eastAsia="en-GB"/>
              </w:rPr>
            </w:pPr>
          </w:p>
          <w:p w14:paraId="3C39E00A" w14:textId="77777777" w:rsidR="006D6E6A" w:rsidRPr="002A3D79" w:rsidRDefault="006D6E6A" w:rsidP="00FB57C6">
            <w:pPr>
              <w:spacing w:line="360" w:lineRule="auto"/>
              <w:jc w:val="both"/>
              <w:rPr>
                <w:rFonts w:ascii="Arial" w:hAnsi="Arial" w:cs="Arial"/>
                <w:lang w:eastAsia="en-GB"/>
              </w:rPr>
            </w:pPr>
          </w:p>
          <w:p w14:paraId="1354B67A" w14:textId="77777777" w:rsidR="006D6E6A" w:rsidRPr="002A3D79" w:rsidRDefault="006D6E6A" w:rsidP="00FB57C6">
            <w:pPr>
              <w:spacing w:line="360" w:lineRule="auto"/>
              <w:jc w:val="both"/>
              <w:rPr>
                <w:rFonts w:ascii="Arial" w:hAnsi="Arial" w:cs="Arial"/>
                <w:b/>
                <w:bCs/>
                <w:lang w:eastAsia="en-GB"/>
              </w:rPr>
            </w:pPr>
            <w:r w:rsidRPr="00876907">
              <w:rPr>
                <w:rFonts w:ascii="Arial" w:hAnsi="Arial" w:cs="Arial"/>
                <w:b/>
                <w:bCs/>
                <w:lang w:eastAsia="en-GB"/>
              </w:rPr>
              <w:t>Word count 3740</w:t>
            </w:r>
          </w:p>
          <w:p w14:paraId="33E92DCE" w14:textId="77777777" w:rsidR="006D6E6A" w:rsidRPr="002A3D79" w:rsidRDefault="006D6E6A" w:rsidP="00FB57C6">
            <w:pPr>
              <w:spacing w:line="360" w:lineRule="auto"/>
              <w:jc w:val="both"/>
              <w:rPr>
                <w:rFonts w:ascii="Arial" w:hAnsi="Arial" w:cs="Arial"/>
                <w:lang w:eastAsia="en-GB"/>
              </w:rPr>
            </w:pPr>
          </w:p>
        </w:tc>
      </w:tr>
    </w:tbl>
    <w:p w14:paraId="3A1B0CFA" w14:textId="77777777" w:rsidR="00D8782E" w:rsidRDefault="00D8782E"/>
    <w:sectPr w:rsidR="00D878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82385"/>
    <w:multiLevelType w:val="multilevel"/>
    <w:tmpl w:val="D8360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F797C"/>
    <w:multiLevelType w:val="multilevel"/>
    <w:tmpl w:val="B30A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30982"/>
    <w:multiLevelType w:val="multilevel"/>
    <w:tmpl w:val="CCF8C2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15:restartNumberingAfterBreak="0">
    <w:nsid w:val="182A37B9"/>
    <w:multiLevelType w:val="hybridMultilevel"/>
    <w:tmpl w:val="23CA5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95BA6"/>
    <w:multiLevelType w:val="multilevel"/>
    <w:tmpl w:val="627CC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3630DCF"/>
    <w:multiLevelType w:val="multilevel"/>
    <w:tmpl w:val="DDDCE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7042C89"/>
    <w:multiLevelType w:val="multilevel"/>
    <w:tmpl w:val="99749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0F0DC0"/>
    <w:multiLevelType w:val="multilevel"/>
    <w:tmpl w:val="5A9EB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6595783">
    <w:abstractNumId w:val="12"/>
  </w:num>
  <w:num w:numId="2" w16cid:durableId="207764612">
    <w:abstractNumId w:val="14"/>
  </w:num>
  <w:num w:numId="3" w16cid:durableId="1749576400">
    <w:abstractNumId w:val="11"/>
  </w:num>
  <w:num w:numId="4" w16cid:durableId="1820464205">
    <w:abstractNumId w:val="2"/>
  </w:num>
  <w:num w:numId="5" w16cid:durableId="1221207699">
    <w:abstractNumId w:val="0"/>
  </w:num>
  <w:num w:numId="6" w16cid:durableId="1225682157">
    <w:abstractNumId w:val="1"/>
  </w:num>
  <w:num w:numId="7" w16cid:durableId="596980475">
    <w:abstractNumId w:val="5"/>
  </w:num>
  <w:num w:numId="8" w16cid:durableId="103617911">
    <w:abstractNumId w:val="13"/>
  </w:num>
  <w:num w:numId="9" w16cid:durableId="1020622863">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36360681">
    <w:abstractNumId w:val="9"/>
  </w:num>
  <w:num w:numId="11" w16cid:durableId="2063745692">
    <w:abstractNumId w:val="4"/>
  </w:num>
  <w:num w:numId="12" w16cid:durableId="827289017">
    <w:abstractNumId w:val="7"/>
  </w:num>
  <w:num w:numId="13" w16cid:durableId="121014736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36363939">
    <w:abstractNumId w:val="6"/>
  </w:num>
  <w:num w:numId="15" w16cid:durableId="116385670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E6A"/>
    <w:rsid w:val="00015A48"/>
    <w:rsid w:val="000F5387"/>
    <w:rsid w:val="002A7787"/>
    <w:rsid w:val="004C60AE"/>
    <w:rsid w:val="005512A9"/>
    <w:rsid w:val="006D6E6A"/>
    <w:rsid w:val="0076172C"/>
    <w:rsid w:val="00B22CCC"/>
    <w:rsid w:val="00D8782E"/>
    <w:rsid w:val="00DB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F3652"/>
  <w15:chartTrackingRefBased/>
  <w15:docId w15:val="{576CB430-944E-4F65-9B56-D121ABE5D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E6A"/>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6D6E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6E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6E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6E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6E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6E6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6E6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6E6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6E6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E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6E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6E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6E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6E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6E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6E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6E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6E6A"/>
    <w:rPr>
      <w:rFonts w:eastAsiaTheme="majorEastAsia" w:cstheme="majorBidi"/>
      <w:color w:val="272727" w:themeColor="text1" w:themeTint="D8"/>
    </w:rPr>
  </w:style>
  <w:style w:type="paragraph" w:styleId="Title">
    <w:name w:val="Title"/>
    <w:basedOn w:val="Normal"/>
    <w:next w:val="Normal"/>
    <w:link w:val="TitleChar"/>
    <w:uiPriority w:val="10"/>
    <w:qFormat/>
    <w:rsid w:val="006D6E6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E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6E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6E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6E6A"/>
    <w:pPr>
      <w:spacing w:before="160"/>
      <w:jc w:val="center"/>
    </w:pPr>
    <w:rPr>
      <w:i/>
      <w:iCs/>
      <w:color w:val="404040" w:themeColor="text1" w:themeTint="BF"/>
    </w:rPr>
  </w:style>
  <w:style w:type="character" w:customStyle="1" w:styleId="QuoteChar">
    <w:name w:val="Quote Char"/>
    <w:basedOn w:val="DefaultParagraphFont"/>
    <w:link w:val="Quote"/>
    <w:uiPriority w:val="29"/>
    <w:rsid w:val="006D6E6A"/>
    <w:rPr>
      <w:i/>
      <w:iCs/>
      <w:color w:val="404040" w:themeColor="text1" w:themeTint="BF"/>
    </w:rPr>
  </w:style>
  <w:style w:type="paragraph" w:styleId="ListParagraph">
    <w:name w:val="List Paragraph"/>
    <w:basedOn w:val="Normal"/>
    <w:uiPriority w:val="34"/>
    <w:qFormat/>
    <w:rsid w:val="006D6E6A"/>
    <w:pPr>
      <w:ind w:left="720"/>
      <w:contextualSpacing/>
    </w:pPr>
  </w:style>
  <w:style w:type="character" w:styleId="IntenseEmphasis">
    <w:name w:val="Intense Emphasis"/>
    <w:basedOn w:val="DefaultParagraphFont"/>
    <w:uiPriority w:val="21"/>
    <w:qFormat/>
    <w:rsid w:val="006D6E6A"/>
    <w:rPr>
      <w:i/>
      <w:iCs/>
      <w:color w:val="0F4761" w:themeColor="accent1" w:themeShade="BF"/>
    </w:rPr>
  </w:style>
  <w:style w:type="paragraph" w:styleId="IntenseQuote">
    <w:name w:val="Intense Quote"/>
    <w:basedOn w:val="Normal"/>
    <w:next w:val="Normal"/>
    <w:link w:val="IntenseQuoteChar"/>
    <w:uiPriority w:val="30"/>
    <w:qFormat/>
    <w:rsid w:val="006D6E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6E6A"/>
    <w:rPr>
      <w:i/>
      <w:iCs/>
      <w:color w:val="0F4761" w:themeColor="accent1" w:themeShade="BF"/>
    </w:rPr>
  </w:style>
  <w:style w:type="character" w:styleId="IntenseReference">
    <w:name w:val="Intense Reference"/>
    <w:basedOn w:val="DefaultParagraphFont"/>
    <w:uiPriority w:val="32"/>
    <w:qFormat/>
    <w:rsid w:val="006D6E6A"/>
    <w:rPr>
      <w:b/>
      <w:bCs/>
      <w:smallCaps/>
      <w:color w:val="0F4761" w:themeColor="accent1" w:themeShade="BF"/>
      <w:spacing w:val="5"/>
    </w:rPr>
  </w:style>
  <w:style w:type="paragraph" w:styleId="Revision">
    <w:name w:val="Revision"/>
    <w:hidden/>
    <w:uiPriority w:val="99"/>
    <w:semiHidden/>
    <w:rsid w:val="006D6E6A"/>
    <w:pPr>
      <w:spacing w:after="0" w:line="240" w:lineRule="auto"/>
    </w:pPr>
    <w:rPr>
      <w:kern w:val="0"/>
      <w:sz w:val="24"/>
      <w:szCs w:val="24"/>
      <w14:ligatures w14:val="none"/>
    </w:rPr>
  </w:style>
  <w:style w:type="character" w:customStyle="1" w:styleId="apple-converted-space">
    <w:name w:val="apple-converted-space"/>
    <w:basedOn w:val="DefaultParagraphFont"/>
    <w:rsid w:val="006D6E6A"/>
  </w:style>
  <w:style w:type="paragraph" w:styleId="NormalWeb">
    <w:name w:val="Normal (Web)"/>
    <w:basedOn w:val="Normal"/>
    <w:uiPriority w:val="99"/>
    <w:unhideWhenUsed/>
    <w:rsid w:val="006D6E6A"/>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D6E6A"/>
    <w:pPr>
      <w:tabs>
        <w:tab w:val="center" w:pos="4513"/>
        <w:tab w:val="right" w:pos="9026"/>
      </w:tabs>
    </w:pPr>
  </w:style>
  <w:style w:type="character" w:customStyle="1" w:styleId="HeaderChar">
    <w:name w:val="Header Char"/>
    <w:basedOn w:val="DefaultParagraphFont"/>
    <w:link w:val="Header"/>
    <w:uiPriority w:val="99"/>
    <w:rsid w:val="006D6E6A"/>
    <w:rPr>
      <w:kern w:val="0"/>
      <w:sz w:val="24"/>
      <w:szCs w:val="24"/>
      <w14:ligatures w14:val="none"/>
    </w:rPr>
  </w:style>
  <w:style w:type="paragraph" w:styleId="Footer">
    <w:name w:val="footer"/>
    <w:basedOn w:val="Normal"/>
    <w:link w:val="FooterChar"/>
    <w:uiPriority w:val="99"/>
    <w:unhideWhenUsed/>
    <w:rsid w:val="006D6E6A"/>
    <w:pPr>
      <w:tabs>
        <w:tab w:val="center" w:pos="4513"/>
        <w:tab w:val="right" w:pos="9026"/>
      </w:tabs>
    </w:pPr>
  </w:style>
  <w:style w:type="character" w:customStyle="1" w:styleId="FooterChar">
    <w:name w:val="Footer Char"/>
    <w:basedOn w:val="DefaultParagraphFont"/>
    <w:link w:val="Footer"/>
    <w:uiPriority w:val="99"/>
    <w:rsid w:val="006D6E6A"/>
    <w:rPr>
      <w:kern w:val="0"/>
      <w:sz w:val="24"/>
      <w:szCs w:val="24"/>
      <w14:ligatures w14:val="none"/>
    </w:rPr>
  </w:style>
  <w:style w:type="table" w:styleId="TableGrid">
    <w:name w:val="Table Grid"/>
    <w:basedOn w:val="TableNormal"/>
    <w:rsid w:val="006D6E6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D6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Ada09</b:Tag>
    <b:SourceType>Book</b:SourceType>
    <b:Guid>{2CA4901C-FDB1-4868-B690-01A63B9C4F26}</b:Guid>
    <b:Author>
      <b:Author>
        <b:NameList>
          <b:Person>
            <b:Last>Adams</b:Last>
            <b:First>r</b:First>
          </b:Person>
          <b:Person>
            <b:Last>Dominelli</b:Last>
            <b:First>L</b:First>
          </b:Person>
          <b:Person>
            <b:Last>Payne</b:Last>
          </b:Person>
        </b:NameList>
      </b:Author>
    </b:Author>
    <b:Title>critical Practice in social work </b:Title>
    <b:Year>2009</b:Year>
    <b:City>Basingstoke</b:City>
    <b:Publisher>Palgrave </b:Publisher>
    <b:RefOrder>4</b:RefOrder>
  </b:Source>
  <b:Source>
    <b:Tag>Bag22</b:Tag>
    <b:SourceType>JournalArticle</b:SourceType>
    <b:Guid>{E319D0BE-3289-4FFF-9CD7-CF9CAD1C8508}</b:Guid>
    <b:Author>
      <b:Author>
        <b:NameList>
          <b:Person>
            <b:Last>Baginsky</b:Last>
            <b:First>M</b:First>
          </b:Person>
        </b:NameList>
      </b:Author>
    </b:Author>
    <b:Title>Parents' Views on improving relationships with social workers</b:Title>
    <b:Year>2022</b:Year>
    <b:JournalName>Journal of social work </b:JournalName>
    <b:Pages>3-18</b:Pages>
    <b:RefOrder>12</b:RefOrder>
  </b:Source>
  <b:Source>
    <b:Tag>Bri23</b:Tag>
    <b:SourceType>InternetSite</b:SourceType>
    <b:Guid>{C5FBAB13-AE70-41F4-8001-0965F980C6EA}</b:Guid>
    <b:Author>
      <b:Author>
        <b:NameList>
          <b:Person>
            <b:Last>(BASW)</b:Last>
            <b:First>British</b:First>
            <b:Middle>Association Social Work</b:Middle>
          </b:Person>
        </b:NameList>
      </b:Author>
    </b:Author>
    <b:Title> Collaboration isn’t easy, but essential in social work. </b:Title>
    <b:Year>2023</b:Year>
    <b:URL>https://basw.co.uk/articles/collaboration-isnt-easy-essential-social-work.</b:URL>
    <b:RefOrder>13</b:RefOrder>
  </b:Source>
  <b:Source>
    <b:Tag>Bar21</b:Tag>
    <b:SourceType>InternetSite</b:SourceType>
    <b:Guid>{AE759599-AAE2-47F6-B7A5-BC5CE1AABE61}</b:Guid>
    <b:Title>Children affected by domestic abuse and violence- support for parents</b:Title>
    <b:Year>2021</b:Year>
    <b:Author>
      <b:Author>
        <b:NameList>
          <b:Person>
            <b:Last>Barnardo's</b:Last>
          </b:Person>
        </b:NameList>
      </b:Author>
    </b:Author>
    <b:InternetSiteTitle>Barnardos. org.uk</b:InternetSiteTitle>
    <b:RefOrder>14</b:RefOrder>
  </b:Source>
  <b:Source>
    <b:Tag>Ais24</b:Tag>
    <b:SourceType>Report</b:SourceType>
    <b:Guid>{9004C787-434F-4164-8693-CD87716671F4}</b:Guid>
    <b:Author>
      <b:Author>
        <b:NameList>
          <b:Person>
            <b:Last>Aishwarya</b:Last>
          </b:Person>
        </b:NameList>
      </b:Author>
    </b:Author>
    <b:Title>The Importance of Open- Ended Questions: How to make the most of them</b:Title>
    <b:Year>2024</b:Year>
    <b:RefOrder>15</b:RefOrder>
  </b:Source>
  <b:Source>
    <b:Tag>Bri231</b:Tag>
    <b:SourceType>InternetSite</b:SourceType>
    <b:Guid>{784BF2B5-F6D5-4506-AE83-D00A389A549F}</b:Guid>
    <b:Author>
      <b:Author>
        <b:NameList>
          <b:Person>
            <b:Last>(BASW)</b:Last>
            <b:First>British</b:First>
            <b:Middle>Association Social Work</b:Middle>
          </b:Person>
        </b:NameList>
      </b:Author>
    </b:Author>
    <b:Title>Framework for the Assessment of Children in Need and their Families. </b:Title>
    <b:Year>2023</b:Year>
    <b:URL> https://basw.co.uk/policy-and-practice/resources/framework-assessment-children-need-and-their-families.</b:URL>
    <b:RefOrder>16</b:RefOrder>
  </b:Source>
  <b:Source>
    <b:Tag>Tho20</b:Tag>
    <b:SourceType>Book</b:SourceType>
    <b:Guid>{6E7770BF-60E4-43B4-AA98-6468E140B8E0}</b:Guid>
    <b:Author>
      <b:Author>
        <b:NameList>
          <b:Person>
            <b:Last>Thompson</b:Last>
          </b:Person>
        </b:NameList>
      </b:Author>
    </b:Author>
    <b:Title>Anti-discriminatory practice: Equality, diveristy and social justice </b:Title>
    <b:Year>2020</b:Year>
    <b:Publisher>Bloomsbury </b:Publisher>
    <b:RefOrder>17</b:RefOrder>
  </b:Source>
  <b:Source>
    <b:Tag>Cai21</b:Tag>
    <b:SourceType>JournalArticle</b:SourceType>
    <b:Guid>{A15829CB-5F57-475E-BEFA-88C8DA0BC579}</b:Guid>
    <b:Title>strengths-Based Approaches in Social Work and Social Care: Reviewing the evidence</b:Title>
    <b:Year>2021</b:Year>
    <b:URL>https://doi.org/10.31389/jltc.102</b:URL>
    <b:Author>
      <b:Author>
        <b:NameList>
          <b:Person>
            <b:Last>Caiels</b:Last>
            <b:First>J.,</b:First>
            <b:Middle>Milne, A. and Beadle-Brown, J.</b:Middle>
          </b:Person>
        </b:NameList>
      </b:Author>
    </b:Author>
    <b:JournalName>Journal of Long-Term Care, pp. 401–422.</b:JournalName>
    <b:RefOrder>7</b:RefOrder>
  </b:Source>
</b:Sources>
</file>

<file path=customXml/itemProps1.xml><?xml version="1.0" encoding="utf-8"?>
<ds:datastoreItem xmlns:ds="http://schemas.openxmlformats.org/officeDocument/2006/customXml" ds:itemID="{66ACBD87-F93D-412E-8B17-BEC768BC4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4119</Words>
  <Characters>23481</Characters>
  <Application>Microsoft Office Word</Application>
  <DocSecurity>0</DocSecurity>
  <Lines>195</Lines>
  <Paragraphs>55</Paragraphs>
  <ScaleCrop>false</ScaleCrop>
  <Company>Swansea Council</Company>
  <LinksUpToDate>false</LinksUpToDate>
  <CharactersWithSpaces>27545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Norman</dc:creator>
  <cp:keywords/>
  <dc:description/>
  <cp:lastModifiedBy>Louise Norman</cp:lastModifiedBy>
  <cp:revision>2</cp:revision>
  <dcterms:created xsi:type="dcterms:W3CDTF">2024-10-08T02:54:00Z</dcterms:created>
  <dcterms:modified xsi:type="dcterms:W3CDTF">2024-10-08T03:17:00Z</dcterms:modified>
</cp:coreProperties>
</file>