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46F84B" w14:textId="77777777" w:rsidR="002347C2" w:rsidRDefault="002347C2" w:rsidP="002347C2">
      <w:pPr>
        <w:spacing w:line="360" w:lineRule="auto"/>
        <w:jc w:val="center"/>
        <w:rPr>
          <w:rFonts w:asciiTheme="majorHAnsi" w:hAnsiTheme="majorHAnsi"/>
          <w:b/>
          <w:sz w:val="28"/>
          <w:u w:val="single"/>
        </w:rPr>
      </w:pPr>
    </w:p>
    <w:p w14:paraId="335407BD" w14:textId="77777777" w:rsidR="002347C2" w:rsidRDefault="002347C2" w:rsidP="002347C2">
      <w:pPr>
        <w:spacing w:line="360" w:lineRule="auto"/>
        <w:jc w:val="center"/>
        <w:rPr>
          <w:rFonts w:asciiTheme="majorHAnsi" w:hAnsiTheme="majorHAnsi"/>
          <w:b/>
          <w:sz w:val="28"/>
        </w:rPr>
      </w:pPr>
      <w:r w:rsidRPr="002347C2">
        <w:rPr>
          <w:rFonts w:asciiTheme="majorHAnsi" w:hAnsiTheme="majorHAnsi"/>
          <w:b/>
          <w:sz w:val="28"/>
        </w:rPr>
        <w:t>Julia Hopkins</w:t>
      </w:r>
    </w:p>
    <w:p w14:paraId="39B99D93" w14:textId="77777777" w:rsidR="002347C2" w:rsidRPr="002347C2" w:rsidRDefault="002347C2" w:rsidP="002347C2">
      <w:pPr>
        <w:spacing w:line="360" w:lineRule="auto"/>
        <w:jc w:val="center"/>
        <w:rPr>
          <w:rFonts w:asciiTheme="majorHAnsi" w:hAnsiTheme="majorHAnsi"/>
          <w:b/>
          <w:sz w:val="28"/>
        </w:rPr>
      </w:pPr>
      <w:r>
        <w:rPr>
          <w:rFonts w:asciiTheme="majorHAnsi" w:hAnsiTheme="majorHAnsi"/>
          <w:b/>
          <w:sz w:val="28"/>
        </w:rPr>
        <w:t>24/05/2019</w:t>
      </w:r>
    </w:p>
    <w:p w14:paraId="0A106DE1" w14:textId="77777777" w:rsidR="002347C2" w:rsidRDefault="002347C2" w:rsidP="002347C2">
      <w:pPr>
        <w:spacing w:line="360" w:lineRule="auto"/>
        <w:jc w:val="center"/>
        <w:rPr>
          <w:rFonts w:asciiTheme="majorHAnsi" w:hAnsiTheme="majorHAnsi"/>
          <w:b/>
          <w:sz w:val="28"/>
          <w:u w:val="single"/>
        </w:rPr>
      </w:pPr>
    </w:p>
    <w:p w14:paraId="59FB350E" w14:textId="49B0433E" w:rsidR="001A6DCA" w:rsidRDefault="00E14AFD" w:rsidP="002347C2">
      <w:pPr>
        <w:spacing w:line="360" w:lineRule="auto"/>
        <w:jc w:val="center"/>
        <w:rPr>
          <w:rFonts w:asciiTheme="majorHAnsi" w:hAnsiTheme="majorHAnsi"/>
          <w:b/>
          <w:sz w:val="28"/>
          <w:u w:val="single"/>
        </w:rPr>
      </w:pPr>
      <w:r w:rsidRPr="002347C2">
        <w:rPr>
          <w:rFonts w:asciiTheme="majorHAnsi" w:hAnsiTheme="majorHAnsi"/>
          <w:b/>
          <w:sz w:val="28"/>
          <w:u w:val="single"/>
        </w:rPr>
        <w:t>Academic Critique of current thinking in relation to the use of reflective practice in teaching and learning</w:t>
      </w:r>
    </w:p>
    <w:p w14:paraId="24FEB3A3" w14:textId="77777777" w:rsidR="001A6DCA" w:rsidRPr="00DF5C85" w:rsidRDefault="001A6DCA" w:rsidP="00B960F0">
      <w:pPr>
        <w:spacing w:line="360" w:lineRule="auto"/>
        <w:rPr>
          <w:rFonts w:asciiTheme="majorHAnsi" w:hAnsiTheme="majorHAnsi"/>
        </w:rPr>
      </w:pPr>
    </w:p>
    <w:p w14:paraId="264BE9D7" w14:textId="2F0A41D8" w:rsidR="001A6DCA" w:rsidRPr="00DF5C85" w:rsidRDefault="00A972C5" w:rsidP="00B960F0">
      <w:pPr>
        <w:spacing w:line="360" w:lineRule="auto"/>
        <w:rPr>
          <w:rFonts w:asciiTheme="majorHAnsi" w:hAnsiTheme="majorHAnsi"/>
        </w:rPr>
      </w:pPr>
      <w:r w:rsidRPr="00DF5C85">
        <w:rPr>
          <w:rFonts w:asciiTheme="majorHAnsi" w:hAnsiTheme="majorHAnsi"/>
        </w:rPr>
        <w:t>‘</w:t>
      </w:r>
      <w:r w:rsidR="00FB47C2" w:rsidRPr="00DF5C85">
        <w:rPr>
          <w:rFonts w:asciiTheme="majorHAnsi" w:hAnsiTheme="majorHAnsi"/>
        </w:rPr>
        <w:t>R</w:t>
      </w:r>
      <w:r w:rsidRPr="00DF5C85">
        <w:rPr>
          <w:rFonts w:asciiTheme="majorHAnsi" w:hAnsiTheme="majorHAnsi"/>
        </w:rPr>
        <w:t>eflective practice’</w:t>
      </w:r>
      <w:r w:rsidR="00FB47C2" w:rsidRPr="00DF5C85">
        <w:rPr>
          <w:rFonts w:asciiTheme="majorHAnsi" w:hAnsiTheme="majorHAnsi"/>
        </w:rPr>
        <w:t xml:space="preserve"> is generally</w:t>
      </w:r>
      <w:r w:rsidRPr="00DF5C85">
        <w:rPr>
          <w:rFonts w:asciiTheme="majorHAnsi" w:hAnsiTheme="majorHAnsi"/>
        </w:rPr>
        <w:t xml:space="preserve"> understood as the ‘</w:t>
      </w:r>
      <w:r w:rsidR="00FB47C2" w:rsidRPr="00DF5C85">
        <w:rPr>
          <w:rFonts w:asciiTheme="majorHAnsi" w:hAnsiTheme="majorHAnsi"/>
        </w:rPr>
        <w:t xml:space="preserve">process of learning through and from experience towards gaining new insights of </w:t>
      </w:r>
      <w:proofErr w:type="spellStart"/>
      <w:r w:rsidR="00FB47C2" w:rsidRPr="00DF5C85">
        <w:rPr>
          <w:rFonts w:asciiTheme="majorHAnsi" w:hAnsiTheme="majorHAnsi"/>
        </w:rPr>
        <w:t>self and/or</w:t>
      </w:r>
      <w:proofErr w:type="spellEnd"/>
      <w:r w:rsidR="00FB47C2" w:rsidRPr="00DF5C85">
        <w:rPr>
          <w:rFonts w:asciiTheme="majorHAnsi" w:hAnsiTheme="majorHAnsi"/>
        </w:rPr>
        <w:t xml:space="preserve"> practice</w:t>
      </w:r>
      <w:proofErr w:type="gramStart"/>
      <w:r w:rsidR="00FB47C2" w:rsidRPr="00DF5C85">
        <w:rPr>
          <w:rFonts w:asciiTheme="majorHAnsi" w:hAnsiTheme="majorHAnsi"/>
        </w:rPr>
        <w:t>’(</w:t>
      </w:r>
      <w:proofErr w:type="gramEnd"/>
      <w:r w:rsidR="00FB47C2" w:rsidRPr="00DF5C85">
        <w:rPr>
          <w:rFonts w:asciiTheme="majorHAnsi" w:hAnsiTheme="majorHAnsi"/>
        </w:rPr>
        <w:t xml:space="preserve">Finlay, 2008, 1). It usually involves an individual practitioner being self-aware and critically evaluating their responses to everyday practice situations in order to gain new understandings and so improve future practice. </w:t>
      </w:r>
      <w:r w:rsidR="00EE1228" w:rsidRPr="00DF5C85">
        <w:rPr>
          <w:rFonts w:asciiTheme="majorHAnsi" w:hAnsiTheme="majorHAnsi"/>
        </w:rPr>
        <w:t xml:space="preserve">From a teaching perspective, </w:t>
      </w:r>
      <w:proofErr w:type="spellStart"/>
      <w:proofErr w:type="gramStart"/>
      <w:r w:rsidR="00FB47C2" w:rsidRPr="00DF5C85">
        <w:rPr>
          <w:rFonts w:asciiTheme="majorHAnsi" w:hAnsiTheme="majorHAnsi"/>
        </w:rPr>
        <w:t>AdvanceHE</w:t>
      </w:r>
      <w:proofErr w:type="spellEnd"/>
      <w:r w:rsidR="00FB47C2" w:rsidRPr="00DF5C85">
        <w:rPr>
          <w:rFonts w:asciiTheme="majorHAnsi" w:hAnsiTheme="majorHAnsi"/>
        </w:rPr>
        <w:t>(</w:t>
      </w:r>
      <w:proofErr w:type="gramEnd"/>
      <w:r w:rsidR="00FB47C2" w:rsidRPr="00DF5C85">
        <w:rPr>
          <w:rFonts w:asciiTheme="majorHAnsi" w:hAnsiTheme="majorHAnsi"/>
        </w:rPr>
        <w:t>2018) describes reflective practice as a ‘process in which practitioners reflect and learn from their own teaching experience in order to develop their pedagogic skills and professional practice’.</w:t>
      </w:r>
      <w:r w:rsidR="00FB47C2" w:rsidRPr="00DF5C85">
        <w:rPr>
          <w:rFonts w:asciiTheme="majorHAnsi" w:hAnsiTheme="majorHAnsi"/>
        </w:rPr>
        <w:t xml:space="preserve"> </w:t>
      </w:r>
      <w:proofErr w:type="spellStart"/>
      <w:r w:rsidR="00EE1228" w:rsidRPr="00DF5C85">
        <w:rPr>
          <w:rFonts w:asciiTheme="majorHAnsi" w:hAnsiTheme="majorHAnsi"/>
        </w:rPr>
        <w:t>Larrivee</w:t>
      </w:r>
      <w:proofErr w:type="spellEnd"/>
      <w:r w:rsidR="00EE1228" w:rsidRPr="00DF5C85">
        <w:rPr>
          <w:rFonts w:asciiTheme="majorHAnsi" w:hAnsiTheme="majorHAnsi"/>
        </w:rPr>
        <w:t xml:space="preserve"> (2000, 293), on the other hand, takes a scaremongering approach, arguing that ‘unless teachers develop the practice of critical reflection, they stay trapped in unexamined judgements, interpretations, assumptions and </w:t>
      </w:r>
      <w:proofErr w:type="gramStart"/>
      <w:r w:rsidR="00EE1228" w:rsidRPr="00DF5C85">
        <w:rPr>
          <w:rFonts w:asciiTheme="majorHAnsi" w:hAnsiTheme="majorHAnsi"/>
        </w:rPr>
        <w:t>expectations’</w:t>
      </w:r>
      <w:proofErr w:type="gramEnd"/>
      <w:r w:rsidR="00FB47C2" w:rsidRPr="00DF5C85">
        <w:rPr>
          <w:rFonts w:asciiTheme="majorHAnsi" w:hAnsiTheme="majorHAnsi"/>
        </w:rPr>
        <w:t>. From a learner’s perspective, reflective practice involves reflecting ‘upon their own learning, performance and/or achievement’ in order to develop the capacity to ‘review, plan and take responsibility for their own learning and to understand what and how to learn</w:t>
      </w:r>
      <w:proofErr w:type="gramStart"/>
      <w:r w:rsidR="00FB47C2" w:rsidRPr="00DF5C85">
        <w:rPr>
          <w:rFonts w:asciiTheme="majorHAnsi" w:hAnsiTheme="majorHAnsi"/>
        </w:rPr>
        <w:t>’(</w:t>
      </w:r>
      <w:proofErr w:type="gramEnd"/>
      <w:r w:rsidR="00FB47C2" w:rsidRPr="00DF5C85">
        <w:rPr>
          <w:rFonts w:asciiTheme="majorHAnsi" w:hAnsiTheme="majorHAnsi"/>
        </w:rPr>
        <w:t xml:space="preserve">QAA, 2009, 4). </w:t>
      </w:r>
      <w:r w:rsidR="00EE1228" w:rsidRPr="00DF5C85">
        <w:rPr>
          <w:rFonts w:asciiTheme="majorHAnsi" w:hAnsiTheme="majorHAnsi"/>
        </w:rPr>
        <w:t>I</w:t>
      </w:r>
      <w:r w:rsidR="00FB47C2" w:rsidRPr="00DF5C85">
        <w:rPr>
          <w:rFonts w:asciiTheme="majorHAnsi" w:hAnsiTheme="majorHAnsi"/>
        </w:rPr>
        <w:t>n general</w:t>
      </w:r>
      <w:r w:rsidR="00EE1228" w:rsidRPr="00DF5C85">
        <w:rPr>
          <w:rFonts w:asciiTheme="majorHAnsi" w:hAnsiTheme="majorHAnsi"/>
        </w:rPr>
        <w:t>, reflective practice</w:t>
      </w:r>
      <w:r w:rsidR="00FB47C2" w:rsidRPr="00DF5C85">
        <w:rPr>
          <w:rFonts w:asciiTheme="majorHAnsi" w:hAnsiTheme="majorHAnsi"/>
        </w:rPr>
        <w:t xml:space="preserve"> is seen as </w:t>
      </w:r>
      <w:r w:rsidR="00FB47C2" w:rsidRPr="00DF5C85">
        <w:rPr>
          <w:rFonts w:asciiTheme="majorHAnsi" w:hAnsiTheme="majorHAnsi"/>
        </w:rPr>
        <w:t>a key contributor to the</w:t>
      </w:r>
      <w:r w:rsidR="00FB47C2" w:rsidRPr="00DF5C85">
        <w:rPr>
          <w:rFonts w:asciiTheme="majorHAnsi" w:hAnsiTheme="majorHAnsi"/>
        </w:rPr>
        <w:t xml:space="preserve"> process of life-long learning (Finlay, 2008, 1)</w:t>
      </w:r>
      <w:r w:rsidR="00FB47C2" w:rsidRPr="00DF5C85">
        <w:rPr>
          <w:rFonts w:asciiTheme="majorHAnsi" w:hAnsiTheme="majorHAnsi"/>
        </w:rPr>
        <w:t xml:space="preserve"> and </w:t>
      </w:r>
      <w:r w:rsidR="00FB47C2" w:rsidRPr="00DF5C85">
        <w:rPr>
          <w:rFonts w:asciiTheme="majorHAnsi" w:hAnsiTheme="majorHAnsi"/>
        </w:rPr>
        <w:t xml:space="preserve">is now used widely across the PCET sector, both in a </w:t>
      </w:r>
      <w:r w:rsidR="00EE1228" w:rsidRPr="00DF5C85">
        <w:rPr>
          <w:rFonts w:asciiTheme="majorHAnsi" w:hAnsiTheme="majorHAnsi"/>
        </w:rPr>
        <w:t xml:space="preserve">continuing </w:t>
      </w:r>
      <w:r w:rsidR="00FB47C2" w:rsidRPr="00DF5C85">
        <w:rPr>
          <w:rFonts w:asciiTheme="majorHAnsi" w:hAnsiTheme="majorHAnsi"/>
        </w:rPr>
        <w:t>professional development</w:t>
      </w:r>
      <w:r w:rsidR="00DF5C85" w:rsidRPr="00DF5C85">
        <w:rPr>
          <w:rFonts w:asciiTheme="majorHAnsi" w:hAnsiTheme="majorHAnsi"/>
        </w:rPr>
        <w:t xml:space="preserve"> </w:t>
      </w:r>
      <w:r w:rsidR="00EE1228" w:rsidRPr="00DF5C85">
        <w:rPr>
          <w:rFonts w:asciiTheme="majorHAnsi" w:hAnsiTheme="majorHAnsi"/>
        </w:rPr>
        <w:t>(CPD)</w:t>
      </w:r>
      <w:r w:rsidR="00FB47C2" w:rsidRPr="00DF5C85">
        <w:rPr>
          <w:rFonts w:asciiTheme="majorHAnsi" w:hAnsiTheme="majorHAnsi"/>
        </w:rPr>
        <w:t xml:space="preserve"> context for academic staff and in personal development planning</w:t>
      </w:r>
      <w:r w:rsidR="00A21834">
        <w:rPr>
          <w:rFonts w:asciiTheme="majorHAnsi" w:hAnsiTheme="majorHAnsi"/>
        </w:rPr>
        <w:t xml:space="preserve"> </w:t>
      </w:r>
      <w:r w:rsidR="00EE1228" w:rsidRPr="00DF5C85">
        <w:rPr>
          <w:rFonts w:asciiTheme="majorHAnsi" w:hAnsiTheme="majorHAnsi"/>
        </w:rPr>
        <w:t>(PDP)</w:t>
      </w:r>
      <w:r w:rsidR="00FB47C2" w:rsidRPr="00DF5C85">
        <w:rPr>
          <w:rFonts w:asciiTheme="majorHAnsi" w:hAnsiTheme="majorHAnsi"/>
        </w:rPr>
        <w:t xml:space="preserve"> for students. It is also used extensively in teacher training programmes and programmes of initial professional development for new teachers</w:t>
      </w:r>
      <w:r w:rsidR="00DF5C85" w:rsidRPr="00DF5C85">
        <w:rPr>
          <w:rFonts w:asciiTheme="majorHAnsi" w:hAnsiTheme="majorHAnsi"/>
        </w:rPr>
        <w:t xml:space="preserve"> (Kahn, 2006, 10)</w:t>
      </w:r>
      <w:r w:rsidR="00FB47C2" w:rsidRPr="00DF5C85">
        <w:rPr>
          <w:rFonts w:asciiTheme="majorHAnsi" w:hAnsiTheme="majorHAnsi"/>
        </w:rPr>
        <w:t xml:space="preserve">. In this essay I have attempted to trace and understand </w:t>
      </w:r>
      <w:r w:rsidR="00A21834">
        <w:rPr>
          <w:rFonts w:asciiTheme="majorHAnsi" w:hAnsiTheme="majorHAnsi"/>
        </w:rPr>
        <w:t xml:space="preserve">what seems like a current preoccupation in the PCET sector with reflective practice. </w:t>
      </w:r>
    </w:p>
    <w:p w14:paraId="4971D54B" w14:textId="53E886CC" w:rsidR="001A6DCA" w:rsidRPr="00DF5C85" w:rsidRDefault="00FB47C2" w:rsidP="00B960F0">
      <w:pPr>
        <w:pStyle w:val="NormalWeb"/>
        <w:spacing w:line="360" w:lineRule="auto"/>
        <w:rPr>
          <w:rFonts w:asciiTheme="majorHAnsi" w:hAnsiTheme="majorHAnsi"/>
        </w:rPr>
      </w:pPr>
      <w:r w:rsidRPr="00DF5C85">
        <w:rPr>
          <w:rFonts w:asciiTheme="majorHAnsi" w:hAnsiTheme="majorHAnsi"/>
        </w:rPr>
        <w:t>Moon (2006</w:t>
      </w:r>
      <w:r w:rsidRPr="00DF5C85">
        <w:rPr>
          <w:rFonts w:asciiTheme="majorHAnsi" w:hAnsiTheme="majorHAnsi"/>
        </w:rPr>
        <w:t>, 10</w:t>
      </w:r>
      <w:r w:rsidRPr="00DF5C85">
        <w:rPr>
          <w:rFonts w:asciiTheme="majorHAnsi" w:hAnsiTheme="majorHAnsi"/>
        </w:rPr>
        <w:t xml:space="preserve">) </w:t>
      </w:r>
      <w:r w:rsidRPr="00DF5C85">
        <w:rPr>
          <w:rFonts w:asciiTheme="majorHAnsi" w:hAnsiTheme="majorHAnsi"/>
        </w:rPr>
        <w:t xml:space="preserve">links what is now </w:t>
      </w:r>
      <w:r w:rsidRPr="00DF5C85">
        <w:rPr>
          <w:rFonts w:asciiTheme="majorHAnsi" w:hAnsiTheme="majorHAnsi"/>
        </w:rPr>
        <w:t>an almost general acknowledgement of the value of reflective activities</w:t>
      </w:r>
      <w:r w:rsidRPr="00DF5C85">
        <w:rPr>
          <w:rFonts w:asciiTheme="majorHAnsi" w:hAnsiTheme="majorHAnsi"/>
        </w:rPr>
        <w:t xml:space="preserve"> back to </w:t>
      </w:r>
      <w:r w:rsidRPr="00DF5C85">
        <w:rPr>
          <w:rFonts w:asciiTheme="majorHAnsi" w:hAnsiTheme="majorHAnsi"/>
        </w:rPr>
        <w:t>the advent of personal development planning/profiling (PDP) in the UK</w:t>
      </w:r>
      <w:r w:rsidRPr="00DF5C85">
        <w:rPr>
          <w:rFonts w:asciiTheme="majorHAnsi" w:hAnsiTheme="majorHAnsi"/>
        </w:rPr>
        <w:t xml:space="preserve">. She sees the PDP as a response to the requirement for HEIs to a put in place some form of reflective activity that relates a student’s learning experience to future planning and </w:t>
      </w:r>
      <w:r w:rsidRPr="00DF5C85">
        <w:rPr>
          <w:rFonts w:asciiTheme="majorHAnsi" w:hAnsiTheme="majorHAnsi"/>
        </w:rPr>
        <w:lastRenderedPageBreak/>
        <w:t xml:space="preserve">career development. This requirement originated in </w:t>
      </w:r>
      <w:r w:rsidR="001A6DCA" w:rsidRPr="00DF5C85">
        <w:rPr>
          <w:rFonts w:asciiTheme="majorHAnsi" w:hAnsiTheme="majorHAnsi"/>
        </w:rPr>
        <w:t xml:space="preserve">two reports published in </w:t>
      </w:r>
      <w:r w:rsidRPr="00DF5C85">
        <w:rPr>
          <w:rFonts w:asciiTheme="majorHAnsi" w:hAnsiTheme="majorHAnsi"/>
        </w:rPr>
        <w:t xml:space="preserve">1997: </w:t>
      </w:r>
      <w:r w:rsidR="001A6DCA" w:rsidRPr="00DF5C85">
        <w:rPr>
          <w:rFonts w:asciiTheme="majorHAnsi" w:hAnsiTheme="majorHAnsi"/>
        </w:rPr>
        <w:t xml:space="preserve">The </w:t>
      </w:r>
      <w:r w:rsidR="001A6DCA" w:rsidRPr="00DF5C85">
        <w:rPr>
          <w:rFonts w:asciiTheme="majorHAnsi" w:hAnsiTheme="majorHAnsi"/>
        </w:rPr>
        <w:t>Dearing Report</w:t>
      </w:r>
      <w:r w:rsidR="001A6DCA" w:rsidRPr="00DF5C85">
        <w:rPr>
          <w:rFonts w:asciiTheme="majorHAnsi" w:hAnsiTheme="majorHAnsi"/>
        </w:rPr>
        <w:t xml:space="preserve"> and </w:t>
      </w:r>
      <w:r w:rsidRPr="00DF5C85">
        <w:rPr>
          <w:rFonts w:asciiTheme="majorHAnsi" w:hAnsiTheme="majorHAnsi"/>
        </w:rPr>
        <w:t>T</w:t>
      </w:r>
      <w:r w:rsidR="001A6DCA" w:rsidRPr="00DF5C85">
        <w:rPr>
          <w:rFonts w:asciiTheme="majorHAnsi" w:hAnsiTheme="majorHAnsi"/>
        </w:rPr>
        <w:t>he Garrick Report (</w:t>
      </w:r>
      <w:r w:rsidR="001A6DCA" w:rsidRPr="00DF5C85">
        <w:rPr>
          <w:rFonts w:asciiTheme="majorHAnsi" w:hAnsiTheme="majorHAnsi"/>
        </w:rPr>
        <w:t>Snape, Pain &amp; Harkin (2007, 2)</w:t>
      </w:r>
      <w:r w:rsidR="001A6DCA" w:rsidRPr="00DF5C85">
        <w:rPr>
          <w:rFonts w:asciiTheme="majorHAnsi" w:hAnsiTheme="majorHAnsi"/>
        </w:rPr>
        <w:t>, (</w:t>
      </w:r>
      <w:r w:rsidR="00B960F0">
        <w:rPr>
          <w:rFonts w:asciiTheme="majorHAnsi" w:hAnsiTheme="majorHAnsi"/>
        </w:rPr>
        <w:t>Kahn, 2006</w:t>
      </w:r>
      <w:r w:rsidR="001A6DCA" w:rsidRPr="00DF5C85">
        <w:rPr>
          <w:rFonts w:asciiTheme="majorHAnsi" w:hAnsiTheme="majorHAnsi"/>
        </w:rPr>
        <w:t>)</w:t>
      </w:r>
      <w:r w:rsidRPr="00DF5C85">
        <w:rPr>
          <w:rFonts w:asciiTheme="majorHAnsi" w:hAnsiTheme="majorHAnsi"/>
        </w:rPr>
        <w:t xml:space="preserve">. </w:t>
      </w:r>
      <w:r w:rsidR="00A972C5" w:rsidRPr="00DF5C85">
        <w:rPr>
          <w:rFonts w:asciiTheme="majorHAnsi" w:hAnsiTheme="majorHAnsi"/>
        </w:rPr>
        <w:t>The information age was well underway by the late nineties and there was a realisation</w:t>
      </w:r>
      <w:r w:rsidRPr="00DF5C85">
        <w:rPr>
          <w:rFonts w:asciiTheme="majorHAnsi" w:hAnsiTheme="majorHAnsi"/>
        </w:rPr>
        <w:t xml:space="preserve"> that</w:t>
      </w:r>
      <w:r w:rsidR="00A972C5" w:rsidRPr="00DF5C85">
        <w:rPr>
          <w:rFonts w:asciiTheme="majorHAnsi" w:hAnsiTheme="majorHAnsi"/>
        </w:rPr>
        <w:t xml:space="preserve"> </w:t>
      </w:r>
      <w:r w:rsidR="00A972C5" w:rsidRPr="00DF5C85">
        <w:rPr>
          <w:rFonts w:asciiTheme="majorHAnsi" w:hAnsiTheme="majorHAnsi"/>
          <w:i/>
        </w:rPr>
        <w:t xml:space="preserve">knowledge </w:t>
      </w:r>
      <w:r w:rsidR="00A972C5" w:rsidRPr="00DF5C85">
        <w:rPr>
          <w:rFonts w:asciiTheme="majorHAnsi" w:hAnsiTheme="majorHAnsi"/>
        </w:rPr>
        <w:t xml:space="preserve">would rapidly become outdated. People would have to </w:t>
      </w:r>
      <w:r w:rsidR="00A972C5" w:rsidRPr="00A21834">
        <w:rPr>
          <w:rFonts w:asciiTheme="majorHAnsi" w:hAnsiTheme="majorHAnsi"/>
          <w:i/>
        </w:rPr>
        <w:t>learn how to learn</w:t>
      </w:r>
      <w:r w:rsidR="00A972C5" w:rsidRPr="00DF5C85">
        <w:rPr>
          <w:rFonts w:asciiTheme="majorHAnsi" w:hAnsiTheme="majorHAnsi"/>
        </w:rPr>
        <w:t xml:space="preserve"> (Scales, 2012, 2). </w:t>
      </w:r>
      <w:r w:rsidR="001A6DCA" w:rsidRPr="00DF5C85">
        <w:rPr>
          <w:rFonts w:asciiTheme="majorHAnsi" w:hAnsiTheme="majorHAnsi"/>
        </w:rPr>
        <w:t xml:space="preserve">Both reports recommended the introduction of ‘Student Progress Files’, which in the UK </w:t>
      </w:r>
      <w:r w:rsidR="00A21834">
        <w:rPr>
          <w:rFonts w:asciiTheme="majorHAnsi" w:hAnsiTheme="majorHAnsi"/>
        </w:rPr>
        <w:t xml:space="preserve">became what is now called </w:t>
      </w:r>
      <w:r w:rsidR="001A6DCA" w:rsidRPr="00DF5C85">
        <w:rPr>
          <w:rFonts w:asciiTheme="majorHAnsi" w:hAnsiTheme="majorHAnsi"/>
        </w:rPr>
        <w:t xml:space="preserve">PDP. </w:t>
      </w:r>
      <w:r w:rsidRPr="00DF5C85">
        <w:rPr>
          <w:rFonts w:asciiTheme="majorHAnsi" w:hAnsiTheme="majorHAnsi"/>
        </w:rPr>
        <w:t>QAA</w:t>
      </w:r>
      <w:r w:rsidRPr="00DF5C85">
        <w:rPr>
          <w:rFonts w:asciiTheme="majorHAnsi" w:hAnsiTheme="majorHAnsi"/>
        </w:rPr>
        <w:t xml:space="preserve"> (</w:t>
      </w:r>
      <w:r w:rsidRPr="00DF5C85">
        <w:rPr>
          <w:rFonts w:asciiTheme="majorHAnsi" w:hAnsiTheme="majorHAnsi"/>
        </w:rPr>
        <w:t>2009, 5</w:t>
      </w:r>
      <w:r w:rsidRPr="00DF5C85">
        <w:rPr>
          <w:rFonts w:asciiTheme="majorHAnsi" w:hAnsiTheme="majorHAnsi"/>
        </w:rPr>
        <w:t xml:space="preserve">) </w:t>
      </w:r>
      <w:r w:rsidR="001A6DCA" w:rsidRPr="00DF5C85">
        <w:rPr>
          <w:rFonts w:asciiTheme="majorHAnsi" w:hAnsiTheme="majorHAnsi"/>
        </w:rPr>
        <w:t>define</w:t>
      </w:r>
      <w:r w:rsidRPr="00DF5C85">
        <w:rPr>
          <w:rFonts w:asciiTheme="majorHAnsi" w:hAnsiTheme="majorHAnsi"/>
        </w:rPr>
        <w:t>s</w:t>
      </w:r>
      <w:r w:rsidR="001A6DCA" w:rsidRPr="00DF5C85">
        <w:rPr>
          <w:rFonts w:asciiTheme="majorHAnsi" w:hAnsiTheme="majorHAnsi"/>
        </w:rPr>
        <w:t xml:space="preserve"> </w:t>
      </w:r>
      <w:r w:rsidRPr="00DF5C85">
        <w:rPr>
          <w:rFonts w:asciiTheme="majorHAnsi" w:hAnsiTheme="majorHAnsi"/>
        </w:rPr>
        <w:t xml:space="preserve">PDP </w:t>
      </w:r>
      <w:r w:rsidR="001A6DCA" w:rsidRPr="00DF5C85">
        <w:rPr>
          <w:rFonts w:asciiTheme="majorHAnsi" w:hAnsiTheme="majorHAnsi"/>
        </w:rPr>
        <w:t xml:space="preserve">as ‘a structured and supported process undertaken by an individual to reflect upon their own learning, performance and/or achievement and to plan for their personal, educational and career development’. </w:t>
      </w:r>
      <w:r w:rsidR="00EE1228" w:rsidRPr="00DF5C85">
        <w:rPr>
          <w:rFonts w:asciiTheme="majorHAnsi" w:hAnsiTheme="majorHAnsi"/>
        </w:rPr>
        <w:t>O</w:t>
      </w:r>
      <w:r w:rsidRPr="00DF5C85">
        <w:rPr>
          <w:rFonts w:asciiTheme="majorHAnsi" w:hAnsiTheme="majorHAnsi"/>
        </w:rPr>
        <w:t xml:space="preserve">f </w:t>
      </w:r>
      <w:r w:rsidR="00EE1228" w:rsidRPr="00DF5C85">
        <w:rPr>
          <w:rFonts w:asciiTheme="majorHAnsi" w:hAnsiTheme="majorHAnsi"/>
        </w:rPr>
        <w:t xml:space="preserve">key </w:t>
      </w:r>
      <w:r w:rsidRPr="00DF5C85">
        <w:rPr>
          <w:rFonts w:asciiTheme="majorHAnsi" w:hAnsiTheme="majorHAnsi"/>
        </w:rPr>
        <w:t>importance is the fact that PDP plays an important role in making the outcomes or results of learning more explicit</w:t>
      </w:r>
      <w:r w:rsidR="00A21834">
        <w:rPr>
          <w:rFonts w:asciiTheme="majorHAnsi" w:hAnsiTheme="majorHAnsi"/>
        </w:rPr>
        <w:t xml:space="preserve"> to the learner</w:t>
      </w:r>
      <w:r w:rsidRPr="00DF5C85">
        <w:rPr>
          <w:rFonts w:asciiTheme="majorHAnsi" w:hAnsiTheme="majorHAnsi"/>
        </w:rPr>
        <w:t xml:space="preserve">. It involves the setting of personal learning goals, an awareness of the process which enables those goals to be achieved and an awareness of the learning that has taken place. According to QAA (2009, 4) when learners understand what is expected of them </w:t>
      </w:r>
      <w:r w:rsidR="00A21834">
        <w:rPr>
          <w:rFonts w:asciiTheme="majorHAnsi" w:hAnsiTheme="majorHAnsi"/>
        </w:rPr>
        <w:t xml:space="preserve">and have articulated their own hopes and expectations, </w:t>
      </w:r>
      <w:r w:rsidRPr="00DF5C85">
        <w:rPr>
          <w:rFonts w:asciiTheme="majorHAnsi" w:hAnsiTheme="majorHAnsi"/>
        </w:rPr>
        <w:t xml:space="preserve">the quality of learning improves. </w:t>
      </w:r>
      <w:r w:rsidR="00EE1228" w:rsidRPr="00DF5C85">
        <w:rPr>
          <w:rFonts w:asciiTheme="majorHAnsi" w:hAnsiTheme="majorHAnsi"/>
        </w:rPr>
        <w:t xml:space="preserve">The </w:t>
      </w:r>
      <w:r w:rsidRPr="00DF5C85">
        <w:rPr>
          <w:rFonts w:asciiTheme="majorHAnsi" w:hAnsiTheme="majorHAnsi"/>
        </w:rPr>
        <w:t xml:space="preserve">PDP </w:t>
      </w:r>
      <w:r w:rsidR="00EE1228" w:rsidRPr="00DF5C85">
        <w:rPr>
          <w:rFonts w:asciiTheme="majorHAnsi" w:hAnsiTheme="majorHAnsi"/>
        </w:rPr>
        <w:t xml:space="preserve">process undertaken by learners </w:t>
      </w:r>
      <w:r w:rsidRPr="00DF5C85">
        <w:rPr>
          <w:rFonts w:asciiTheme="majorHAnsi" w:hAnsiTheme="majorHAnsi"/>
        </w:rPr>
        <w:t xml:space="preserve">is also helpful </w:t>
      </w:r>
      <w:r w:rsidR="00EE1228" w:rsidRPr="00DF5C85">
        <w:rPr>
          <w:rFonts w:asciiTheme="majorHAnsi" w:hAnsiTheme="majorHAnsi"/>
        </w:rPr>
        <w:t xml:space="preserve">for their </w:t>
      </w:r>
      <w:r w:rsidRPr="00DF5C85">
        <w:rPr>
          <w:rFonts w:asciiTheme="majorHAnsi" w:hAnsiTheme="majorHAnsi"/>
        </w:rPr>
        <w:t xml:space="preserve">teachers, for example it can improve a teacher’s understanding of the development of individual learners whilst providing a framework for discussion about their progress. </w:t>
      </w:r>
      <w:r w:rsidR="00EE1228" w:rsidRPr="00DF5C85">
        <w:rPr>
          <w:rFonts w:asciiTheme="majorHAnsi" w:hAnsiTheme="majorHAnsi"/>
        </w:rPr>
        <w:t>O</w:t>
      </w:r>
      <w:r w:rsidRPr="00DF5C85">
        <w:rPr>
          <w:rFonts w:asciiTheme="majorHAnsi" w:hAnsiTheme="majorHAnsi"/>
        </w:rPr>
        <w:t xml:space="preserve">n a more corporate level, HEIs are able to use PDPs to better measure and evidence the learning of their students as well as their progress towards </w:t>
      </w:r>
      <w:r w:rsidR="00EE1228" w:rsidRPr="00DF5C85">
        <w:rPr>
          <w:rFonts w:asciiTheme="majorHAnsi" w:hAnsiTheme="majorHAnsi"/>
        </w:rPr>
        <w:t xml:space="preserve">graduate </w:t>
      </w:r>
      <w:r w:rsidRPr="00DF5C85">
        <w:rPr>
          <w:rFonts w:asciiTheme="majorHAnsi" w:hAnsiTheme="majorHAnsi"/>
        </w:rPr>
        <w:t>employability which is currently a strong government focus</w:t>
      </w:r>
      <w:r w:rsidR="00EE1228" w:rsidRPr="00DF5C85">
        <w:rPr>
          <w:rFonts w:asciiTheme="majorHAnsi" w:hAnsiTheme="majorHAnsi"/>
        </w:rPr>
        <w:t xml:space="preserve"> </w:t>
      </w:r>
      <w:r w:rsidR="00EE1228" w:rsidRPr="00B960F0">
        <w:rPr>
          <w:rFonts w:asciiTheme="majorHAnsi" w:hAnsiTheme="majorHAnsi"/>
        </w:rPr>
        <w:t>(</w:t>
      </w:r>
      <w:r w:rsidR="00B960F0" w:rsidRPr="00B960F0">
        <w:rPr>
          <w:rFonts w:asciiTheme="majorHAnsi" w:hAnsiTheme="majorHAnsi"/>
        </w:rPr>
        <w:t>Norton, 2019</w:t>
      </w:r>
      <w:r w:rsidR="00EE1228" w:rsidRPr="00B960F0">
        <w:rPr>
          <w:rFonts w:asciiTheme="majorHAnsi" w:hAnsiTheme="majorHAnsi"/>
        </w:rPr>
        <w:t>)</w:t>
      </w:r>
      <w:r w:rsidRPr="00DF5C85">
        <w:rPr>
          <w:rFonts w:asciiTheme="majorHAnsi" w:hAnsiTheme="majorHAnsi"/>
        </w:rPr>
        <w:t xml:space="preserve">. </w:t>
      </w:r>
    </w:p>
    <w:p w14:paraId="2A364FC8" w14:textId="057FBA12" w:rsidR="00FB47C2" w:rsidRPr="00DF5C85" w:rsidRDefault="00A21834" w:rsidP="00B960F0">
      <w:pPr>
        <w:spacing w:line="360" w:lineRule="auto"/>
        <w:rPr>
          <w:rFonts w:asciiTheme="majorHAnsi" w:hAnsiTheme="majorHAnsi"/>
        </w:rPr>
      </w:pPr>
      <w:r>
        <w:rPr>
          <w:rFonts w:asciiTheme="majorHAnsi" w:hAnsiTheme="majorHAnsi"/>
        </w:rPr>
        <w:t xml:space="preserve">Whereas </w:t>
      </w:r>
      <w:r w:rsidR="00EE1228" w:rsidRPr="00DF5C85">
        <w:rPr>
          <w:rFonts w:asciiTheme="majorHAnsi" w:hAnsiTheme="majorHAnsi"/>
        </w:rPr>
        <w:t xml:space="preserve">PDP </w:t>
      </w:r>
      <w:r>
        <w:rPr>
          <w:rFonts w:asciiTheme="majorHAnsi" w:hAnsiTheme="majorHAnsi"/>
        </w:rPr>
        <w:t xml:space="preserve">is usually associated with learners in PCET, </w:t>
      </w:r>
      <w:r w:rsidR="00EE1228" w:rsidRPr="00DF5C85">
        <w:rPr>
          <w:rFonts w:asciiTheme="majorHAnsi" w:hAnsiTheme="majorHAnsi"/>
        </w:rPr>
        <w:t>the professional development of teachers</w:t>
      </w:r>
      <w:r>
        <w:rPr>
          <w:rFonts w:asciiTheme="majorHAnsi" w:hAnsiTheme="majorHAnsi"/>
        </w:rPr>
        <w:t xml:space="preserve"> is referred to as Continuing Professional Development (CPD). </w:t>
      </w:r>
      <w:r w:rsidR="00FB47C2" w:rsidRPr="00DF5C85">
        <w:rPr>
          <w:rFonts w:asciiTheme="majorHAnsi" w:hAnsiTheme="majorHAnsi"/>
        </w:rPr>
        <w:t>In 2005, responsibility for C</w:t>
      </w:r>
      <w:r w:rsidR="00FB47C2" w:rsidRPr="00DF5C85">
        <w:rPr>
          <w:rFonts w:asciiTheme="majorHAnsi" w:hAnsiTheme="majorHAnsi"/>
        </w:rPr>
        <w:t xml:space="preserve">ontinuing </w:t>
      </w:r>
      <w:r w:rsidR="00FB47C2" w:rsidRPr="00DF5C85">
        <w:rPr>
          <w:rFonts w:asciiTheme="majorHAnsi" w:hAnsiTheme="majorHAnsi"/>
        </w:rPr>
        <w:t>P</w:t>
      </w:r>
      <w:r w:rsidR="00FB47C2" w:rsidRPr="00DF5C85">
        <w:rPr>
          <w:rFonts w:asciiTheme="majorHAnsi" w:hAnsiTheme="majorHAnsi"/>
        </w:rPr>
        <w:t xml:space="preserve">rofessional </w:t>
      </w:r>
      <w:r w:rsidR="00FB47C2" w:rsidRPr="00DF5C85">
        <w:rPr>
          <w:rFonts w:asciiTheme="majorHAnsi" w:hAnsiTheme="majorHAnsi"/>
        </w:rPr>
        <w:t>D</w:t>
      </w:r>
      <w:r w:rsidR="00FB47C2" w:rsidRPr="00DF5C85">
        <w:rPr>
          <w:rFonts w:asciiTheme="majorHAnsi" w:hAnsiTheme="majorHAnsi"/>
        </w:rPr>
        <w:t>evelopment (CPD)</w:t>
      </w:r>
      <w:r w:rsidR="00FB47C2" w:rsidRPr="00DF5C85">
        <w:rPr>
          <w:rFonts w:asciiTheme="majorHAnsi" w:hAnsiTheme="majorHAnsi"/>
        </w:rPr>
        <w:t xml:space="preserve"> for all staff working in PCET, including Higher Education, passed to Lifelong Learning UK(LLUK), an independent Sector Skills Council for employers in the lifelong learning sector. LLUK put reflection and continual improvement at the heart of CPD (Scales, 2012, 4). </w:t>
      </w:r>
    </w:p>
    <w:p w14:paraId="64F4DA33" w14:textId="77777777" w:rsidR="00FB47C2" w:rsidRPr="00DF5C85" w:rsidRDefault="00FB47C2" w:rsidP="00B960F0">
      <w:pPr>
        <w:spacing w:line="360" w:lineRule="auto"/>
        <w:rPr>
          <w:rFonts w:asciiTheme="majorHAnsi" w:hAnsiTheme="majorHAnsi"/>
        </w:rPr>
      </w:pPr>
    </w:p>
    <w:p w14:paraId="10B038D1" w14:textId="12B7F074" w:rsidR="00EE1228" w:rsidRPr="00A21834" w:rsidRDefault="00FB47C2" w:rsidP="00B960F0">
      <w:pPr>
        <w:spacing w:line="360" w:lineRule="auto"/>
      </w:pPr>
      <w:r w:rsidRPr="00DF5C85">
        <w:rPr>
          <w:rFonts w:asciiTheme="majorHAnsi" w:hAnsiTheme="majorHAnsi"/>
        </w:rPr>
        <w:t xml:space="preserve">CPD is a </w:t>
      </w:r>
      <w:r w:rsidRPr="00A21834">
        <w:rPr>
          <w:rFonts w:asciiTheme="majorHAnsi" w:hAnsiTheme="majorHAnsi"/>
        </w:rPr>
        <w:t>now</w:t>
      </w:r>
      <w:r w:rsidRPr="00DF5C85">
        <w:rPr>
          <w:rFonts w:asciiTheme="majorHAnsi" w:hAnsiTheme="majorHAnsi"/>
        </w:rPr>
        <w:t xml:space="preserve"> a mandatory requirement </w:t>
      </w:r>
      <w:r w:rsidR="00A21834">
        <w:rPr>
          <w:rFonts w:asciiTheme="majorHAnsi" w:hAnsiTheme="majorHAnsi"/>
        </w:rPr>
        <w:t xml:space="preserve">in the UK </w:t>
      </w:r>
      <w:r w:rsidRPr="00DF5C85">
        <w:rPr>
          <w:rFonts w:asciiTheme="majorHAnsi" w:hAnsiTheme="majorHAnsi"/>
        </w:rPr>
        <w:t xml:space="preserve">for the attainment of all </w:t>
      </w:r>
      <w:r w:rsidR="00EE1228" w:rsidRPr="00DF5C85">
        <w:rPr>
          <w:rFonts w:asciiTheme="majorHAnsi" w:hAnsiTheme="majorHAnsi"/>
        </w:rPr>
        <w:t xml:space="preserve">PCET </w:t>
      </w:r>
      <w:r w:rsidRPr="00DF5C85">
        <w:rPr>
          <w:rFonts w:asciiTheme="majorHAnsi" w:hAnsiTheme="majorHAnsi"/>
        </w:rPr>
        <w:t xml:space="preserve">teacher qualifications and accreditations including </w:t>
      </w:r>
      <w:r w:rsidR="00EE1228" w:rsidRPr="00DF5C85">
        <w:rPr>
          <w:rFonts w:asciiTheme="majorHAnsi" w:hAnsiTheme="majorHAnsi"/>
        </w:rPr>
        <w:t xml:space="preserve">Higher Education Academy </w:t>
      </w:r>
      <w:r w:rsidR="00EE1228" w:rsidRPr="00DF5C85">
        <w:rPr>
          <w:rFonts w:asciiTheme="majorHAnsi" w:hAnsiTheme="majorHAnsi"/>
        </w:rPr>
        <w:t>(</w:t>
      </w:r>
      <w:r w:rsidRPr="00DF5C85">
        <w:rPr>
          <w:rFonts w:asciiTheme="majorHAnsi" w:hAnsiTheme="majorHAnsi"/>
        </w:rPr>
        <w:t>HEA</w:t>
      </w:r>
      <w:r w:rsidR="00EE1228" w:rsidRPr="00DF5C85">
        <w:rPr>
          <w:rFonts w:asciiTheme="majorHAnsi" w:hAnsiTheme="majorHAnsi"/>
        </w:rPr>
        <w:t>)</w:t>
      </w:r>
      <w:r w:rsidRPr="00DF5C85">
        <w:rPr>
          <w:rFonts w:asciiTheme="majorHAnsi" w:hAnsiTheme="majorHAnsi"/>
        </w:rPr>
        <w:t xml:space="preserve"> Fellowship, </w:t>
      </w:r>
      <w:r w:rsidRPr="00DF5C85">
        <w:rPr>
          <w:rFonts w:asciiTheme="majorHAnsi" w:hAnsiTheme="majorHAnsi"/>
        </w:rPr>
        <w:t>Qualified Teacher Learning and Skills</w:t>
      </w:r>
      <w:r w:rsidRPr="00DF5C85">
        <w:rPr>
          <w:rFonts w:asciiTheme="majorHAnsi" w:hAnsiTheme="majorHAnsi"/>
        </w:rPr>
        <w:t xml:space="preserve"> (QTLS) and </w:t>
      </w:r>
      <w:r w:rsidR="00EE1228" w:rsidRPr="00DF5C85">
        <w:rPr>
          <w:rFonts w:asciiTheme="majorHAnsi" w:hAnsiTheme="majorHAnsi"/>
        </w:rPr>
        <w:t xml:space="preserve">Education </w:t>
      </w:r>
      <w:r w:rsidR="00A21834">
        <w:rPr>
          <w:rFonts w:asciiTheme="majorHAnsi" w:hAnsiTheme="majorHAnsi"/>
        </w:rPr>
        <w:t>Workforce</w:t>
      </w:r>
      <w:r w:rsidR="00EE1228" w:rsidRPr="00DF5C85">
        <w:rPr>
          <w:rFonts w:asciiTheme="majorHAnsi" w:hAnsiTheme="majorHAnsi"/>
        </w:rPr>
        <w:t xml:space="preserve"> Council (</w:t>
      </w:r>
      <w:r w:rsidRPr="00DF5C85">
        <w:rPr>
          <w:rFonts w:asciiTheme="majorHAnsi" w:hAnsiTheme="majorHAnsi"/>
        </w:rPr>
        <w:t>EWC</w:t>
      </w:r>
      <w:r w:rsidR="00EE1228" w:rsidRPr="00DF5C85">
        <w:rPr>
          <w:rFonts w:asciiTheme="majorHAnsi" w:hAnsiTheme="majorHAnsi"/>
        </w:rPr>
        <w:t>)</w:t>
      </w:r>
      <w:r w:rsidRPr="00DF5C85">
        <w:rPr>
          <w:rFonts w:asciiTheme="majorHAnsi" w:hAnsiTheme="majorHAnsi"/>
        </w:rPr>
        <w:t xml:space="preserve"> membership. </w:t>
      </w:r>
      <w:r w:rsidR="00A972C5" w:rsidRPr="00DF5C85">
        <w:rPr>
          <w:rFonts w:asciiTheme="majorHAnsi" w:hAnsiTheme="majorHAnsi"/>
        </w:rPr>
        <w:t>QTLS status</w:t>
      </w:r>
      <w:r w:rsidRPr="00DF5C85">
        <w:rPr>
          <w:rFonts w:asciiTheme="majorHAnsi" w:hAnsiTheme="majorHAnsi"/>
        </w:rPr>
        <w:t>, which can only be conferred on new teachers by The Society for Education and Training (SET),</w:t>
      </w:r>
      <w:r w:rsidR="00A972C5" w:rsidRPr="00DF5C85">
        <w:rPr>
          <w:rFonts w:asciiTheme="majorHAnsi" w:hAnsiTheme="majorHAnsi"/>
        </w:rPr>
        <w:t xml:space="preserve"> requires </w:t>
      </w:r>
      <w:r w:rsidRPr="00DF5C85">
        <w:rPr>
          <w:rFonts w:asciiTheme="majorHAnsi" w:hAnsiTheme="majorHAnsi"/>
        </w:rPr>
        <w:t>members</w:t>
      </w:r>
      <w:r w:rsidR="00A972C5" w:rsidRPr="00DF5C85">
        <w:rPr>
          <w:rFonts w:asciiTheme="majorHAnsi" w:hAnsiTheme="majorHAnsi"/>
        </w:rPr>
        <w:t xml:space="preserve"> to</w:t>
      </w:r>
      <w:r w:rsidRPr="00DF5C85">
        <w:rPr>
          <w:rFonts w:asciiTheme="majorHAnsi" w:hAnsiTheme="majorHAnsi"/>
        </w:rPr>
        <w:t xml:space="preserve"> create a </w:t>
      </w:r>
      <w:r w:rsidR="00A972C5" w:rsidRPr="00DF5C85">
        <w:rPr>
          <w:rFonts w:asciiTheme="majorHAnsi" w:hAnsiTheme="majorHAnsi"/>
        </w:rPr>
        <w:t>CPD</w:t>
      </w:r>
      <w:r w:rsidRPr="00DF5C85">
        <w:rPr>
          <w:rFonts w:asciiTheme="majorHAnsi" w:hAnsiTheme="majorHAnsi"/>
        </w:rPr>
        <w:t xml:space="preserve"> journal each year </w:t>
      </w:r>
      <w:r w:rsidR="00A972C5" w:rsidRPr="00DF5C85">
        <w:rPr>
          <w:rFonts w:asciiTheme="majorHAnsi" w:hAnsiTheme="majorHAnsi"/>
        </w:rPr>
        <w:t>(</w:t>
      </w:r>
      <w:r w:rsidR="00A972C5" w:rsidRPr="00DF5C85">
        <w:rPr>
          <w:rFonts w:asciiTheme="majorHAnsi" w:hAnsiTheme="majorHAnsi"/>
        </w:rPr>
        <w:t xml:space="preserve">Scales, </w:t>
      </w:r>
      <w:r w:rsidR="00A972C5" w:rsidRPr="00DF5C85">
        <w:rPr>
          <w:rFonts w:asciiTheme="majorHAnsi" w:hAnsiTheme="majorHAnsi"/>
        </w:rPr>
        <w:lastRenderedPageBreak/>
        <w:t xml:space="preserve">2012, </w:t>
      </w:r>
      <w:proofErr w:type="gramStart"/>
      <w:r w:rsidR="00A972C5" w:rsidRPr="00DF5C85">
        <w:rPr>
          <w:rFonts w:asciiTheme="majorHAnsi" w:hAnsiTheme="majorHAnsi"/>
        </w:rPr>
        <w:t>20</w:t>
      </w:r>
      <w:r w:rsidR="00A972C5" w:rsidRPr="00DF5C85">
        <w:rPr>
          <w:rFonts w:asciiTheme="majorHAnsi" w:hAnsiTheme="majorHAnsi"/>
        </w:rPr>
        <w:t>)</w:t>
      </w:r>
      <w:r w:rsidRPr="00DF5C85">
        <w:rPr>
          <w:rFonts w:asciiTheme="majorHAnsi" w:hAnsiTheme="majorHAnsi"/>
        </w:rPr>
        <w:t>(</w:t>
      </w:r>
      <w:proofErr w:type="gramEnd"/>
      <w:r w:rsidRPr="00DF5C85">
        <w:rPr>
          <w:rFonts w:asciiTheme="majorHAnsi" w:hAnsiTheme="majorHAnsi"/>
        </w:rPr>
        <w:t>college.jobs.ac.uk, 2016</w:t>
      </w:r>
      <w:r w:rsidRPr="00DF5C85">
        <w:rPr>
          <w:rFonts w:asciiTheme="majorHAnsi" w:hAnsiTheme="majorHAnsi"/>
        </w:rPr>
        <w:t>). In their CPD they have to provide evidence of reflection on learning as well as evidence showing how CPD activities have made a difference to their teaching, learners, colleagues and organisation (college.jobs.ac.uk, 2016)</w:t>
      </w:r>
      <w:r w:rsidR="00A972C5" w:rsidRPr="00DF5C85">
        <w:rPr>
          <w:rFonts w:asciiTheme="majorHAnsi" w:hAnsiTheme="majorHAnsi"/>
        </w:rPr>
        <w:t xml:space="preserve">. </w:t>
      </w:r>
      <w:r w:rsidR="00A21834">
        <w:rPr>
          <w:rFonts w:asciiTheme="majorHAnsi" w:hAnsiTheme="majorHAnsi"/>
        </w:rPr>
        <w:t>In Wales, FE teachers must register with the EWC. EWC registration requires evidence of professional practice which complies with the EWC’s ‘</w:t>
      </w:r>
      <w:r w:rsidR="00A21834" w:rsidRPr="00A21834">
        <w:rPr>
          <w:rFonts w:asciiTheme="majorHAnsi" w:hAnsiTheme="majorHAnsi"/>
        </w:rPr>
        <w:t>Code of Professional Conduct and Practice</w:t>
      </w:r>
      <w:proofErr w:type="gramStart"/>
      <w:r w:rsidR="00A21834">
        <w:rPr>
          <w:rFonts w:asciiTheme="majorHAnsi" w:hAnsiTheme="majorHAnsi"/>
        </w:rPr>
        <w:t>’(</w:t>
      </w:r>
      <w:proofErr w:type="gramEnd"/>
      <w:r w:rsidR="00A21834">
        <w:rPr>
          <w:rFonts w:asciiTheme="majorHAnsi" w:hAnsiTheme="majorHAnsi"/>
        </w:rPr>
        <w:t>EWC, 2019</w:t>
      </w:r>
      <w:r w:rsidR="00A21834">
        <w:rPr>
          <w:rFonts w:asciiTheme="majorHAnsi" w:hAnsiTheme="majorHAnsi"/>
        </w:rPr>
        <w:t xml:space="preserve">). The ‘Code’ directly references the need for reflective practice as part of CPD (EWC, 2019, 5). </w:t>
      </w:r>
      <w:r w:rsidR="00EE1228" w:rsidRPr="00DF5C85">
        <w:rPr>
          <w:rFonts w:asciiTheme="majorHAnsi" w:hAnsiTheme="majorHAnsi"/>
        </w:rPr>
        <w:t xml:space="preserve">The application process for Fellowship of the HEA centres around a </w:t>
      </w:r>
      <w:r w:rsidR="00EE1228" w:rsidRPr="00DF5C85">
        <w:rPr>
          <w:rFonts w:asciiTheme="majorHAnsi" w:hAnsiTheme="majorHAnsi"/>
        </w:rPr>
        <w:t xml:space="preserve">reflective commentary on </w:t>
      </w:r>
      <w:r w:rsidR="00EE1228" w:rsidRPr="00DF5C85">
        <w:rPr>
          <w:rFonts w:asciiTheme="majorHAnsi" w:hAnsiTheme="majorHAnsi"/>
        </w:rPr>
        <w:t>one’s</w:t>
      </w:r>
      <w:r w:rsidR="00EE1228" w:rsidRPr="00DF5C85">
        <w:rPr>
          <w:rFonts w:asciiTheme="majorHAnsi" w:hAnsiTheme="majorHAnsi"/>
        </w:rPr>
        <w:t xml:space="preserve"> higher education roles, responsibilities and professional experience</w:t>
      </w:r>
      <w:r w:rsidR="00EE1228" w:rsidRPr="00DF5C85">
        <w:rPr>
          <w:rFonts w:asciiTheme="majorHAnsi" w:hAnsiTheme="majorHAnsi"/>
        </w:rPr>
        <w:t xml:space="preserve">. The guidance </w:t>
      </w:r>
      <w:r w:rsidR="00EE1228" w:rsidRPr="00DF5C85">
        <w:rPr>
          <w:rFonts w:asciiTheme="majorHAnsi" w:hAnsiTheme="majorHAnsi"/>
        </w:rPr>
        <w:t>(HEA, 2015)</w:t>
      </w:r>
      <w:r w:rsidR="00EE1228" w:rsidRPr="00DF5C85">
        <w:rPr>
          <w:rFonts w:asciiTheme="majorHAnsi" w:hAnsiTheme="majorHAnsi"/>
        </w:rPr>
        <w:t xml:space="preserve"> mandates that all five activity areas listed in the </w:t>
      </w:r>
      <w:r w:rsidR="00EE1228" w:rsidRPr="00DF5C85">
        <w:rPr>
          <w:rFonts w:asciiTheme="majorHAnsi" w:hAnsiTheme="majorHAnsi"/>
        </w:rPr>
        <w:t>UK Professional Standards Framework</w:t>
      </w:r>
      <w:r w:rsidR="00EE1228" w:rsidRPr="00DF5C85">
        <w:rPr>
          <w:rFonts w:asciiTheme="majorHAnsi" w:hAnsiTheme="majorHAnsi"/>
        </w:rPr>
        <w:t xml:space="preserve"> (UKPSF) must be reflected upon</w:t>
      </w:r>
      <w:r w:rsidR="00A21834">
        <w:rPr>
          <w:rFonts w:asciiTheme="majorHAnsi" w:hAnsiTheme="majorHAnsi"/>
        </w:rPr>
        <w:t xml:space="preserve">. For example, practitioners must reflect on the </w:t>
      </w:r>
      <w:r w:rsidR="00EE1228" w:rsidRPr="00DF5C85">
        <w:rPr>
          <w:rFonts w:asciiTheme="majorHAnsi" w:hAnsiTheme="majorHAnsi"/>
        </w:rPr>
        <w:t>designing</w:t>
      </w:r>
      <w:r w:rsidR="00EE1228" w:rsidRPr="00DF5C85">
        <w:rPr>
          <w:rFonts w:asciiTheme="majorHAnsi" w:hAnsiTheme="majorHAnsi"/>
        </w:rPr>
        <w:t xml:space="preserve"> and plan</w:t>
      </w:r>
      <w:r w:rsidR="00EE1228" w:rsidRPr="00DF5C85">
        <w:rPr>
          <w:rFonts w:asciiTheme="majorHAnsi" w:hAnsiTheme="majorHAnsi"/>
        </w:rPr>
        <w:t>ning</w:t>
      </w:r>
      <w:r w:rsidR="00A21834">
        <w:rPr>
          <w:rFonts w:asciiTheme="majorHAnsi" w:hAnsiTheme="majorHAnsi"/>
        </w:rPr>
        <w:t xml:space="preserve"> of</w:t>
      </w:r>
      <w:r w:rsidR="00EE1228" w:rsidRPr="00DF5C85">
        <w:rPr>
          <w:rFonts w:asciiTheme="majorHAnsi" w:hAnsiTheme="majorHAnsi"/>
        </w:rPr>
        <w:t xml:space="preserve"> learning activities and/or programmes of study</w:t>
      </w:r>
      <w:r w:rsidR="00A21834">
        <w:rPr>
          <w:rFonts w:asciiTheme="majorHAnsi" w:hAnsiTheme="majorHAnsi"/>
        </w:rPr>
        <w:t xml:space="preserve">. </w:t>
      </w:r>
      <w:r w:rsidR="00EE1228" w:rsidRPr="00DF5C85">
        <w:rPr>
          <w:rFonts w:asciiTheme="majorHAnsi" w:hAnsiTheme="majorHAnsi"/>
        </w:rPr>
        <w:t>This demonstrates how embedded reflective practice has become in CPD</w:t>
      </w:r>
      <w:r w:rsidR="00A21834">
        <w:rPr>
          <w:rFonts w:asciiTheme="majorHAnsi" w:hAnsiTheme="majorHAnsi"/>
        </w:rPr>
        <w:t xml:space="preserve"> and professional </w:t>
      </w:r>
      <w:proofErr w:type="spellStart"/>
      <w:r w:rsidR="00A21834">
        <w:rPr>
          <w:rFonts w:asciiTheme="majorHAnsi" w:hAnsiTheme="majorHAnsi"/>
        </w:rPr>
        <w:t>accreditation</w:t>
      </w:r>
      <w:proofErr w:type="spellEnd"/>
      <w:r w:rsidR="00EE1228" w:rsidRPr="00DF5C85">
        <w:rPr>
          <w:rFonts w:asciiTheme="majorHAnsi" w:hAnsiTheme="majorHAnsi"/>
        </w:rPr>
        <w:t xml:space="preserve"> in the PCET sector.</w:t>
      </w:r>
    </w:p>
    <w:p w14:paraId="29EB041D" w14:textId="00E7AEF0" w:rsidR="00FB47C2" w:rsidRPr="00DF5C85" w:rsidRDefault="00EE1228" w:rsidP="00B960F0">
      <w:pPr>
        <w:spacing w:line="360" w:lineRule="auto"/>
        <w:rPr>
          <w:rFonts w:asciiTheme="majorHAnsi" w:hAnsiTheme="majorHAnsi"/>
        </w:rPr>
      </w:pPr>
      <w:r w:rsidRPr="00DF5C85">
        <w:rPr>
          <w:rFonts w:asciiTheme="majorHAnsi" w:hAnsiTheme="majorHAnsi"/>
        </w:rPr>
        <w:t xml:space="preserve"> </w:t>
      </w:r>
    </w:p>
    <w:p w14:paraId="7FED022F" w14:textId="7C669D93" w:rsidR="001A6DCA" w:rsidRPr="00DF5C85" w:rsidRDefault="001A6DCA" w:rsidP="00B960F0">
      <w:pPr>
        <w:spacing w:line="360" w:lineRule="auto"/>
        <w:rPr>
          <w:rFonts w:asciiTheme="majorHAnsi" w:hAnsiTheme="majorHAnsi"/>
        </w:rPr>
      </w:pPr>
      <w:r w:rsidRPr="00DF5C85">
        <w:rPr>
          <w:rFonts w:asciiTheme="majorHAnsi" w:hAnsiTheme="majorHAnsi"/>
        </w:rPr>
        <w:t xml:space="preserve">While higher education has always been competitive, globalisation and the </w:t>
      </w:r>
      <w:r w:rsidR="00EE1228" w:rsidRPr="00DF5C85">
        <w:rPr>
          <w:rFonts w:asciiTheme="majorHAnsi" w:hAnsiTheme="majorHAnsi"/>
        </w:rPr>
        <w:t>growing popularity</w:t>
      </w:r>
      <w:r w:rsidRPr="00DF5C85">
        <w:rPr>
          <w:rFonts w:asciiTheme="majorHAnsi" w:hAnsiTheme="majorHAnsi"/>
        </w:rPr>
        <w:t xml:space="preserve"> of global rankings since the nineties has led to a strong focus on its excellence and quality</w:t>
      </w:r>
      <w:r w:rsidR="00EE1228" w:rsidRPr="00DF5C85">
        <w:rPr>
          <w:rFonts w:asciiTheme="majorHAnsi" w:eastAsiaTheme="minorHAnsi" w:hAnsiTheme="majorHAnsi" w:cstheme="minorBidi"/>
        </w:rPr>
        <w:t xml:space="preserve"> (</w:t>
      </w:r>
      <w:proofErr w:type="spellStart"/>
      <w:r w:rsidR="00EE1228" w:rsidRPr="00DF5C85">
        <w:rPr>
          <w:rFonts w:asciiTheme="majorHAnsi" w:eastAsiaTheme="minorHAnsi" w:hAnsiTheme="majorHAnsi" w:cstheme="minorBidi"/>
        </w:rPr>
        <w:t>Hazelkorn</w:t>
      </w:r>
      <w:proofErr w:type="spellEnd"/>
      <w:r w:rsidR="00EE1228" w:rsidRPr="00DF5C85">
        <w:rPr>
          <w:rFonts w:asciiTheme="majorHAnsi" w:eastAsiaTheme="minorHAnsi" w:hAnsiTheme="majorHAnsi" w:cstheme="minorBidi"/>
        </w:rPr>
        <w:t>,</w:t>
      </w:r>
      <w:r w:rsidR="00EE1228" w:rsidRPr="00DF5C85">
        <w:rPr>
          <w:rFonts w:asciiTheme="majorHAnsi" w:eastAsiaTheme="minorHAnsi" w:hAnsiTheme="majorHAnsi" w:cstheme="minorBidi"/>
        </w:rPr>
        <w:t xml:space="preserve"> </w:t>
      </w:r>
      <w:r w:rsidR="00EE1228" w:rsidRPr="00DF5C85">
        <w:rPr>
          <w:rFonts w:asciiTheme="majorHAnsi" w:eastAsiaTheme="minorHAnsi" w:hAnsiTheme="majorHAnsi" w:cstheme="minorBidi"/>
        </w:rPr>
        <w:t>2013</w:t>
      </w:r>
      <w:r w:rsidR="00EE1228" w:rsidRPr="00DF5C85">
        <w:rPr>
          <w:rFonts w:asciiTheme="majorHAnsi" w:eastAsiaTheme="minorHAnsi" w:hAnsiTheme="majorHAnsi" w:cstheme="minorBidi"/>
        </w:rPr>
        <w:t>, 1</w:t>
      </w:r>
      <w:r w:rsidR="00EE1228" w:rsidRPr="00DF5C85">
        <w:rPr>
          <w:rFonts w:asciiTheme="majorHAnsi" w:eastAsiaTheme="minorHAnsi" w:hAnsiTheme="majorHAnsi" w:cstheme="minorBidi"/>
        </w:rPr>
        <w:t>)</w:t>
      </w:r>
      <w:r w:rsidRPr="00DF5C85">
        <w:rPr>
          <w:rFonts w:asciiTheme="majorHAnsi" w:hAnsiTheme="majorHAnsi"/>
        </w:rPr>
        <w:t xml:space="preserve">. The quality and status of </w:t>
      </w:r>
      <w:r w:rsidR="00EE1228" w:rsidRPr="00DF5C85">
        <w:rPr>
          <w:rFonts w:asciiTheme="majorHAnsi" w:hAnsiTheme="majorHAnsi"/>
        </w:rPr>
        <w:t xml:space="preserve">a nation’s </w:t>
      </w:r>
      <w:r w:rsidRPr="00DF5C85">
        <w:rPr>
          <w:rFonts w:asciiTheme="majorHAnsi" w:hAnsiTheme="majorHAnsi"/>
        </w:rPr>
        <w:t>H</w:t>
      </w:r>
      <w:r w:rsidR="00EE1228" w:rsidRPr="00DF5C85">
        <w:rPr>
          <w:rFonts w:asciiTheme="majorHAnsi" w:hAnsiTheme="majorHAnsi"/>
        </w:rPr>
        <w:t xml:space="preserve">igher Education Institutes </w:t>
      </w:r>
      <w:r w:rsidRPr="00DF5C85">
        <w:rPr>
          <w:rFonts w:asciiTheme="majorHAnsi" w:hAnsiTheme="majorHAnsi"/>
        </w:rPr>
        <w:t>ha</w:t>
      </w:r>
      <w:r w:rsidR="00EE1228" w:rsidRPr="00DF5C85">
        <w:rPr>
          <w:rFonts w:asciiTheme="majorHAnsi" w:hAnsiTheme="majorHAnsi"/>
        </w:rPr>
        <w:t>s</w:t>
      </w:r>
      <w:r w:rsidRPr="00DF5C85">
        <w:rPr>
          <w:rFonts w:asciiTheme="majorHAnsi" w:hAnsiTheme="majorHAnsi"/>
        </w:rPr>
        <w:t xml:space="preserve"> become an important measure of a nation’s global competitiveness.</w:t>
      </w:r>
      <w:r w:rsidR="00EE1228" w:rsidRPr="00DF5C85">
        <w:rPr>
          <w:rFonts w:asciiTheme="majorHAnsi" w:hAnsiTheme="majorHAnsi"/>
        </w:rPr>
        <w:t xml:space="preserve"> In today’s g</w:t>
      </w:r>
      <w:r w:rsidR="00EE1228" w:rsidRPr="00DF5C85">
        <w:rPr>
          <w:rFonts w:asciiTheme="majorHAnsi" w:hAnsiTheme="majorHAnsi"/>
        </w:rPr>
        <w:t>lobal economic crisis</w:t>
      </w:r>
      <w:r w:rsidR="00EE1228" w:rsidRPr="00DF5C85">
        <w:rPr>
          <w:rFonts w:asciiTheme="majorHAnsi" w:hAnsiTheme="majorHAnsi"/>
        </w:rPr>
        <w:t>, especially in Europe, HEIs are expected to play a key role in economic recovery</w:t>
      </w:r>
      <w:r w:rsidR="00A21834">
        <w:rPr>
          <w:rFonts w:asciiTheme="majorHAnsi" w:hAnsiTheme="majorHAnsi"/>
        </w:rPr>
        <w:t xml:space="preserve"> </w:t>
      </w:r>
      <w:r w:rsidR="00EE1228" w:rsidRPr="00DF5C85">
        <w:rPr>
          <w:rFonts w:asciiTheme="majorHAnsi" w:hAnsiTheme="majorHAnsi"/>
        </w:rPr>
        <w:t>(</w:t>
      </w:r>
      <w:proofErr w:type="spellStart"/>
      <w:r w:rsidR="00EE1228" w:rsidRPr="00DF5C85">
        <w:rPr>
          <w:rFonts w:asciiTheme="majorHAnsi" w:hAnsiTheme="majorHAnsi"/>
        </w:rPr>
        <w:t>Hazelkorn</w:t>
      </w:r>
      <w:proofErr w:type="spellEnd"/>
      <w:r w:rsidR="00EE1228" w:rsidRPr="00DF5C85">
        <w:rPr>
          <w:rFonts w:asciiTheme="majorHAnsi" w:hAnsiTheme="majorHAnsi"/>
        </w:rPr>
        <w:t xml:space="preserve">, 2013, 1). In the EU, which is struggling to compete against emerging economies such as India and China, governments have intervened more and more in HE with a focus on standards and outcomes rather than on the student experience or the diversity of HEIs </w:t>
      </w:r>
      <w:r w:rsidR="00EE1228" w:rsidRPr="00DF5C85">
        <w:rPr>
          <w:rFonts w:asciiTheme="majorHAnsi" w:hAnsiTheme="majorHAnsi"/>
        </w:rPr>
        <w:t>(</w:t>
      </w:r>
      <w:proofErr w:type="spellStart"/>
      <w:r w:rsidR="00EE1228" w:rsidRPr="00DF5C85">
        <w:rPr>
          <w:rFonts w:asciiTheme="majorHAnsi" w:hAnsiTheme="majorHAnsi"/>
        </w:rPr>
        <w:t>Hazelkorn</w:t>
      </w:r>
      <w:proofErr w:type="spellEnd"/>
      <w:r w:rsidR="00EE1228" w:rsidRPr="00DF5C85">
        <w:rPr>
          <w:rFonts w:asciiTheme="majorHAnsi" w:hAnsiTheme="majorHAnsi"/>
        </w:rPr>
        <w:t xml:space="preserve">, 2013, </w:t>
      </w:r>
      <w:r w:rsidR="00EE1228" w:rsidRPr="00DF5C85">
        <w:rPr>
          <w:rFonts w:asciiTheme="majorHAnsi" w:hAnsiTheme="majorHAnsi"/>
        </w:rPr>
        <w:t>2</w:t>
      </w:r>
      <w:r w:rsidR="00EE1228" w:rsidRPr="00DF5C85">
        <w:rPr>
          <w:rFonts w:asciiTheme="majorHAnsi" w:hAnsiTheme="majorHAnsi"/>
        </w:rPr>
        <w:t>)</w:t>
      </w:r>
      <w:r w:rsidR="00EE1228" w:rsidRPr="00DF5C85">
        <w:rPr>
          <w:rFonts w:asciiTheme="majorHAnsi" w:hAnsiTheme="majorHAnsi"/>
        </w:rPr>
        <w:t>. Some common i</w:t>
      </w:r>
      <w:r w:rsidRPr="00DF5C85">
        <w:rPr>
          <w:rFonts w:asciiTheme="majorHAnsi" w:hAnsiTheme="majorHAnsi"/>
        </w:rPr>
        <w:t>nitiatives</w:t>
      </w:r>
      <w:r w:rsidR="00EE1228" w:rsidRPr="00DF5C85">
        <w:rPr>
          <w:rFonts w:asciiTheme="majorHAnsi" w:hAnsiTheme="majorHAnsi"/>
        </w:rPr>
        <w:t xml:space="preserve"> associated with HEI standards and outcomes are</w:t>
      </w:r>
      <w:r w:rsidRPr="00DF5C85">
        <w:rPr>
          <w:rFonts w:asciiTheme="majorHAnsi" w:hAnsiTheme="majorHAnsi"/>
        </w:rPr>
        <w:t xml:space="preserve"> public ranking systems, quality assurance, evaluation and assessment, benchmarking, accreditation</w:t>
      </w:r>
      <w:r w:rsidR="00EE1228" w:rsidRPr="00DF5C85">
        <w:rPr>
          <w:rFonts w:asciiTheme="majorHAnsi" w:hAnsiTheme="majorHAnsi"/>
        </w:rPr>
        <w:t xml:space="preserve"> of staff and HEIs</w:t>
      </w:r>
      <w:r w:rsidRPr="00DF5C85">
        <w:rPr>
          <w:rFonts w:asciiTheme="majorHAnsi" w:hAnsiTheme="majorHAnsi"/>
        </w:rPr>
        <w:t xml:space="preserve">, and frameworks such as the </w:t>
      </w:r>
      <w:r w:rsidR="00EE1228" w:rsidRPr="00DF5C85">
        <w:rPr>
          <w:rFonts w:asciiTheme="majorHAnsi" w:hAnsiTheme="majorHAnsi"/>
        </w:rPr>
        <w:t xml:space="preserve">UKPSF already mentioned </w:t>
      </w:r>
      <w:r w:rsidR="00EE1228" w:rsidRPr="00DF5C85">
        <w:rPr>
          <w:rFonts w:asciiTheme="majorHAnsi" w:eastAsiaTheme="minorHAnsi" w:hAnsiTheme="majorHAnsi" w:cstheme="minorBidi"/>
        </w:rPr>
        <w:t>(</w:t>
      </w:r>
      <w:proofErr w:type="spellStart"/>
      <w:r w:rsidR="00EE1228" w:rsidRPr="00DF5C85">
        <w:rPr>
          <w:rFonts w:asciiTheme="majorHAnsi" w:eastAsiaTheme="minorHAnsi" w:hAnsiTheme="majorHAnsi" w:cstheme="minorBidi"/>
        </w:rPr>
        <w:t>Hazelkorn</w:t>
      </w:r>
      <w:proofErr w:type="spellEnd"/>
      <w:r w:rsidR="00EE1228" w:rsidRPr="00DF5C85">
        <w:rPr>
          <w:rFonts w:asciiTheme="majorHAnsi" w:eastAsiaTheme="minorHAnsi" w:hAnsiTheme="majorHAnsi" w:cstheme="minorBidi"/>
        </w:rPr>
        <w:t xml:space="preserve">, 2013, </w:t>
      </w:r>
      <w:r w:rsidR="00EE1228" w:rsidRPr="00DF5C85">
        <w:rPr>
          <w:rFonts w:asciiTheme="majorHAnsi" w:eastAsiaTheme="minorHAnsi" w:hAnsiTheme="majorHAnsi" w:cstheme="minorBidi"/>
        </w:rPr>
        <w:t>4</w:t>
      </w:r>
      <w:r w:rsidR="00EE1228" w:rsidRPr="00DF5C85">
        <w:rPr>
          <w:rFonts w:asciiTheme="majorHAnsi" w:eastAsiaTheme="minorHAnsi" w:hAnsiTheme="majorHAnsi" w:cstheme="minorBidi"/>
        </w:rPr>
        <w:t>)</w:t>
      </w:r>
      <w:r w:rsidRPr="00DF5C85">
        <w:rPr>
          <w:rFonts w:asciiTheme="majorHAnsi" w:hAnsiTheme="majorHAnsi"/>
        </w:rPr>
        <w:t xml:space="preserve">. </w:t>
      </w:r>
    </w:p>
    <w:p w14:paraId="2B7D4A22" w14:textId="0091BB3E" w:rsidR="00EE1228" w:rsidRPr="00DF5C85" w:rsidRDefault="00EE1228" w:rsidP="00B960F0">
      <w:pPr>
        <w:spacing w:line="360" w:lineRule="auto"/>
        <w:rPr>
          <w:rFonts w:asciiTheme="majorHAnsi" w:hAnsiTheme="majorHAnsi"/>
        </w:rPr>
      </w:pPr>
    </w:p>
    <w:p w14:paraId="3693BAB9" w14:textId="18634F6D" w:rsidR="00EE1228" w:rsidRPr="00DF5C85" w:rsidRDefault="00EE1228" w:rsidP="00B960F0">
      <w:pPr>
        <w:spacing w:line="360" w:lineRule="auto"/>
        <w:rPr>
          <w:rFonts w:asciiTheme="majorHAnsi" w:hAnsiTheme="majorHAnsi"/>
        </w:rPr>
      </w:pPr>
      <w:r w:rsidRPr="00DF5C85">
        <w:rPr>
          <w:rFonts w:asciiTheme="majorHAnsi" w:hAnsiTheme="majorHAnsi"/>
        </w:rPr>
        <w:t>The UK Office for Students’ (</w:t>
      </w:r>
      <w:proofErr w:type="spellStart"/>
      <w:r w:rsidRPr="00DF5C85">
        <w:rPr>
          <w:rFonts w:asciiTheme="majorHAnsi" w:hAnsiTheme="majorHAnsi"/>
        </w:rPr>
        <w:t>OfS</w:t>
      </w:r>
      <w:proofErr w:type="spellEnd"/>
      <w:r w:rsidRPr="00DF5C85">
        <w:rPr>
          <w:rFonts w:asciiTheme="majorHAnsi" w:hAnsiTheme="majorHAnsi"/>
        </w:rPr>
        <w:t xml:space="preserve">) Teaching Excellence and Student Outcomes Framework (TEF) was introduced by the UK government </w:t>
      </w:r>
      <w:r w:rsidR="00A21834">
        <w:rPr>
          <w:rFonts w:asciiTheme="majorHAnsi" w:hAnsiTheme="majorHAnsi"/>
        </w:rPr>
        <w:t xml:space="preserve">in 2017 </w:t>
      </w:r>
      <w:r w:rsidRPr="00DF5C85">
        <w:rPr>
          <w:rFonts w:asciiTheme="majorHAnsi" w:hAnsiTheme="majorHAnsi"/>
        </w:rPr>
        <w:t>to assess excellence in teaching at universities and colleges. In order to be considered for a TEF rating, providers have to meet national quality requirements and the assessment itself looks at three key areas: teaching quality, learning environment and student outcomes and learning gain (</w:t>
      </w:r>
      <w:proofErr w:type="spellStart"/>
      <w:r w:rsidRPr="00DF5C85">
        <w:rPr>
          <w:rFonts w:asciiTheme="majorHAnsi" w:hAnsiTheme="majorHAnsi"/>
        </w:rPr>
        <w:t>OfS</w:t>
      </w:r>
      <w:proofErr w:type="spellEnd"/>
      <w:r w:rsidRPr="00DF5C85">
        <w:rPr>
          <w:rFonts w:asciiTheme="majorHAnsi" w:hAnsiTheme="majorHAnsi"/>
        </w:rPr>
        <w:t xml:space="preserve">, 2018). Teaching </w:t>
      </w:r>
      <w:r w:rsidRPr="00DF5C85">
        <w:rPr>
          <w:rFonts w:asciiTheme="majorHAnsi" w:hAnsiTheme="majorHAnsi"/>
        </w:rPr>
        <w:lastRenderedPageBreak/>
        <w:t>quality can be linked directly to staff CPD and student outcomes and learning gain can be linked directly back to the function of the PDP as already described. Given that r</w:t>
      </w:r>
      <w:r w:rsidRPr="00DF5C85">
        <w:rPr>
          <w:rFonts w:asciiTheme="majorHAnsi" w:hAnsiTheme="majorHAnsi"/>
        </w:rPr>
        <w:t>eflective practice</w:t>
      </w:r>
      <w:r w:rsidRPr="00DF5C85">
        <w:rPr>
          <w:rFonts w:asciiTheme="majorHAnsi" w:hAnsiTheme="majorHAnsi"/>
        </w:rPr>
        <w:t xml:space="preserve"> forms the basis of </w:t>
      </w:r>
      <w:r w:rsidRPr="00DF5C85">
        <w:rPr>
          <w:rFonts w:asciiTheme="majorHAnsi" w:hAnsiTheme="majorHAnsi"/>
        </w:rPr>
        <w:t>the PDP and CPD</w:t>
      </w:r>
      <w:r w:rsidRPr="00DF5C85">
        <w:rPr>
          <w:rFonts w:asciiTheme="majorHAnsi" w:hAnsiTheme="majorHAnsi"/>
        </w:rPr>
        <w:t xml:space="preserve"> it is now easier to understand why so much focus is placed on it. </w:t>
      </w:r>
      <w:r w:rsidRPr="00DF5C85">
        <w:rPr>
          <w:rFonts w:asciiTheme="majorHAnsi" w:hAnsiTheme="majorHAnsi"/>
        </w:rPr>
        <w:t xml:space="preserve">Although presented as voluntary and self-regulatory, if HEIs decide to opt out of government-driven initiatives </w:t>
      </w:r>
      <w:r w:rsidRPr="00DF5C85">
        <w:rPr>
          <w:rFonts w:asciiTheme="majorHAnsi" w:hAnsiTheme="majorHAnsi"/>
        </w:rPr>
        <w:t xml:space="preserve">such as TEF it is thought that </w:t>
      </w:r>
      <w:r w:rsidRPr="00DF5C85">
        <w:rPr>
          <w:rFonts w:asciiTheme="majorHAnsi" w:hAnsiTheme="majorHAnsi"/>
        </w:rPr>
        <w:t>they will suffer in terms of reputation, institutional legitimacy and funding</w:t>
      </w:r>
      <w:r w:rsidRPr="00DF5C85">
        <w:rPr>
          <w:rFonts w:asciiTheme="majorHAnsi" w:hAnsiTheme="majorHAnsi"/>
        </w:rPr>
        <w:t xml:space="preserve"> (</w:t>
      </w:r>
      <w:proofErr w:type="spellStart"/>
      <w:r w:rsidRPr="00DF5C85">
        <w:rPr>
          <w:rFonts w:asciiTheme="majorHAnsi" w:hAnsiTheme="majorHAnsi"/>
        </w:rPr>
        <w:t>Hazelkorn</w:t>
      </w:r>
      <w:proofErr w:type="spellEnd"/>
      <w:r w:rsidRPr="00DF5C85">
        <w:rPr>
          <w:rFonts w:asciiTheme="majorHAnsi" w:hAnsiTheme="majorHAnsi"/>
        </w:rPr>
        <w:t>, 2013, 4)</w:t>
      </w:r>
      <w:r w:rsidRPr="00DF5C85">
        <w:rPr>
          <w:rFonts w:asciiTheme="majorHAnsi" w:hAnsiTheme="majorHAnsi"/>
        </w:rPr>
        <w:t>.</w:t>
      </w:r>
      <w:r w:rsidRPr="00DF5C85">
        <w:rPr>
          <w:rFonts w:asciiTheme="majorHAnsi" w:hAnsiTheme="majorHAnsi"/>
        </w:rPr>
        <w:t xml:space="preserve"> However, the TEF rankings system has come under much criticism. A number of reputable universities have opted out with their student unions campaigning against it (Scalisi, 2018) and according to </w:t>
      </w:r>
      <w:proofErr w:type="gramStart"/>
      <w:r w:rsidRPr="00DF5C85">
        <w:rPr>
          <w:rFonts w:asciiTheme="majorHAnsi" w:hAnsiTheme="majorHAnsi"/>
        </w:rPr>
        <w:t>Shah(</w:t>
      </w:r>
      <w:proofErr w:type="gramEnd"/>
      <w:r w:rsidRPr="00DF5C85">
        <w:rPr>
          <w:rFonts w:asciiTheme="majorHAnsi" w:hAnsiTheme="majorHAnsi"/>
        </w:rPr>
        <w:t xml:space="preserve">2018) it </w:t>
      </w:r>
      <w:r w:rsidRPr="00DF5C85">
        <w:rPr>
          <w:rFonts w:asciiTheme="majorHAnsi" w:hAnsiTheme="majorHAnsi"/>
        </w:rPr>
        <w:t xml:space="preserve">lacks validity and is vulnerable to being </w:t>
      </w:r>
      <w:r w:rsidRPr="00DF5C85">
        <w:rPr>
          <w:rFonts w:asciiTheme="majorHAnsi" w:hAnsiTheme="majorHAnsi"/>
          <w:i/>
        </w:rPr>
        <w:t>gamed</w:t>
      </w:r>
      <w:r w:rsidRPr="00DF5C85">
        <w:rPr>
          <w:rFonts w:asciiTheme="majorHAnsi" w:hAnsiTheme="majorHAnsi"/>
        </w:rPr>
        <w:t xml:space="preserve"> by HEIs. Regardless of government pressure, c</w:t>
      </w:r>
      <w:r w:rsidRPr="00DF5C85">
        <w:rPr>
          <w:rFonts w:asciiTheme="majorHAnsi" w:hAnsiTheme="majorHAnsi"/>
        </w:rPr>
        <w:t>ommercial media organisations</w:t>
      </w:r>
      <w:r w:rsidRPr="00DF5C85">
        <w:rPr>
          <w:rFonts w:asciiTheme="majorHAnsi" w:hAnsiTheme="majorHAnsi"/>
        </w:rPr>
        <w:t xml:space="preserve"> and open source and social networking sites have added another dimension to the pressure to demonstrate quality, excellence and graduate outcomes, providing their own rankings systems independent</w:t>
      </w:r>
      <w:r w:rsidR="00A21834">
        <w:rPr>
          <w:rFonts w:asciiTheme="majorHAnsi" w:hAnsiTheme="majorHAnsi"/>
        </w:rPr>
        <w:t>ly</w:t>
      </w:r>
      <w:r w:rsidRPr="00DF5C85">
        <w:rPr>
          <w:rFonts w:asciiTheme="majorHAnsi" w:hAnsiTheme="majorHAnsi"/>
        </w:rPr>
        <w:t xml:space="preserve"> of the HEIs and government</w:t>
      </w:r>
      <w:r w:rsidR="002347C2">
        <w:rPr>
          <w:rFonts w:asciiTheme="majorHAnsi" w:hAnsiTheme="majorHAnsi"/>
        </w:rPr>
        <w:t xml:space="preserve"> </w:t>
      </w:r>
      <w:r w:rsidRPr="00DF5C85">
        <w:rPr>
          <w:rFonts w:asciiTheme="majorHAnsi" w:hAnsiTheme="majorHAnsi"/>
        </w:rPr>
        <w:t>(</w:t>
      </w:r>
      <w:proofErr w:type="spellStart"/>
      <w:r w:rsidRPr="00DF5C85">
        <w:rPr>
          <w:rFonts w:asciiTheme="majorHAnsi" w:hAnsiTheme="majorHAnsi"/>
        </w:rPr>
        <w:t>Hazelkorn</w:t>
      </w:r>
      <w:proofErr w:type="spellEnd"/>
      <w:r w:rsidRPr="00DF5C85">
        <w:rPr>
          <w:rFonts w:asciiTheme="majorHAnsi" w:hAnsiTheme="majorHAnsi"/>
        </w:rPr>
        <w:t>, 2013, 4)</w:t>
      </w:r>
      <w:r w:rsidRPr="00DF5C85">
        <w:rPr>
          <w:rFonts w:asciiTheme="majorHAnsi" w:hAnsiTheme="majorHAnsi"/>
        </w:rPr>
        <w:t xml:space="preserve">. According to Harman (2011, 51), </w:t>
      </w:r>
      <w:r w:rsidRPr="00DF5C85">
        <w:rPr>
          <w:rFonts w:asciiTheme="majorHAnsi" w:hAnsiTheme="majorHAnsi"/>
        </w:rPr>
        <w:t>higher education has effectively lost its role as the primary guardian of quality</w:t>
      </w:r>
      <w:r w:rsidRPr="00DF5C85">
        <w:rPr>
          <w:rFonts w:asciiTheme="majorHAnsi" w:hAnsiTheme="majorHAnsi"/>
        </w:rPr>
        <w:t>.</w:t>
      </w:r>
      <w:r w:rsidRPr="00DF5C85">
        <w:rPr>
          <w:rFonts w:asciiTheme="majorHAnsi" w:hAnsiTheme="majorHAnsi"/>
        </w:rPr>
        <w:t xml:space="preserve"> </w:t>
      </w:r>
    </w:p>
    <w:p w14:paraId="71C8F889" w14:textId="29C6F2FA" w:rsidR="00EE1228" w:rsidRPr="00DF5C85" w:rsidRDefault="00B960F0" w:rsidP="00B960F0">
      <w:pPr>
        <w:tabs>
          <w:tab w:val="left" w:pos="3024"/>
        </w:tabs>
        <w:spacing w:line="360" w:lineRule="auto"/>
        <w:rPr>
          <w:rFonts w:asciiTheme="majorHAnsi" w:hAnsiTheme="majorHAnsi"/>
        </w:rPr>
      </w:pPr>
      <w:r>
        <w:rPr>
          <w:rFonts w:asciiTheme="majorHAnsi" w:hAnsiTheme="majorHAnsi"/>
        </w:rPr>
        <w:tab/>
      </w:r>
    </w:p>
    <w:p w14:paraId="5E91A0EE" w14:textId="30D32069" w:rsidR="00A21834" w:rsidRDefault="00DF5C85" w:rsidP="00B960F0">
      <w:pPr>
        <w:spacing w:line="360" w:lineRule="auto"/>
        <w:rPr>
          <w:rFonts w:asciiTheme="majorHAnsi" w:hAnsiTheme="majorHAnsi"/>
        </w:rPr>
      </w:pPr>
      <w:r w:rsidRPr="00DF5C85">
        <w:rPr>
          <w:rFonts w:asciiTheme="majorHAnsi" w:hAnsiTheme="majorHAnsi"/>
        </w:rPr>
        <w:t>D</w:t>
      </w:r>
      <w:r w:rsidR="00EE1228" w:rsidRPr="00DF5C85">
        <w:rPr>
          <w:rFonts w:asciiTheme="majorHAnsi" w:hAnsiTheme="majorHAnsi"/>
        </w:rPr>
        <w:t xml:space="preserve">espite a </w:t>
      </w:r>
      <w:r w:rsidRPr="00DF5C85">
        <w:rPr>
          <w:rFonts w:asciiTheme="majorHAnsi" w:hAnsiTheme="majorHAnsi"/>
        </w:rPr>
        <w:t>general</w:t>
      </w:r>
      <w:r w:rsidR="00EE1228" w:rsidRPr="00DF5C85">
        <w:rPr>
          <w:rFonts w:asciiTheme="majorHAnsi" w:hAnsiTheme="majorHAnsi"/>
        </w:rPr>
        <w:t xml:space="preserve"> acceptance of </w:t>
      </w:r>
      <w:r w:rsidRPr="00DF5C85">
        <w:rPr>
          <w:rFonts w:asciiTheme="majorHAnsi" w:hAnsiTheme="majorHAnsi"/>
        </w:rPr>
        <w:t xml:space="preserve">its </w:t>
      </w:r>
      <w:r w:rsidR="00EE1228" w:rsidRPr="00DF5C85">
        <w:rPr>
          <w:rFonts w:asciiTheme="majorHAnsi" w:hAnsiTheme="majorHAnsi"/>
        </w:rPr>
        <w:t>value</w:t>
      </w:r>
      <w:r w:rsidRPr="00DF5C85">
        <w:rPr>
          <w:rFonts w:asciiTheme="majorHAnsi" w:hAnsiTheme="majorHAnsi"/>
        </w:rPr>
        <w:t xml:space="preserve"> as part of the student learning experience (PDP) and the professional development (CPD) of teachers and other academic and professional staff</w:t>
      </w:r>
      <w:r w:rsidR="00EE1228" w:rsidRPr="00DF5C85">
        <w:rPr>
          <w:rFonts w:asciiTheme="majorHAnsi" w:hAnsiTheme="majorHAnsi"/>
        </w:rPr>
        <w:t xml:space="preserve">, reflective practice has come under criticism from a number of angles. </w:t>
      </w:r>
      <w:r w:rsidRPr="00DF5C85">
        <w:rPr>
          <w:rFonts w:asciiTheme="majorHAnsi" w:hAnsiTheme="majorHAnsi"/>
        </w:rPr>
        <w:t>Although there are plenty of definitions telling us what reflective practice is, there are still differences in understanding amongst both</w:t>
      </w:r>
      <w:r w:rsidRPr="00DF5C85">
        <w:rPr>
          <w:rFonts w:asciiTheme="majorHAnsi" w:hAnsiTheme="majorHAnsi"/>
        </w:rPr>
        <w:t xml:space="preserve"> staff</w:t>
      </w:r>
      <w:r w:rsidRPr="00DF5C85">
        <w:rPr>
          <w:rFonts w:asciiTheme="majorHAnsi" w:hAnsiTheme="majorHAnsi"/>
        </w:rPr>
        <w:t xml:space="preserve"> and </w:t>
      </w:r>
      <w:r w:rsidRPr="00DF5C85">
        <w:rPr>
          <w:rFonts w:asciiTheme="majorHAnsi" w:hAnsiTheme="majorHAnsi"/>
        </w:rPr>
        <w:t>students (Moon, 2004, 134)</w:t>
      </w:r>
      <w:r w:rsidRPr="00DF5C85">
        <w:rPr>
          <w:rFonts w:asciiTheme="majorHAnsi" w:hAnsiTheme="majorHAnsi" w:cs="Helvetica"/>
          <w:color w:val="000000"/>
        </w:rPr>
        <w:t xml:space="preserve">. </w:t>
      </w:r>
      <w:r w:rsidR="00A21834">
        <w:rPr>
          <w:rFonts w:asciiTheme="majorHAnsi" w:hAnsiTheme="majorHAnsi" w:cs="Helvetica"/>
          <w:color w:val="000000"/>
        </w:rPr>
        <w:t>The meaning of ‘reflective practice’ is often interpreted very differently in different academic disciplines</w:t>
      </w:r>
      <w:r w:rsidR="00A21834">
        <w:t xml:space="preserve"> </w:t>
      </w:r>
      <w:r w:rsidR="00A21834" w:rsidRPr="00A21834">
        <w:rPr>
          <w:rFonts w:asciiTheme="majorHAnsi" w:hAnsiTheme="majorHAnsi" w:cs="Helvetica"/>
          <w:color w:val="000000"/>
        </w:rPr>
        <w:t>(</w:t>
      </w:r>
      <w:proofErr w:type="spellStart"/>
      <w:r w:rsidR="00A21834" w:rsidRPr="00A21834">
        <w:rPr>
          <w:rFonts w:asciiTheme="majorHAnsi" w:hAnsiTheme="majorHAnsi" w:cs="Helvetica"/>
          <w:color w:val="000000"/>
        </w:rPr>
        <w:t>Fook</w:t>
      </w:r>
      <w:proofErr w:type="spellEnd"/>
      <w:r w:rsidR="00A21834" w:rsidRPr="00A21834">
        <w:rPr>
          <w:rFonts w:asciiTheme="majorHAnsi" w:hAnsiTheme="majorHAnsi" w:cs="Helvetica"/>
          <w:color w:val="000000"/>
        </w:rPr>
        <w:t xml:space="preserve"> et al, 2006). </w:t>
      </w:r>
      <w:r w:rsidRPr="00A21834">
        <w:rPr>
          <w:rFonts w:asciiTheme="majorHAnsi" w:hAnsiTheme="majorHAnsi" w:cs="Helvetica"/>
          <w:color w:val="000000"/>
        </w:rPr>
        <w:t xml:space="preserve">Cultural </w:t>
      </w:r>
      <w:r w:rsidRPr="00A21834">
        <w:rPr>
          <w:rFonts w:asciiTheme="majorHAnsi" w:hAnsiTheme="majorHAnsi" w:cs="Helvetica"/>
          <w:color w:val="000000"/>
        </w:rPr>
        <w:t>differences can also cause problems in understanding as there is</w:t>
      </w:r>
      <w:r w:rsidRPr="00DF5C85">
        <w:rPr>
          <w:rFonts w:asciiTheme="majorHAnsi" w:hAnsiTheme="majorHAnsi"/>
        </w:rPr>
        <w:t xml:space="preserve"> no equivalent</w:t>
      </w:r>
      <w:r w:rsidRPr="00DF5C85">
        <w:rPr>
          <w:rFonts w:asciiTheme="majorHAnsi" w:hAnsiTheme="majorHAnsi"/>
        </w:rPr>
        <w:t xml:space="preserve"> word </w:t>
      </w:r>
      <w:r w:rsidRPr="00DF5C85">
        <w:rPr>
          <w:rFonts w:asciiTheme="majorHAnsi" w:hAnsiTheme="majorHAnsi"/>
        </w:rPr>
        <w:t xml:space="preserve">in some languages for </w:t>
      </w:r>
      <w:r w:rsidRPr="00DF5C85">
        <w:rPr>
          <w:rFonts w:asciiTheme="majorHAnsi" w:hAnsiTheme="majorHAnsi"/>
        </w:rPr>
        <w:t>‘reflection’</w:t>
      </w:r>
      <w:r w:rsidRPr="00DF5C85">
        <w:rPr>
          <w:rFonts w:asciiTheme="majorHAnsi" w:hAnsiTheme="majorHAnsi"/>
        </w:rPr>
        <w:t>. W</w:t>
      </w:r>
      <w:r w:rsidRPr="00DF5C85">
        <w:rPr>
          <w:rFonts w:asciiTheme="majorHAnsi" w:hAnsiTheme="majorHAnsi"/>
        </w:rPr>
        <w:t xml:space="preserve">ithout a word for </w:t>
      </w:r>
      <w:r w:rsidRPr="00DF5C85">
        <w:rPr>
          <w:rFonts w:asciiTheme="majorHAnsi" w:hAnsiTheme="majorHAnsi"/>
        </w:rPr>
        <w:t>it</w:t>
      </w:r>
      <w:r w:rsidRPr="00DF5C85">
        <w:rPr>
          <w:rFonts w:asciiTheme="majorHAnsi" w:hAnsiTheme="majorHAnsi"/>
        </w:rPr>
        <w:t>, learners might have considerable difficulty grasping the concept</w:t>
      </w:r>
      <w:r w:rsidRPr="00DF5C85">
        <w:rPr>
          <w:rFonts w:asciiTheme="majorHAnsi" w:hAnsiTheme="majorHAnsi"/>
        </w:rPr>
        <w:t xml:space="preserve"> </w:t>
      </w:r>
      <w:r w:rsidRPr="00DF5C85">
        <w:rPr>
          <w:rFonts w:asciiTheme="majorHAnsi" w:hAnsiTheme="majorHAnsi"/>
        </w:rPr>
        <w:t>(Moon, 2004, 134)</w:t>
      </w:r>
      <w:r w:rsidRPr="00DF5C85">
        <w:rPr>
          <w:rFonts w:asciiTheme="majorHAnsi" w:hAnsiTheme="majorHAnsi"/>
        </w:rPr>
        <w:t xml:space="preserve">. </w:t>
      </w:r>
      <w:proofErr w:type="gramStart"/>
      <w:r w:rsidR="00B960F0">
        <w:rPr>
          <w:rFonts w:asciiTheme="majorHAnsi" w:hAnsiTheme="majorHAnsi"/>
        </w:rPr>
        <w:t>Finlay(</w:t>
      </w:r>
      <w:proofErr w:type="gramEnd"/>
      <w:r w:rsidR="00B960F0">
        <w:rPr>
          <w:rFonts w:asciiTheme="majorHAnsi" w:hAnsiTheme="majorHAnsi"/>
        </w:rPr>
        <w:t xml:space="preserve">2008, 1) concedes, however, that there is a general consensus surrounding the meaning of reflective practice in that its </w:t>
      </w:r>
      <w:r w:rsidR="00B960F0" w:rsidRPr="00B960F0">
        <w:rPr>
          <w:rFonts w:asciiTheme="majorHAnsi" w:hAnsiTheme="majorHAnsi"/>
        </w:rPr>
        <w:t>purpose</w:t>
      </w:r>
      <w:r w:rsidR="00B960F0" w:rsidRPr="00B960F0">
        <w:rPr>
          <w:rFonts w:asciiTheme="majorHAnsi" w:hAnsiTheme="majorHAnsi"/>
        </w:rPr>
        <w:t xml:space="preserve"> is to </w:t>
      </w:r>
      <w:r w:rsidR="00B960F0" w:rsidRPr="00B960F0">
        <w:rPr>
          <w:rFonts w:asciiTheme="majorHAnsi" w:hAnsiTheme="majorHAnsi"/>
        </w:rPr>
        <w:t>‘</w:t>
      </w:r>
      <w:r w:rsidR="00B960F0" w:rsidRPr="00B960F0">
        <w:rPr>
          <w:rFonts w:asciiTheme="majorHAnsi" w:hAnsiTheme="majorHAnsi"/>
        </w:rPr>
        <w:t>recapture practice experiences and mull them over critically in order to gain new understandings and so improve future practice</w:t>
      </w:r>
      <w:r w:rsidR="00B960F0" w:rsidRPr="00B960F0">
        <w:rPr>
          <w:rFonts w:asciiTheme="majorHAnsi" w:hAnsiTheme="majorHAnsi"/>
        </w:rPr>
        <w:t>’</w:t>
      </w:r>
      <w:r w:rsidR="00B960F0" w:rsidRPr="00B960F0">
        <w:rPr>
          <w:rFonts w:asciiTheme="majorHAnsi" w:hAnsiTheme="majorHAnsi"/>
        </w:rPr>
        <w:t>.</w:t>
      </w:r>
      <w:r w:rsidR="00B960F0">
        <w:rPr>
          <w:rFonts w:asciiTheme="majorHAnsi" w:hAnsiTheme="majorHAnsi"/>
        </w:rPr>
        <w:t xml:space="preserve"> There is an assumption that reflective practice takes place </w:t>
      </w:r>
      <w:r w:rsidR="00B960F0" w:rsidRPr="00B960F0">
        <w:rPr>
          <w:rFonts w:asciiTheme="majorHAnsi" w:hAnsiTheme="majorHAnsi"/>
          <w:i/>
        </w:rPr>
        <w:t>after</w:t>
      </w:r>
      <w:r w:rsidR="00B960F0">
        <w:rPr>
          <w:rFonts w:asciiTheme="majorHAnsi" w:hAnsiTheme="majorHAnsi"/>
        </w:rPr>
        <w:t xml:space="preserve"> the event that is being reflected on. This is how I understood reflective practice throughout my PGCE (PCET) course. However, </w:t>
      </w:r>
      <w:proofErr w:type="gramStart"/>
      <w:r w:rsidR="00A21834">
        <w:rPr>
          <w:rFonts w:asciiTheme="majorHAnsi" w:hAnsiTheme="majorHAnsi"/>
        </w:rPr>
        <w:t>Rolfe(</w:t>
      </w:r>
      <w:proofErr w:type="gramEnd"/>
      <w:r w:rsidR="00A21834">
        <w:rPr>
          <w:rFonts w:asciiTheme="majorHAnsi" w:hAnsiTheme="majorHAnsi"/>
        </w:rPr>
        <w:t>2014, 1179), who  writ</w:t>
      </w:r>
      <w:r w:rsidR="00B960F0">
        <w:rPr>
          <w:rFonts w:asciiTheme="majorHAnsi" w:hAnsiTheme="majorHAnsi"/>
        </w:rPr>
        <w:t>es</w:t>
      </w:r>
      <w:r w:rsidR="00A21834">
        <w:rPr>
          <w:rFonts w:asciiTheme="majorHAnsi" w:hAnsiTheme="majorHAnsi"/>
        </w:rPr>
        <w:t xml:space="preserve"> primarily about nursing but applies his ideas to education, makes a case for philosopher and professor Donald Sch</w:t>
      </w:r>
      <w:r w:rsidR="00A21834">
        <w:rPr>
          <w:rFonts w:ascii="Calibri Light" w:hAnsi="Calibri Light"/>
        </w:rPr>
        <w:t>ö</w:t>
      </w:r>
      <w:r w:rsidR="00A21834">
        <w:rPr>
          <w:rFonts w:asciiTheme="majorHAnsi" w:hAnsiTheme="majorHAnsi"/>
        </w:rPr>
        <w:t>n’s (1930-1997) reflection-in-action</w:t>
      </w:r>
      <w:r w:rsidR="00B960F0">
        <w:rPr>
          <w:rFonts w:asciiTheme="majorHAnsi" w:hAnsiTheme="majorHAnsi"/>
        </w:rPr>
        <w:t>,</w:t>
      </w:r>
      <w:r w:rsidR="00A21834">
        <w:rPr>
          <w:rFonts w:asciiTheme="majorHAnsi" w:hAnsiTheme="majorHAnsi"/>
        </w:rPr>
        <w:t xml:space="preserve"> where a practitioner reflects not </w:t>
      </w:r>
      <w:r w:rsidR="00A21834" w:rsidRPr="00B960F0">
        <w:rPr>
          <w:rFonts w:asciiTheme="majorHAnsi" w:hAnsiTheme="majorHAnsi"/>
          <w:i/>
        </w:rPr>
        <w:t xml:space="preserve">after </w:t>
      </w:r>
      <w:r w:rsidR="00A21834">
        <w:rPr>
          <w:rFonts w:asciiTheme="majorHAnsi" w:hAnsiTheme="majorHAnsi"/>
        </w:rPr>
        <w:t xml:space="preserve">the event but </w:t>
      </w:r>
      <w:r w:rsidR="00A21834" w:rsidRPr="00B960F0">
        <w:rPr>
          <w:rFonts w:asciiTheme="majorHAnsi" w:hAnsiTheme="majorHAnsi"/>
          <w:i/>
        </w:rPr>
        <w:t>during</w:t>
      </w:r>
      <w:r w:rsidR="00A21834">
        <w:rPr>
          <w:rFonts w:asciiTheme="majorHAnsi" w:hAnsiTheme="majorHAnsi"/>
        </w:rPr>
        <w:t xml:space="preserve"> the</w:t>
      </w:r>
      <w:r w:rsidR="00B960F0">
        <w:rPr>
          <w:rFonts w:asciiTheme="majorHAnsi" w:hAnsiTheme="majorHAnsi"/>
        </w:rPr>
        <w:t xml:space="preserve"> event</w:t>
      </w:r>
      <w:r w:rsidR="00A21834" w:rsidRPr="00A21834">
        <w:rPr>
          <w:rFonts w:asciiTheme="majorHAnsi" w:hAnsiTheme="majorHAnsi"/>
        </w:rPr>
        <w:t xml:space="preserve">. As with nursing, most problems </w:t>
      </w:r>
      <w:r w:rsidR="00A21834" w:rsidRPr="00A21834">
        <w:rPr>
          <w:rFonts w:asciiTheme="majorHAnsi" w:hAnsiTheme="majorHAnsi"/>
        </w:rPr>
        <w:lastRenderedPageBreak/>
        <w:t>that teachers face in the classroom are complex, with many contribut</w:t>
      </w:r>
      <w:r w:rsidR="00B960F0">
        <w:rPr>
          <w:rFonts w:asciiTheme="majorHAnsi" w:hAnsiTheme="majorHAnsi"/>
        </w:rPr>
        <w:t>ory</w:t>
      </w:r>
      <w:r w:rsidR="00A21834" w:rsidRPr="00A21834">
        <w:rPr>
          <w:rFonts w:asciiTheme="majorHAnsi" w:hAnsiTheme="majorHAnsi"/>
        </w:rPr>
        <w:t xml:space="preserve"> factors. </w:t>
      </w:r>
      <w:r w:rsidR="00A21834">
        <w:rPr>
          <w:rFonts w:asciiTheme="majorHAnsi" w:hAnsiTheme="majorHAnsi"/>
        </w:rPr>
        <w:t>Engaging in r</w:t>
      </w:r>
      <w:r w:rsidR="00A21834" w:rsidRPr="00DF5C85">
        <w:rPr>
          <w:rFonts w:asciiTheme="majorHAnsi" w:hAnsiTheme="majorHAnsi"/>
        </w:rPr>
        <w:t>eflection</w:t>
      </w:r>
      <w:r w:rsidR="00A21834">
        <w:rPr>
          <w:rFonts w:asciiTheme="majorHAnsi" w:hAnsiTheme="majorHAnsi"/>
        </w:rPr>
        <w:t xml:space="preserve"> </w:t>
      </w:r>
      <w:r w:rsidR="00A21834" w:rsidRPr="00B960F0">
        <w:rPr>
          <w:rFonts w:asciiTheme="majorHAnsi" w:hAnsiTheme="majorHAnsi"/>
          <w:i/>
        </w:rPr>
        <w:t>after</w:t>
      </w:r>
      <w:r w:rsidR="00A21834">
        <w:rPr>
          <w:rFonts w:asciiTheme="majorHAnsi" w:hAnsiTheme="majorHAnsi"/>
        </w:rPr>
        <w:t xml:space="preserve"> the event (reflection-on-action), </w:t>
      </w:r>
      <w:r w:rsidR="00A21834" w:rsidRPr="00DF5C85">
        <w:rPr>
          <w:rFonts w:asciiTheme="majorHAnsi" w:hAnsiTheme="majorHAnsi"/>
        </w:rPr>
        <w:t>although useful in analysing a particular situation</w:t>
      </w:r>
      <w:r w:rsidR="00A21834">
        <w:rPr>
          <w:rFonts w:asciiTheme="majorHAnsi" w:hAnsiTheme="majorHAnsi"/>
        </w:rPr>
        <w:t>,</w:t>
      </w:r>
      <w:r w:rsidR="00A21834" w:rsidRPr="00DF5C85">
        <w:rPr>
          <w:rFonts w:asciiTheme="majorHAnsi" w:hAnsiTheme="majorHAnsi"/>
        </w:rPr>
        <w:t xml:space="preserve"> will</w:t>
      </w:r>
      <w:r w:rsidR="00B960F0">
        <w:rPr>
          <w:rFonts w:asciiTheme="majorHAnsi" w:hAnsiTheme="majorHAnsi"/>
        </w:rPr>
        <w:t xml:space="preserve"> </w:t>
      </w:r>
      <w:r w:rsidR="00A21834" w:rsidRPr="00DF5C85">
        <w:rPr>
          <w:rFonts w:asciiTheme="majorHAnsi" w:hAnsiTheme="majorHAnsi"/>
        </w:rPr>
        <w:t>be of little use</w:t>
      </w:r>
      <w:r w:rsidR="00B960F0">
        <w:rPr>
          <w:rFonts w:asciiTheme="majorHAnsi" w:hAnsiTheme="majorHAnsi"/>
        </w:rPr>
        <w:t>, according to Rolfe (2014, 1180)</w:t>
      </w:r>
      <w:r w:rsidR="00A21834" w:rsidRPr="00DF5C85">
        <w:rPr>
          <w:rFonts w:asciiTheme="majorHAnsi" w:hAnsiTheme="majorHAnsi"/>
        </w:rPr>
        <w:t xml:space="preserve"> in terms of future situations.</w:t>
      </w:r>
      <w:r w:rsidR="00A21834" w:rsidRPr="00A21834">
        <w:rPr>
          <w:rFonts w:asciiTheme="majorHAnsi" w:hAnsiTheme="majorHAnsi"/>
          <w:color w:val="2E2E2E"/>
        </w:rPr>
        <w:t xml:space="preserve"> </w:t>
      </w:r>
      <w:r w:rsidR="00B960F0">
        <w:rPr>
          <w:rFonts w:asciiTheme="majorHAnsi" w:hAnsiTheme="majorHAnsi"/>
          <w:color w:val="2E2E2E"/>
        </w:rPr>
        <w:t>H</w:t>
      </w:r>
      <w:r w:rsidR="00A21834">
        <w:rPr>
          <w:rFonts w:asciiTheme="majorHAnsi" w:hAnsiTheme="majorHAnsi"/>
          <w:color w:val="2E2E2E"/>
        </w:rPr>
        <w:t xml:space="preserve">e suggests </w:t>
      </w:r>
      <w:r w:rsidR="00B960F0">
        <w:rPr>
          <w:rFonts w:asciiTheme="majorHAnsi" w:hAnsiTheme="majorHAnsi"/>
          <w:color w:val="2E2E2E"/>
        </w:rPr>
        <w:t xml:space="preserve">a more collaborative approach to reflective practice which involves teachers forming </w:t>
      </w:r>
      <w:r w:rsidR="00A21834">
        <w:rPr>
          <w:rFonts w:asciiTheme="majorHAnsi" w:hAnsiTheme="majorHAnsi"/>
          <w:color w:val="2E2E2E"/>
        </w:rPr>
        <w:t xml:space="preserve">educational relationships with their learners </w:t>
      </w:r>
      <w:r w:rsidR="00B960F0">
        <w:rPr>
          <w:rFonts w:asciiTheme="majorHAnsi" w:hAnsiTheme="majorHAnsi"/>
          <w:color w:val="2E2E2E"/>
        </w:rPr>
        <w:t xml:space="preserve">in order to work together to </w:t>
      </w:r>
      <w:r w:rsidR="00A21834">
        <w:rPr>
          <w:rFonts w:asciiTheme="majorHAnsi" w:hAnsiTheme="majorHAnsi"/>
          <w:color w:val="2E2E2E"/>
        </w:rPr>
        <w:t>debate and address</w:t>
      </w:r>
      <w:r w:rsidR="00B960F0">
        <w:rPr>
          <w:rFonts w:asciiTheme="majorHAnsi" w:hAnsiTheme="majorHAnsi"/>
          <w:color w:val="2E2E2E"/>
        </w:rPr>
        <w:t xml:space="preserve"> </w:t>
      </w:r>
      <w:r w:rsidR="00B960F0">
        <w:rPr>
          <w:rFonts w:asciiTheme="majorHAnsi" w:hAnsiTheme="majorHAnsi"/>
          <w:color w:val="2E2E2E"/>
        </w:rPr>
        <w:t xml:space="preserve">actual </w:t>
      </w:r>
      <w:r w:rsidR="00B960F0">
        <w:rPr>
          <w:rFonts w:asciiTheme="majorHAnsi" w:hAnsiTheme="majorHAnsi"/>
          <w:color w:val="2E2E2E"/>
        </w:rPr>
        <w:t xml:space="preserve">practice </w:t>
      </w:r>
      <w:r w:rsidR="00B960F0">
        <w:rPr>
          <w:rFonts w:asciiTheme="majorHAnsi" w:hAnsiTheme="majorHAnsi"/>
          <w:color w:val="2E2E2E"/>
        </w:rPr>
        <w:t xml:space="preserve">problems </w:t>
      </w:r>
      <w:r w:rsidR="00A21834">
        <w:rPr>
          <w:rFonts w:asciiTheme="majorHAnsi" w:hAnsiTheme="majorHAnsi"/>
          <w:color w:val="2E2E2E"/>
        </w:rPr>
        <w:t xml:space="preserve">through ‘on-the-spot experimenting’ </w:t>
      </w:r>
      <w:r w:rsidR="00A21834">
        <w:rPr>
          <w:rFonts w:asciiTheme="majorHAnsi" w:hAnsiTheme="majorHAnsi"/>
        </w:rPr>
        <w:t>(Rolfe, 2014, 1181)</w:t>
      </w:r>
      <w:r w:rsidR="00A21834">
        <w:rPr>
          <w:rFonts w:asciiTheme="majorHAnsi" w:hAnsiTheme="majorHAnsi"/>
        </w:rPr>
        <w:t xml:space="preserve">. </w:t>
      </w:r>
    </w:p>
    <w:p w14:paraId="2E8F1996" w14:textId="42D5673C" w:rsidR="002347C2" w:rsidRDefault="002347C2" w:rsidP="00B960F0">
      <w:pPr>
        <w:spacing w:line="360" w:lineRule="auto"/>
      </w:pPr>
    </w:p>
    <w:p w14:paraId="153B448B" w14:textId="66EC469F" w:rsidR="0040488E" w:rsidRDefault="002347C2" w:rsidP="00DF5C85">
      <w:pPr>
        <w:spacing w:line="360" w:lineRule="auto"/>
        <w:rPr>
          <w:rFonts w:asciiTheme="majorHAnsi" w:hAnsiTheme="majorHAnsi"/>
          <w:color w:val="2E2E2E"/>
        </w:rPr>
      </w:pPr>
      <w:r w:rsidRPr="002347C2">
        <w:rPr>
          <w:rFonts w:asciiTheme="majorHAnsi" w:hAnsiTheme="majorHAnsi"/>
          <w:color w:val="2E2E2E"/>
        </w:rPr>
        <w:t>I have shown how the current focus on reflective practice might be positively skewed by the government’s economically-motivated attempts to prove that UK HEIs are world class in terms of quality and excellence of teaching and research. However, exploring some criticisms of reflecti</w:t>
      </w:r>
      <w:r>
        <w:rPr>
          <w:rFonts w:asciiTheme="majorHAnsi" w:hAnsiTheme="majorHAnsi"/>
          <w:color w:val="2E2E2E"/>
        </w:rPr>
        <w:t>ve practice</w:t>
      </w:r>
      <w:r w:rsidRPr="002347C2">
        <w:rPr>
          <w:rFonts w:asciiTheme="majorHAnsi" w:hAnsiTheme="majorHAnsi"/>
          <w:color w:val="2E2E2E"/>
        </w:rPr>
        <w:t xml:space="preserve"> has </w:t>
      </w:r>
      <w:r>
        <w:rPr>
          <w:rFonts w:asciiTheme="majorHAnsi" w:hAnsiTheme="majorHAnsi"/>
          <w:color w:val="2E2E2E"/>
        </w:rPr>
        <w:t xml:space="preserve">simultaneously </w:t>
      </w:r>
      <w:r w:rsidRPr="002347C2">
        <w:rPr>
          <w:rFonts w:asciiTheme="majorHAnsi" w:hAnsiTheme="majorHAnsi"/>
          <w:color w:val="2E2E2E"/>
        </w:rPr>
        <w:t>brought to light the real, day-to-day, potential value of reflective practice to teachers and learners</w:t>
      </w:r>
      <w:r>
        <w:rPr>
          <w:rFonts w:asciiTheme="majorHAnsi" w:hAnsiTheme="majorHAnsi"/>
          <w:color w:val="2E2E2E"/>
        </w:rPr>
        <w:t xml:space="preserve"> but only</w:t>
      </w:r>
      <w:r w:rsidRPr="002347C2">
        <w:rPr>
          <w:rFonts w:asciiTheme="majorHAnsi" w:hAnsiTheme="majorHAnsi"/>
          <w:color w:val="2E2E2E"/>
        </w:rPr>
        <w:t xml:space="preserve"> if it is properly understood and appropriately implemented. </w:t>
      </w:r>
      <w:r>
        <w:rPr>
          <w:rFonts w:asciiTheme="majorHAnsi" w:hAnsiTheme="majorHAnsi"/>
          <w:color w:val="2E2E2E"/>
        </w:rPr>
        <w:t>As Finlay, 2008, 10) says, ‘d</w:t>
      </w:r>
      <w:r w:rsidRPr="002347C2">
        <w:rPr>
          <w:rFonts w:asciiTheme="majorHAnsi" w:hAnsiTheme="majorHAnsi"/>
          <w:color w:val="2E2E2E"/>
        </w:rPr>
        <w:t>one well and effectively, reflective practice can be an enormously powerful tool to examine and transform practice</w:t>
      </w:r>
      <w:r>
        <w:rPr>
          <w:rFonts w:asciiTheme="majorHAnsi" w:hAnsiTheme="majorHAnsi"/>
          <w:color w:val="2E2E2E"/>
        </w:rPr>
        <w:t>’</w:t>
      </w:r>
      <w:r w:rsidRPr="002347C2">
        <w:rPr>
          <w:rFonts w:asciiTheme="majorHAnsi" w:hAnsiTheme="majorHAnsi"/>
          <w:color w:val="2E2E2E"/>
        </w:rPr>
        <w:t xml:space="preserve">. </w:t>
      </w:r>
      <w:r>
        <w:rPr>
          <w:rFonts w:asciiTheme="majorHAnsi" w:hAnsiTheme="majorHAnsi"/>
          <w:color w:val="2E2E2E"/>
        </w:rPr>
        <w:t xml:space="preserve">To take my research further I would develop the idea of collaborative reflection, not just between teacher and learner but via, for example,  action learning groups, where action learning is defined as a ‘process of learning and reflection that happens with the support of a group or set of colleagues working on real problems with the intention of getting things done’(Campbell and Norton, 2007, 45). This would lead naturally on to a critique of the publication of research based on the reflective practice of individual practitioners and action learning groups. </w:t>
      </w:r>
    </w:p>
    <w:p w14:paraId="115E2592" w14:textId="63D4036A" w:rsidR="002347C2" w:rsidRDefault="002347C2" w:rsidP="00DF5C85">
      <w:pPr>
        <w:spacing w:line="360" w:lineRule="auto"/>
        <w:rPr>
          <w:rFonts w:asciiTheme="majorHAnsi" w:hAnsiTheme="majorHAnsi"/>
          <w:color w:val="2E2E2E"/>
        </w:rPr>
      </w:pPr>
    </w:p>
    <w:p w14:paraId="5793EE3F" w14:textId="6127C093" w:rsidR="002347C2" w:rsidRDefault="002347C2" w:rsidP="00DF5C85">
      <w:pPr>
        <w:spacing w:line="360" w:lineRule="auto"/>
        <w:rPr>
          <w:rFonts w:asciiTheme="majorHAnsi" w:hAnsiTheme="majorHAnsi"/>
          <w:color w:val="2E2E2E"/>
        </w:rPr>
      </w:pPr>
    </w:p>
    <w:p w14:paraId="3CEB844D" w14:textId="77777777" w:rsidR="002347C2" w:rsidRPr="002347C2" w:rsidRDefault="002347C2" w:rsidP="002347C2">
      <w:pPr>
        <w:rPr>
          <w:rFonts w:asciiTheme="minorHAnsi" w:hAnsiTheme="minorHAnsi"/>
          <w:b/>
        </w:rPr>
      </w:pPr>
      <w:r w:rsidRPr="002347C2">
        <w:rPr>
          <w:rFonts w:asciiTheme="minorHAnsi" w:hAnsiTheme="minorHAnsi"/>
          <w:b/>
        </w:rPr>
        <w:t>References</w:t>
      </w:r>
    </w:p>
    <w:p w14:paraId="323F5929" w14:textId="77777777" w:rsidR="002347C2" w:rsidRDefault="002347C2" w:rsidP="002347C2"/>
    <w:p w14:paraId="434C55E8" w14:textId="77777777" w:rsidR="002347C2" w:rsidRPr="0040488E" w:rsidRDefault="002347C2" w:rsidP="002347C2">
      <w:pPr>
        <w:rPr>
          <w:rFonts w:asciiTheme="minorHAnsi" w:eastAsiaTheme="minorHAnsi" w:hAnsiTheme="minorHAnsi" w:cstheme="minorBidi"/>
        </w:rPr>
      </w:pPr>
      <w:proofErr w:type="spellStart"/>
      <w:r w:rsidRPr="0040488E">
        <w:rPr>
          <w:rFonts w:asciiTheme="minorHAnsi" w:eastAsiaTheme="minorHAnsi" w:hAnsiTheme="minorHAnsi" w:cstheme="minorBidi"/>
        </w:rPr>
        <w:t>AdvanceHE</w:t>
      </w:r>
      <w:proofErr w:type="spellEnd"/>
      <w:r w:rsidRPr="0040488E">
        <w:rPr>
          <w:rFonts w:asciiTheme="minorHAnsi" w:eastAsiaTheme="minorHAnsi" w:hAnsiTheme="minorHAnsi" w:cstheme="minorBidi"/>
        </w:rPr>
        <w:t xml:space="preserve"> (2018) </w:t>
      </w:r>
      <w:r w:rsidRPr="00033A8A">
        <w:rPr>
          <w:rFonts w:asciiTheme="minorHAnsi" w:eastAsiaTheme="minorHAnsi" w:hAnsiTheme="minorHAnsi" w:cstheme="minorBidi"/>
          <w:i/>
        </w:rPr>
        <w:t>Reflective Practice</w:t>
      </w:r>
      <w:r w:rsidRPr="0040488E">
        <w:rPr>
          <w:rFonts w:asciiTheme="minorHAnsi" w:eastAsiaTheme="minorHAnsi" w:hAnsiTheme="minorHAnsi" w:cstheme="minorBidi"/>
        </w:rPr>
        <w:t>. [online]. Available at https://www.heacademy.ac.uk/knowledge-hub/reflective-practice (accessed 17/05/2019)</w:t>
      </w:r>
    </w:p>
    <w:p w14:paraId="62888137" w14:textId="77777777" w:rsidR="002347C2" w:rsidRDefault="002347C2" w:rsidP="002347C2">
      <w:pPr>
        <w:rPr>
          <w:rFonts w:asciiTheme="minorHAnsi" w:eastAsiaTheme="minorHAnsi" w:hAnsiTheme="minorHAnsi" w:cstheme="minorBidi"/>
        </w:rPr>
      </w:pPr>
    </w:p>
    <w:p w14:paraId="29D21650" w14:textId="77777777" w:rsidR="002347C2" w:rsidRPr="001A6DCA" w:rsidRDefault="002347C2" w:rsidP="002347C2">
      <w:pPr>
        <w:rPr>
          <w:rFonts w:asciiTheme="minorHAnsi" w:eastAsiaTheme="minorHAnsi" w:hAnsiTheme="minorHAnsi" w:cstheme="minorBidi"/>
        </w:rPr>
      </w:pPr>
      <w:r>
        <w:rPr>
          <w:rFonts w:asciiTheme="minorHAnsi" w:eastAsiaTheme="minorHAnsi" w:hAnsiTheme="minorHAnsi" w:cstheme="minorBidi"/>
        </w:rPr>
        <w:t xml:space="preserve">Busch, B. (2017). </w:t>
      </w:r>
      <w:r w:rsidRPr="001A6DCA">
        <w:rPr>
          <w:rFonts w:asciiTheme="minorHAnsi" w:eastAsiaTheme="minorHAnsi" w:hAnsiTheme="minorHAnsi" w:cstheme="minorBidi"/>
          <w:i/>
        </w:rPr>
        <w:t xml:space="preserve">Critical thinking: how to help your students become better learners. </w:t>
      </w:r>
      <w:r w:rsidRPr="001A6DCA">
        <w:rPr>
          <w:rFonts w:asciiTheme="minorHAnsi" w:eastAsiaTheme="minorHAnsi" w:hAnsiTheme="minorHAnsi" w:cstheme="minorBidi"/>
        </w:rPr>
        <w:t>The Guardian. [online]. Available at https://www.theguardian.com/teacher-network/2017/jul/21/critical-thinking-ideas-help-students-learn-bette</w:t>
      </w:r>
      <w:r w:rsidRPr="001A6DCA">
        <w:rPr>
          <w:rFonts w:asciiTheme="minorHAnsi" w:eastAsiaTheme="minorHAnsi" w:hAnsiTheme="minorHAnsi" w:cstheme="minorBidi"/>
        </w:rPr>
        <w:t>r</w:t>
      </w:r>
      <w:r w:rsidRPr="001A6DCA">
        <w:rPr>
          <w:rFonts w:asciiTheme="minorHAnsi" w:eastAsiaTheme="minorHAnsi" w:hAnsiTheme="minorHAnsi" w:cstheme="minorBidi"/>
        </w:rPr>
        <w:t xml:space="preserve"> (accessed 20/05/2019)</w:t>
      </w:r>
    </w:p>
    <w:p w14:paraId="7BAED426" w14:textId="77777777" w:rsidR="002347C2" w:rsidRDefault="002347C2" w:rsidP="002347C2">
      <w:pPr>
        <w:rPr>
          <w:rFonts w:asciiTheme="minorHAnsi" w:eastAsiaTheme="minorHAnsi" w:hAnsiTheme="minorHAnsi" w:cstheme="minorBidi"/>
        </w:rPr>
      </w:pPr>
    </w:p>
    <w:p w14:paraId="7D0DB4E1" w14:textId="77777777" w:rsidR="002347C2" w:rsidRDefault="002347C2" w:rsidP="002347C2">
      <w:pPr>
        <w:rPr>
          <w:rFonts w:asciiTheme="minorHAnsi" w:eastAsiaTheme="minorHAnsi" w:hAnsiTheme="minorHAnsi" w:cstheme="minorBidi"/>
        </w:rPr>
      </w:pPr>
      <w:r w:rsidRPr="001A6DCA">
        <w:rPr>
          <w:rFonts w:asciiTheme="minorHAnsi" w:eastAsiaTheme="minorHAnsi" w:hAnsiTheme="minorHAnsi" w:cstheme="minorBidi"/>
        </w:rPr>
        <w:t xml:space="preserve">Cambridge International Education Teaching and Learning Team (2019). </w:t>
      </w:r>
      <w:r>
        <w:rPr>
          <w:rFonts w:asciiTheme="minorHAnsi" w:eastAsiaTheme="minorHAnsi" w:hAnsiTheme="minorHAnsi" w:cstheme="minorBidi"/>
        </w:rPr>
        <w:t>‘</w:t>
      </w:r>
      <w:r w:rsidRPr="001A6DCA">
        <w:rPr>
          <w:rFonts w:asciiTheme="minorHAnsi" w:eastAsiaTheme="minorHAnsi" w:hAnsiTheme="minorHAnsi" w:cstheme="minorBidi"/>
        </w:rPr>
        <w:t>Getting Started with Reflective Practice</w:t>
      </w:r>
      <w:r>
        <w:rPr>
          <w:rFonts w:asciiTheme="minorHAnsi" w:eastAsiaTheme="minorHAnsi" w:hAnsiTheme="minorHAnsi" w:cstheme="minorBidi"/>
        </w:rPr>
        <w:t>’</w:t>
      </w:r>
      <w:r w:rsidRPr="001A6DCA">
        <w:rPr>
          <w:rFonts w:asciiTheme="minorHAnsi" w:eastAsiaTheme="minorHAnsi" w:hAnsiTheme="minorHAnsi" w:cstheme="minorBidi"/>
        </w:rPr>
        <w:t xml:space="preserve">. </w:t>
      </w:r>
      <w:r w:rsidRPr="001A6DCA">
        <w:rPr>
          <w:rFonts w:asciiTheme="minorHAnsi" w:eastAsiaTheme="minorHAnsi" w:hAnsiTheme="minorHAnsi" w:cstheme="minorBidi"/>
          <w:i/>
        </w:rPr>
        <w:t>Cambridge Assessment: international education</w:t>
      </w:r>
      <w:r w:rsidRPr="001A6DCA">
        <w:rPr>
          <w:rFonts w:asciiTheme="minorHAnsi" w:eastAsiaTheme="minorHAnsi" w:hAnsiTheme="minorHAnsi" w:cstheme="minorBidi"/>
        </w:rPr>
        <w:t xml:space="preserve">. [online]. Available </w:t>
      </w:r>
      <w:r w:rsidRPr="001A6DCA">
        <w:rPr>
          <w:rFonts w:asciiTheme="minorHAnsi" w:eastAsiaTheme="minorHAnsi" w:hAnsiTheme="minorHAnsi" w:cstheme="minorBidi"/>
        </w:rPr>
        <w:lastRenderedPageBreak/>
        <w:t xml:space="preserve">at https://www.cambridge-community.org.uk/professional-development/gswrp/index.html (accessed 20/05/2019) </w:t>
      </w:r>
    </w:p>
    <w:p w14:paraId="11E11E57" w14:textId="77777777" w:rsidR="002347C2" w:rsidRPr="0040488E" w:rsidRDefault="002347C2" w:rsidP="002347C2">
      <w:pPr>
        <w:rPr>
          <w:rFonts w:asciiTheme="minorHAnsi" w:eastAsiaTheme="minorHAnsi" w:hAnsiTheme="minorHAnsi" w:cstheme="minorBidi"/>
        </w:rPr>
      </w:pPr>
    </w:p>
    <w:p w14:paraId="0455BA2A" w14:textId="77777777" w:rsidR="002347C2" w:rsidRDefault="002347C2" w:rsidP="002347C2">
      <w:pPr>
        <w:rPr>
          <w:rFonts w:asciiTheme="minorHAnsi" w:eastAsiaTheme="minorHAnsi" w:hAnsiTheme="minorHAnsi" w:cstheme="minorBidi"/>
        </w:rPr>
      </w:pPr>
      <w:r w:rsidRPr="0040488E">
        <w:rPr>
          <w:rFonts w:asciiTheme="minorHAnsi" w:eastAsiaTheme="minorHAnsi" w:hAnsiTheme="minorHAnsi" w:cstheme="minorBidi"/>
        </w:rPr>
        <w:t xml:space="preserve">Campbell, A. &amp; Norton, L. (Eds.) (2007) </w:t>
      </w:r>
      <w:r w:rsidRPr="00C23E7A">
        <w:rPr>
          <w:rFonts w:asciiTheme="minorHAnsi" w:eastAsiaTheme="minorHAnsi" w:hAnsiTheme="minorHAnsi" w:cstheme="minorBidi"/>
          <w:i/>
        </w:rPr>
        <w:t>Learning, Teaching and Assessing in Higher Education: Developing Reflective Practice</w:t>
      </w:r>
      <w:r w:rsidRPr="0040488E">
        <w:rPr>
          <w:rFonts w:asciiTheme="minorHAnsi" w:eastAsiaTheme="minorHAnsi" w:hAnsiTheme="minorHAnsi" w:cstheme="minorBidi"/>
        </w:rPr>
        <w:t xml:space="preserve">. Exeter: Learning Matters Ltd. </w:t>
      </w:r>
    </w:p>
    <w:p w14:paraId="67D38677" w14:textId="77777777" w:rsidR="002347C2" w:rsidRDefault="002347C2" w:rsidP="002347C2">
      <w:pPr>
        <w:rPr>
          <w:rFonts w:asciiTheme="minorHAnsi" w:eastAsiaTheme="minorHAnsi" w:hAnsiTheme="minorHAnsi" w:cstheme="minorBidi"/>
        </w:rPr>
      </w:pPr>
    </w:p>
    <w:p w14:paraId="38DA7FB0" w14:textId="77777777" w:rsidR="002347C2" w:rsidRDefault="002347C2" w:rsidP="002347C2">
      <w:pPr>
        <w:rPr>
          <w:rFonts w:asciiTheme="minorHAnsi" w:eastAsiaTheme="minorHAnsi" w:hAnsiTheme="minorHAnsi" w:cstheme="minorBidi"/>
        </w:rPr>
      </w:pPr>
      <w:proofErr w:type="gramStart"/>
      <w:r>
        <w:rPr>
          <w:rFonts w:asciiTheme="minorHAnsi" w:eastAsiaTheme="minorHAnsi" w:hAnsiTheme="minorHAnsi" w:cstheme="minorBidi"/>
        </w:rPr>
        <w:t>College.jobs.ac.uk(</w:t>
      </w:r>
      <w:proofErr w:type="gramEnd"/>
      <w:r>
        <w:rPr>
          <w:rFonts w:asciiTheme="minorHAnsi" w:eastAsiaTheme="minorHAnsi" w:hAnsiTheme="minorHAnsi" w:cstheme="minorBidi"/>
        </w:rPr>
        <w:t xml:space="preserve">2016). </w:t>
      </w:r>
      <w:r w:rsidRPr="00033A8A">
        <w:rPr>
          <w:rFonts w:asciiTheme="minorHAnsi" w:eastAsiaTheme="minorHAnsi" w:hAnsiTheme="minorHAnsi" w:cstheme="minorBidi"/>
          <w:i/>
        </w:rPr>
        <w:t xml:space="preserve">Continuing Professional </w:t>
      </w:r>
      <w:proofErr w:type="gramStart"/>
      <w:r w:rsidRPr="00033A8A">
        <w:rPr>
          <w:rFonts w:asciiTheme="minorHAnsi" w:eastAsiaTheme="minorHAnsi" w:hAnsiTheme="minorHAnsi" w:cstheme="minorBidi"/>
          <w:i/>
        </w:rPr>
        <w:t>Development(</w:t>
      </w:r>
      <w:proofErr w:type="gramEnd"/>
      <w:r w:rsidRPr="00033A8A">
        <w:rPr>
          <w:rFonts w:asciiTheme="minorHAnsi" w:eastAsiaTheme="minorHAnsi" w:hAnsiTheme="minorHAnsi" w:cstheme="minorBidi"/>
          <w:i/>
        </w:rPr>
        <w:t>CPD) in Further Education.</w:t>
      </w:r>
      <w:r>
        <w:rPr>
          <w:rFonts w:asciiTheme="minorHAnsi" w:eastAsiaTheme="minorHAnsi" w:hAnsiTheme="minorHAnsi" w:cstheme="minorBidi"/>
        </w:rPr>
        <w:t xml:space="preserve"> [online]. Available at </w:t>
      </w:r>
      <w:r w:rsidRPr="00033A8A">
        <w:rPr>
          <w:rFonts w:asciiTheme="minorHAnsi" w:eastAsiaTheme="minorHAnsi" w:hAnsiTheme="minorHAnsi" w:cstheme="minorBidi"/>
        </w:rPr>
        <w:t>https://college.jobs.ac.uk/article/continuing-professional-development-cpd-in-further-education/</w:t>
      </w:r>
      <w:r>
        <w:rPr>
          <w:rFonts w:asciiTheme="minorHAnsi" w:eastAsiaTheme="minorHAnsi" w:hAnsiTheme="minorHAnsi" w:cstheme="minorBidi"/>
        </w:rPr>
        <w:t xml:space="preserve"> (accessed 21/05/2019)</w:t>
      </w:r>
    </w:p>
    <w:p w14:paraId="31615177" w14:textId="77777777" w:rsidR="002347C2" w:rsidRDefault="002347C2" w:rsidP="002347C2">
      <w:pPr>
        <w:rPr>
          <w:rFonts w:asciiTheme="minorHAnsi" w:eastAsiaTheme="minorHAnsi" w:hAnsiTheme="minorHAnsi" w:cstheme="minorBidi"/>
        </w:rPr>
      </w:pPr>
    </w:p>
    <w:p w14:paraId="7D7F037D" w14:textId="77777777" w:rsidR="002347C2" w:rsidRDefault="002347C2" w:rsidP="002347C2">
      <w:pPr>
        <w:rPr>
          <w:rFonts w:asciiTheme="minorHAnsi" w:eastAsiaTheme="minorHAnsi" w:hAnsiTheme="minorHAnsi" w:cstheme="minorBidi"/>
        </w:rPr>
      </w:pPr>
      <w:r>
        <w:rPr>
          <w:rFonts w:asciiTheme="minorHAnsi" w:eastAsiaTheme="minorHAnsi" w:hAnsiTheme="minorHAnsi" w:cstheme="minorBidi"/>
        </w:rPr>
        <w:t>Dewey, J. (1910). How we think. Amherst, NY: Prometheus Books (1991 edition)</w:t>
      </w:r>
    </w:p>
    <w:p w14:paraId="0CB5DAA2" w14:textId="77777777" w:rsidR="002347C2" w:rsidRDefault="002347C2" w:rsidP="002347C2">
      <w:pPr>
        <w:rPr>
          <w:rFonts w:asciiTheme="minorHAnsi" w:eastAsiaTheme="minorHAnsi" w:hAnsiTheme="minorHAnsi" w:cstheme="minorBidi"/>
        </w:rPr>
      </w:pPr>
    </w:p>
    <w:p w14:paraId="37913505" w14:textId="77777777" w:rsidR="002347C2" w:rsidRPr="000F2D00" w:rsidRDefault="002347C2" w:rsidP="002347C2">
      <w:pPr>
        <w:rPr>
          <w:rFonts w:asciiTheme="minorHAnsi" w:eastAsiaTheme="minorHAnsi" w:hAnsiTheme="minorHAnsi" w:cstheme="minorBidi"/>
        </w:rPr>
      </w:pPr>
      <w:r>
        <w:rPr>
          <w:rFonts w:asciiTheme="minorHAnsi" w:eastAsiaTheme="minorHAnsi" w:hAnsiTheme="minorHAnsi" w:cstheme="minorBidi"/>
        </w:rPr>
        <w:t>Education Workforce Council (EWC) (2019</w:t>
      </w:r>
      <w:r w:rsidRPr="000F2D00">
        <w:rPr>
          <w:rFonts w:asciiTheme="minorHAnsi" w:eastAsiaTheme="minorHAnsi" w:hAnsiTheme="minorHAnsi" w:cstheme="minorBidi"/>
          <w:i/>
        </w:rPr>
        <w:t>). Code of Professional Conduct and Practice for Registrants with the Education Workforce Council.</w:t>
      </w:r>
      <w:r w:rsidRPr="000F2D00">
        <w:rPr>
          <w:rFonts w:asciiTheme="minorHAnsi" w:eastAsiaTheme="minorHAnsi" w:hAnsiTheme="minorHAnsi" w:cstheme="minorBidi"/>
        </w:rPr>
        <w:t xml:space="preserve"> [online]. Available at </w:t>
      </w:r>
      <w:hyperlink r:id="rId5" w:history="1">
        <w:r w:rsidRPr="000F2D00">
          <w:rPr>
            <w:rFonts w:asciiTheme="minorHAnsi" w:eastAsiaTheme="minorHAnsi" w:hAnsiTheme="minorHAnsi" w:cstheme="minorBidi"/>
          </w:rPr>
          <w:t>https://www.ewc.wales/site/index.php/en/fitness-to-practise/code-of-professional-conduct-and-practice-pdf/file.html</w:t>
        </w:r>
      </w:hyperlink>
      <w:r w:rsidRPr="000F2D00">
        <w:rPr>
          <w:rFonts w:asciiTheme="minorHAnsi" w:eastAsiaTheme="minorHAnsi" w:hAnsiTheme="minorHAnsi" w:cstheme="minorBidi"/>
        </w:rPr>
        <w:t xml:space="preserve"> (accessed 24/05/2019) </w:t>
      </w:r>
    </w:p>
    <w:p w14:paraId="58ABD52F" w14:textId="77777777" w:rsidR="002347C2" w:rsidRDefault="002347C2" w:rsidP="002347C2">
      <w:pPr>
        <w:rPr>
          <w:rFonts w:asciiTheme="minorHAnsi" w:eastAsiaTheme="minorHAnsi" w:hAnsiTheme="minorHAnsi" w:cstheme="minorBidi"/>
        </w:rPr>
      </w:pPr>
    </w:p>
    <w:p w14:paraId="531E5A25" w14:textId="77777777" w:rsidR="002347C2" w:rsidRPr="000F2D00" w:rsidRDefault="002347C2" w:rsidP="002347C2">
      <w:pPr>
        <w:rPr>
          <w:rFonts w:asciiTheme="minorHAnsi" w:eastAsiaTheme="minorHAnsi" w:hAnsiTheme="minorHAnsi" w:cstheme="minorBidi"/>
        </w:rPr>
      </w:pPr>
      <w:proofErr w:type="spellStart"/>
      <w:r w:rsidRPr="000F2D00">
        <w:rPr>
          <w:rFonts w:asciiTheme="minorHAnsi" w:eastAsiaTheme="minorHAnsi" w:hAnsiTheme="minorHAnsi" w:cstheme="minorBidi"/>
        </w:rPr>
        <w:t>Fook</w:t>
      </w:r>
      <w:proofErr w:type="spellEnd"/>
      <w:r w:rsidRPr="000F2D00">
        <w:rPr>
          <w:rFonts w:asciiTheme="minorHAnsi" w:eastAsiaTheme="minorHAnsi" w:hAnsiTheme="minorHAnsi" w:cstheme="minorBidi"/>
        </w:rPr>
        <w:t xml:space="preserve">, J., White, S. and Gardner, F. (2006) </w:t>
      </w:r>
      <w:r w:rsidRPr="000F2D00">
        <w:rPr>
          <w:rFonts w:asciiTheme="minorHAnsi" w:eastAsiaTheme="minorHAnsi" w:hAnsiTheme="minorHAnsi" w:cstheme="minorBidi"/>
          <w:i/>
        </w:rPr>
        <w:t>Critical reflection: a review of contemporary literature and understandings.</w:t>
      </w:r>
      <w:r w:rsidRPr="000F2D00">
        <w:rPr>
          <w:rFonts w:asciiTheme="minorHAnsi" w:eastAsiaTheme="minorHAnsi" w:hAnsiTheme="minorHAnsi" w:cstheme="minorBidi"/>
        </w:rPr>
        <w:t xml:space="preserve"> In </w:t>
      </w:r>
      <w:proofErr w:type="spellStart"/>
      <w:proofErr w:type="gramStart"/>
      <w:r w:rsidRPr="000F2D00">
        <w:rPr>
          <w:rFonts w:asciiTheme="minorHAnsi" w:eastAsiaTheme="minorHAnsi" w:hAnsiTheme="minorHAnsi" w:cstheme="minorBidi"/>
        </w:rPr>
        <w:t>S.White</w:t>
      </w:r>
      <w:proofErr w:type="spellEnd"/>
      <w:proofErr w:type="gramEnd"/>
      <w:r w:rsidRPr="000F2D00">
        <w:rPr>
          <w:rFonts w:asciiTheme="minorHAnsi" w:eastAsiaTheme="minorHAnsi" w:hAnsiTheme="minorHAnsi" w:cstheme="minorBidi"/>
        </w:rPr>
        <w:t xml:space="preserve">, </w:t>
      </w:r>
      <w:proofErr w:type="spellStart"/>
      <w:r w:rsidRPr="000F2D00">
        <w:rPr>
          <w:rFonts w:asciiTheme="minorHAnsi" w:eastAsiaTheme="minorHAnsi" w:hAnsiTheme="minorHAnsi" w:cstheme="minorBidi"/>
        </w:rPr>
        <w:t>J.Fook</w:t>
      </w:r>
      <w:proofErr w:type="spellEnd"/>
      <w:r w:rsidRPr="000F2D00">
        <w:rPr>
          <w:rFonts w:asciiTheme="minorHAnsi" w:eastAsiaTheme="minorHAnsi" w:hAnsiTheme="minorHAnsi" w:cstheme="minorBidi"/>
        </w:rPr>
        <w:t xml:space="preserve"> and </w:t>
      </w:r>
      <w:proofErr w:type="spellStart"/>
      <w:r w:rsidRPr="000F2D00">
        <w:rPr>
          <w:rFonts w:asciiTheme="minorHAnsi" w:eastAsiaTheme="minorHAnsi" w:hAnsiTheme="minorHAnsi" w:cstheme="minorBidi"/>
        </w:rPr>
        <w:t>F.Gardner</w:t>
      </w:r>
      <w:proofErr w:type="spellEnd"/>
      <w:r w:rsidRPr="000F2D00">
        <w:rPr>
          <w:rFonts w:asciiTheme="minorHAnsi" w:eastAsiaTheme="minorHAnsi" w:hAnsiTheme="minorHAnsi" w:cstheme="minorBidi"/>
        </w:rPr>
        <w:t xml:space="preserve"> (eds.) Critical reflection in health and social care. Maidenhead, Berks: Open University Press</w:t>
      </w:r>
    </w:p>
    <w:p w14:paraId="4E7510C3" w14:textId="77777777" w:rsidR="002347C2" w:rsidRDefault="002347C2" w:rsidP="002347C2">
      <w:pPr>
        <w:rPr>
          <w:rFonts w:asciiTheme="minorHAnsi" w:eastAsiaTheme="minorHAnsi" w:hAnsiTheme="minorHAnsi" w:cstheme="minorBidi"/>
        </w:rPr>
      </w:pPr>
    </w:p>
    <w:p w14:paraId="7C10E213" w14:textId="77777777" w:rsidR="002347C2" w:rsidRDefault="002347C2" w:rsidP="002347C2">
      <w:pPr>
        <w:rPr>
          <w:rFonts w:asciiTheme="minorHAnsi" w:eastAsiaTheme="minorHAnsi" w:hAnsiTheme="minorHAnsi" w:cstheme="minorBidi"/>
        </w:rPr>
      </w:pPr>
      <w:r>
        <w:rPr>
          <w:rFonts w:asciiTheme="minorHAnsi" w:eastAsiaTheme="minorHAnsi" w:hAnsiTheme="minorHAnsi" w:cstheme="minorBidi"/>
        </w:rPr>
        <w:t xml:space="preserve">Finlay, L. (2008). Reflecting on ‘Reflective Practice’. </w:t>
      </w:r>
      <w:r w:rsidRPr="00033A8A">
        <w:rPr>
          <w:rFonts w:asciiTheme="minorHAnsi" w:eastAsiaTheme="minorHAnsi" w:hAnsiTheme="minorHAnsi" w:cstheme="minorBidi"/>
          <w:i/>
        </w:rPr>
        <w:t>A discussion paper prepared for The Open U</w:t>
      </w:r>
      <w:r>
        <w:rPr>
          <w:rFonts w:asciiTheme="minorHAnsi" w:eastAsiaTheme="minorHAnsi" w:hAnsiTheme="minorHAnsi" w:cstheme="minorBidi"/>
          <w:i/>
        </w:rPr>
        <w:t>n</w:t>
      </w:r>
      <w:r w:rsidRPr="00033A8A">
        <w:rPr>
          <w:rFonts w:asciiTheme="minorHAnsi" w:eastAsiaTheme="minorHAnsi" w:hAnsiTheme="minorHAnsi" w:cstheme="minorBidi"/>
          <w:i/>
        </w:rPr>
        <w:t xml:space="preserve">iversity: PBPL CETL. </w:t>
      </w:r>
      <w:r>
        <w:rPr>
          <w:rFonts w:asciiTheme="minorHAnsi" w:eastAsiaTheme="minorHAnsi" w:hAnsiTheme="minorHAnsi" w:cstheme="minorBidi"/>
        </w:rPr>
        <w:t xml:space="preserve">[online]. Available at </w:t>
      </w:r>
      <w:hyperlink r:id="rId6" w:history="1">
        <w:r w:rsidRPr="00715FA7">
          <w:rPr>
            <w:rFonts w:asciiTheme="minorHAnsi" w:eastAsiaTheme="minorHAnsi" w:hAnsiTheme="minorHAnsi" w:cstheme="minorBidi"/>
          </w:rPr>
          <w:t>https://www.open.ac.uk/opencetl/sites/www.open.ac.uk.opencetl/files/files/ecms/web-content/Finlay-(2008)-Reflecting-on-reflective-practice-PBPL-paper-52.pdf</w:t>
        </w:r>
      </w:hyperlink>
      <w:r>
        <w:rPr>
          <w:rFonts w:asciiTheme="minorHAnsi" w:eastAsiaTheme="minorHAnsi" w:hAnsiTheme="minorHAnsi" w:cstheme="minorBidi"/>
        </w:rPr>
        <w:t xml:space="preserve"> (accessed 21/05/2019) </w:t>
      </w:r>
    </w:p>
    <w:p w14:paraId="2EBDFFEB" w14:textId="77777777" w:rsidR="002347C2" w:rsidRDefault="002347C2" w:rsidP="002347C2">
      <w:pPr>
        <w:rPr>
          <w:rFonts w:asciiTheme="minorHAnsi" w:eastAsiaTheme="minorHAnsi" w:hAnsiTheme="minorHAnsi" w:cstheme="minorBidi"/>
        </w:rPr>
      </w:pPr>
    </w:p>
    <w:p w14:paraId="4A0FAE84" w14:textId="77777777" w:rsidR="002347C2" w:rsidRPr="0040488E" w:rsidRDefault="002347C2" w:rsidP="002347C2">
      <w:pPr>
        <w:rPr>
          <w:rFonts w:asciiTheme="minorHAnsi" w:eastAsiaTheme="minorHAnsi" w:hAnsiTheme="minorHAnsi" w:cstheme="minorBidi"/>
        </w:rPr>
      </w:pPr>
      <w:r>
        <w:rPr>
          <w:rFonts w:asciiTheme="minorHAnsi" w:eastAsiaTheme="minorHAnsi" w:hAnsiTheme="minorHAnsi" w:cstheme="minorBidi"/>
        </w:rPr>
        <w:t>Hargreaves, J. (2003). ‘</w:t>
      </w:r>
      <w:r w:rsidRPr="0040488E">
        <w:rPr>
          <w:rFonts w:asciiTheme="minorHAnsi" w:eastAsiaTheme="minorHAnsi" w:hAnsiTheme="minorHAnsi" w:cstheme="minorBidi"/>
        </w:rPr>
        <w:t>So how do you feel about that? Assessing reflective practice</w:t>
      </w:r>
      <w:r>
        <w:rPr>
          <w:rFonts w:asciiTheme="minorHAnsi" w:eastAsiaTheme="minorHAnsi" w:hAnsiTheme="minorHAnsi" w:cstheme="minorBidi"/>
        </w:rPr>
        <w:t xml:space="preserve">’. </w:t>
      </w:r>
      <w:r w:rsidRPr="0040488E">
        <w:rPr>
          <w:rFonts w:asciiTheme="minorHAnsi" w:eastAsiaTheme="minorHAnsi" w:hAnsiTheme="minorHAnsi" w:cstheme="minorBidi"/>
          <w:i/>
        </w:rPr>
        <w:t>Nurse Education Today</w:t>
      </w:r>
      <w:r>
        <w:rPr>
          <w:rFonts w:asciiTheme="minorHAnsi" w:eastAsiaTheme="minorHAnsi" w:hAnsiTheme="minorHAnsi" w:cstheme="minorBidi"/>
        </w:rPr>
        <w:t>. 24 (3). pp196-201</w:t>
      </w:r>
    </w:p>
    <w:p w14:paraId="56A6D71E" w14:textId="77777777" w:rsidR="002347C2" w:rsidRDefault="002347C2" w:rsidP="002347C2">
      <w:pPr>
        <w:rPr>
          <w:rFonts w:asciiTheme="minorHAnsi" w:eastAsiaTheme="minorHAnsi" w:hAnsiTheme="minorHAnsi" w:cstheme="minorBidi"/>
        </w:rPr>
      </w:pPr>
    </w:p>
    <w:p w14:paraId="59977995" w14:textId="77777777" w:rsidR="002347C2" w:rsidRPr="000379CE" w:rsidRDefault="002347C2" w:rsidP="002347C2">
      <w:pPr>
        <w:rPr>
          <w:rFonts w:asciiTheme="minorHAnsi" w:eastAsiaTheme="minorHAnsi" w:hAnsiTheme="minorHAnsi" w:cstheme="minorBidi"/>
        </w:rPr>
      </w:pPr>
      <w:r w:rsidRPr="000379CE">
        <w:rPr>
          <w:rFonts w:asciiTheme="minorHAnsi" w:eastAsiaTheme="minorHAnsi" w:hAnsiTheme="minorHAnsi" w:cstheme="minorBidi"/>
        </w:rPr>
        <w:t xml:space="preserve">Harman, G. (2011) </w:t>
      </w:r>
      <w:r>
        <w:rPr>
          <w:rFonts w:asciiTheme="minorHAnsi" w:eastAsiaTheme="minorHAnsi" w:hAnsiTheme="minorHAnsi" w:cstheme="minorBidi"/>
        </w:rPr>
        <w:t>‘</w:t>
      </w:r>
      <w:r w:rsidRPr="000379CE">
        <w:rPr>
          <w:rFonts w:asciiTheme="minorHAnsi" w:eastAsiaTheme="minorHAnsi" w:hAnsiTheme="minorHAnsi" w:cstheme="minorBidi"/>
        </w:rPr>
        <w:t>Competitors of Rankings: New Directions in Quality Assurance and Accountability</w:t>
      </w:r>
      <w:r>
        <w:rPr>
          <w:rFonts w:asciiTheme="minorHAnsi" w:eastAsiaTheme="minorHAnsi" w:hAnsiTheme="minorHAnsi" w:cstheme="minorBidi"/>
        </w:rPr>
        <w:t>’</w:t>
      </w:r>
      <w:r w:rsidRPr="000379CE">
        <w:rPr>
          <w:rFonts w:asciiTheme="minorHAnsi" w:eastAsiaTheme="minorHAnsi" w:hAnsiTheme="minorHAnsi" w:cstheme="minorBidi"/>
        </w:rPr>
        <w:t xml:space="preserve">. In Shin, J. C., </w:t>
      </w:r>
      <w:proofErr w:type="spellStart"/>
      <w:r w:rsidRPr="000379CE">
        <w:rPr>
          <w:rFonts w:asciiTheme="minorHAnsi" w:eastAsiaTheme="minorHAnsi" w:hAnsiTheme="minorHAnsi" w:cstheme="minorBidi"/>
        </w:rPr>
        <w:t>Toutkoushian</w:t>
      </w:r>
      <w:proofErr w:type="spellEnd"/>
      <w:r w:rsidRPr="000379CE">
        <w:rPr>
          <w:rFonts w:asciiTheme="minorHAnsi" w:eastAsiaTheme="minorHAnsi" w:hAnsiTheme="minorHAnsi" w:cstheme="minorBidi"/>
        </w:rPr>
        <w:t xml:space="preserve">, R. K. and </w:t>
      </w:r>
      <w:proofErr w:type="spellStart"/>
      <w:r w:rsidRPr="000379CE">
        <w:rPr>
          <w:rFonts w:asciiTheme="minorHAnsi" w:eastAsiaTheme="minorHAnsi" w:hAnsiTheme="minorHAnsi" w:cstheme="minorBidi"/>
        </w:rPr>
        <w:t>Teichler</w:t>
      </w:r>
      <w:proofErr w:type="spellEnd"/>
      <w:r w:rsidRPr="000379CE">
        <w:rPr>
          <w:rFonts w:asciiTheme="minorHAnsi" w:eastAsiaTheme="minorHAnsi" w:hAnsiTheme="minorHAnsi" w:cstheme="minorBidi"/>
        </w:rPr>
        <w:t>, U. (Eds.) University Rankings. Theoretical Basis, Methodology and Impacts on Global Higher Education. Dordrecht: Springer</w:t>
      </w:r>
    </w:p>
    <w:p w14:paraId="2320213F" w14:textId="77777777" w:rsidR="002347C2" w:rsidRDefault="002347C2" w:rsidP="002347C2">
      <w:pPr>
        <w:rPr>
          <w:rFonts w:asciiTheme="minorHAnsi" w:eastAsiaTheme="minorHAnsi" w:hAnsiTheme="minorHAnsi" w:cstheme="minorBidi"/>
        </w:rPr>
      </w:pPr>
    </w:p>
    <w:p w14:paraId="22A838BE" w14:textId="77777777" w:rsidR="002347C2" w:rsidRDefault="002347C2" w:rsidP="002347C2">
      <w:pPr>
        <w:rPr>
          <w:rFonts w:asciiTheme="minorHAnsi" w:eastAsiaTheme="minorHAnsi" w:hAnsiTheme="minorHAnsi" w:cstheme="minorBidi"/>
        </w:rPr>
      </w:pPr>
      <w:proofErr w:type="spellStart"/>
      <w:r>
        <w:rPr>
          <w:rFonts w:asciiTheme="minorHAnsi" w:eastAsiaTheme="minorHAnsi" w:hAnsiTheme="minorHAnsi" w:cstheme="minorBidi"/>
        </w:rPr>
        <w:t>Hazelkorn</w:t>
      </w:r>
      <w:proofErr w:type="spellEnd"/>
      <w:r>
        <w:rPr>
          <w:rFonts w:asciiTheme="minorHAnsi" w:eastAsiaTheme="minorHAnsi" w:hAnsiTheme="minorHAnsi" w:cstheme="minorBidi"/>
        </w:rPr>
        <w:t xml:space="preserve">, E. (2013). ‘Reflections on Global problems of Higher education: a European Perspective’. </w:t>
      </w:r>
      <w:r w:rsidRPr="00033A8A">
        <w:rPr>
          <w:rFonts w:asciiTheme="minorHAnsi" w:eastAsiaTheme="minorHAnsi" w:hAnsiTheme="minorHAnsi" w:cstheme="minorBidi"/>
          <w:i/>
        </w:rPr>
        <w:t xml:space="preserve">AERA’s Division J and </w:t>
      </w:r>
      <w:proofErr w:type="spellStart"/>
      <w:proofErr w:type="gramStart"/>
      <w:r w:rsidRPr="00033A8A">
        <w:rPr>
          <w:rFonts w:asciiTheme="minorHAnsi" w:eastAsiaTheme="minorHAnsi" w:hAnsiTheme="minorHAnsi" w:cstheme="minorBidi"/>
          <w:i/>
        </w:rPr>
        <w:t>NAFSA:Association</w:t>
      </w:r>
      <w:proofErr w:type="spellEnd"/>
      <w:proofErr w:type="gramEnd"/>
      <w:r w:rsidRPr="00033A8A">
        <w:rPr>
          <w:rFonts w:asciiTheme="minorHAnsi" w:eastAsiaTheme="minorHAnsi" w:hAnsiTheme="minorHAnsi" w:cstheme="minorBidi"/>
          <w:i/>
        </w:rPr>
        <w:t xml:space="preserve"> of International Educators</w:t>
      </w:r>
      <w:r>
        <w:rPr>
          <w:rFonts w:asciiTheme="minorHAnsi" w:eastAsiaTheme="minorHAnsi" w:hAnsiTheme="minorHAnsi" w:cstheme="minorBidi"/>
        </w:rPr>
        <w:t xml:space="preserve">. [online]. Available at </w:t>
      </w:r>
      <w:hyperlink r:id="rId7" w:history="1">
        <w:r w:rsidRPr="00033A8A">
          <w:rPr>
            <w:rFonts w:asciiTheme="minorHAnsi" w:eastAsiaTheme="minorHAnsi" w:hAnsiTheme="minorHAnsi" w:cstheme="minorBidi"/>
          </w:rPr>
          <w:t>https://www.nafsa.org/_/File/_/reflections_on_global.pdf</w:t>
        </w:r>
      </w:hyperlink>
      <w:r>
        <w:rPr>
          <w:rFonts w:asciiTheme="minorHAnsi" w:eastAsiaTheme="minorHAnsi" w:hAnsiTheme="minorHAnsi" w:cstheme="minorBidi"/>
        </w:rPr>
        <w:t xml:space="preserve"> (accessed 20/05/2019)</w:t>
      </w:r>
    </w:p>
    <w:p w14:paraId="2A95961C" w14:textId="77777777" w:rsidR="002347C2" w:rsidRDefault="002347C2" w:rsidP="002347C2">
      <w:pPr>
        <w:rPr>
          <w:rFonts w:asciiTheme="minorHAnsi" w:eastAsiaTheme="minorHAnsi" w:hAnsiTheme="minorHAnsi" w:cstheme="minorBidi"/>
        </w:rPr>
      </w:pPr>
    </w:p>
    <w:p w14:paraId="47AC75C8" w14:textId="77777777" w:rsidR="002347C2" w:rsidRDefault="002347C2" w:rsidP="002347C2">
      <w:pPr>
        <w:rPr>
          <w:rFonts w:asciiTheme="minorHAnsi" w:eastAsiaTheme="minorHAnsi" w:hAnsiTheme="minorHAnsi" w:cstheme="minorBidi"/>
        </w:rPr>
      </w:pPr>
      <w:r>
        <w:rPr>
          <w:rFonts w:asciiTheme="minorHAnsi" w:eastAsiaTheme="minorHAnsi" w:hAnsiTheme="minorHAnsi" w:cstheme="minorBidi"/>
        </w:rPr>
        <w:t xml:space="preserve">Higher Education Academy (year unknown). </w:t>
      </w:r>
      <w:r w:rsidRPr="00033A8A">
        <w:rPr>
          <w:rFonts w:asciiTheme="minorHAnsi" w:eastAsiaTheme="minorHAnsi" w:hAnsiTheme="minorHAnsi" w:cstheme="minorBidi"/>
          <w:i/>
        </w:rPr>
        <w:t>Student Progress Files</w:t>
      </w:r>
      <w:r>
        <w:rPr>
          <w:rFonts w:asciiTheme="minorHAnsi" w:eastAsiaTheme="minorHAnsi" w:hAnsiTheme="minorHAnsi" w:cstheme="minorBidi"/>
        </w:rPr>
        <w:t xml:space="preserve">. [online]. Available at </w:t>
      </w:r>
      <w:hyperlink r:id="rId8" w:history="1">
        <w:r w:rsidRPr="00033A8A">
          <w:rPr>
            <w:rFonts w:asciiTheme="minorHAnsi" w:eastAsiaTheme="minorHAnsi" w:hAnsiTheme="minorHAnsi" w:cstheme="minorBidi"/>
          </w:rPr>
          <w:t>https://www.heacademy.ac.uk/system/files/student-progress-files.pdf</w:t>
        </w:r>
      </w:hyperlink>
      <w:r>
        <w:rPr>
          <w:rFonts w:asciiTheme="minorHAnsi" w:eastAsiaTheme="minorHAnsi" w:hAnsiTheme="minorHAnsi" w:cstheme="minorBidi"/>
        </w:rPr>
        <w:t xml:space="preserve"> (accessed 20/05/2019)</w:t>
      </w:r>
    </w:p>
    <w:p w14:paraId="3E2F49AE" w14:textId="77777777" w:rsidR="002347C2" w:rsidRDefault="002347C2" w:rsidP="002347C2">
      <w:pPr>
        <w:rPr>
          <w:rFonts w:asciiTheme="minorHAnsi" w:eastAsiaTheme="minorHAnsi" w:hAnsiTheme="minorHAnsi" w:cstheme="minorBidi"/>
        </w:rPr>
      </w:pPr>
    </w:p>
    <w:p w14:paraId="372A71C0" w14:textId="77777777" w:rsidR="002347C2" w:rsidRDefault="002347C2" w:rsidP="002347C2">
      <w:pPr>
        <w:rPr>
          <w:rFonts w:asciiTheme="minorHAnsi" w:eastAsiaTheme="minorHAnsi" w:hAnsiTheme="minorHAnsi" w:cstheme="minorBidi"/>
        </w:rPr>
      </w:pPr>
      <w:r>
        <w:rPr>
          <w:rFonts w:asciiTheme="minorHAnsi" w:eastAsiaTheme="minorHAnsi" w:hAnsiTheme="minorHAnsi" w:cstheme="minorBidi"/>
        </w:rPr>
        <w:t xml:space="preserve">Higher Education Academy (2015). </w:t>
      </w:r>
      <w:r w:rsidRPr="00033A8A">
        <w:rPr>
          <w:rFonts w:asciiTheme="minorHAnsi" w:eastAsiaTheme="minorHAnsi" w:hAnsiTheme="minorHAnsi" w:cstheme="minorBidi"/>
          <w:i/>
        </w:rPr>
        <w:t xml:space="preserve">Fellowship of the Higher Education Academy: Guidance Notes. </w:t>
      </w:r>
      <w:r>
        <w:rPr>
          <w:rFonts w:asciiTheme="minorHAnsi" w:eastAsiaTheme="minorHAnsi" w:hAnsiTheme="minorHAnsi" w:cstheme="minorBidi"/>
        </w:rPr>
        <w:t xml:space="preserve">[online]. Available at </w:t>
      </w:r>
      <w:r w:rsidRPr="00033A8A">
        <w:rPr>
          <w:rFonts w:asciiTheme="minorHAnsi" w:eastAsiaTheme="minorHAnsi" w:hAnsiTheme="minorHAnsi" w:cstheme="minorBidi"/>
        </w:rPr>
        <w:t xml:space="preserve">https://www.heacademy.ac.uk/system/files/downloads/fhea-guidance-for-applicants_0.pdf </w:t>
      </w:r>
      <w:r>
        <w:rPr>
          <w:rFonts w:asciiTheme="minorHAnsi" w:eastAsiaTheme="minorHAnsi" w:hAnsiTheme="minorHAnsi" w:cstheme="minorBidi"/>
        </w:rPr>
        <w:t xml:space="preserve">(accessed 21/05/2019) </w:t>
      </w:r>
    </w:p>
    <w:p w14:paraId="725AAEE9" w14:textId="77777777" w:rsidR="002347C2" w:rsidRDefault="002347C2" w:rsidP="002347C2">
      <w:pPr>
        <w:rPr>
          <w:rFonts w:asciiTheme="minorHAnsi" w:eastAsiaTheme="minorHAnsi" w:hAnsiTheme="minorHAnsi" w:cstheme="minorBidi"/>
        </w:rPr>
      </w:pPr>
    </w:p>
    <w:p w14:paraId="1BF50A85" w14:textId="77777777" w:rsidR="002347C2" w:rsidRPr="000F2D00" w:rsidRDefault="002347C2" w:rsidP="002347C2">
      <w:pPr>
        <w:rPr>
          <w:rFonts w:asciiTheme="minorHAnsi" w:eastAsiaTheme="minorHAnsi" w:hAnsiTheme="minorHAnsi" w:cstheme="minorBidi"/>
        </w:rPr>
      </w:pPr>
      <w:r w:rsidRPr="000F2D00">
        <w:rPr>
          <w:rFonts w:asciiTheme="minorHAnsi" w:eastAsiaTheme="minorHAnsi" w:hAnsiTheme="minorHAnsi" w:cstheme="minorBidi"/>
        </w:rPr>
        <w:t xml:space="preserve">Kahn, P. et al. (2006) </w:t>
      </w:r>
      <w:r w:rsidRPr="000F2D00">
        <w:rPr>
          <w:rFonts w:asciiTheme="minorHAnsi" w:eastAsiaTheme="minorHAnsi" w:hAnsiTheme="minorHAnsi" w:cstheme="minorBidi"/>
          <w:i/>
        </w:rPr>
        <w:t xml:space="preserve">The Role and Effectiveness of Reflective Practices in Programmes for New Academic Staff: A Grounded Practitioner </w:t>
      </w:r>
      <w:r w:rsidRPr="000F2D00">
        <w:rPr>
          <w:rFonts w:asciiTheme="minorHAnsi" w:eastAsiaTheme="minorHAnsi" w:hAnsiTheme="minorHAnsi" w:cstheme="minorBidi"/>
        </w:rPr>
        <w:t>Review of the Research Literature; Executive Summary</w:t>
      </w:r>
      <w:r w:rsidRPr="000F2D00">
        <w:rPr>
          <w:rFonts w:asciiTheme="minorHAnsi" w:eastAsiaTheme="minorHAnsi" w:hAnsiTheme="minorHAnsi" w:cstheme="minorBidi"/>
          <w:i/>
        </w:rPr>
        <w:t>.</w:t>
      </w:r>
      <w:r w:rsidRPr="000F2D00">
        <w:rPr>
          <w:rFonts w:asciiTheme="minorHAnsi" w:eastAsiaTheme="minorHAnsi" w:hAnsiTheme="minorHAnsi" w:cstheme="minorBidi"/>
        </w:rPr>
        <w:t xml:space="preserve"> University of Manchester</w:t>
      </w:r>
      <w:r>
        <w:rPr>
          <w:rFonts w:asciiTheme="minorHAnsi" w:eastAsiaTheme="minorHAnsi" w:hAnsiTheme="minorHAnsi" w:cstheme="minorBidi"/>
        </w:rPr>
        <w:t xml:space="preserve"> (</w:t>
      </w:r>
      <w:r w:rsidRPr="000F2D00">
        <w:rPr>
          <w:rFonts w:asciiTheme="minorHAnsi" w:eastAsiaTheme="minorHAnsi" w:hAnsiTheme="minorHAnsi" w:cstheme="minorBidi"/>
        </w:rPr>
        <w:t>Higher Education Academy</w:t>
      </w:r>
      <w:r>
        <w:rPr>
          <w:rFonts w:asciiTheme="minorHAnsi" w:eastAsiaTheme="minorHAnsi" w:hAnsiTheme="minorHAnsi" w:cstheme="minorBidi"/>
        </w:rPr>
        <w:t>)</w:t>
      </w:r>
      <w:r w:rsidRPr="000F2D00">
        <w:rPr>
          <w:rFonts w:asciiTheme="minorHAnsi" w:eastAsiaTheme="minorHAnsi" w:hAnsiTheme="minorHAnsi" w:cstheme="minorBidi"/>
        </w:rPr>
        <w:t>.</w:t>
      </w:r>
      <w:r>
        <w:rPr>
          <w:rFonts w:asciiTheme="minorHAnsi" w:eastAsiaTheme="minorHAnsi" w:hAnsiTheme="minorHAnsi" w:cstheme="minorBidi"/>
        </w:rPr>
        <w:t xml:space="preserve"> [online]. Available at </w:t>
      </w:r>
      <w:r w:rsidRPr="000F2D00">
        <w:rPr>
          <w:rFonts w:asciiTheme="minorHAnsi" w:eastAsiaTheme="minorHAnsi" w:hAnsiTheme="minorHAnsi" w:cstheme="minorBidi"/>
        </w:rPr>
        <w:t>https://www.heacademy.ac.uk/system/files/reflective_practice_full_report.pdf</w:t>
      </w:r>
      <w:r>
        <w:rPr>
          <w:rFonts w:asciiTheme="minorHAnsi" w:eastAsiaTheme="minorHAnsi" w:hAnsiTheme="minorHAnsi" w:cstheme="minorBidi"/>
        </w:rPr>
        <w:t xml:space="preserve"> (accessed 23/05/2019)</w:t>
      </w:r>
    </w:p>
    <w:p w14:paraId="22A15D1F" w14:textId="77777777" w:rsidR="002347C2" w:rsidRDefault="002347C2" w:rsidP="002347C2">
      <w:pPr>
        <w:rPr>
          <w:rFonts w:asciiTheme="minorHAnsi" w:eastAsiaTheme="minorHAnsi" w:hAnsiTheme="minorHAnsi" w:cstheme="minorBidi"/>
        </w:rPr>
      </w:pPr>
    </w:p>
    <w:p w14:paraId="237E28B5" w14:textId="77777777" w:rsidR="002347C2" w:rsidRDefault="002347C2" w:rsidP="002347C2">
      <w:pPr>
        <w:rPr>
          <w:rFonts w:asciiTheme="minorHAnsi" w:eastAsiaTheme="minorHAnsi" w:hAnsiTheme="minorHAnsi" w:cstheme="minorBidi"/>
        </w:rPr>
      </w:pPr>
      <w:r>
        <w:rPr>
          <w:rFonts w:asciiTheme="minorHAnsi" w:eastAsiaTheme="minorHAnsi" w:hAnsiTheme="minorHAnsi" w:cstheme="minorBidi"/>
        </w:rPr>
        <w:t xml:space="preserve">King, H. (2004). ‘Continuing Professional Development in Higher Education: what do academics do?’ </w:t>
      </w:r>
      <w:r w:rsidRPr="00033A8A">
        <w:rPr>
          <w:rFonts w:asciiTheme="minorHAnsi" w:eastAsiaTheme="minorHAnsi" w:hAnsiTheme="minorHAnsi" w:cstheme="minorBidi"/>
          <w:i/>
        </w:rPr>
        <w:t>The Magazine of Staff and Educational Development Association Ltd (SEDA). 5(4).</w:t>
      </w:r>
      <w:r>
        <w:rPr>
          <w:rFonts w:asciiTheme="minorHAnsi" w:eastAsiaTheme="minorHAnsi" w:hAnsiTheme="minorHAnsi" w:cstheme="minorBidi"/>
        </w:rPr>
        <w:t xml:space="preserve"> [online]. Available at </w:t>
      </w:r>
      <w:hyperlink r:id="rId9" w:history="1">
        <w:r w:rsidRPr="00033A8A">
          <w:rPr>
            <w:rFonts w:asciiTheme="minorHAnsi" w:eastAsiaTheme="minorHAnsi" w:hAnsiTheme="minorHAnsi" w:cstheme="minorBidi"/>
          </w:rPr>
          <w:t>https://www.seda.ac.uk/resources/files/publications_25_Educational%20Dev%205.4.pdf</w:t>
        </w:r>
      </w:hyperlink>
      <w:r>
        <w:rPr>
          <w:rFonts w:asciiTheme="minorHAnsi" w:eastAsiaTheme="minorHAnsi" w:hAnsiTheme="minorHAnsi" w:cstheme="minorBidi"/>
        </w:rPr>
        <w:t xml:space="preserve"> (accessed 21/05/2019)</w:t>
      </w:r>
    </w:p>
    <w:p w14:paraId="39EC754E" w14:textId="77777777" w:rsidR="002347C2" w:rsidRDefault="002347C2" w:rsidP="002347C2">
      <w:pPr>
        <w:rPr>
          <w:rFonts w:asciiTheme="minorHAnsi" w:eastAsiaTheme="minorHAnsi" w:hAnsiTheme="minorHAnsi" w:cstheme="minorBidi"/>
        </w:rPr>
      </w:pPr>
    </w:p>
    <w:p w14:paraId="3F5D0B1A" w14:textId="77777777" w:rsidR="002347C2" w:rsidRPr="00C23E7A" w:rsidRDefault="002347C2" w:rsidP="002347C2">
      <w:pPr>
        <w:rPr>
          <w:rFonts w:asciiTheme="minorHAnsi" w:eastAsiaTheme="minorHAnsi" w:hAnsiTheme="minorHAnsi" w:cstheme="minorBidi"/>
        </w:rPr>
      </w:pPr>
      <w:proofErr w:type="spellStart"/>
      <w:r w:rsidRPr="00C23E7A">
        <w:rPr>
          <w:rFonts w:asciiTheme="minorHAnsi" w:eastAsiaTheme="minorHAnsi" w:hAnsiTheme="minorHAnsi" w:cstheme="minorBidi"/>
        </w:rPr>
        <w:t>Larrivee</w:t>
      </w:r>
      <w:proofErr w:type="spellEnd"/>
      <w:r w:rsidRPr="00C23E7A">
        <w:rPr>
          <w:rFonts w:asciiTheme="minorHAnsi" w:eastAsiaTheme="minorHAnsi" w:hAnsiTheme="minorHAnsi" w:cstheme="minorBidi"/>
        </w:rPr>
        <w:t>, B. (2008)</w:t>
      </w:r>
      <w:r>
        <w:rPr>
          <w:rFonts w:asciiTheme="minorHAnsi" w:eastAsiaTheme="minorHAnsi" w:hAnsiTheme="minorHAnsi" w:cstheme="minorBidi"/>
        </w:rPr>
        <w:t>.</w:t>
      </w:r>
      <w:r w:rsidRPr="00C23E7A">
        <w:rPr>
          <w:rFonts w:asciiTheme="minorHAnsi" w:eastAsiaTheme="minorHAnsi" w:hAnsiTheme="minorHAnsi" w:cstheme="minorBidi"/>
        </w:rPr>
        <w:t xml:space="preserve"> </w:t>
      </w:r>
      <w:r>
        <w:rPr>
          <w:rFonts w:asciiTheme="minorHAnsi" w:eastAsiaTheme="minorHAnsi" w:hAnsiTheme="minorHAnsi" w:cstheme="minorBidi"/>
        </w:rPr>
        <w:t>‘</w:t>
      </w:r>
      <w:r w:rsidRPr="00C23E7A">
        <w:rPr>
          <w:rFonts w:asciiTheme="minorHAnsi" w:eastAsiaTheme="minorHAnsi" w:hAnsiTheme="minorHAnsi" w:cstheme="minorBidi"/>
        </w:rPr>
        <w:t>Development of a tool to assess teachers' level of reflective practice</w:t>
      </w:r>
      <w:r>
        <w:rPr>
          <w:rFonts w:asciiTheme="minorHAnsi" w:eastAsiaTheme="minorHAnsi" w:hAnsiTheme="minorHAnsi" w:cstheme="minorBidi"/>
        </w:rPr>
        <w:t>’</w:t>
      </w:r>
      <w:r w:rsidRPr="00C23E7A">
        <w:rPr>
          <w:rFonts w:asciiTheme="minorHAnsi" w:eastAsiaTheme="minorHAnsi" w:hAnsiTheme="minorHAnsi" w:cstheme="minorBidi"/>
        </w:rPr>
        <w:t xml:space="preserve">, </w:t>
      </w:r>
      <w:r w:rsidRPr="00C23E7A">
        <w:rPr>
          <w:rFonts w:asciiTheme="minorHAnsi" w:eastAsiaTheme="minorHAnsi" w:hAnsiTheme="minorHAnsi" w:cstheme="minorBidi"/>
          <w:i/>
        </w:rPr>
        <w:t>Reflective Practice</w:t>
      </w:r>
      <w:r w:rsidRPr="00C23E7A">
        <w:rPr>
          <w:rFonts w:asciiTheme="minorHAnsi" w:eastAsiaTheme="minorHAnsi" w:hAnsiTheme="minorHAnsi" w:cstheme="minorBidi"/>
        </w:rPr>
        <w:t>, 9: 3, 341 — 360</w:t>
      </w:r>
    </w:p>
    <w:p w14:paraId="6F7FAF25" w14:textId="77777777" w:rsidR="002347C2" w:rsidRPr="0040488E" w:rsidRDefault="002347C2" w:rsidP="002347C2">
      <w:pPr>
        <w:rPr>
          <w:rFonts w:asciiTheme="minorHAnsi" w:eastAsiaTheme="minorHAnsi" w:hAnsiTheme="minorHAnsi" w:cstheme="minorBidi"/>
        </w:rPr>
      </w:pPr>
    </w:p>
    <w:p w14:paraId="106F2252" w14:textId="77777777" w:rsidR="002347C2" w:rsidRDefault="002347C2" w:rsidP="002347C2">
      <w:pPr>
        <w:rPr>
          <w:rFonts w:asciiTheme="minorHAnsi" w:eastAsiaTheme="minorHAnsi" w:hAnsiTheme="minorHAnsi" w:cstheme="minorBidi"/>
        </w:rPr>
      </w:pPr>
      <w:r w:rsidRPr="0040488E">
        <w:rPr>
          <w:rFonts w:asciiTheme="minorHAnsi" w:eastAsiaTheme="minorHAnsi" w:hAnsiTheme="minorHAnsi" w:cstheme="minorBidi"/>
        </w:rPr>
        <w:t xml:space="preserve">Moon, J. (2004). </w:t>
      </w:r>
      <w:r w:rsidRPr="0040488E">
        <w:rPr>
          <w:rFonts w:asciiTheme="minorHAnsi" w:eastAsiaTheme="minorHAnsi" w:hAnsiTheme="minorHAnsi" w:cstheme="minorBidi"/>
          <w:i/>
        </w:rPr>
        <w:t xml:space="preserve">A Handbook of Reflective and Experiential Learning: Theory and Practice. </w:t>
      </w:r>
      <w:r w:rsidRPr="0040488E">
        <w:rPr>
          <w:rFonts w:asciiTheme="minorHAnsi" w:eastAsiaTheme="minorHAnsi" w:hAnsiTheme="minorHAnsi" w:cstheme="minorBidi"/>
        </w:rPr>
        <w:t xml:space="preserve">Oxon: </w:t>
      </w:r>
      <w:proofErr w:type="spellStart"/>
      <w:r w:rsidRPr="0040488E">
        <w:rPr>
          <w:rFonts w:asciiTheme="minorHAnsi" w:eastAsiaTheme="minorHAnsi" w:hAnsiTheme="minorHAnsi" w:cstheme="minorBidi"/>
        </w:rPr>
        <w:t>RoutledgeFalmer</w:t>
      </w:r>
      <w:proofErr w:type="spellEnd"/>
    </w:p>
    <w:p w14:paraId="12844B48" w14:textId="77777777" w:rsidR="002347C2" w:rsidRDefault="002347C2" w:rsidP="002347C2">
      <w:pPr>
        <w:pStyle w:val="NormalWeb"/>
        <w:rPr>
          <w:rFonts w:asciiTheme="minorHAnsi" w:eastAsiaTheme="minorHAnsi" w:hAnsiTheme="minorHAnsi" w:cstheme="minorBidi"/>
        </w:rPr>
      </w:pPr>
      <w:r>
        <w:rPr>
          <w:rFonts w:asciiTheme="minorHAnsi" w:eastAsiaTheme="minorHAnsi" w:hAnsiTheme="minorHAnsi" w:cstheme="minorBidi"/>
        </w:rPr>
        <w:t xml:space="preserve">Moon, J. (2005). </w:t>
      </w:r>
      <w:r w:rsidRPr="00033A8A">
        <w:rPr>
          <w:rFonts w:asciiTheme="minorHAnsi" w:eastAsiaTheme="minorHAnsi" w:hAnsiTheme="minorHAnsi" w:cstheme="minorBidi"/>
          <w:i/>
        </w:rPr>
        <w:t xml:space="preserve">The Higher Education Academy: Guide for Busy Academics No. 4 Learning through reflection. </w:t>
      </w:r>
      <w:r>
        <w:rPr>
          <w:rFonts w:asciiTheme="minorHAnsi" w:eastAsiaTheme="minorHAnsi" w:hAnsiTheme="minorHAnsi" w:cstheme="minorBidi"/>
        </w:rPr>
        <w:t xml:space="preserve">[online]. Available at </w:t>
      </w:r>
      <w:hyperlink r:id="rId10" w:history="1">
        <w:r w:rsidRPr="00033A8A">
          <w:rPr>
            <w:rFonts w:asciiTheme="minorHAnsi" w:eastAsiaTheme="minorHAnsi" w:hAnsiTheme="minorHAnsi" w:cstheme="minorBidi"/>
          </w:rPr>
          <w:t>https://n</w:t>
        </w:r>
        <w:r w:rsidRPr="00033A8A">
          <w:rPr>
            <w:rFonts w:asciiTheme="minorHAnsi" w:eastAsiaTheme="minorHAnsi" w:hAnsiTheme="minorHAnsi" w:cstheme="minorBidi"/>
          </w:rPr>
          <w:t>u</w:t>
        </w:r>
        <w:r w:rsidRPr="00033A8A">
          <w:rPr>
            <w:rFonts w:asciiTheme="minorHAnsi" w:eastAsiaTheme="minorHAnsi" w:hAnsiTheme="minorHAnsi" w:cstheme="minorBidi"/>
          </w:rPr>
          <w:t>rsing-midwifery.tcd.ie/assets/director-s</w:t>
        </w:r>
        <w:r w:rsidRPr="00033A8A">
          <w:rPr>
            <w:rFonts w:asciiTheme="minorHAnsi" w:eastAsiaTheme="minorHAnsi" w:hAnsiTheme="minorHAnsi" w:cstheme="minorBidi"/>
          </w:rPr>
          <w:t>t</w:t>
        </w:r>
        <w:r w:rsidRPr="00033A8A">
          <w:rPr>
            <w:rFonts w:asciiTheme="minorHAnsi" w:eastAsiaTheme="minorHAnsi" w:hAnsiTheme="minorHAnsi" w:cstheme="minorBidi"/>
          </w:rPr>
          <w:t>a</w:t>
        </w:r>
        <w:r w:rsidRPr="00033A8A">
          <w:rPr>
            <w:rFonts w:asciiTheme="minorHAnsi" w:eastAsiaTheme="minorHAnsi" w:hAnsiTheme="minorHAnsi" w:cstheme="minorBidi"/>
          </w:rPr>
          <w:t>f</w:t>
        </w:r>
        <w:r w:rsidRPr="00033A8A">
          <w:rPr>
            <w:rFonts w:asciiTheme="minorHAnsi" w:eastAsiaTheme="minorHAnsi" w:hAnsiTheme="minorHAnsi" w:cstheme="minorBidi"/>
          </w:rPr>
          <w:t>f-edu-dev/pdf/Guide-</w:t>
        </w:r>
        <w:r w:rsidRPr="00033A8A">
          <w:rPr>
            <w:rFonts w:asciiTheme="minorHAnsi" w:eastAsiaTheme="minorHAnsi" w:hAnsiTheme="minorHAnsi" w:cstheme="minorBidi"/>
          </w:rPr>
          <w:t>f</w:t>
        </w:r>
        <w:r w:rsidRPr="00033A8A">
          <w:rPr>
            <w:rFonts w:asciiTheme="minorHAnsi" w:eastAsiaTheme="minorHAnsi" w:hAnsiTheme="minorHAnsi" w:cstheme="minorBidi"/>
          </w:rPr>
          <w:t>or-Busy-Academics-No1-4-HEA.pdf</w:t>
        </w:r>
      </w:hyperlink>
      <w:r>
        <w:rPr>
          <w:rFonts w:asciiTheme="minorHAnsi" w:eastAsiaTheme="minorHAnsi" w:hAnsiTheme="minorHAnsi" w:cstheme="minorBidi"/>
        </w:rPr>
        <w:t xml:space="preserve"> (accessed 18/05/2019)</w:t>
      </w:r>
    </w:p>
    <w:p w14:paraId="7848B210" w14:textId="77777777" w:rsidR="002347C2" w:rsidRDefault="002347C2" w:rsidP="002347C2">
      <w:pPr>
        <w:pStyle w:val="NormalWeb"/>
        <w:rPr>
          <w:rFonts w:ascii="GillSans" w:hAnsi="GillSans"/>
          <w:color w:val="211E1E"/>
          <w:sz w:val="36"/>
          <w:szCs w:val="36"/>
        </w:rPr>
      </w:pPr>
      <w:r>
        <w:rPr>
          <w:rFonts w:asciiTheme="minorHAnsi" w:eastAsiaTheme="minorHAnsi" w:hAnsiTheme="minorHAnsi" w:cstheme="minorBidi"/>
        </w:rPr>
        <w:t xml:space="preserve">Moon, J. (2006). </w:t>
      </w:r>
      <w:r w:rsidRPr="0040488E">
        <w:rPr>
          <w:rFonts w:asciiTheme="minorHAnsi" w:eastAsiaTheme="minorHAnsi" w:hAnsiTheme="minorHAnsi" w:cstheme="minorBidi"/>
          <w:i/>
        </w:rPr>
        <w:t>Learning Journals: A handbook for reflective practice and professional development.</w:t>
      </w:r>
      <w:r>
        <w:rPr>
          <w:rFonts w:asciiTheme="minorHAnsi" w:eastAsiaTheme="minorHAnsi" w:hAnsiTheme="minorHAnsi" w:cstheme="minorBidi"/>
        </w:rPr>
        <w:t xml:space="preserve"> 2</w:t>
      </w:r>
      <w:r w:rsidRPr="0040488E">
        <w:rPr>
          <w:rFonts w:asciiTheme="minorHAnsi" w:eastAsiaTheme="minorHAnsi" w:hAnsiTheme="minorHAnsi" w:cstheme="minorBidi"/>
          <w:vertAlign w:val="superscript"/>
        </w:rPr>
        <w:t>nd</w:t>
      </w:r>
      <w:r>
        <w:rPr>
          <w:rFonts w:asciiTheme="minorHAnsi" w:eastAsiaTheme="minorHAnsi" w:hAnsiTheme="minorHAnsi" w:cstheme="minorBidi"/>
        </w:rPr>
        <w:t xml:space="preserve"> Edition. London: Routledge</w:t>
      </w:r>
      <w:r>
        <w:rPr>
          <w:rFonts w:ascii="GillSans" w:hAnsi="GillSans"/>
          <w:color w:val="211E1E"/>
          <w:sz w:val="36"/>
          <w:szCs w:val="36"/>
        </w:rPr>
        <w:t xml:space="preserve"> </w:t>
      </w:r>
    </w:p>
    <w:p w14:paraId="17E416C3" w14:textId="77777777" w:rsidR="002347C2" w:rsidRDefault="002347C2" w:rsidP="002347C2">
      <w:pPr>
        <w:pStyle w:val="NormalWeb"/>
        <w:rPr>
          <w:rFonts w:asciiTheme="minorHAnsi" w:eastAsiaTheme="minorHAnsi" w:hAnsiTheme="minorHAnsi" w:cstheme="minorBidi"/>
        </w:rPr>
      </w:pPr>
      <w:r w:rsidRPr="00033A8A">
        <w:rPr>
          <w:rFonts w:asciiTheme="minorHAnsi" w:eastAsiaTheme="minorHAnsi" w:hAnsiTheme="minorHAnsi" w:cstheme="minorBidi"/>
        </w:rPr>
        <w:t xml:space="preserve">The National Committee of Inquiry into Higher Education (1997) (aka ‘The Dearing Report’) </w:t>
      </w:r>
      <w:r w:rsidRPr="00033A8A">
        <w:rPr>
          <w:rFonts w:asciiTheme="minorHAnsi" w:eastAsiaTheme="minorHAnsi" w:hAnsiTheme="minorHAnsi" w:cstheme="minorBidi"/>
          <w:i/>
        </w:rPr>
        <w:t>Higher Education in the Learning Society: Report of the National Committee of Inquiry into Higher Education</w:t>
      </w:r>
      <w:r w:rsidRPr="00033A8A">
        <w:rPr>
          <w:rFonts w:asciiTheme="minorHAnsi" w:eastAsiaTheme="minorHAnsi" w:hAnsiTheme="minorHAnsi" w:cstheme="minorBidi"/>
        </w:rPr>
        <w:t>. London: HMSO</w:t>
      </w:r>
    </w:p>
    <w:p w14:paraId="2449EF90" w14:textId="77777777" w:rsidR="002347C2" w:rsidRPr="00033A8A" w:rsidRDefault="002347C2" w:rsidP="002347C2">
      <w:pPr>
        <w:pStyle w:val="NormalWeb"/>
        <w:rPr>
          <w:rFonts w:asciiTheme="minorHAnsi" w:eastAsiaTheme="minorHAnsi" w:hAnsiTheme="minorHAnsi" w:cstheme="minorBidi"/>
        </w:rPr>
      </w:pPr>
      <w:r>
        <w:rPr>
          <w:rFonts w:asciiTheme="minorHAnsi" w:eastAsiaTheme="minorHAnsi" w:hAnsiTheme="minorHAnsi" w:cstheme="minorBidi"/>
        </w:rPr>
        <w:t xml:space="preserve">Norton, S. (2019). </w:t>
      </w:r>
      <w:r w:rsidRPr="00C04F68">
        <w:rPr>
          <w:rFonts w:asciiTheme="minorHAnsi" w:eastAsiaTheme="minorHAnsi" w:hAnsiTheme="minorHAnsi" w:cstheme="minorBidi"/>
        </w:rPr>
        <w:t xml:space="preserve">It’s inescapable; employability is a prominent feature of contemporary Higher Education. </w:t>
      </w:r>
      <w:proofErr w:type="spellStart"/>
      <w:proofErr w:type="gramStart"/>
      <w:r w:rsidRPr="00C04F68">
        <w:rPr>
          <w:rFonts w:asciiTheme="minorHAnsi" w:eastAsiaTheme="minorHAnsi" w:hAnsiTheme="minorHAnsi" w:cstheme="minorBidi"/>
        </w:rPr>
        <w:t>AdvanceHE</w:t>
      </w:r>
      <w:proofErr w:type="spellEnd"/>
      <w:r>
        <w:rPr>
          <w:rFonts w:asciiTheme="minorHAnsi" w:eastAsiaTheme="minorHAnsi" w:hAnsiTheme="minorHAnsi" w:cstheme="minorBidi"/>
        </w:rPr>
        <w:t>.</w:t>
      </w:r>
      <w:r w:rsidRPr="00C04F68">
        <w:rPr>
          <w:rFonts w:asciiTheme="minorHAnsi" w:eastAsiaTheme="minorHAnsi" w:hAnsiTheme="minorHAnsi" w:cstheme="minorBidi"/>
        </w:rPr>
        <w:t>[</w:t>
      </w:r>
      <w:proofErr w:type="gramEnd"/>
      <w:r w:rsidRPr="00C04F68">
        <w:rPr>
          <w:rFonts w:asciiTheme="minorHAnsi" w:eastAsiaTheme="minorHAnsi" w:hAnsiTheme="minorHAnsi" w:cstheme="minorBidi"/>
        </w:rPr>
        <w:t xml:space="preserve">online]. </w:t>
      </w:r>
      <w:r>
        <w:rPr>
          <w:rFonts w:asciiTheme="minorHAnsi" w:eastAsiaTheme="minorHAnsi" w:hAnsiTheme="minorHAnsi" w:cstheme="minorBidi"/>
        </w:rPr>
        <w:t xml:space="preserve">Available at </w:t>
      </w:r>
      <w:hyperlink r:id="rId11" w:history="1">
        <w:r w:rsidRPr="00C04F68">
          <w:rPr>
            <w:rFonts w:asciiTheme="minorHAnsi" w:eastAsiaTheme="minorHAnsi" w:hAnsiTheme="minorHAnsi" w:cstheme="minorBidi"/>
          </w:rPr>
          <w:t>https://www.advance-he.ac.uk/news-and-views/employability-prominent-feature-contemporary-higher-education</w:t>
        </w:r>
      </w:hyperlink>
      <w:r>
        <w:rPr>
          <w:rFonts w:asciiTheme="minorHAnsi" w:eastAsiaTheme="minorHAnsi" w:hAnsiTheme="minorHAnsi" w:cstheme="minorBidi"/>
        </w:rPr>
        <w:t xml:space="preserve"> (accessed 24/05/2019)</w:t>
      </w:r>
    </w:p>
    <w:p w14:paraId="43782E0C" w14:textId="77777777" w:rsidR="002347C2" w:rsidRPr="00033A8A" w:rsidRDefault="002347C2" w:rsidP="002347C2">
      <w:pPr>
        <w:pStyle w:val="NormalWeb"/>
        <w:rPr>
          <w:rFonts w:asciiTheme="minorHAnsi" w:eastAsiaTheme="minorHAnsi" w:hAnsiTheme="minorHAnsi" w:cstheme="minorBidi"/>
        </w:rPr>
      </w:pPr>
      <w:r w:rsidRPr="00033A8A">
        <w:rPr>
          <w:rFonts w:asciiTheme="minorHAnsi" w:eastAsiaTheme="minorHAnsi" w:hAnsiTheme="minorHAnsi" w:cstheme="minorBidi"/>
        </w:rPr>
        <w:t>Office for Students (</w:t>
      </w:r>
      <w:proofErr w:type="spellStart"/>
      <w:r w:rsidRPr="00033A8A">
        <w:rPr>
          <w:rFonts w:asciiTheme="minorHAnsi" w:eastAsiaTheme="minorHAnsi" w:hAnsiTheme="minorHAnsi" w:cstheme="minorBidi"/>
        </w:rPr>
        <w:t>OfS</w:t>
      </w:r>
      <w:proofErr w:type="spellEnd"/>
      <w:r w:rsidRPr="00033A8A">
        <w:rPr>
          <w:rFonts w:asciiTheme="minorHAnsi" w:eastAsiaTheme="minorHAnsi" w:hAnsiTheme="minorHAnsi" w:cstheme="minorBidi"/>
        </w:rPr>
        <w:t xml:space="preserve">) (2018). </w:t>
      </w:r>
      <w:r w:rsidRPr="00033A8A">
        <w:rPr>
          <w:rFonts w:asciiTheme="minorHAnsi" w:eastAsiaTheme="minorHAnsi" w:hAnsiTheme="minorHAnsi" w:cstheme="minorBidi"/>
          <w:i/>
        </w:rPr>
        <w:t>The Teaching Excellence and Student Outcomes Framework (TEF): a short guide to the 2018 awards</w:t>
      </w:r>
      <w:r w:rsidRPr="00033A8A">
        <w:rPr>
          <w:rFonts w:asciiTheme="minorHAnsi" w:eastAsiaTheme="minorHAnsi" w:hAnsiTheme="minorHAnsi" w:cstheme="minorBidi"/>
        </w:rPr>
        <w:t xml:space="preserve">. [online]. Available at </w:t>
      </w:r>
      <w:hyperlink r:id="rId12" w:history="1">
        <w:r w:rsidRPr="00033A8A">
          <w:rPr>
            <w:rFonts w:asciiTheme="minorHAnsi" w:eastAsiaTheme="minorHAnsi" w:hAnsiTheme="minorHAnsi" w:cstheme="minorBidi"/>
          </w:rPr>
          <w:t>https://www.officeforstudents.org.uk/media/5ff81204-14f4-4e71-8b48-91f46247c49b/tef-2018-short-guide.pdf</w:t>
        </w:r>
      </w:hyperlink>
      <w:r w:rsidRPr="00033A8A">
        <w:rPr>
          <w:rFonts w:asciiTheme="minorHAnsi" w:eastAsiaTheme="minorHAnsi" w:hAnsiTheme="minorHAnsi" w:cstheme="minorBidi"/>
        </w:rPr>
        <w:t xml:space="preserve"> (accessed 21/05/2019) </w:t>
      </w:r>
    </w:p>
    <w:p w14:paraId="748B47D1" w14:textId="77777777" w:rsidR="002347C2" w:rsidRDefault="002347C2" w:rsidP="002347C2">
      <w:pPr>
        <w:pStyle w:val="NormalWeb"/>
        <w:rPr>
          <w:rFonts w:asciiTheme="minorHAnsi" w:eastAsiaTheme="minorHAnsi" w:hAnsiTheme="minorHAnsi" w:cstheme="minorBidi"/>
        </w:rPr>
      </w:pPr>
      <w:r>
        <w:rPr>
          <w:rFonts w:asciiTheme="minorHAnsi" w:eastAsiaTheme="minorHAnsi" w:hAnsiTheme="minorHAnsi" w:cstheme="minorBidi"/>
        </w:rPr>
        <w:t xml:space="preserve">The Quality Assurance Agency for Higher </w:t>
      </w:r>
      <w:proofErr w:type="gramStart"/>
      <w:r>
        <w:rPr>
          <w:rFonts w:asciiTheme="minorHAnsi" w:eastAsiaTheme="minorHAnsi" w:hAnsiTheme="minorHAnsi" w:cstheme="minorBidi"/>
        </w:rPr>
        <w:t>Education(</w:t>
      </w:r>
      <w:proofErr w:type="gramEnd"/>
      <w:r>
        <w:rPr>
          <w:rFonts w:asciiTheme="minorHAnsi" w:eastAsiaTheme="minorHAnsi" w:hAnsiTheme="minorHAnsi" w:cstheme="minorBidi"/>
        </w:rPr>
        <w:t xml:space="preserve">QAA). (2009). </w:t>
      </w:r>
      <w:r w:rsidRPr="001A6DCA">
        <w:rPr>
          <w:rFonts w:asciiTheme="minorHAnsi" w:eastAsiaTheme="minorHAnsi" w:hAnsiTheme="minorHAnsi" w:cstheme="minorBidi"/>
          <w:i/>
        </w:rPr>
        <w:t>Personal Development planning: guidance for institutional policy and practice in higher education</w:t>
      </w:r>
      <w:r>
        <w:rPr>
          <w:rFonts w:asciiTheme="minorHAnsi" w:eastAsiaTheme="minorHAnsi" w:hAnsiTheme="minorHAnsi" w:cstheme="minorBidi"/>
        </w:rPr>
        <w:t xml:space="preserve">. [online]. Available at </w:t>
      </w:r>
      <w:hyperlink r:id="rId13" w:history="1">
        <w:r w:rsidRPr="001A6DCA">
          <w:rPr>
            <w:rFonts w:asciiTheme="minorHAnsi" w:eastAsiaTheme="minorHAnsi" w:hAnsiTheme="minorHAnsi" w:cstheme="minorBidi"/>
          </w:rPr>
          <w:t>https://www.qaa.ac.uk/docs/qaas/enhancement-and-development/pdp-guidance-for-institutional-policy-and-practice.pdf?sfvrsn=4145f581_8</w:t>
        </w:r>
      </w:hyperlink>
      <w:r>
        <w:rPr>
          <w:rFonts w:asciiTheme="minorHAnsi" w:eastAsiaTheme="minorHAnsi" w:hAnsiTheme="minorHAnsi" w:cstheme="minorBidi"/>
        </w:rPr>
        <w:t xml:space="preserve"> (accessed 20/05/2019)</w:t>
      </w:r>
    </w:p>
    <w:p w14:paraId="1E4F0561" w14:textId="77777777" w:rsidR="002347C2" w:rsidRDefault="002347C2" w:rsidP="002347C2">
      <w:pPr>
        <w:pStyle w:val="NormalWeb"/>
        <w:rPr>
          <w:rFonts w:asciiTheme="minorHAnsi" w:eastAsiaTheme="minorHAnsi" w:hAnsiTheme="minorHAnsi" w:cstheme="minorBidi"/>
        </w:rPr>
      </w:pPr>
      <w:r w:rsidRPr="009217FC">
        <w:rPr>
          <w:rFonts w:asciiTheme="minorHAnsi" w:eastAsiaTheme="minorHAnsi" w:hAnsiTheme="minorHAnsi" w:cstheme="minorBidi"/>
        </w:rPr>
        <w:lastRenderedPageBreak/>
        <w:t xml:space="preserve">Rolfe, G. (2014). Rethinking reflective education: What would Dewey have done? </w:t>
      </w:r>
      <w:r w:rsidRPr="009217FC">
        <w:rPr>
          <w:rFonts w:asciiTheme="minorHAnsi" w:eastAsiaTheme="minorHAnsi" w:hAnsiTheme="minorHAnsi" w:cstheme="minorBidi"/>
          <w:i/>
        </w:rPr>
        <w:t>Nurse Education Today</w:t>
      </w:r>
      <w:r>
        <w:rPr>
          <w:rFonts w:asciiTheme="minorHAnsi" w:eastAsiaTheme="minorHAnsi" w:hAnsiTheme="minorHAnsi" w:cstheme="minorBidi"/>
          <w:i/>
        </w:rPr>
        <w:t>.</w:t>
      </w:r>
      <w:r w:rsidRPr="009217FC">
        <w:rPr>
          <w:rFonts w:asciiTheme="minorHAnsi" w:eastAsiaTheme="minorHAnsi" w:hAnsiTheme="minorHAnsi" w:cstheme="minorBidi"/>
        </w:rPr>
        <w:t xml:space="preserve"> 34(8). </w:t>
      </w:r>
      <w:r>
        <w:rPr>
          <w:rFonts w:asciiTheme="minorHAnsi" w:eastAsiaTheme="minorHAnsi" w:hAnsiTheme="minorHAnsi" w:cstheme="minorBidi"/>
        </w:rPr>
        <w:t>p</w:t>
      </w:r>
      <w:r w:rsidRPr="009217FC">
        <w:rPr>
          <w:rFonts w:asciiTheme="minorHAnsi" w:eastAsiaTheme="minorHAnsi" w:hAnsiTheme="minorHAnsi" w:cstheme="minorBidi"/>
        </w:rPr>
        <w:t>p1179-1183</w:t>
      </w:r>
      <w:r>
        <w:rPr>
          <w:rFonts w:asciiTheme="minorHAnsi" w:eastAsiaTheme="minorHAnsi" w:hAnsiTheme="minorHAnsi" w:cstheme="minorBidi"/>
        </w:rPr>
        <w:t>\</w:t>
      </w:r>
    </w:p>
    <w:p w14:paraId="588E15CE" w14:textId="77777777" w:rsidR="002347C2" w:rsidRPr="00033A8A" w:rsidRDefault="002347C2" w:rsidP="002347C2">
      <w:pPr>
        <w:pStyle w:val="NormalWeb"/>
        <w:rPr>
          <w:rFonts w:asciiTheme="minorHAnsi" w:eastAsiaTheme="minorHAnsi" w:hAnsiTheme="minorHAnsi" w:cstheme="minorBidi"/>
        </w:rPr>
      </w:pPr>
      <w:r w:rsidRPr="00033A8A">
        <w:rPr>
          <w:rFonts w:asciiTheme="minorHAnsi" w:eastAsiaTheme="minorHAnsi" w:hAnsiTheme="minorHAnsi" w:cstheme="minorBidi"/>
        </w:rPr>
        <w:t xml:space="preserve">Scales, P. (2012). </w:t>
      </w:r>
      <w:r w:rsidRPr="00033A8A">
        <w:rPr>
          <w:rFonts w:asciiTheme="minorHAnsi" w:eastAsiaTheme="minorHAnsi" w:hAnsiTheme="minorHAnsi" w:cstheme="minorBidi"/>
          <w:i/>
        </w:rPr>
        <w:t>Teaching in the Lifelong Learning Sector</w:t>
      </w:r>
      <w:r w:rsidRPr="00033A8A">
        <w:rPr>
          <w:rFonts w:asciiTheme="minorHAnsi" w:eastAsiaTheme="minorHAnsi" w:hAnsiTheme="minorHAnsi" w:cstheme="minorBidi"/>
        </w:rPr>
        <w:t>. UK: McGraw-Hill Education</w:t>
      </w:r>
    </w:p>
    <w:p w14:paraId="5DE7692F" w14:textId="77777777" w:rsidR="002347C2" w:rsidRDefault="002347C2" w:rsidP="002347C2">
      <w:pPr>
        <w:pStyle w:val="NormalWeb"/>
        <w:rPr>
          <w:rFonts w:asciiTheme="minorHAnsi" w:eastAsiaTheme="minorHAnsi" w:hAnsiTheme="minorHAnsi" w:cstheme="minorBidi"/>
        </w:rPr>
      </w:pPr>
      <w:r>
        <w:rPr>
          <w:rFonts w:asciiTheme="minorHAnsi" w:eastAsiaTheme="minorHAnsi" w:hAnsiTheme="minorHAnsi" w:cstheme="minorBidi"/>
        </w:rPr>
        <w:t>Scalisi, M. (2018).</w:t>
      </w:r>
      <w:r w:rsidRPr="000379CE">
        <w:rPr>
          <w:rFonts w:asciiTheme="minorHAnsi" w:eastAsiaTheme="minorHAnsi" w:hAnsiTheme="minorHAnsi" w:cstheme="minorBidi"/>
        </w:rPr>
        <w:t xml:space="preserve"> LSE </w:t>
      </w:r>
      <w:proofErr w:type="spellStart"/>
      <w:r w:rsidRPr="000379CE">
        <w:rPr>
          <w:rFonts w:asciiTheme="minorHAnsi" w:eastAsiaTheme="minorHAnsi" w:hAnsiTheme="minorHAnsi" w:cstheme="minorBidi"/>
        </w:rPr>
        <w:t>Opts</w:t>
      </w:r>
      <w:proofErr w:type="spellEnd"/>
      <w:r w:rsidRPr="000379CE">
        <w:rPr>
          <w:rFonts w:asciiTheme="minorHAnsi" w:eastAsiaTheme="minorHAnsi" w:hAnsiTheme="minorHAnsi" w:cstheme="minorBidi"/>
        </w:rPr>
        <w:t xml:space="preserve"> Out of TEF Re-Classification This Year After Being Awarded Bronze</w:t>
      </w:r>
      <w:r>
        <w:rPr>
          <w:rFonts w:asciiTheme="minorHAnsi" w:eastAsiaTheme="minorHAnsi" w:hAnsiTheme="minorHAnsi" w:cstheme="minorBidi"/>
        </w:rPr>
        <w:t>. The Beaver. [online</w:t>
      </w:r>
      <w:proofErr w:type="gramStart"/>
      <w:r>
        <w:rPr>
          <w:rFonts w:asciiTheme="minorHAnsi" w:eastAsiaTheme="minorHAnsi" w:hAnsiTheme="minorHAnsi" w:cstheme="minorBidi"/>
        </w:rPr>
        <w:t>].Available</w:t>
      </w:r>
      <w:proofErr w:type="gramEnd"/>
      <w:r>
        <w:rPr>
          <w:rFonts w:asciiTheme="minorHAnsi" w:eastAsiaTheme="minorHAnsi" w:hAnsiTheme="minorHAnsi" w:cstheme="minorBidi"/>
        </w:rPr>
        <w:t xml:space="preserve"> at </w:t>
      </w:r>
      <w:hyperlink r:id="rId14" w:history="1">
        <w:r w:rsidRPr="000379CE">
          <w:rPr>
            <w:rFonts w:asciiTheme="minorHAnsi" w:eastAsiaTheme="minorHAnsi" w:hAnsiTheme="minorHAnsi" w:cstheme="minorBidi"/>
          </w:rPr>
          <w:t>https://beaveronline.co.uk/lse-opts-tef-awarded-bronze/</w:t>
        </w:r>
      </w:hyperlink>
      <w:r>
        <w:rPr>
          <w:rFonts w:asciiTheme="minorHAnsi" w:eastAsiaTheme="minorHAnsi" w:hAnsiTheme="minorHAnsi" w:cstheme="minorBidi"/>
        </w:rPr>
        <w:t xml:space="preserve"> (accessed 23/05/2019)</w:t>
      </w:r>
    </w:p>
    <w:p w14:paraId="11BB18C1" w14:textId="2260A14C" w:rsidR="002347C2" w:rsidRPr="00033A8A" w:rsidRDefault="002347C2" w:rsidP="002347C2">
      <w:pPr>
        <w:pStyle w:val="NormalWeb"/>
        <w:rPr>
          <w:rFonts w:asciiTheme="minorHAnsi" w:eastAsiaTheme="minorHAnsi" w:hAnsiTheme="minorHAnsi" w:cstheme="minorBidi"/>
        </w:rPr>
      </w:pPr>
      <w:r w:rsidRPr="00033A8A">
        <w:rPr>
          <w:rFonts w:asciiTheme="minorHAnsi" w:eastAsiaTheme="minorHAnsi" w:hAnsiTheme="minorHAnsi" w:cstheme="minorBidi"/>
        </w:rPr>
        <w:t xml:space="preserve">The Scottish Committee of Inquiry into Higher Education (1997) </w:t>
      </w:r>
      <w:r w:rsidRPr="00033A8A">
        <w:rPr>
          <w:rFonts w:asciiTheme="minorHAnsi" w:eastAsiaTheme="minorHAnsi" w:hAnsiTheme="minorHAnsi" w:cstheme="minorBidi"/>
          <w:i/>
        </w:rPr>
        <w:t>Report of the Scottish Committee</w:t>
      </w:r>
      <w:r w:rsidRPr="00033A8A">
        <w:rPr>
          <w:rFonts w:asciiTheme="minorHAnsi" w:eastAsiaTheme="minorHAnsi" w:hAnsiTheme="minorHAnsi" w:cstheme="minorBidi"/>
        </w:rPr>
        <w:t xml:space="preserve"> (aka ‘The Garrick Report’)</w:t>
      </w:r>
      <w:r>
        <w:rPr>
          <w:rFonts w:asciiTheme="minorHAnsi" w:eastAsiaTheme="minorHAnsi" w:hAnsiTheme="minorHAnsi" w:cstheme="minorBidi"/>
        </w:rPr>
        <w:t xml:space="preserve">. </w:t>
      </w:r>
      <w:r w:rsidR="0081329C">
        <w:rPr>
          <w:rFonts w:asciiTheme="minorHAnsi" w:eastAsiaTheme="minorHAnsi" w:hAnsiTheme="minorHAnsi" w:cstheme="minorBidi"/>
        </w:rPr>
        <w:t xml:space="preserve">[online]. </w:t>
      </w:r>
      <w:r>
        <w:rPr>
          <w:rFonts w:asciiTheme="minorHAnsi" w:eastAsiaTheme="minorHAnsi" w:hAnsiTheme="minorHAnsi" w:cstheme="minorBidi"/>
        </w:rPr>
        <w:t>Available at</w:t>
      </w:r>
      <w:r w:rsidRPr="00033A8A">
        <w:rPr>
          <w:rFonts w:asciiTheme="minorHAnsi" w:eastAsiaTheme="minorHAnsi" w:hAnsiTheme="minorHAnsi" w:cstheme="minorBidi"/>
        </w:rPr>
        <w:t xml:space="preserve"> http://www.leeds.ac.uk/educol/ncihe/scottish.htm </w:t>
      </w:r>
      <w:r w:rsidR="0081329C">
        <w:rPr>
          <w:rFonts w:asciiTheme="minorHAnsi" w:eastAsiaTheme="minorHAnsi" w:hAnsiTheme="minorHAnsi" w:cstheme="minorBidi"/>
        </w:rPr>
        <w:t>(accessed 2</w:t>
      </w:r>
      <w:r w:rsidR="0081329C">
        <w:rPr>
          <w:rFonts w:asciiTheme="minorHAnsi" w:eastAsiaTheme="minorHAnsi" w:hAnsiTheme="minorHAnsi" w:cstheme="minorBidi"/>
        </w:rPr>
        <w:t>4</w:t>
      </w:r>
      <w:bookmarkStart w:id="0" w:name="_GoBack"/>
      <w:bookmarkEnd w:id="0"/>
      <w:r w:rsidR="0081329C">
        <w:rPr>
          <w:rFonts w:asciiTheme="minorHAnsi" w:eastAsiaTheme="minorHAnsi" w:hAnsiTheme="minorHAnsi" w:cstheme="minorBidi"/>
        </w:rPr>
        <w:t>/05/2019)</w:t>
      </w:r>
    </w:p>
    <w:p w14:paraId="51B14E13" w14:textId="77777777" w:rsidR="002347C2" w:rsidRDefault="002347C2" w:rsidP="002347C2">
      <w:pPr>
        <w:pStyle w:val="NormalWeb"/>
        <w:rPr>
          <w:rFonts w:asciiTheme="minorHAnsi" w:eastAsiaTheme="minorHAnsi" w:hAnsiTheme="minorHAnsi" w:cstheme="minorBidi"/>
        </w:rPr>
      </w:pPr>
      <w:r>
        <w:rPr>
          <w:rFonts w:asciiTheme="minorHAnsi" w:eastAsiaTheme="minorHAnsi" w:hAnsiTheme="minorHAnsi" w:cstheme="minorBidi"/>
        </w:rPr>
        <w:t xml:space="preserve">Shah, H. (2018). </w:t>
      </w:r>
      <w:r w:rsidRPr="000379CE">
        <w:rPr>
          <w:rFonts w:asciiTheme="minorHAnsi" w:eastAsiaTheme="minorHAnsi" w:hAnsiTheme="minorHAnsi" w:cstheme="minorBidi"/>
          <w:i/>
        </w:rPr>
        <w:t xml:space="preserve">Awarding university </w:t>
      </w:r>
      <w:proofErr w:type="gramStart"/>
      <w:r w:rsidRPr="000379CE">
        <w:rPr>
          <w:rFonts w:asciiTheme="minorHAnsi" w:eastAsiaTheme="minorHAnsi" w:hAnsiTheme="minorHAnsi" w:cstheme="minorBidi"/>
          <w:i/>
        </w:rPr>
        <w:t>subjects</w:t>
      </w:r>
      <w:proofErr w:type="gramEnd"/>
      <w:r w:rsidRPr="000379CE">
        <w:rPr>
          <w:rFonts w:asciiTheme="minorHAnsi" w:eastAsiaTheme="minorHAnsi" w:hAnsiTheme="minorHAnsi" w:cstheme="minorBidi"/>
          <w:i/>
        </w:rPr>
        <w:t xml:space="preserve"> gold medals is deeply flawed</w:t>
      </w:r>
      <w:r w:rsidRPr="000379CE">
        <w:rPr>
          <w:rFonts w:asciiTheme="minorHAnsi" w:eastAsiaTheme="minorHAnsi" w:hAnsiTheme="minorHAnsi" w:cstheme="minorBidi"/>
        </w:rPr>
        <w:t xml:space="preserve">. The Guardian. [online]. Available at </w:t>
      </w:r>
      <w:hyperlink r:id="rId15" w:history="1">
        <w:r w:rsidRPr="000379CE">
          <w:rPr>
            <w:rFonts w:asciiTheme="minorHAnsi" w:eastAsiaTheme="minorHAnsi" w:hAnsiTheme="minorHAnsi" w:cstheme="minorBidi"/>
          </w:rPr>
          <w:t>https://www.theguardian.com/higher-education-network/2018/jun/01/awarding-university-subjects-gold-medals-is-deeply-flawed</w:t>
        </w:r>
      </w:hyperlink>
      <w:r w:rsidRPr="000379CE">
        <w:rPr>
          <w:rFonts w:asciiTheme="minorHAnsi" w:eastAsiaTheme="minorHAnsi" w:hAnsiTheme="minorHAnsi" w:cstheme="minorBidi"/>
        </w:rPr>
        <w:t xml:space="preserve"> (accessed 22/05/2019)</w:t>
      </w:r>
    </w:p>
    <w:p w14:paraId="1A0CFDF4" w14:textId="77777777" w:rsidR="002347C2" w:rsidRPr="0040488E" w:rsidRDefault="002347C2" w:rsidP="002347C2">
      <w:pPr>
        <w:rPr>
          <w:rFonts w:asciiTheme="minorHAnsi" w:eastAsiaTheme="minorHAnsi" w:hAnsiTheme="minorHAnsi" w:cstheme="minorBidi"/>
        </w:rPr>
      </w:pPr>
      <w:r w:rsidRPr="0040488E">
        <w:rPr>
          <w:rFonts w:asciiTheme="minorHAnsi" w:eastAsiaTheme="minorHAnsi" w:hAnsiTheme="minorHAnsi" w:cstheme="minorBidi"/>
        </w:rPr>
        <w:t xml:space="preserve">Snape, B., Pain, L. &amp; Harkin, Y. (2007). </w:t>
      </w:r>
      <w:r>
        <w:rPr>
          <w:rFonts w:asciiTheme="minorHAnsi" w:eastAsiaTheme="minorHAnsi" w:hAnsiTheme="minorHAnsi" w:cstheme="minorBidi"/>
        </w:rPr>
        <w:t>‘</w:t>
      </w:r>
      <w:r w:rsidRPr="0040488E">
        <w:rPr>
          <w:rFonts w:asciiTheme="minorHAnsi" w:eastAsiaTheme="minorHAnsi" w:hAnsiTheme="minorHAnsi" w:cstheme="minorBidi"/>
        </w:rPr>
        <w:t>Resource Guide in the Engagement of Foundation Degree Students in Reflective Learning</w:t>
      </w:r>
      <w:r>
        <w:rPr>
          <w:rFonts w:asciiTheme="minorHAnsi" w:eastAsiaTheme="minorHAnsi" w:hAnsiTheme="minorHAnsi" w:cstheme="minorBidi"/>
        </w:rPr>
        <w:t>’</w:t>
      </w:r>
      <w:r w:rsidRPr="0040488E">
        <w:rPr>
          <w:rFonts w:asciiTheme="minorHAnsi" w:eastAsiaTheme="minorHAnsi" w:hAnsiTheme="minorHAnsi" w:cstheme="minorBidi"/>
        </w:rPr>
        <w:t xml:space="preserve">. </w:t>
      </w:r>
      <w:r w:rsidRPr="00033A8A">
        <w:rPr>
          <w:rFonts w:asciiTheme="minorHAnsi" w:eastAsiaTheme="minorHAnsi" w:hAnsiTheme="minorHAnsi" w:cstheme="minorBidi"/>
          <w:i/>
        </w:rPr>
        <w:t>Hospitality, Leisure, Sport and Tourism Network, May 2007</w:t>
      </w:r>
      <w:r w:rsidRPr="0040488E">
        <w:rPr>
          <w:rFonts w:asciiTheme="minorHAnsi" w:eastAsiaTheme="minorHAnsi" w:hAnsiTheme="minorHAnsi" w:cstheme="minorBidi"/>
        </w:rPr>
        <w:t xml:space="preserve">. [online]. Available at </w:t>
      </w:r>
      <w:r w:rsidRPr="0040488E">
        <w:rPr>
          <w:rFonts w:asciiTheme="minorHAnsi" w:eastAsiaTheme="minorHAnsi" w:hAnsiTheme="minorHAnsi" w:cstheme="minorBidi"/>
        </w:rPr>
        <w:fldChar w:fldCharType="begin"/>
      </w:r>
      <w:r w:rsidRPr="0040488E">
        <w:rPr>
          <w:rFonts w:asciiTheme="minorHAnsi" w:eastAsiaTheme="minorHAnsi" w:hAnsiTheme="minorHAnsi" w:cstheme="minorBidi"/>
        </w:rPr>
        <w:instrText xml:space="preserve"> HYPERLINK "https://www.heacademy.ac.uk/knowledge-hub/resource-guide-engagement-foundation-degree-students-reflective-learning" </w:instrText>
      </w:r>
      <w:r w:rsidRPr="0040488E">
        <w:rPr>
          <w:rFonts w:asciiTheme="minorHAnsi" w:eastAsiaTheme="minorHAnsi" w:hAnsiTheme="minorHAnsi" w:cstheme="minorBidi"/>
        </w:rPr>
        <w:fldChar w:fldCharType="separate"/>
      </w:r>
      <w:r w:rsidRPr="0040488E">
        <w:rPr>
          <w:rFonts w:asciiTheme="minorHAnsi" w:eastAsiaTheme="minorHAnsi" w:hAnsiTheme="minorHAnsi" w:cstheme="minorBidi"/>
        </w:rPr>
        <w:t>https://www.heacad</w:t>
      </w:r>
      <w:r w:rsidRPr="0040488E">
        <w:rPr>
          <w:rFonts w:asciiTheme="minorHAnsi" w:eastAsiaTheme="minorHAnsi" w:hAnsiTheme="minorHAnsi" w:cstheme="minorBidi"/>
        </w:rPr>
        <w:t>e</w:t>
      </w:r>
      <w:r w:rsidRPr="0040488E">
        <w:rPr>
          <w:rFonts w:asciiTheme="minorHAnsi" w:eastAsiaTheme="minorHAnsi" w:hAnsiTheme="minorHAnsi" w:cstheme="minorBidi"/>
        </w:rPr>
        <w:t>my.ac</w:t>
      </w:r>
      <w:r w:rsidRPr="0040488E">
        <w:rPr>
          <w:rFonts w:asciiTheme="minorHAnsi" w:eastAsiaTheme="minorHAnsi" w:hAnsiTheme="minorHAnsi" w:cstheme="minorBidi"/>
        </w:rPr>
        <w:t>.</w:t>
      </w:r>
      <w:r w:rsidRPr="0040488E">
        <w:rPr>
          <w:rFonts w:asciiTheme="minorHAnsi" w:eastAsiaTheme="minorHAnsi" w:hAnsiTheme="minorHAnsi" w:cstheme="minorBidi"/>
        </w:rPr>
        <w:t>uk/knowledge-hub/resource-guide-engagement-foundation-degree-students-re</w:t>
      </w:r>
      <w:r w:rsidRPr="0040488E">
        <w:rPr>
          <w:rFonts w:asciiTheme="minorHAnsi" w:eastAsiaTheme="minorHAnsi" w:hAnsiTheme="minorHAnsi" w:cstheme="minorBidi"/>
        </w:rPr>
        <w:t>f</w:t>
      </w:r>
      <w:r w:rsidRPr="0040488E">
        <w:rPr>
          <w:rFonts w:asciiTheme="minorHAnsi" w:eastAsiaTheme="minorHAnsi" w:hAnsiTheme="minorHAnsi" w:cstheme="minorBidi"/>
        </w:rPr>
        <w:t>lective-learning</w:t>
      </w:r>
      <w:r w:rsidRPr="0040488E">
        <w:rPr>
          <w:rFonts w:asciiTheme="minorHAnsi" w:eastAsiaTheme="minorHAnsi" w:hAnsiTheme="minorHAnsi" w:cstheme="minorBidi"/>
        </w:rPr>
        <w:fldChar w:fldCharType="end"/>
      </w:r>
      <w:r w:rsidRPr="0040488E">
        <w:rPr>
          <w:rFonts w:asciiTheme="minorHAnsi" w:eastAsiaTheme="minorHAnsi" w:hAnsiTheme="minorHAnsi" w:cstheme="minorBidi"/>
        </w:rPr>
        <w:t xml:space="preserve">. (accessed 19/05/2019) </w:t>
      </w:r>
    </w:p>
    <w:p w14:paraId="7F774551" w14:textId="77777777" w:rsidR="002347C2" w:rsidRDefault="002347C2" w:rsidP="002347C2"/>
    <w:p w14:paraId="1DAB1FCD" w14:textId="77777777" w:rsidR="002347C2" w:rsidRDefault="002347C2" w:rsidP="002347C2"/>
    <w:p w14:paraId="48EFBA30" w14:textId="77777777" w:rsidR="002347C2" w:rsidRDefault="002347C2" w:rsidP="002347C2"/>
    <w:p w14:paraId="2FC69E8D" w14:textId="77777777" w:rsidR="002347C2" w:rsidRDefault="002347C2" w:rsidP="002347C2"/>
    <w:p w14:paraId="71BD5C43" w14:textId="77777777" w:rsidR="002347C2" w:rsidRDefault="002347C2" w:rsidP="002347C2"/>
    <w:p w14:paraId="08897CC4" w14:textId="77777777" w:rsidR="002347C2" w:rsidRDefault="002347C2" w:rsidP="002347C2"/>
    <w:p w14:paraId="4D13B180" w14:textId="77777777" w:rsidR="002347C2" w:rsidRPr="002347C2" w:rsidRDefault="002347C2" w:rsidP="00DF5C85">
      <w:pPr>
        <w:spacing w:line="360" w:lineRule="auto"/>
        <w:rPr>
          <w:rFonts w:asciiTheme="majorHAnsi" w:hAnsiTheme="majorHAnsi"/>
          <w:color w:val="2E2E2E"/>
        </w:rPr>
      </w:pPr>
    </w:p>
    <w:sectPr w:rsidR="002347C2" w:rsidRPr="002347C2" w:rsidSect="0090157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2AFF" w:usb1="C0007843" w:usb2="00000009" w:usb3="00000000" w:csb0="000001FF" w:csb1="00000000"/>
  </w:font>
  <w:font w:name="GillSans">
    <w:altName w:val="Cambria"/>
    <w:panose1 w:val="020B0502020104020203"/>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32853"/>
    <w:multiLevelType w:val="hybridMultilevel"/>
    <w:tmpl w:val="91C6D0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31724D"/>
    <w:multiLevelType w:val="hybridMultilevel"/>
    <w:tmpl w:val="684E1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4F40D3"/>
    <w:multiLevelType w:val="hybridMultilevel"/>
    <w:tmpl w:val="0BDC6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4F103C"/>
    <w:multiLevelType w:val="hybridMultilevel"/>
    <w:tmpl w:val="92E61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AFD"/>
    <w:rsid w:val="00162CFA"/>
    <w:rsid w:val="001A6DCA"/>
    <w:rsid w:val="002347C2"/>
    <w:rsid w:val="003F0D51"/>
    <w:rsid w:val="0040488E"/>
    <w:rsid w:val="004608E4"/>
    <w:rsid w:val="00572E07"/>
    <w:rsid w:val="006203E3"/>
    <w:rsid w:val="007A5CB2"/>
    <w:rsid w:val="0081329C"/>
    <w:rsid w:val="008871A1"/>
    <w:rsid w:val="008F4830"/>
    <w:rsid w:val="00901574"/>
    <w:rsid w:val="009217FC"/>
    <w:rsid w:val="00A21834"/>
    <w:rsid w:val="00A972C5"/>
    <w:rsid w:val="00B960F0"/>
    <w:rsid w:val="00C23E7A"/>
    <w:rsid w:val="00DF5C85"/>
    <w:rsid w:val="00E14AFD"/>
    <w:rsid w:val="00EE1228"/>
    <w:rsid w:val="00FB4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2D18C"/>
  <w15:chartTrackingRefBased/>
  <w15:docId w15:val="{192C27F5-C398-D548-8D49-5C06ABAD2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1228"/>
    <w:rPr>
      <w:rFonts w:ascii="Times New Roman" w:eastAsia="Times New Roman" w:hAnsi="Times New Roman" w:cs="Times New Roman"/>
    </w:rPr>
  </w:style>
  <w:style w:type="paragraph" w:styleId="Heading1">
    <w:name w:val="heading 1"/>
    <w:basedOn w:val="Normal"/>
    <w:link w:val="Heading1Char"/>
    <w:uiPriority w:val="9"/>
    <w:qFormat/>
    <w:rsid w:val="0040488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CB2"/>
    <w:pPr>
      <w:ind w:left="720"/>
      <w:contextualSpacing/>
    </w:pPr>
  </w:style>
  <w:style w:type="paragraph" w:styleId="NormalWeb">
    <w:name w:val="Normal (Web)"/>
    <w:basedOn w:val="Normal"/>
    <w:uiPriority w:val="99"/>
    <w:unhideWhenUsed/>
    <w:rsid w:val="0040488E"/>
    <w:pPr>
      <w:spacing w:before="100" w:beforeAutospacing="1" w:after="100" w:afterAutospacing="1"/>
    </w:pPr>
  </w:style>
  <w:style w:type="character" w:styleId="Hyperlink">
    <w:name w:val="Hyperlink"/>
    <w:basedOn w:val="DefaultParagraphFont"/>
    <w:uiPriority w:val="99"/>
    <w:unhideWhenUsed/>
    <w:rsid w:val="0040488E"/>
    <w:rPr>
      <w:color w:val="0563C1" w:themeColor="hyperlink"/>
      <w:u w:val="single"/>
    </w:rPr>
  </w:style>
  <w:style w:type="character" w:styleId="UnresolvedMention">
    <w:name w:val="Unresolved Mention"/>
    <w:basedOn w:val="DefaultParagraphFont"/>
    <w:uiPriority w:val="99"/>
    <w:semiHidden/>
    <w:unhideWhenUsed/>
    <w:rsid w:val="0040488E"/>
    <w:rPr>
      <w:color w:val="605E5C"/>
      <w:shd w:val="clear" w:color="auto" w:fill="E1DFDD"/>
    </w:rPr>
  </w:style>
  <w:style w:type="character" w:customStyle="1" w:styleId="apple-converted-space">
    <w:name w:val="apple-converted-space"/>
    <w:basedOn w:val="DefaultParagraphFont"/>
    <w:rsid w:val="0040488E"/>
  </w:style>
  <w:style w:type="character" w:customStyle="1" w:styleId="Heading1Char">
    <w:name w:val="Heading 1 Char"/>
    <w:basedOn w:val="DefaultParagraphFont"/>
    <w:link w:val="Heading1"/>
    <w:uiPriority w:val="9"/>
    <w:rsid w:val="0040488E"/>
    <w:rPr>
      <w:rFonts w:ascii="Times New Roman" w:eastAsia="Times New Roman" w:hAnsi="Times New Roman" w:cs="Times New Roman"/>
      <w:b/>
      <w:bCs/>
      <w:kern w:val="36"/>
      <w:sz w:val="48"/>
      <w:szCs w:val="48"/>
    </w:rPr>
  </w:style>
  <w:style w:type="character" w:customStyle="1" w:styleId="title-text">
    <w:name w:val="title-text"/>
    <w:basedOn w:val="DefaultParagraphFont"/>
    <w:rsid w:val="0040488E"/>
  </w:style>
  <w:style w:type="character" w:styleId="FollowedHyperlink">
    <w:name w:val="FollowedHyperlink"/>
    <w:basedOn w:val="DefaultParagraphFont"/>
    <w:uiPriority w:val="99"/>
    <w:semiHidden/>
    <w:unhideWhenUsed/>
    <w:rsid w:val="00162C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19052">
      <w:bodyDiv w:val="1"/>
      <w:marLeft w:val="0"/>
      <w:marRight w:val="0"/>
      <w:marTop w:val="0"/>
      <w:marBottom w:val="0"/>
      <w:divBdr>
        <w:top w:val="none" w:sz="0" w:space="0" w:color="auto"/>
        <w:left w:val="none" w:sz="0" w:space="0" w:color="auto"/>
        <w:bottom w:val="none" w:sz="0" w:space="0" w:color="auto"/>
        <w:right w:val="none" w:sz="0" w:space="0" w:color="auto"/>
      </w:divBdr>
    </w:div>
    <w:div w:id="32772828">
      <w:bodyDiv w:val="1"/>
      <w:marLeft w:val="0"/>
      <w:marRight w:val="0"/>
      <w:marTop w:val="0"/>
      <w:marBottom w:val="0"/>
      <w:divBdr>
        <w:top w:val="none" w:sz="0" w:space="0" w:color="auto"/>
        <w:left w:val="none" w:sz="0" w:space="0" w:color="auto"/>
        <w:bottom w:val="none" w:sz="0" w:space="0" w:color="auto"/>
        <w:right w:val="none" w:sz="0" w:space="0" w:color="auto"/>
      </w:divBdr>
    </w:div>
    <w:div w:id="40205179">
      <w:bodyDiv w:val="1"/>
      <w:marLeft w:val="0"/>
      <w:marRight w:val="0"/>
      <w:marTop w:val="0"/>
      <w:marBottom w:val="0"/>
      <w:divBdr>
        <w:top w:val="none" w:sz="0" w:space="0" w:color="auto"/>
        <w:left w:val="none" w:sz="0" w:space="0" w:color="auto"/>
        <w:bottom w:val="none" w:sz="0" w:space="0" w:color="auto"/>
        <w:right w:val="none" w:sz="0" w:space="0" w:color="auto"/>
      </w:divBdr>
      <w:divsChild>
        <w:div w:id="1261526483">
          <w:marLeft w:val="0"/>
          <w:marRight w:val="0"/>
          <w:marTop w:val="0"/>
          <w:marBottom w:val="0"/>
          <w:divBdr>
            <w:top w:val="none" w:sz="0" w:space="0" w:color="auto"/>
            <w:left w:val="none" w:sz="0" w:space="0" w:color="auto"/>
            <w:bottom w:val="none" w:sz="0" w:space="0" w:color="auto"/>
            <w:right w:val="none" w:sz="0" w:space="0" w:color="auto"/>
          </w:divBdr>
          <w:divsChild>
            <w:div w:id="1409381830">
              <w:marLeft w:val="0"/>
              <w:marRight w:val="0"/>
              <w:marTop w:val="0"/>
              <w:marBottom w:val="0"/>
              <w:divBdr>
                <w:top w:val="none" w:sz="0" w:space="0" w:color="auto"/>
                <w:left w:val="none" w:sz="0" w:space="0" w:color="auto"/>
                <w:bottom w:val="none" w:sz="0" w:space="0" w:color="auto"/>
                <w:right w:val="none" w:sz="0" w:space="0" w:color="auto"/>
              </w:divBdr>
              <w:divsChild>
                <w:div w:id="63603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8178">
      <w:bodyDiv w:val="1"/>
      <w:marLeft w:val="0"/>
      <w:marRight w:val="0"/>
      <w:marTop w:val="0"/>
      <w:marBottom w:val="0"/>
      <w:divBdr>
        <w:top w:val="none" w:sz="0" w:space="0" w:color="auto"/>
        <w:left w:val="none" w:sz="0" w:space="0" w:color="auto"/>
        <w:bottom w:val="none" w:sz="0" w:space="0" w:color="auto"/>
        <w:right w:val="none" w:sz="0" w:space="0" w:color="auto"/>
      </w:divBdr>
    </w:div>
    <w:div w:id="85271984">
      <w:bodyDiv w:val="1"/>
      <w:marLeft w:val="0"/>
      <w:marRight w:val="0"/>
      <w:marTop w:val="0"/>
      <w:marBottom w:val="0"/>
      <w:divBdr>
        <w:top w:val="none" w:sz="0" w:space="0" w:color="auto"/>
        <w:left w:val="none" w:sz="0" w:space="0" w:color="auto"/>
        <w:bottom w:val="none" w:sz="0" w:space="0" w:color="auto"/>
        <w:right w:val="none" w:sz="0" w:space="0" w:color="auto"/>
      </w:divBdr>
    </w:div>
    <w:div w:id="87897107">
      <w:bodyDiv w:val="1"/>
      <w:marLeft w:val="0"/>
      <w:marRight w:val="0"/>
      <w:marTop w:val="0"/>
      <w:marBottom w:val="0"/>
      <w:divBdr>
        <w:top w:val="none" w:sz="0" w:space="0" w:color="auto"/>
        <w:left w:val="none" w:sz="0" w:space="0" w:color="auto"/>
        <w:bottom w:val="none" w:sz="0" w:space="0" w:color="auto"/>
        <w:right w:val="none" w:sz="0" w:space="0" w:color="auto"/>
      </w:divBdr>
      <w:divsChild>
        <w:div w:id="804128969">
          <w:marLeft w:val="0"/>
          <w:marRight w:val="0"/>
          <w:marTop w:val="0"/>
          <w:marBottom w:val="0"/>
          <w:divBdr>
            <w:top w:val="none" w:sz="0" w:space="0" w:color="auto"/>
            <w:left w:val="none" w:sz="0" w:space="0" w:color="auto"/>
            <w:bottom w:val="none" w:sz="0" w:space="0" w:color="auto"/>
            <w:right w:val="none" w:sz="0" w:space="0" w:color="auto"/>
          </w:divBdr>
          <w:divsChild>
            <w:div w:id="1226575407">
              <w:marLeft w:val="0"/>
              <w:marRight w:val="0"/>
              <w:marTop w:val="0"/>
              <w:marBottom w:val="0"/>
              <w:divBdr>
                <w:top w:val="none" w:sz="0" w:space="0" w:color="auto"/>
                <w:left w:val="none" w:sz="0" w:space="0" w:color="auto"/>
                <w:bottom w:val="none" w:sz="0" w:space="0" w:color="auto"/>
                <w:right w:val="none" w:sz="0" w:space="0" w:color="auto"/>
              </w:divBdr>
              <w:divsChild>
                <w:div w:id="49978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097164">
      <w:bodyDiv w:val="1"/>
      <w:marLeft w:val="0"/>
      <w:marRight w:val="0"/>
      <w:marTop w:val="0"/>
      <w:marBottom w:val="0"/>
      <w:divBdr>
        <w:top w:val="none" w:sz="0" w:space="0" w:color="auto"/>
        <w:left w:val="none" w:sz="0" w:space="0" w:color="auto"/>
        <w:bottom w:val="none" w:sz="0" w:space="0" w:color="auto"/>
        <w:right w:val="none" w:sz="0" w:space="0" w:color="auto"/>
      </w:divBdr>
    </w:div>
    <w:div w:id="263075835">
      <w:bodyDiv w:val="1"/>
      <w:marLeft w:val="0"/>
      <w:marRight w:val="0"/>
      <w:marTop w:val="0"/>
      <w:marBottom w:val="0"/>
      <w:divBdr>
        <w:top w:val="none" w:sz="0" w:space="0" w:color="auto"/>
        <w:left w:val="none" w:sz="0" w:space="0" w:color="auto"/>
        <w:bottom w:val="none" w:sz="0" w:space="0" w:color="auto"/>
        <w:right w:val="none" w:sz="0" w:space="0" w:color="auto"/>
      </w:divBdr>
    </w:div>
    <w:div w:id="359472751">
      <w:bodyDiv w:val="1"/>
      <w:marLeft w:val="0"/>
      <w:marRight w:val="0"/>
      <w:marTop w:val="0"/>
      <w:marBottom w:val="0"/>
      <w:divBdr>
        <w:top w:val="none" w:sz="0" w:space="0" w:color="auto"/>
        <w:left w:val="none" w:sz="0" w:space="0" w:color="auto"/>
        <w:bottom w:val="none" w:sz="0" w:space="0" w:color="auto"/>
        <w:right w:val="none" w:sz="0" w:space="0" w:color="auto"/>
      </w:divBdr>
    </w:div>
    <w:div w:id="441846659">
      <w:bodyDiv w:val="1"/>
      <w:marLeft w:val="0"/>
      <w:marRight w:val="0"/>
      <w:marTop w:val="0"/>
      <w:marBottom w:val="0"/>
      <w:divBdr>
        <w:top w:val="none" w:sz="0" w:space="0" w:color="auto"/>
        <w:left w:val="none" w:sz="0" w:space="0" w:color="auto"/>
        <w:bottom w:val="none" w:sz="0" w:space="0" w:color="auto"/>
        <w:right w:val="none" w:sz="0" w:space="0" w:color="auto"/>
      </w:divBdr>
    </w:div>
    <w:div w:id="544753379">
      <w:bodyDiv w:val="1"/>
      <w:marLeft w:val="0"/>
      <w:marRight w:val="0"/>
      <w:marTop w:val="0"/>
      <w:marBottom w:val="0"/>
      <w:divBdr>
        <w:top w:val="none" w:sz="0" w:space="0" w:color="auto"/>
        <w:left w:val="none" w:sz="0" w:space="0" w:color="auto"/>
        <w:bottom w:val="none" w:sz="0" w:space="0" w:color="auto"/>
        <w:right w:val="none" w:sz="0" w:space="0" w:color="auto"/>
      </w:divBdr>
    </w:div>
    <w:div w:id="549153200">
      <w:bodyDiv w:val="1"/>
      <w:marLeft w:val="0"/>
      <w:marRight w:val="0"/>
      <w:marTop w:val="0"/>
      <w:marBottom w:val="0"/>
      <w:divBdr>
        <w:top w:val="none" w:sz="0" w:space="0" w:color="auto"/>
        <w:left w:val="none" w:sz="0" w:space="0" w:color="auto"/>
        <w:bottom w:val="none" w:sz="0" w:space="0" w:color="auto"/>
        <w:right w:val="none" w:sz="0" w:space="0" w:color="auto"/>
      </w:divBdr>
    </w:div>
    <w:div w:id="582373343">
      <w:bodyDiv w:val="1"/>
      <w:marLeft w:val="0"/>
      <w:marRight w:val="0"/>
      <w:marTop w:val="0"/>
      <w:marBottom w:val="0"/>
      <w:divBdr>
        <w:top w:val="none" w:sz="0" w:space="0" w:color="auto"/>
        <w:left w:val="none" w:sz="0" w:space="0" w:color="auto"/>
        <w:bottom w:val="none" w:sz="0" w:space="0" w:color="auto"/>
        <w:right w:val="none" w:sz="0" w:space="0" w:color="auto"/>
      </w:divBdr>
    </w:div>
    <w:div w:id="589122276">
      <w:bodyDiv w:val="1"/>
      <w:marLeft w:val="0"/>
      <w:marRight w:val="0"/>
      <w:marTop w:val="0"/>
      <w:marBottom w:val="0"/>
      <w:divBdr>
        <w:top w:val="none" w:sz="0" w:space="0" w:color="auto"/>
        <w:left w:val="none" w:sz="0" w:space="0" w:color="auto"/>
        <w:bottom w:val="none" w:sz="0" w:space="0" w:color="auto"/>
        <w:right w:val="none" w:sz="0" w:space="0" w:color="auto"/>
      </w:divBdr>
    </w:div>
    <w:div w:id="615210633">
      <w:bodyDiv w:val="1"/>
      <w:marLeft w:val="0"/>
      <w:marRight w:val="0"/>
      <w:marTop w:val="0"/>
      <w:marBottom w:val="0"/>
      <w:divBdr>
        <w:top w:val="none" w:sz="0" w:space="0" w:color="auto"/>
        <w:left w:val="none" w:sz="0" w:space="0" w:color="auto"/>
        <w:bottom w:val="none" w:sz="0" w:space="0" w:color="auto"/>
        <w:right w:val="none" w:sz="0" w:space="0" w:color="auto"/>
      </w:divBdr>
    </w:div>
    <w:div w:id="619341034">
      <w:bodyDiv w:val="1"/>
      <w:marLeft w:val="0"/>
      <w:marRight w:val="0"/>
      <w:marTop w:val="0"/>
      <w:marBottom w:val="0"/>
      <w:divBdr>
        <w:top w:val="none" w:sz="0" w:space="0" w:color="auto"/>
        <w:left w:val="none" w:sz="0" w:space="0" w:color="auto"/>
        <w:bottom w:val="none" w:sz="0" w:space="0" w:color="auto"/>
        <w:right w:val="none" w:sz="0" w:space="0" w:color="auto"/>
      </w:divBdr>
    </w:div>
    <w:div w:id="694770076">
      <w:bodyDiv w:val="1"/>
      <w:marLeft w:val="0"/>
      <w:marRight w:val="0"/>
      <w:marTop w:val="0"/>
      <w:marBottom w:val="0"/>
      <w:divBdr>
        <w:top w:val="none" w:sz="0" w:space="0" w:color="auto"/>
        <w:left w:val="none" w:sz="0" w:space="0" w:color="auto"/>
        <w:bottom w:val="none" w:sz="0" w:space="0" w:color="auto"/>
        <w:right w:val="none" w:sz="0" w:space="0" w:color="auto"/>
      </w:divBdr>
    </w:div>
    <w:div w:id="792554153">
      <w:bodyDiv w:val="1"/>
      <w:marLeft w:val="0"/>
      <w:marRight w:val="0"/>
      <w:marTop w:val="0"/>
      <w:marBottom w:val="0"/>
      <w:divBdr>
        <w:top w:val="none" w:sz="0" w:space="0" w:color="auto"/>
        <w:left w:val="none" w:sz="0" w:space="0" w:color="auto"/>
        <w:bottom w:val="none" w:sz="0" w:space="0" w:color="auto"/>
        <w:right w:val="none" w:sz="0" w:space="0" w:color="auto"/>
      </w:divBdr>
    </w:div>
    <w:div w:id="824707300">
      <w:bodyDiv w:val="1"/>
      <w:marLeft w:val="0"/>
      <w:marRight w:val="0"/>
      <w:marTop w:val="0"/>
      <w:marBottom w:val="0"/>
      <w:divBdr>
        <w:top w:val="none" w:sz="0" w:space="0" w:color="auto"/>
        <w:left w:val="none" w:sz="0" w:space="0" w:color="auto"/>
        <w:bottom w:val="none" w:sz="0" w:space="0" w:color="auto"/>
        <w:right w:val="none" w:sz="0" w:space="0" w:color="auto"/>
      </w:divBdr>
    </w:div>
    <w:div w:id="856777699">
      <w:bodyDiv w:val="1"/>
      <w:marLeft w:val="0"/>
      <w:marRight w:val="0"/>
      <w:marTop w:val="0"/>
      <w:marBottom w:val="0"/>
      <w:divBdr>
        <w:top w:val="none" w:sz="0" w:space="0" w:color="auto"/>
        <w:left w:val="none" w:sz="0" w:space="0" w:color="auto"/>
        <w:bottom w:val="none" w:sz="0" w:space="0" w:color="auto"/>
        <w:right w:val="none" w:sz="0" w:space="0" w:color="auto"/>
      </w:divBdr>
    </w:div>
    <w:div w:id="887061073">
      <w:bodyDiv w:val="1"/>
      <w:marLeft w:val="0"/>
      <w:marRight w:val="0"/>
      <w:marTop w:val="0"/>
      <w:marBottom w:val="0"/>
      <w:divBdr>
        <w:top w:val="none" w:sz="0" w:space="0" w:color="auto"/>
        <w:left w:val="none" w:sz="0" w:space="0" w:color="auto"/>
        <w:bottom w:val="none" w:sz="0" w:space="0" w:color="auto"/>
        <w:right w:val="none" w:sz="0" w:space="0" w:color="auto"/>
      </w:divBdr>
    </w:div>
    <w:div w:id="924192825">
      <w:bodyDiv w:val="1"/>
      <w:marLeft w:val="0"/>
      <w:marRight w:val="0"/>
      <w:marTop w:val="0"/>
      <w:marBottom w:val="0"/>
      <w:divBdr>
        <w:top w:val="none" w:sz="0" w:space="0" w:color="auto"/>
        <w:left w:val="none" w:sz="0" w:space="0" w:color="auto"/>
        <w:bottom w:val="none" w:sz="0" w:space="0" w:color="auto"/>
        <w:right w:val="none" w:sz="0" w:space="0" w:color="auto"/>
      </w:divBdr>
    </w:div>
    <w:div w:id="955673138">
      <w:bodyDiv w:val="1"/>
      <w:marLeft w:val="0"/>
      <w:marRight w:val="0"/>
      <w:marTop w:val="0"/>
      <w:marBottom w:val="0"/>
      <w:divBdr>
        <w:top w:val="none" w:sz="0" w:space="0" w:color="auto"/>
        <w:left w:val="none" w:sz="0" w:space="0" w:color="auto"/>
        <w:bottom w:val="none" w:sz="0" w:space="0" w:color="auto"/>
        <w:right w:val="none" w:sz="0" w:space="0" w:color="auto"/>
      </w:divBdr>
    </w:div>
    <w:div w:id="974601108">
      <w:bodyDiv w:val="1"/>
      <w:marLeft w:val="0"/>
      <w:marRight w:val="0"/>
      <w:marTop w:val="0"/>
      <w:marBottom w:val="0"/>
      <w:divBdr>
        <w:top w:val="none" w:sz="0" w:space="0" w:color="auto"/>
        <w:left w:val="none" w:sz="0" w:space="0" w:color="auto"/>
        <w:bottom w:val="none" w:sz="0" w:space="0" w:color="auto"/>
        <w:right w:val="none" w:sz="0" w:space="0" w:color="auto"/>
      </w:divBdr>
    </w:div>
    <w:div w:id="995649066">
      <w:bodyDiv w:val="1"/>
      <w:marLeft w:val="0"/>
      <w:marRight w:val="0"/>
      <w:marTop w:val="0"/>
      <w:marBottom w:val="0"/>
      <w:divBdr>
        <w:top w:val="none" w:sz="0" w:space="0" w:color="auto"/>
        <w:left w:val="none" w:sz="0" w:space="0" w:color="auto"/>
        <w:bottom w:val="none" w:sz="0" w:space="0" w:color="auto"/>
        <w:right w:val="none" w:sz="0" w:space="0" w:color="auto"/>
      </w:divBdr>
    </w:div>
    <w:div w:id="1006977643">
      <w:bodyDiv w:val="1"/>
      <w:marLeft w:val="0"/>
      <w:marRight w:val="0"/>
      <w:marTop w:val="0"/>
      <w:marBottom w:val="0"/>
      <w:divBdr>
        <w:top w:val="none" w:sz="0" w:space="0" w:color="auto"/>
        <w:left w:val="none" w:sz="0" w:space="0" w:color="auto"/>
        <w:bottom w:val="none" w:sz="0" w:space="0" w:color="auto"/>
        <w:right w:val="none" w:sz="0" w:space="0" w:color="auto"/>
      </w:divBdr>
      <w:divsChild>
        <w:div w:id="1380976889">
          <w:marLeft w:val="0"/>
          <w:marRight w:val="0"/>
          <w:marTop w:val="0"/>
          <w:marBottom w:val="0"/>
          <w:divBdr>
            <w:top w:val="none" w:sz="0" w:space="0" w:color="auto"/>
            <w:left w:val="none" w:sz="0" w:space="0" w:color="auto"/>
            <w:bottom w:val="none" w:sz="0" w:space="0" w:color="auto"/>
            <w:right w:val="none" w:sz="0" w:space="0" w:color="auto"/>
          </w:divBdr>
          <w:divsChild>
            <w:div w:id="809322023">
              <w:marLeft w:val="0"/>
              <w:marRight w:val="0"/>
              <w:marTop w:val="0"/>
              <w:marBottom w:val="0"/>
              <w:divBdr>
                <w:top w:val="none" w:sz="0" w:space="0" w:color="auto"/>
                <w:left w:val="none" w:sz="0" w:space="0" w:color="auto"/>
                <w:bottom w:val="none" w:sz="0" w:space="0" w:color="auto"/>
                <w:right w:val="none" w:sz="0" w:space="0" w:color="auto"/>
              </w:divBdr>
              <w:divsChild>
                <w:div w:id="29460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274473">
      <w:bodyDiv w:val="1"/>
      <w:marLeft w:val="0"/>
      <w:marRight w:val="0"/>
      <w:marTop w:val="0"/>
      <w:marBottom w:val="0"/>
      <w:divBdr>
        <w:top w:val="none" w:sz="0" w:space="0" w:color="auto"/>
        <w:left w:val="none" w:sz="0" w:space="0" w:color="auto"/>
        <w:bottom w:val="none" w:sz="0" w:space="0" w:color="auto"/>
        <w:right w:val="none" w:sz="0" w:space="0" w:color="auto"/>
      </w:divBdr>
    </w:div>
    <w:div w:id="1111435312">
      <w:bodyDiv w:val="1"/>
      <w:marLeft w:val="0"/>
      <w:marRight w:val="0"/>
      <w:marTop w:val="0"/>
      <w:marBottom w:val="0"/>
      <w:divBdr>
        <w:top w:val="none" w:sz="0" w:space="0" w:color="auto"/>
        <w:left w:val="none" w:sz="0" w:space="0" w:color="auto"/>
        <w:bottom w:val="none" w:sz="0" w:space="0" w:color="auto"/>
        <w:right w:val="none" w:sz="0" w:space="0" w:color="auto"/>
      </w:divBdr>
    </w:div>
    <w:div w:id="1145708521">
      <w:bodyDiv w:val="1"/>
      <w:marLeft w:val="0"/>
      <w:marRight w:val="0"/>
      <w:marTop w:val="0"/>
      <w:marBottom w:val="0"/>
      <w:divBdr>
        <w:top w:val="none" w:sz="0" w:space="0" w:color="auto"/>
        <w:left w:val="none" w:sz="0" w:space="0" w:color="auto"/>
        <w:bottom w:val="none" w:sz="0" w:space="0" w:color="auto"/>
        <w:right w:val="none" w:sz="0" w:space="0" w:color="auto"/>
      </w:divBdr>
      <w:divsChild>
        <w:div w:id="1303073846">
          <w:marLeft w:val="0"/>
          <w:marRight w:val="0"/>
          <w:marTop w:val="0"/>
          <w:marBottom w:val="0"/>
          <w:divBdr>
            <w:top w:val="none" w:sz="0" w:space="0" w:color="auto"/>
            <w:left w:val="none" w:sz="0" w:space="0" w:color="auto"/>
            <w:bottom w:val="none" w:sz="0" w:space="0" w:color="auto"/>
            <w:right w:val="none" w:sz="0" w:space="0" w:color="auto"/>
          </w:divBdr>
          <w:divsChild>
            <w:div w:id="2127583057">
              <w:marLeft w:val="0"/>
              <w:marRight w:val="0"/>
              <w:marTop w:val="0"/>
              <w:marBottom w:val="0"/>
              <w:divBdr>
                <w:top w:val="none" w:sz="0" w:space="0" w:color="auto"/>
                <w:left w:val="none" w:sz="0" w:space="0" w:color="auto"/>
                <w:bottom w:val="none" w:sz="0" w:space="0" w:color="auto"/>
                <w:right w:val="none" w:sz="0" w:space="0" w:color="auto"/>
              </w:divBdr>
              <w:divsChild>
                <w:div w:id="63826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216980">
      <w:bodyDiv w:val="1"/>
      <w:marLeft w:val="0"/>
      <w:marRight w:val="0"/>
      <w:marTop w:val="0"/>
      <w:marBottom w:val="0"/>
      <w:divBdr>
        <w:top w:val="none" w:sz="0" w:space="0" w:color="auto"/>
        <w:left w:val="none" w:sz="0" w:space="0" w:color="auto"/>
        <w:bottom w:val="none" w:sz="0" w:space="0" w:color="auto"/>
        <w:right w:val="none" w:sz="0" w:space="0" w:color="auto"/>
      </w:divBdr>
    </w:div>
    <w:div w:id="1163349788">
      <w:bodyDiv w:val="1"/>
      <w:marLeft w:val="0"/>
      <w:marRight w:val="0"/>
      <w:marTop w:val="0"/>
      <w:marBottom w:val="0"/>
      <w:divBdr>
        <w:top w:val="none" w:sz="0" w:space="0" w:color="auto"/>
        <w:left w:val="none" w:sz="0" w:space="0" w:color="auto"/>
        <w:bottom w:val="none" w:sz="0" w:space="0" w:color="auto"/>
        <w:right w:val="none" w:sz="0" w:space="0" w:color="auto"/>
      </w:divBdr>
      <w:divsChild>
        <w:div w:id="136991585">
          <w:marLeft w:val="0"/>
          <w:marRight w:val="0"/>
          <w:marTop w:val="0"/>
          <w:marBottom w:val="0"/>
          <w:divBdr>
            <w:top w:val="none" w:sz="0" w:space="0" w:color="auto"/>
            <w:left w:val="none" w:sz="0" w:space="0" w:color="auto"/>
            <w:bottom w:val="none" w:sz="0" w:space="0" w:color="auto"/>
            <w:right w:val="none" w:sz="0" w:space="0" w:color="auto"/>
          </w:divBdr>
          <w:divsChild>
            <w:div w:id="581259930">
              <w:marLeft w:val="0"/>
              <w:marRight w:val="0"/>
              <w:marTop w:val="0"/>
              <w:marBottom w:val="0"/>
              <w:divBdr>
                <w:top w:val="none" w:sz="0" w:space="0" w:color="auto"/>
                <w:left w:val="none" w:sz="0" w:space="0" w:color="auto"/>
                <w:bottom w:val="none" w:sz="0" w:space="0" w:color="auto"/>
                <w:right w:val="none" w:sz="0" w:space="0" w:color="auto"/>
              </w:divBdr>
              <w:divsChild>
                <w:div w:id="189434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087483">
      <w:bodyDiv w:val="1"/>
      <w:marLeft w:val="0"/>
      <w:marRight w:val="0"/>
      <w:marTop w:val="0"/>
      <w:marBottom w:val="0"/>
      <w:divBdr>
        <w:top w:val="none" w:sz="0" w:space="0" w:color="auto"/>
        <w:left w:val="none" w:sz="0" w:space="0" w:color="auto"/>
        <w:bottom w:val="none" w:sz="0" w:space="0" w:color="auto"/>
        <w:right w:val="none" w:sz="0" w:space="0" w:color="auto"/>
      </w:divBdr>
      <w:divsChild>
        <w:div w:id="166100963">
          <w:marLeft w:val="0"/>
          <w:marRight w:val="0"/>
          <w:marTop w:val="0"/>
          <w:marBottom w:val="0"/>
          <w:divBdr>
            <w:top w:val="none" w:sz="0" w:space="0" w:color="auto"/>
            <w:left w:val="none" w:sz="0" w:space="0" w:color="auto"/>
            <w:bottom w:val="none" w:sz="0" w:space="0" w:color="auto"/>
            <w:right w:val="none" w:sz="0" w:space="0" w:color="auto"/>
          </w:divBdr>
          <w:divsChild>
            <w:div w:id="13309694">
              <w:marLeft w:val="0"/>
              <w:marRight w:val="0"/>
              <w:marTop w:val="0"/>
              <w:marBottom w:val="0"/>
              <w:divBdr>
                <w:top w:val="none" w:sz="0" w:space="0" w:color="auto"/>
                <w:left w:val="none" w:sz="0" w:space="0" w:color="auto"/>
                <w:bottom w:val="none" w:sz="0" w:space="0" w:color="auto"/>
                <w:right w:val="none" w:sz="0" w:space="0" w:color="auto"/>
              </w:divBdr>
              <w:divsChild>
                <w:div w:id="138012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044729">
      <w:bodyDiv w:val="1"/>
      <w:marLeft w:val="0"/>
      <w:marRight w:val="0"/>
      <w:marTop w:val="0"/>
      <w:marBottom w:val="0"/>
      <w:divBdr>
        <w:top w:val="none" w:sz="0" w:space="0" w:color="auto"/>
        <w:left w:val="none" w:sz="0" w:space="0" w:color="auto"/>
        <w:bottom w:val="none" w:sz="0" w:space="0" w:color="auto"/>
        <w:right w:val="none" w:sz="0" w:space="0" w:color="auto"/>
      </w:divBdr>
    </w:div>
    <w:div w:id="1220824653">
      <w:bodyDiv w:val="1"/>
      <w:marLeft w:val="0"/>
      <w:marRight w:val="0"/>
      <w:marTop w:val="0"/>
      <w:marBottom w:val="0"/>
      <w:divBdr>
        <w:top w:val="none" w:sz="0" w:space="0" w:color="auto"/>
        <w:left w:val="none" w:sz="0" w:space="0" w:color="auto"/>
        <w:bottom w:val="none" w:sz="0" w:space="0" w:color="auto"/>
        <w:right w:val="none" w:sz="0" w:space="0" w:color="auto"/>
      </w:divBdr>
    </w:div>
    <w:div w:id="1223520890">
      <w:bodyDiv w:val="1"/>
      <w:marLeft w:val="0"/>
      <w:marRight w:val="0"/>
      <w:marTop w:val="0"/>
      <w:marBottom w:val="0"/>
      <w:divBdr>
        <w:top w:val="none" w:sz="0" w:space="0" w:color="auto"/>
        <w:left w:val="none" w:sz="0" w:space="0" w:color="auto"/>
        <w:bottom w:val="none" w:sz="0" w:space="0" w:color="auto"/>
        <w:right w:val="none" w:sz="0" w:space="0" w:color="auto"/>
      </w:divBdr>
    </w:div>
    <w:div w:id="1283803593">
      <w:bodyDiv w:val="1"/>
      <w:marLeft w:val="0"/>
      <w:marRight w:val="0"/>
      <w:marTop w:val="0"/>
      <w:marBottom w:val="0"/>
      <w:divBdr>
        <w:top w:val="none" w:sz="0" w:space="0" w:color="auto"/>
        <w:left w:val="none" w:sz="0" w:space="0" w:color="auto"/>
        <w:bottom w:val="none" w:sz="0" w:space="0" w:color="auto"/>
        <w:right w:val="none" w:sz="0" w:space="0" w:color="auto"/>
      </w:divBdr>
    </w:div>
    <w:div w:id="1453548361">
      <w:bodyDiv w:val="1"/>
      <w:marLeft w:val="0"/>
      <w:marRight w:val="0"/>
      <w:marTop w:val="0"/>
      <w:marBottom w:val="0"/>
      <w:divBdr>
        <w:top w:val="none" w:sz="0" w:space="0" w:color="auto"/>
        <w:left w:val="none" w:sz="0" w:space="0" w:color="auto"/>
        <w:bottom w:val="none" w:sz="0" w:space="0" w:color="auto"/>
        <w:right w:val="none" w:sz="0" w:space="0" w:color="auto"/>
      </w:divBdr>
    </w:div>
    <w:div w:id="1491216861">
      <w:bodyDiv w:val="1"/>
      <w:marLeft w:val="0"/>
      <w:marRight w:val="0"/>
      <w:marTop w:val="0"/>
      <w:marBottom w:val="0"/>
      <w:divBdr>
        <w:top w:val="none" w:sz="0" w:space="0" w:color="auto"/>
        <w:left w:val="none" w:sz="0" w:space="0" w:color="auto"/>
        <w:bottom w:val="none" w:sz="0" w:space="0" w:color="auto"/>
        <w:right w:val="none" w:sz="0" w:space="0" w:color="auto"/>
      </w:divBdr>
    </w:div>
    <w:div w:id="1504784373">
      <w:bodyDiv w:val="1"/>
      <w:marLeft w:val="0"/>
      <w:marRight w:val="0"/>
      <w:marTop w:val="0"/>
      <w:marBottom w:val="0"/>
      <w:divBdr>
        <w:top w:val="none" w:sz="0" w:space="0" w:color="auto"/>
        <w:left w:val="none" w:sz="0" w:space="0" w:color="auto"/>
        <w:bottom w:val="none" w:sz="0" w:space="0" w:color="auto"/>
        <w:right w:val="none" w:sz="0" w:space="0" w:color="auto"/>
      </w:divBdr>
    </w:div>
    <w:div w:id="1508252246">
      <w:bodyDiv w:val="1"/>
      <w:marLeft w:val="0"/>
      <w:marRight w:val="0"/>
      <w:marTop w:val="0"/>
      <w:marBottom w:val="0"/>
      <w:divBdr>
        <w:top w:val="none" w:sz="0" w:space="0" w:color="auto"/>
        <w:left w:val="none" w:sz="0" w:space="0" w:color="auto"/>
        <w:bottom w:val="none" w:sz="0" w:space="0" w:color="auto"/>
        <w:right w:val="none" w:sz="0" w:space="0" w:color="auto"/>
      </w:divBdr>
    </w:div>
    <w:div w:id="1536305499">
      <w:bodyDiv w:val="1"/>
      <w:marLeft w:val="0"/>
      <w:marRight w:val="0"/>
      <w:marTop w:val="0"/>
      <w:marBottom w:val="0"/>
      <w:divBdr>
        <w:top w:val="none" w:sz="0" w:space="0" w:color="auto"/>
        <w:left w:val="none" w:sz="0" w:space="0" w:color="auto"/>
        <w:bottom w:val="none" w:sz="0" w:space="0" w:color="auto"/>
        <w:right w:val="none" w:sz="0" w:space="0" w:color="auto"/>
      </w:divBdr>
    </w:div>
    <w:div w:id="1630234996">
      <w:bodyDiv w:val="1"/>
      <w:marLeft w:val="0"/>
      <w:marRight w:val="0"/>
      <w:marTop w:val="0"/>
      <w:marBottom w:val="0"/>
      <w:divBdr>
        <w:top w:val="none" w:sz="0" w:space="0" w:color="auto"/>
        <w:left w:val="none" w:sz="0" w:space="0" w:color="auto"/>
        <w:bottom w:val="none" w:sz="0" w:space="0" w:color="auto"/>
        <w:right w:val="none" w:sz="0" w:space="0" w:color="auto"/>
      </w:divBdr>
    </w:div>
    <w:div w:id="1630547900">
      <w:bodyDiv w:val="1"/>
      <w:marLeft w:val="0"/>
      <w:marRight w:val="0"/>
      <w:marTop w:val="0"/>
      <w:marBottom w:val="0"/>
      <w:divBdr>
        <w:top w:val="none" w:sz="0" w:space="0" w:color="auto"/>
        <w:left w:val="none" w:sz="0" w:space="0" w:color="auto"/>
        <w:bottom w:val="none" w:sz="0" w:space="0" w:color="auto"/>
        <w:right w:val="none" w:sz="0" w:space="0" w:color="auto"/>
      </w:divBdr>
    </w:div>
    <w:div w:id="1693919429">
      <w:bodyDiv w:val="1"/>
      <w:marLeft w:val="0"/>
      <w:marRight w:val="0"/>
      <w:marTop w:val="0"/>
      <w:marBottom w:val="0"/>
      <w:divBdr>
        <w:top w:val="none" w:sz="0" w:space="0" w:color="auto"/>
        <w:left w:val="none" w:sz="0" w:space="0" w:color="auto"/>
        <w:bottom w:val="none" w:sz="0" w:space="0" w:color="auto"/>
        <w:right w:val="none" w:sz="0" w:space="0" w:color="auto"/>
      </w:divBdr>
    </w:div>
    <w:div w:id="1714882500">
      <w:bodyDiv w:val="1"/>
      <w:marLeft w:val="0"/>
      <w:marRight w:val="0"/>
      <w:marTop w:val="0"/>
      <w:marBottom w:val="0"/>
      <w:divBdr>
        <w:top w:val="none" w:sz="0" w:space="0" w:color="auto"/>
        <w:left w:val="none" w:sz="0" w:space="0" w:color="auto"/>
        <w:bottom w:val="none" w:sz="0" w:space="0" w:color="auto"/>
        <w:right w:val="none" w:sz="0" w:space="0" w:color="auto"/>
      </w:divBdr>
    </w:div>
    <w:div w:id="1715617075">
      <w:bodyDiv w:val="1"/>
      <w:marLeft w:val="0"/>
      <w:marRight w:val="0"/>
      <w:marTop w:val="0"/>
      <w:marBottom w:val="0"/>
      <w:divBdr>
        <w:top w:val="none" w:sz="0" w:space="0" w:color="auto"/>
        <w:left w:val="none" w:sz="0" w:space="0" w:color="auto"/>
        <w:bottom w:val="none" w:sz="0" w:space="0" w:color="auto"/>
        <w:right w:val="none" w:sz="0" w:space="0" w:color="auto"/>
      </w:divBdr>
    </w:div>
    <w:div w:id="1806464112">
      <w:bodyDiv w:val="1"/>
      <w:marLeft w:val="0"/>
      <w:marRight w:val="0"/>
      <w:marTop w:val="0"/>
      <w:marBottom w:val="0"/>
      <w:divBdr>
        <w:top w:val="none" w:sz="0" w:space="0" w:color="auto"/>
        <w:left w:val="none" w:sz="0" w:space="0" w:color="auto"/>
        <w:bottom w:val="none" w:sz="0" w:space="0" w:color="auto"/>
        <w:right w:val="none" w:sz="0" w:space="0" w:color="auto"/>
      </w:divBdr>
    </w:div>
    <w:div w:id="1886406958">
      <w:bodyDiv w:val="1"/>
      <w:marLeft w:val="0"/>
      <w:marRight w:val="0"/>
      <w:marTop w:val="0"/>
      <w:marBottom w:val="0"/>
      <w:divBdr>
        <w:top w:val="none" w:sz="0" w:space="0" w:color="auto"/>
        <w:left w:val="none" w:sz="0" w:space="0" w:color="auto"/>
        <w:bottom w:val="none" w:sz="0" w:space="0" w:color="auto"/>
        <w:right w:val="none" w:sz="0" w:space="0" w:color="auto"/>
      </w:divBdr>
      <w:divsChild>
        <w:div w:id="1502894770">
          <w:marLeft w:val="0"/>
          <w:marRight w:val="0"/>
          <w:marTop w:val="0"/>
          <w:marBottom w:val="0"/>
          <w:divBdr>
            <w:top w:val="none" w:sz="0" w:space="0" w:color="auto"/>
            <w:left w:val="none" w:sz="0" w:space="0" w:color="auto"/>
            <w:bottom w:val="none" w:sz="0" w:space="0" w:color="auto"/>
            <w:right w:val="none" w:sz="0" w:space="0" w:color="auto"/>
          </w:divBdr>
          <w:divsChild>
            <w:div w:id="1771312475">
              <w:marLeft w:val="0"/>
              <w:marRight w:val="0"/>
              <w:marTop w:val="0"/>
              <w:marBottom w:val="0"/>
              <w:divBdr>
                <w:top w:val="none" w:sz="0" w:space="0" w:color="auto"/>
                <w:left w:val="none" w:sz="0" w:space="0" w:color="auto"/>
                <w:bottom w:val="none" w:sz="0" w:space="0" w:color="auto"/>
                <w:right w:val="none" w:sz="0" w:space="0" w:color="auto"/>
              </w:divBdr>
              <w:divsChild>
                <w:div w:id="6838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810090">
      <w:bodyDiv w:val="1"/>
      <w:marLeft w:val="0"/>
      <w:marRight w:val="0"/>
      <w:marTop w:val="0"/>
      <w:marBottom w:val="0"/>
      <w:divBdr>
        <w:top w:val="none" w:sz="0" w:space="0" w:color="auto"/>
        <w:left w:val="none" w:sz="0" w:space="0" w:color="auto"/>
        <w:bottom w:val="none" w:sz="0" w:space="0" w:color="auto"/>
        <w:right w:val="none" w:sz="0" w:space="0" w:color="auto"/>
      </w:divBdr>
      <w:divsChild>
        <w:div w:id="585456726">
          <w:marLeft w:val="0"/>
          <w:marRight w:val="0"/>
          <w:marTop w:val="0"/>
          <w:marBottom w:val="0"/>
          <w:divBdr>
            <w:top w:val="none" w:sz="0" w:space="0" w:color="auto"/>
            <w:left w:val="none" w:sz="0" w:space="0" w:color="auto"/>
            <w:bottom w:val="none" w:sz="0" w:space="0" w:color="auto"/>
            <w:right w:val="none" w:sz="0" w:space="0" w:color="auto"/>
          </w:divBdr>
          <w:divsChild>
            <w:div w:id="1561745397">
              <w:marLeft w:val="0"/>
              <w:marRight w:val="0"/>
              <w:marTop w:val="0"/>
              <w:marBottom w:val="0"/>
              <w:divBdr>
                <w:top w:val="none" w:sz="0" w:space="0" w:color="auto"/>
                <w:left w:val="none" w:sz="0" w:space="0" w:color="auto"/>
                <w:bottom w:val="none" w:sz="0" w:space="0" w:color="auto"/>
                <w:right w:val="none" w:sz="0" w:space="0" w:color="auto"/>
              </w:divBdr>
              <w:divsChild>
                <w:div w:id="1778213974">
                  <w:marLeft w:val="0"/>
                  <w:marRight w:val="0"/>
                  <w:marTop w:val="0"/>
                  <w:marBottom w:val="0"/>
                  <w:divBdr>
                    <w:top w:val="none" w:sz="0" w:space="0" w:color="auto"/>
                    <w:left w:val="none" w:sz="0" w:space="0" w:color="auto"/>
                    <w:bottom w:val="none" w:sz="0" w:space="0" w:color="auto"/>
                    <w:right w:val="none" w:sz="0" w:space="0" w:color="auto"/>
                  </w:divBdr>
                </w:div>
              </w:divsChild>
            </w:div>
            <w:div w:id="1061977428">
              <w:marLeft w:val="0"/>
              <w:marRight w:val="0"/>
              <w:marTop w:val="0"/>
              <w:marBottom w:val="0"/>
              <w:divBdr>
                <w:top w:val="none" w:sz="0" w:space="0" w:color="auto"/>
                <w:left w:val="none" w:sz="0" w:space="0" w:color="auto"/>
                <w:bottom w:val="none" w:sz="0" w:space="0" w:color="auto"/>
                <w:right w:val="none" w:sz="0" w:space="0" w:color="auto"/>
              </w:divBdr>
              <w:divsChild>
                <w:div w:id="1488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627234">
      <w:bodyDiv w:val="1"/>
      <w:marLeft w:val="0"/>
      <w:marRight w:val="0"/>
      <w:marTop w:val="0"/>
      <w:marBottom w:val="0"/>
      <w:divBdr>
        <w:top w:val="none" w:sz="0" w:space="0" w:color="auto"/>
        <w:left w:val="none" w:sz="0" w:space="0" w:color="auto"/>
        <w:bottom w:val="none" w:sz="0" w:space="0" w:color="auto"/>
        <w:right w:val="none" w:sz="0" w:space="0" w:color="auto"/>
      </w:divBdr>
    </w:div>
    <w:div w:id="2013291591">
      <w:bodyDiv w:val="1"/>
      <w:marLeft w:val="0"/>
      <w:marRight w:val="0"/>
      <w:marTop w:val="0"/>
      <w:marBottom w:val="0"/>
      <w:divBdr>
        <w:top w:val="none" w:sz="0" w:space="0" w:color="auto"/>
        <w:left w:val="none" w:sz="0" w:space="0" w:color="auto"/>
        <w:bottom w:val="none" w:sz="0" w:space="0" w:color="auto"/>
        <w:right w:val="none" w:sz="0" w:space="0" w:color="auto"/>
      </w:divBdr>
    </w:div>
    <w:div w:id="2016614984">
      <w:bodyDiv w:val="1"/>
      <w:marLeft w:val="0"/>
      <w:marRight w:val="0"/>
      <w:marTop w:val="0"/>
      <w:marBottom w:val="0"/>
      <w:divBdr>
        <w:top w:val="none" w:sz="0" w:space="0" w:color="auto"/>
        <w:left w:val="none" w:sz="0" w:space="0" w:color="auto"/>
        <w:bottom w:val="none" w:sz="0" w:space="0" w:color="auto"/>
        <w:right w:val="none" w:sz="0" w:space="0" w:color="auto"/>
      </w:divBdr>
    </w:div>
    <w:div w:id="2042241142">
      <w:bodyDiv w:val="1"/>
      <w:marLeft w:val="0"/>
      <w:marRight w:val="0"/>
      <w:marTop w:val="0"/>
      <w:marBottom w:val="0"/>
      <w:divBdr>
        <w:top w:val="none" w:sz="0" w:space="0" w:color="auto"/>
        <w:left w:val="none" w:sz="0" w:space="0" w:color="auto"/>
        <w:bottom w:val="none" w:sz="0" w:space="0" w:color="auto"/>
        <w:right w:val="none" w:sz="0" w:space="0" w:color="auto"/>
      </w:divBdr>
    </w:div>
    <w:div w:id="2051683074">
      <w:bodyDiv w:val="1"/>
      <w:marLeft w:val="0"/>
      <w:marRight w:val="0"/>
      <w:marTop w:val="0"/>
      <w:marBottom w:val="0"/>
      <w:divBdr>
        <w:top w:val="none" w:sz="0" w:space="0" w:color="auto"/>
        <w:left w:val="none" w:sz="0" w:space="0" w:color="auto"/>
        <w:bottom w:val="none" w:sz="0" w:space="0" w:color="auto"/>
        <w:right w:val="none" w:sz="0" w:space="0" w:color="auto"/>
      </w:divBdr>
      <w:divsChild>
        <w:div w:id="1594894585">
          <w:marLeft w:val="0"/>
          <w:marRight w:val="0"/>
          <w:marTop w:val="0"/>
          <w:marBottom w:val="0"/>
          <w:divBdr>
            <w:top w:val="none" w:sz="0" w:space="0" w:color="auto"/>
            <w:left w:val="none" w:sz="0" w:space="0" w:color="auto"/>
            <w:bottom w:val="none" w:sz="0" w:space="0" w:color="auto"/>
            <w:right w:val="none" w:sz="0" w:space="0" w:color="auto"/>
          </w:divBdr>
          <w:divsChild>
            <w:div w:id="963654745">
              <w:marLeft w:val="0"/>
              <w:marRight w:val="0"/>
              <w:marTop w:val="0"/>
              <w:marBottom w:val="0"/>
              <w:divBdr>
                <w:top w:val="none" w:sz="0" w:space="0" w:color="auto"/>
                <w:left w:val="none" w:sz="0" w:space="0" w:color="auto"/>
                <w:bottom w:val="none" w:sz="0" w:space="0" w:color="auto"/>
                <w:right w:val="none" w:sz="0" w:space="0" w:color="auto"/>
              </w:divBdr>
              <w:divsChild>
                <w:div w:id="2321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cademy.ac.uk/system/files/student-progress-files.pdf" TargetMode="External"/><Relationship Id="rId13" Type="http://schemas.openxmlformats.org/officeDocument/2006/relationships/hyperlink" Target="https://www.qaa.ac.uk/docs/qaas/enhancement-and-development/pdp-guidance-for-institutional-policy-and-practice.pdf?sfvrsn=4145f581_8" TargetMode="External"/><Relationship Id="rId3" Type="http://schemas.openxmlformats.org/officeDocument/2006/relationships/settings" Target="settings.xml"/><Relationship Id="rId7" Type="http://schemas.openxmlformats.org/officeDocument/2006/relationships/hyperlink" Target="https://www.nafsa.org/_/File/_/reflections_on_global.pdf" TargetMode="External"/><Relationship Id="rId12" Type="http://schemas.openxmlformats.org/officeDocument/2006/relationships/hyperlink" Target="https://www.officeforstudents.org.uk/media/5ff81204-14f4-4e71-8b48-91f46247c49b/tef-2018-short-guide.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open.ac.uk/opencetl/sites/www.open.ac.uk.opencetl/files/files/ecms/web-content/Finlay-(2008)-Reflecting-on-reflective-practice-PBPL-paper-52.pdf" TargetMode="External"/><Relationship Id="rId11" Type="http://schemas.openxmlformats.org/officeDocument/2006/relationships/hyperlink" Target="https://www.advance-he.ac.uk/news-and-views/employability-prominent-feature-contemporary-higher-education" TargetMode="External"/><Relationship Id="rId5" Type="http://schemas.openxmlformats.org/officeDocument/2006/relationships/hyperlink" Target="https://www.ewc.wales/site/index.php/en/fitness-to-practise/code-of-professional-conduct-and-practice-pdf/file.html" TargetMode="External"/><Relationship Id="rId15" Type="http://schemas.openxmlformats.org/officeDocument/2006/relationships/hyperlink" Target="https://www.theguardian.com/higher-education-network/2018/jun/01/awarding-university-subjects-gold-medals-is-deeply-flawed" TargetMode="External"/><Relationship Id="rId10" Type="http://schemas.openxmlformats.org/officeDocument/2006/relationships/hyperlink" Target="https://nursing-midwifery.tcd.ie/assets/director-staff-edu-dev/pdf/Guide-for-Busy-Academics-No1-4-HEA.pdf" TargetMode="External"/><Relationship Id="rId4" Type="http://schemas.openxmlformats.org/officeDocument/2006/relationships/webSettings" Target="webSettings.xml"/><Relationship Id="rId9" Type="http://schemas.openxmlformats.org/officeDocument/2006/relationships/hyperlink" Target="https://www.seda.ac.uk/resources/files/publications_25_Educational%20Dev%205.4.pdf" TargetMode="External"/><Relationship Id="rId14" Type="http://schemas.openxmlformats.org/officeDocument/2006/relationships/hyperlink" Target="https://beaveronline.co.uk/lse-opts-tef-awarded-bronz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1250</TotalTime>
  <Pages>8</Pages>
  <Words>3002</Words>
  <Characters>17117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Hopkins</dc:creator>
  <cp:keywords/>
  <dc:description/>
  <cp:lastModifiedBy>Julia Hopkins</cp:lastModifiedBy>
  <cp:revision>12</cp:revision>
  <cp:lastPrinted>2019-05-18T20:28:00Z</cp:lastPrinted>
  <dcterms:created xsi:type="dcterms:W3CDTF">2019-05-13T15:41:00Z</dcterms:created>
  <dcterms:modified xsi:type="dcterms:W3CDTF">2019-05-24T09:49:00Z</dcterms:modified>
</cp:coreProperties>
</file>