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References: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5C7858">
        <w:rPr>
          <w:rFonts w:ascii="Arial" w:hAnsi="Arial" w:cs="Arial"/>
          <w:sz w:val="24"/>
          <w:szCs w:val="24"/>
        </w:rPr>
        <w:t xml:space="preserve">Colker, L. (2014) ‘The Word Gap: The Early Years Make the difference’, </w:t>
      </w:r>
      <w:r w:rsidRPr="005C7858">
        <w:rPr>
          <w:rFonts w:ascii="Arial" w:hAnsi="Arial" w:cs="Arial"/>
          <w:i/>
          <w:sz w:val="24"/>
          <w:szCs w:val="24"/>
        </w:rPr>
        <w:t xml:space="preserve">Teaching Young Children, </w:t>
      </w:r>
      <w:r w:rsidRPr="005C7858">
        <w:rPr>
          <w:rFonts w:ascii="Arial" w:hAnsi="Arial" w:cs="Arial"/>
          <w:sz w:val="24"/>
          <w:szCs w:val="24"/>
        </w:rPr>
        <w:t xml:space="preserve">Vol 7, 3 March, pp.1.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David, T. (2004) ‘Building up.’ Available at: </w:t>
      </w:r>
      <w:hyperlink r:id="rId6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https://www.nurseryworld.co.uk/nursery-world/news/1101345/building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24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Donaldson, J. (2000) </w:t>
      </w:r>
      <w:r w:rsidRPr="005C7858">
        <w:rPr>
          <w:rFonts w:ascii="Arial" w:hAnsi="Arial" w:cs="Arial"/>
          <w:i/>
          <w:sz w:val="24"/>
          <w:szCs w:val="24"/>
        </w:rPr>
        <w:t xml:space="preserve">Monkey Puzzle. </w:t>
      </w:r>
      <w:r w:rsidRPr="005C7858">
        <w:rPr>
          <w:rFonts w:ascii="Arial" w:hAnsi="Arial" w:cs="Arial"/>
          <w:sz w:val="24"/>
          <w:szCs w:val="24"/>
        </w:rPr>
        <w:t xml:space="preserve">London: Macmillan Children’s books.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Ford, C. (2014) ‘Children should start learning languages at age three’, </w:t>
      </w:r>
      <w:r w:rsidRPr="005C7858">
        <w:rPr>
          <w:rFonts w:ascii="Arial" w:hAnsi="Arial" w:cs="Arial"/>
          <w:i/>
          <w:sz w:val="24"/>
          <w:szCs w:val="24"/>
        </w:rPr>
        <w:t xml:space="preserve">The Telegraph, </w:t>
      </w:r>
      <w:r w:rsidRPr="005C7858">
        <w:rPr>
          <w:rFonts w:ascii="Arial" w:hAnsi="Arial" w:cs="Arial"/>
          <w:sz w:val="24"/>
          <w:szCs w:val="24"/>
        </w:rPr>
        <w:t>10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October: pp. 1. [On-Line]. Available at: </w:t>
      </w:r>
      <w:hyperlink r:id="rId7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https://www.telegraph.co.uk/education/educationopinion/11151726/Children-should-start-learning-languages-at-age-three.html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27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Funderstanding (2011) ‘Piaget and the Young Mind: Child Development Stages.’ Available at: </w:t>
      </w:r>
      <w:hyperlink r:id="rId8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https://www.funderstanding.com/educators/piaget-and-the-young-mind/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24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Glazzard, J. and Stokoe, J. (2013) </w:t>
      </w:r>
      <w:r w:rsidRPr="005C7858">
        <w:rPr>
          <w:rFonts w:ascii="Arial" w:hAnsi="Arial" w:cs="Arial"/>
          <w:i/>
          <w:sz w:val="24"/>
          <w:szCs w:val="24"/>
        </w:rPr>
        <w:t>Teaching Systematic Synthetic Phonics and Early Language</w:t>
      </w:r>
      <w:r w:rsidRPr="005C7858">
        <w:rPr>
          <w:rFonts w:ascii="Arial" w:hAnsi="Arial" w:cs="Arial"/>
          <w:sz w:val="24"/>
          <w:szCs w:val="24"/>
        </w:rPr>
        <w:t xml:space="preserve">. Norwich: Critical Publishing.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Harris, M. (2013) </w:t>
      </w:r>
      <w:r w:rsidRPr="005C7858">
        <w:rPr>
          <w:rFonts w:ascii="Arial" w:hAnsi="Arial" w:cs="Arial"/>
          <w:i/>
          <w:sz w:val="24"/>
          <w:szCs w:val="24"/>
        </w:rPr>
        <w:t xml:space="preserve">Language Experience and Early Language Development: From Input to Uptake. </w:t>
      </w:r>
      <w:r w:rsidRPr="005C7858">
        <w:rPr>
          <w:rFonts w:ascii="Arial" w:hAnsi="Arial" w:cs="Arial"/>
          <w:sz w:val="24"/>
          <w:szCs w:val="24"/>
        </w:rPr>
        <w:t xml:space="preserve">Hove: Lawrence Erlbaum Ltd. Publishers. </w:t>
      </w:r>
    </w:p>
    <w:p w:rsidR="00335FFB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Horst, J. (2013) ‘Context and Repetition in Word Learning’, </w:t>
      </w:r>
      <w:r w:rsidRPr="005C7858">
        <w:rPr>
          <w:rFonts w:ascii="Arial" w:hAnsi="Arial" w:cs="Arial"/>
          <w:i/>
          <w:sz w:val="24"/>
          <w:szCs w:val="24"/>
        </w:rPr>
        <w:t xml:space="preserve">Frontiers in Psychology, </w:t>
      </w:r>
      <w:r w:rsidRPr="005C7858">
        <w:rPr>
          <w:rFonts w:ascii="Arial" w:hAnsi="Arial" w:cs="Arial"/>
          <w:sz w:val="24"/>
          <w:szCs w:val="24"/>
        </w:rPr>
        <w:t xml:space="preserve">Vol 4, April, pp. 149.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Justice, L. and Sofka, A. (2010) </w:t>
      </w:r>
      <w:r w:rsidRPr="005C7858">
        <w:rPr>
          <w:rFonts w:ascii="Arial" w:hAnsi="Arial" w:cs="Arial"/>
          <w:i/>
          <w:sz w:val="24"/>
          <w:szCs w:val="24"/>
        </w:rPr>
        <w:t xml:space="preserve">Engaging Children with Print: Building Early Literacy Skills through Quality Read- Alouds. </w:t>
      </w:r>
      <w:r w:rsidRPr="005C7858">
        <w:rPr>
          <w:rFonts w:ascii="Arial" w:hAnsi="Arial" w:cs="Arial"/>
          <w:sz w:val="24"/>
          <w:szCs w:val="24"/>
        </w:rPr>
        <w:t xml:space="preserve">London: The Guilford Press.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Kuhl. P. (2010) ‘Brain Mechanisms in Early Language Acquisition’, </w:t>
      </w:r>
      <w:r w:rsidRPr="005C7858">
        <w:rPr>
          <w:rFonts w:ascii="Arial" w:hAnsi="Arial" w:cs="Arial"/>
          <w:i/>
          <w:sz w:val="24"/>
          <w:szCs w:val="24"/>
        </w:rPr>
        <w:t xml:space="preserve">Neuron, </w:t>
      </w:r>
      <w:r w:rsidRPr="005C7858">
        <w:rPr>
          <w:rFonts w:ascii="Arial" w:hAnsi="Arial" w:cs="Arial"/>
          <w:sz w:val="24"/>
          <w:szCs w:val="24"/>
        </w:rPr>
        <w:t xml:space="preserve">Vol 67, 5, September, pp. 713-727.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Lee, T. (2016) </w:t>
      </w:r>
      <w:r w:rsidRPr="005C7858">
        <w:rPr>
          <w:rFonts w:ascii="Arial" w:hAnsi="Arial" w:cs="Arial"/>
          <w:i/>
          <w:sz w:val="24"/>
          <w:szCs w:val="24"/>
        </w:rPr>
        <w:t xml:space="preserve">Princesses, Dragons and Helicopter Stories: Storytelling and Story Acting in the Early Years. </w:t>
      </w:r>
      <w:r w:rsidRPr="005C7858">
        <w:rPr>
          <w:rFonts w:ascii="Arial" w:hAnsi="Arial" w:cs="Arial"/>
          <w:sz w:val="24"/>
          <w:szCs w:val="24"/>
        </w:rPr>
        <w:t xml:space="preserve">London: Routledge.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Lemetyinen, H. (2012) ‘Language Acquisition.’ Available at: </w:t>
      </w:r>
      <w:hyperlink r:id="rId9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https://www.simplypsychology.org/language.html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26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Machado, J. (2016) </w:t>
      </w:r>
      <w:r w:rsidRPr="005C7858">
        <w:rPr>
          <w:rFonts w:ascii="Arial" w:hAnsi="Arial" w:cs="Arial"/>
          <w:i/>
          <w:sz w:val="24"/>
          <w:szCs w:val="24"/>
        </w:rPr>
        <w:t xml:space="preserve">Early Childhood Experiences in Language Arts: Early Literacy. </w:t>
      </w:r>
      <w:r w:rsidRPr="005C7858">
        <w:rPr>
          <w:rFonts w:ascii="Arial" w:hAnsi="Arial" w:cs="Arial"/>
          <w:sz w:val="24"/>
          <w:szCs w:val="24"/>
        </w:rPr>
        <w:t>(11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ed). United Kingdom: Cengage Learning.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lastRenderedPageBreak/>
        <w:t xml:space="preserve">McLeod, S. (2018) ‘Jean Piaget’s Theory of </w:t>
      </w:r>
      <w:r w:rsidRPr="005C7858">
        <w:rPr>
          <w:rFonts w:ascii="Arial" w:hAnsi="Arial" w:cs="Arial"/>
          <w:sz w:val="24"/>
          <w:szCs w:val="24"/>
        </w:rPr>
        <w:tab/>
        <w:t xml:space="preserve">Cognitive Development.’ Available at: </w:t>
      </w:r>
      <w:hyperlink r:id="rId10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https://www.simplypsychology.org/piaget.html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23</w:t>
      </w:r>
      <w:r w:rsidRPr="005C7858">
        <w:rPr>
          <w:rFonts w:ascii="Arial" w:hAnsi="Arial" w:cs="Arial"/>
          <w:sz w:val="24"/>
          <w:szCs w:val="24"/>
          <w:vertAlign w:val="superscript"/>
        </w:rPr>
        <w:t>rd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Miller, L., Drury, R. and Campbell, R. (2013) </w:t>
      </w:r>
      <w:r w:rsidRPr="005C7858">
        <w:rPr>
          <w:rFonts w:ascii="Arial" w:hAnsi="Arial" w:cs="Arial"/>
          <w:i/>
          <w:sz w:val="24"/>
          <w:szCs w:val="24"/>
        </w:rPr>
        <w:t xml:space="preserve">Exploring Early Years Education and Care. </w:t>
      </w:r>
      <w:r w:rsidRPr="005C7858">
        <w:rPr>
          <w:rFonts w:ascii="Arial" w:hAnsi="Arial" w:cs="Arial"/>
          <w:sz w:val="24"/>
          <w:szCs w:val="24"/>
        </w:rPr>
        <w:t>(2</w:t>
      </w:r>
      <w:r w:rsidRPr="005C7858">
        <w:rPr>
          <w:rFonts w:ascii="Arial" w:hAnsi="Arial" w:cs="Arial"/>
          <w:sz w:val="24"/>
          <w:szCs w:val="24"/>
          <w:vertAlign w:val="superscript"/>
        </w:rPr>
        <w:t>nd</w:t>
      </w:r>
      <w:r w:rsidRPr="005C7858">
        <w:rPr>
          <w:rFonts w:ascii="Arial" w:hAnsi="Arial" w:cs="Arial"/>
          <w:sz w:val="24"/>
          <w:szCs w:val="24"/>
        </w:rPr>
        <w:t xml:space="preserve"> ed). Abingdon: David Fulton Publishers.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Parsons, J. (2014) ‘Learning to Read with Eyes Shut: What’s Wrong with Picture Books and Comics?’ Available at: </w:t>
      </w:r>
      <w:hyperlink r:id="rId11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https://www.goodreads.com/author_blog_posts/5796375-learning-to-read-with-eyes-shut-what-s-wrong-with-picture-books-and-com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24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Professional association for childcare and early years (2018) ‘Literacy in the early years.’ Available at: </w:t>
      </w:r>
      <w:hyperlink r:id="rId12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https://www.pacey.org.uk/working-in-childcare/spotlight-on/literacy-in-the-early-years/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20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Reading Rockets (2018) ‘Hints on how to read aloud to a group.’ Available at: </w:t>
      </w:r>
      <w:hyperlink r:id="rId13" w:history="1">
        <w:r w:rsidRPr="00D269FA">
          <w:rPr>
            <w:rStyle w:val="Hyperlink"/>
            <w:rFonts w:ascii="Arial" w:hAnsi="Arial" w:cs="Arial"/>
            <w:sz w:val="24"/>
            <w:szCs w:val="24"/>
          </w:rPr>
          <w:t>http://www.readingrockets.org/article/hints-how-read-aloud-group</w:t>
        </w:r>
      </w:hyperlink>
      <w:r>
        <w:rPr>
          <w:rFonts w:ascii="Arial" w:hAnsi="Arial" w:cs="Arial"/>
          <w:sz w:val="24"/>
          <w:szCs w:val="24"/>
        </w:rPr>
        <w:t xml:space="preserve"> [Accessed: 28</w:t>
      </w:r>
      <w:r w:rsidRPr="00B61A7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Roseman, M. (2008) ‘Early Language Development and Adult/Child Relationships’ </w:t>
      </w:r>
      <w:r w:rsidRPr="005C7858">
        <w:rPr>
          <w:rFonts w:ascii="Arial" w:hAnsi="Arial" w:cs="Arial"/>
          <w:i/>
          <w:sz w:val="24"/>
          <w:szCs w:val="24"/>
        </w:rPr>
        <w:t>Enduring Bonds</w:t>
      </w:r>
      <w:r w:rsidRPr="005C7858">
        <w:rPr>
          <w:rFonts w:ascii="Arial" w:hAnsi="Arial" w:cs="Arial"/>
          <w:sz w:val="24"/>
          <w:szCs w:val="24"/>
        </w:rPr>
        <w:t xml:space="preserve">, Vol 1, pp. 39-54.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i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Saxton, M. (2017) </w:t>
      </w:r>
      <w:r w:rsidRPr="005C7858">
        <w:rPr>
          <w:rFonts w:ascii="Arial" w:hAnsi="Arial" w:cs="Arial"/>
          <w:i/>
          <w:sz w:val="24"/>
          <w:szCs w:val="24"/>
        </w:rPr>
        <w:t xml:space="preserve">Child Language: Acquisition and development. </w:t>
      </w:r>
      <w:r w:rsidRPr="005C7858">
        <w:rPr>
          <w:rFonts w:ascii="Arial" w:hAnsi="Arial" w:cs="Arial"/>
          <w:sz w:val="24"/>
          <w:szCs w:val="24"/>
        </w:rPr>
        <w:t>London: SAGE.</w:t>
      </w:r>
      <w:r w:rsidRPr="005C7858">
        <w:rPr>
          <w:rFonts w:ascii="Arial" w:hAnsi="Arial" w:cs="Arial"/>
          <w:i/>
          <w:sz w:val="24"/>
          <w:szCs w:val="24"/>
        </w:rPr>
        <w:t xml:space="preserve">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Saxton, M. (2017) </w:t>
      </w:r>
      <w:r w:rsidRPr="005C7858">
        <w:rPr>
          <w:rFonts w:ascii="Arial" w:hAnsi="Arial" w:cs="Arial"/>
          <w:i/>
          <w:sz w:val="24"/>
          <w:szCs w:val="24"/>
        </w:rPr>
        <w:t xml:space="preserve">Child Language: Acquisition and Development. </w:t>
      </w:r>
      <w:r w:rsidRPr="005C7858">
        <w:rPr>
          <w:rFonts w:ascii="Arial" w:hAnsi="Arial" w:cs="Arial"/>
          <w:sz w:val="24"/>
          <w:szCs w:val="24"/>
        </w:rPr>
        <w:t xml:space="preserve">London: SAGE publications.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Stephens, V. (2018) ‘Feel the rhythm: Developing language through rhythm and rhyme.’ Available at: </w:t>
      </w:r>
      <w:hyperlink r:id="rId14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https://natlib.govt.nz/blog/posts/feel-the-rhythm-developing-language-through-rhythm-and-rhyme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21</w:t>
      </w:r>
      <w:r w:rsidRPr="005C7858">
        <w:rPr>
          <w:rFonts w:ascii="Arial" w:hAnsi="Arial" w:cs="Arial"/>
          <w:sz w:val="24"/>
          <w:szCs w:val="24"/>
          <w:vertAlign w:val="superscript"/>
        </w:rPr>
        <w:t>st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Stevens, J. (2012) </w:t>
      </w:r>
      <w:r w:rsidRPr="005C7858">
        <w:rPr>
          <w:rFonts w:ascii="Arial" w:hAnsi="Arial" w:cs="Arial"/>
          <w:i/>
          <w:sz w:val="24"/>
          <w:szCs w:val="24"/>
        </w:rPr>
        <w:t xml:space="preserve">Planning for the Early Years: Storytelling and Story making. </w:t>
      </w:r>
      <w:r w:rsidRPr="005C7858">
        <w:rPr>
          <w:rFonts w:ascii="Arial" w:hAnsi="Arial" w:cs="Arial"/>
          <w:sz w:val="24"/>
          <w:szCs w:val="24"/>
        </w:rPr>
        <w:t xml:space="preserve">London: Practical Pre-School Books.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Thompson, R., Cotnoir- Bichelman, McKerchar, P., Tate. T. and Dancho, K. (2007) ‘Enhancing Early Communication through Infant Sign Training’, </w:t>
      </w:r>
      <w:r w:rsidRPr="005C7858">
        <w:rPr>
          <w:rFonts w:ascii="Arial" w:hAnsi="Arial" w:cs="Arial"/>
          <w:i/>
          <w:sz w:val="24"/>
          <w:szCs w:val="24"/>
        </w:rPr>
        <w:t xml:space="preserve">Journal of Applied Behaviour Analysis, </w:t>
      </w:r>
      <w:r w:rsidRPr="005C7858">
        <w:rPr>
          <w:rFonts w:ascii="Arial" w:hAnsi="Arial" w:cs="Arial"/>
          <w:sz w:val="24"/>
          <w:szCs w:val="24"/>
        </w:rPr>
        <w:t xml:space="preserve">Vol 40, 1, Spring, pp. 15-23.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Tomasello, M. (2009) </w:t>
      </w:r>
      <w:r w:rsidRPr="005C7858">
        <w:rPr>
          <w:rFonts w:ascii="Arial" w:hAnsi="Arial" w:cs="Arial"/>
          <w:i/>
          <w:sz w:val="24"/>
          <w:szCs w:val="24"/>
        </w:rPr>
        <w:t xml:space="preserve">Constructing a Language. </w:t>
      </w:r>
      <w:r w:rsidRPr="005C7858">
        <w:rPr>
          <w:rFonts w:ascii="Arial" w:hAnsi="Arial" w:cs="Arial"/>
          <w:sz w:val="24"/>
          <w:szCs w:val="24"/>
        </w:rPr>
        <w:t xml:space="preserve">London: Harvard University Press.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lastRenderedPageBreak/>
        <w:t xml:space="preserve">Welsh Government (2014) ‘National Literacy and Numeracy Framework.’ Available at: </w:t>
      </w:r>
      <w:hyperlink r:id="rId15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http://learning.gov.wales/resources/browse-all/nlnf/framework?component=literacy&amp;year=6938332_2&amp;selectedYear=col_4&amp;lang=en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25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  <w:tab w:val="center" w:pos="4513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Welsh Government (2017) ‘Foundation Phase Profile: Guidance for Practitioners.’  Available at: </w:t>
      </w:r>
      <w:hyperlink r:id="rId16" w:history="1">
        <w:r w:rsidRPr="005C7858">
          <w:rPr>
            <w:rStyle w:val="Hyperlink"/>
            <w:rFonts w:ascii="Arial" w:hAnsi="Arial" w:cs="Arial"/>
            <w:sz w:val="24"/>
            <w:szCs w:val="24"/>
          </w:rPr>
          <w:t>https://beta.gov.wales/foundation-phase-profile-guidance-practitioners</w:t>
        </w:r>
      </w:hyperlink>
      <w:r w:rsidRPr="005C7858">
        <w:rPr>
          <w:rFonts w:ascii="Arial" w:hAnsi="Arial" w:cs="Arial"/>
          <w:sz w:val="24"/>
          <w:szCs w:val="24"/>
        </w:rPr>
        <w:t xml:space="preserve"> [Accessed: 24</w:t>
      </w:r>
      <w:r w:rsidRPr="005C7858">
        <w:rPr>
          <w:rFonts w:ascii="Arial" w:hAnsi="Arial" w:cs="Arial"/>
          <w:sz w:val="24"/>
          <w:szCs w:val="24"/>
          <w:vertAlign w:val="superscript"/>
        </w:rPr>
        <w:t>th</w:t>
      </w:r>
      <w:r w:rsidRPr="005C7858">
        <w:rPr>
          <w:rFonts w:ascii="Arial" w:hAnsi="Arial" w:cs="Arial"/>
          <w:sz w:val="24"/>
          <w:szCs w:val="24"/>
        </w:rPr>
        <w:t xml:space="preserve"> November 2018].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White, H. (2005) </w:t>
      </w:r>
      <w:r w:rsidRPr="005C7858">
        <w:rPr>
          <w:rFonts w:ascii="Arial" w:hAnsi="Arial" w:cs="Arial"/>
          <w:i/>
          <w:sz w:val="24"/>
          <w:szCs w:val="24"/>
        </w:rPr>
        <w:t xml:space="preserve">Developing Literacy Skills in the Early Years: A Practical Guide. </w:t>
      </w:r>
      <w:r w:rsidRPr="005C7858">
        <w:rPr>
          <w:rFonts w:ascii="Arial" w:hAnsi="Arial" w:cs="Arial"/>
          <w:sz w:val="24"/>
          <w:szCs w:val="24"/>
        </w:rPr>
        <w:t xml:space="preserve">London: SAGE.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Yah, S. and Connell, D. (2008) ‘Effects of rhyming, vocabulary and phonemic awareness instruction on phoneme awareness’, </w:t>
      </w:r>
      <w:r w:rsidRPr="005C7858">
        <w:rPr>
          <w:rFonts w:ascii="Arial" w:hAnsi="Arial" w:cs="Arial"/>
          <w:i/>
          <w:sz w:val="24"/>
          <w:szCs w:val="24"/>
        </w:rPr>
        <w:t xml:space="preserve">Journal of Research in Reading, </w:t>
      </w:r>
      <w:r w:rsidRPr="005C7858">
        <w:rPr>
          <w:rFonts w:ascii="Arial" w:hAnsi="Arial" w:cs="Arial"/>
          <w:sz w:val="24"/>
          <w:szCs w:val="24"/>
        </w:rPr>
        <w:t xml:space="preserve">Vol 31, 2, May, pp. 243- 256. </w:t>
      </w:r>
    </w:p>
    <w:p w:rsidR="00335FFB" w:rsidRPr="005C7858" w:rsidRDefault="00335FFB" w:rsidP="00335FFB">
      <w:pPr>
        <w:tabs>
          <w:tab w:val="left" w:pos="3210"/>
        </w:tabs>
        <w:spacing w:line="360" w:lineRule="auto"/>
        <w:rPr>
          <w:rFonts w:ascii="Arial" w:hAnsi="Arial" w:cs="Arial"/>
          <w:sz w:val="24"/>
          <w:szCs w:val="24"/>
        </w:rPr>
      </w:pPr>
      <w:r w:rsidRPr="005C7858">
        <w:rPr>
          <w:rFonts w:ascii="Arial" w:hAnsi="Arial" w:cs="Arial"/>
          <w:sz w:val="24"/>
          <w:szCs w:val="24"/>
        </w:rPr>
        <w:t xml:space="preserve">Yellin. D. (2017) </w:t>
      </w:r>
      <w:r w:rsidRPr="005C7858">
        <w:rPr>
          <w:rFonts w:ascii="Arial" w:hAnsi="Arial" w:cs="Arial"/>
          <w:i/>
          <w:sz w:val="24"/>
          <w:szCs w:val="24"/>
        </w:rPr>
        <w:t xml:space="preserve">Essentials of Integrating the Language Arts. </w:t>
      </w:r>
      <w:r w:rsidRPr="005C7858">
        <w:rPr>
          <w:rFonts w:ascii="Arial" w:hAnsi="Arial" w:cs="Arial"/>
          <w:sz w:val="24"/>
          <w:szCs w:val="24"/>
        </w:rPr>
        <w:t xml:space="preserve">London: Routledge. </w:t>
      </w:r>
    </w:p>
    <w:sectPr w:rsidR="00335FFB" w:rsidRPr="005C7858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2468B" w:rsidRDefault="00B2468B" w:rsidP="00335FFB">
      <w:pPr>
        <w:spacing w:after="0" w:line="240" w:lineRule="auto"/>
      </w:pPr>
      <w:r>
        <w:separator/>
      </w:r>
    </w:p>
  </w:endnote>
  <w:endnote w:type="continuationSeparator" w:id="0">
    <w:p w:rsidR="00B2468B" w:rsidRDefault="00B2468B" w:rsidP="00335F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2468B" w:rsidRDefault="00B2468B" w:rsidP="00335FFB">
      <w:pPr>
        <w:spacing w:after="0" w:line="240" w:lineRule="auto"/>
      </w:pPr>
      <w:r>
        <w:separator/>
      </w:r>
    </w:p>
  </w:footnote>
  <w:footnote w:type="continuationSeparator" w:id="0">
    <w:p w:rsidR="00B2468B" w:rsidRDefault="00B2468B" w:rsidP="00335FF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335FFB" w:rsidRDefault="00335FFB">
    <w:pPr>
      <w:pStyle w:val="Header"/>
    </w:pPr>
    <w:r>
      <w:t>1704941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FFB"/>
    <w:rsid w:val="00335FFB"/>
    <w:rsid w:val="00B246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21F3F6"/>
  <w15:chartTrackingRefBased/>
  <w15:docId w15:val="{5F590C1C-85DC-438D-B05D-66CA8A0109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35FF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35FF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35F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35FFB"/>
  </w:style>
  <w:style w:type="paragraph" w:styleId="Footer">
    <w:name w:val="footer"/>
    <w:basedOn w:val="Normal"/>
    <w:link w:val="FooterChar"/>
    <w:uiPriority w:val="99"/>
    <w:unhideWhenUsed/>
    <w:rsid w:val="00335F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35F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understanding.com/educators/piaget-and-the-young-mind/" TargetMode="External"/><Relationship Id="rId13" Type="http://schemas.openxmlformats.org/officeDocument/2006/relationships/hyperlink" Target="http://www.readingrockets.org/article/hints-how-read-aloud-group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telegraph.co.uk/education/educationopinion/11151726/Children-should-start-learning-languages-at-age-three.html" TargetMode="External"/><Relationship Id="rId12" Type="http://schemas.openxmlformats.org/officeDocument/2006/relationships/hyperlink" Target="https://www.pacey.org.uk/working-in-childcare/spotlight-on/literacy-in-the-early-years/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beta.gov.wales/foundation-phase-profile-guidance-practitioner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urseryworld.co.uk/nursery-world/news/1101345/building" TargetMode="External"/><Relationship Id="rId11" Type="http://schemas.openxmlformats.org/officeDocument/2006/relationships/hyperlink" Target="https://www.goodreads.com/author_blog_posts/5796375-learning-to-read-with-eyes-shut-what-s-wrong-with-picture-books-and-com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learning.gov.wales/resources/browse-all/nlnf/framework?component=literacy&amp;year=6938332_2&amp;selectedYear=col_4&amp;lang=en" TargetMode="External"/><Relationship Id="rId10" Type="http://schemas.openxmlformats.org/officeDocument/2006/relationships/hyperlink" Target="https://www.simplypsychology.org/piaget.html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simplypsychology.org/language.html" TargetMode="External"/><Relationship Id="rId14" Type="http://schemas.openxmlformats.org/officeDocument/2006/relationships/hyperlink" Target="https://natlib.govt.nz/blog/posts/feel-the-rhythm-developing-language-through-rhythm-and-rhy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841</Words>
  <Characters>4796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Courtneys</dc:creator>
  <cp:keywords/>
  <dc:description/>
  <cp:lastModifiedBy>Courtneys</cp:lastModifiedBy>
  <cp:revision>1</cp:revision>
  <dcterms:created xsi:type="dcterms:W3CDTF">2018-12-04T17:26:00Z</dcterms:created>
  <dcterms:modified xsi:type="dcterms:W3CDTF">2018-12-04T17:28:00Z</dcterms:modified>
</cp:coreProperties>
</file>