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A2FD2" w14:textId="77777777" w:rsidR="009C22BF" w:rsidRPr="00912C2C" w:rsidRDefault="003662FB" w:rsidP="003662FB">
      <w:pPr>
        <w:pStyle w:val="Title"/>
        <w:jc w:val="center"/>
        <w:rPr>
          <w:color w:val="000000" w:themeColor="text1"/>
        </w:rPr>
      </w:pPr>
      <w:r>
        <w:br/>
      </w:r>
      <w:r>
        <w:br/>
      </w:r>
      <w:r>
        <w:br/>
      </w:r>
      <w:r>
        <w:br/>
      </w:r>
      <w:r w:rsidRPr="00912C2C">
        <w:rPr>
          <w:color w:val="000000" w:themeColor="text1"/>
        </w:rPr>
        <w:t>Assignment 2 UCJP</w:t>
      </w:r>
    </w:p>
    <w:p w14:paraId="1092A225" w14:textId="77777777" w:rsidR="009C22BF" w:rsidRPr="00912C2C" w:rsidRDefault="009C22BF" w:rsidP="003662FB">
      <w:pPr>
        <w:pStyle w:val="Title"/>
        <w:jc w:val="center"/>
        <w:rPr>
          <w:rStyle w:val="SubtitleChar"/>
          <w:color w:val="000000" w:themeColor="text1"/>
        </w:rPr>
      </w:pPr>
      <w:r w:rsidRPr="00912C2C">
        <w:rPr>
          <w:rStyle w:val="SubtitleChar"/>
          <w:color w:val="000000" w:themeColor="text1"/>
        </w:rPr>
        <w:t>Patrick Dalea</w:t>
      </w:r>
    </w:p>
    <w:p w14:paraId="4BA83F8C" w14:textId="77777777" w:rsidR="009C22BF" w:rsidRPr="00912C2C" w:rsidRDefault="009C22BF" w:rsidP="003662FB">
      <w:pPr>
        <w:pStyle w:val="Title"/>
        <w:jc w:val="center"/>
        <w:rPr>
          <w:rStyle w:val="SubtitleChar"/>
          <w:color w:val="000000" w:themeColor="text1"/>
        </w:rPr>
      </w:pPr>
    </w:p>
    <w:p w14:paraId="5D1F0DA8" w14:textId="76EA26DA" w:rsidR="009C22BF" w:rsidRPr="00912C2C" w:rsidRDefault="009C22BF" w:rsidP="009C22BF">
      <w:pPr>
        <w:pStyle w:val="Subtitle"/>
        <w:jc w:val="center"/>
        <w:rPr>
          <w:rStyle w:val="SubtleEmphasis"/>
          <w:color w:val="000000" w:themeColor="text1"/>
        </w:rPr>
      </w:pPr>
      <w:r w:rsidRPr="00912C2C">
        <w:rPr>
          <w:rStyle w:val="SubtleEmphasis"/>
          <w:color w:val="000000" w:themeColor="text1"/>
        </w:rPr>
        <w:t>BMLW5013</w:t>
      </w:r>
      <w:r w:rsidR="003662FB" w:rsidRPr="00912C2C">
        <w:rPr>
          <w:rStyle w:val="SubtleEmphasis"/>
          <w:color w:val="000000" w:themeColor="text1"/>
        </w:rPr>
        <w:br/>
      </w:r>
      <w:r w:rsidRPr="00912C2C">
        <w:rPr>
          <w:rStyle w:val="SubtleEmphasis"/>
          <w:color w:val="000000" w:themeColor="text1"/>
        </w:rPr>
        <w:t xml:space="preserve">Understanding crime, </w:t>
      </w:r>
      <w:proofErr w:type="gramStart"/>
      <w:r w:rsidRPr="00912C2C">
        <w:rPr>
          <w:rStyle w:val="SubtleEmphasis"/>
          <w:color w:val="000000" w:themeColor="text1"/>
        </w:rPr>
        <w:t>justice</w:t>
      </w:r>
      <w:proofErr w:type="gramEnd"/>
      <w:r w:rsidRPr="00912C2C">
        <w:rPr>
          <w:rStyle w:val="SubtleEmphasis"/>
          <w:color w:val="000000" w:themeColor="text1"/>
        </w:rPr>
        <w:t xml:space="preserve"> and punishment</w:t>
      </w:r>
      <w:r w:rsidRPr="00912C2C">
        <w:rPr>
          <w:rStyle w:val="SubtleEmphasis"/>
          <w:color w:val="000000" w:themeColor="text1"/>
        </w:rPr>
        <w:br/>
        <w:t>Lecturer: Laura Knight</w:t>
      </w:r>
    </w:p>
    <w:p w14:paraId="7523893F" w14:textId="77777777" w:rsidR="00A13AFE" w:rsidRDefault="003662FB" w:rsidP="00A13AFE">
      <w:r>
        <w:br/>
      </w:r>
      <w:r>
        <w:br/>
      </w:r>
      <w:r>
        <w:br/>
      </w:r>
      <w:r>
        <w:br/>
      </w:r>
      <w:r>
        <w:br/>
      </w:r>
      <w:r>
        <w:br/>
      </w:r>
      <w:r>
        <w:br/>
      </w:r>
      <w:r>
        <w:br/>
      </w:r>
      <w:r>
        <w:br/>
      </w:r>
      <w:r>
        <w:br/>
      </w:r>
      <w:r>
        <w:br/>
      </w:r>
      <w:r>
        <w:br/>
      </w:r>
      <w:r>
        <w:br/>
      </w:r>
      <w:r>
        <w:br/>
      </w:r>
      <w:r>
        <w:br/>
      </w:r>
      <w:r>
        <w:br/>
      </w:r>
      <w:r>
        <w:br/>
      </w:r>
      <w:r>
        <w:br/>
      </w:r>
      <w:r>
        <w:br/>
      </w:r>
      <w:r>
        <w:br/>
      </w:r>
      <w:r>
        <w:br/>
      </w:r>
      <w:r>
        <w:br/>
      </w:r>
      <w:r>
        <w:br/>
      </w:r>
      <w:r>
        <w:br/>
      </w:r>
      <w:r>
        <w:br/>
      </w:r>
      <w:r>
        <w:br/>
      </w:r>
      <w:r>
        <w:br/>
      </w:r>
    </w:p>
    <w:p w14:paraId="6694E367" w14:textId="2789B6F4" w:rsidR="00DD7456" w:rsidRPr="00A13AFE" w:rsidRDefault="00912C2C" w:rsidP="00A13AFE">
      <w:pPr>
        <w:rPr>
          <w:rFonts w:cstheme="minorHAnsi"/>
          <w:color w:val="000000" w:themeColor="text1"/>
        </w:rPr>
      </w:pPr>
      <w:r>
        <w:rPr>
          <w:color w:val="000000" w:themeColor="text1"/>
          <w:kern w:val="0"/>
          <w14:ligatures w14:val="none"/>
        </w:rPr>
        <w:lastRenderedPageBreak/>
        <w:t xml:space="preserve">     </w:t>
      </w:r>
      <w:r w:rsidR="00DD7456" w:rsidRPr="00A13AFE">
        <w:rPr>
          <w:rFonts w:cstheme="minorHAnsi"/>
          <w:color w:val="000000" w:themeColor="text1"/>
        </w:rPr>
        <w:t>The usefulness of community-based alternatives to jail in lowering reoffending rates in England and Wales is examined critically in this essay. It assesses the effects of different community-based initiatives and programmes on people making the transition back into society after being involved with the criminal justice system.</w:t>
      </w:r>
    </w:p>
    <w:p w14:paraId="59CD21FF" w14:textId="37279158" w:rsidR="00DD7456" w:rsidRPr="00A13AFE" w:rsidRDefault="00912C2C" w:rsidP="00D327DB">
      <w:pPr>
        <w:rPr>
          <w:rFonts w:cstheme="minorHAnsi"/>
          <w:color w:val="000000" w:themeColor="text1"/>
        </w:rPr>
      </w:pPr>
      <w:r>
        <w:rPr>
          <w:color w:val="000000" w:themeColor="text1"/>
          <w:kern w:val="0"/>
          <w14:ligatures w14:val="none"/>
        </w:rPr>
        <w:t xml:space="preserve">     </w:t>
      </w:r>
      <w:r w:rsidR="00DD7456" w:rsidRPr="00A13AFE">
        <w:rPr>
          <w:rFonts w:cstheme="minorHAnsi"/>
          <w:color w:val="000000" w:themeColor="text1"/>
        </w:rPr>
        <w:t xml:space="preserve">Over the past few decades, the rates of incarceration in England and Wales have fluctuated. Between the 1990s and the beginning of the 2000s, </w:t>
      </w:r>
      <w:r w:rsidR="00F35B18" w:rsidRPr="00A13AFE">
        <w:rPr>
          <w:rFonts w:cstheme="minorHAnsi"/>
          <w:color w:val="000000" w:themeColor="text1"/>
        </w:rPr>
        <w:t>several</w:t>
      </w:r>
      <w:r w:rsidR="00DD7456" w:rsidRPr="00A13AFE">
        <w:rPr>
          <w:rFonts w:cstheme="minorHAnsi"/>
          <w:color w:val="000000" w:themeColor="text1"/>
        </w:rPr>
        <w:t xml:space="preserve"> factors</w:t>
      </w:r>
      <w:r w:rsidR="00F35B18" w:rsidRPr="00A13AFE">
        <w:rPr>
          <w:rFonts w:cstheme="minorHAnsi"/>
          <w:color w:val="000000" w:themeColor="text1"/>
        </w:rPr>
        <w:t xml:space="preserve"> </w:t>
      </w:r>
      <w:r w:rsidR="00DD7456" w:rsidRPr="00A13AFE">
        <w:rPr>
          <w:rFonts w:cstheme="minorHAnsi"/>
          <w:color w:val="000000" w:themeColor="text1"/>
        </w:rPr>
        <w:t>such as harsher laws, increased prosecutions for specific offences, and modifications to sentencing guidelines</w:t>
      </w:r>
      <w:r w:rsidR="00F35B18" w:rsidRPr="00A13AFE">
        <w:rPr>
          <w:rFonts w:cstheme="minorHAnsi"/>
          <w:color w:val="000000" w:themeColor="text1"/>
        </w:rPr>
        <w:t xml:space="preserve"> </w:t>
      </w:r>
      <w:r w:rsidR="00DD7456" w:rsidRPr="00A13AFE">
        <w:rPr>
          <w:rFonts w:cstheme="minorHAnsi"/>
          <w:color w:val="000000" w:themeColor="text1"/>
        </w:rPr>
        <w:t>led to a considerable growth in the prison population.</w:t>
      </w:r>
      <w:r w:rsidR="00D327DB" w:rsidRPr="00A13AFE">
        <w:rPr>
          <w:rFonts w:cstheme="minorHAnsi"/>
          <w:color w:val="000000" w:themeColor="text1"/>
        </w:rPr>
        <w:t xml:space="preserve"> </w:t>
      </w:r>
      <w:r w:rsidR="00DD7456" w:rsidRPr="00A13AFE">
        <w:rPr>
          <w:rFonts w:cstheme="minorHAnsi"/>
          <w:color w:val="000000" w:themeColor="text1"/>
        </w:rPr>
        <w:t>According to current statistics, there are 140–150 convicts for every 100,000 inhabitants in England and Wales, which is a higher rate of incarceration than in some other European nations. In England and Wales, incarceration is frequently linked to a variety of offences, such as theft, burglary, drug-related offences, violent crimes, and public order offences</w:t>
      </w:r>
      <w:r w:rsidR="00F35B18" w:rsidRPr="00A13AFE">
        <w:rPr>
          <w:rFonts w:cstheme="minorHAnsi"/>
          <w:color w:val="000000" w:themeColor="text1"/>
        </w:rPr>
        <w:t xml:space="preserve"> (Ministry </w:t>
      </w:r>
      <w:proofErr w:type="gramStart"/>
      <w:r w:rsidR="00F35B18" w:rsidRPr="00A13AFE">
        <w:rPr>
          <w:rFonts w:cstheme="minorHAnsi"/>
          <w:color w:val="000000" w:themeColor="text1"/>
        </w:rPr>
        <w:t>Of</w:t>
      </w:r>
      <w:proofErr w:type="gramEnd"/>
      <w:r w:rsidR="00F35B18" w:rsidRPr="00A13AFE">
        <w:rPr>
          <w:rFonts w:cstheme="minorHAnsi"/>
          <w:color w:val="000000" w:themeColor="text1"/>
        </w:rPr>
        <w:t xml:space="preserve"> Justice, 2013)</w:t>
      </w:r>
      <w:r w:rsidR="00DD7456" w:rsidRPr="00A13AFE">
        <w:rPr>
          <w:rFonts w:cstheme="minorHAnsi"/>
          <w:color w:val="000000" w:themeColor="text1"/>
        </w:rPr>
        <w:t>.</w:t>
      </w:r>
    </w:p>
    <w:p w14:paraId="707F97AE" w14:textId="22D19818" w:rsidR="00F335AA" w:rsidRDefault="00912C2C">
      <w:pPr>
        <w:rPr>
          <w:rFonts w:cstheme="minorHAnsi"/>
          <w:color w:val="000000" w:themeColor="text1"/>
        </w:rPr>
      </w:pPr>
      <w:r>
        <w:rPr>
          <w:color w:val="000000" w:themeColor="text1"/>
          <w:kern w:val="0"/>
          <w14:ligatures w14:val="none"/>
        </w:rPr>
        <w:t xml:space="preserve">     </w:t>
      </w:r>
      <w:r w:rsidR="00DD7456" w:rsidRPr="00A13AFE">
        <w:rPr>
          <w:rFonts w:cstheme="minorHAnsi"/>
          <w:color w:val="000000" w:themeColor="text1"/>
        </w:rPr>
        <w:t xml:space="preserve">A variety of treatments and programmes aimed at addressing criminal behaviour and lowering </w:t>
      </w:r>
      <w:r w:rsidR="00F35B18" w:rsidRPr="00A13AFE">
        <w:rPr>
          <w:rFonts w:cstheme="minorHAnsi"/>
          <w:color w:val="000000" w:themeColor="text1"/>
        </w:rPr>
        <w:t>reoffending</w:t>
      </w:r>
      <w:r w:rsidR="00DD7456" w:rsidRPr="00A13AFE">
        <w:rPr>
          <w:rFonts w:cstheme="minorHAnsi"/>
          <w:color w:val="000000" w:themeColor="text1"/>
        </w:rPr>
        <w:t xml:space="preserve"> while keeping people in their communities as opposed to locking them up are included in community-based alternatives to imprisonment. These substitutes prioritise community safety, rehabilitation, and reintegration in addition to delivering effective penalties for criminal behaviour. These alternatives are important because they provide more individualised and restorative methods than traditional prisons. There are many alternatives to incarceration but some of the main ones would be Probation, people who have been found guilty of a crime may serve their sentences under community supervision as an alternative to being locked up. In addition to keeping an eye on their behaviour and making sure they follow any court-mandated requirements, probation officers also offer resources and support to aid in their reintegration into society</w:t>
      </w:r>
      <w:r w:rsidR="00F35B18" w:rsidRPr="00A13AFE">
        <w:rPr>
          <w:rFonts w:cstheme="minorHAnsi"/>
          <w:color w:val="000000" w:themeColor="text1"/>
        </w:rPr>
        <w:t xml:space="preserve"> (Ministry of Justice, 2018)</w:t>
      </w:r>
      <w:r w:rsidR="00DD7456" w:rsidRPr="00A13AFE">
        <w:rPr>
          <w:rFonts w:cstheme="minorHAnsi"/>
          <w:color w:val="000000" w:themeColor="text1"/>
        </w:rPr>
        <w:t xml:space="preserve">. Community Service, as an alternative to jail time, courts have the authority to sentence people to perform community service. This entails people performing a predetermined number of hours of volunteer labour for the good of the community, which may include tasks like tidying public areas or </w:t>
      </w:r>
      <w:r w:rsidR="00F35B18" w:rsidRPr="00A13AFE">
        <w:rPr>
          <w:rFonts w:cstheme="minorHAnsi"/>
          <w:color w:val="000000" w:themeColor="text1"/>
        </w:rPr>
        <w:t>helping</w:t>
      </w:r>
      <w:r w:rsidR="00DD7456" w:rsidRPr="00A13AFE">
        <w:rPr>
          <w:rFonts w:cstheme="minorHAnsi"/>
          <w:color w:val="000000" w:themeColor="text1"/>
        </w:rPr>
        <w:t xml:space="preserve"> at nonprofits</w:t>
      </w:r>
      <w:r w:rsidR="00F070E4" w:rsidRPr="00A13AFE">
        <w:rPr>
          <w:rFonts w:cstheme="minorHAnsi"/>
          <w:color w:val="000000" w:themeColor="text1"/>
        </w:rPr>
        <w:t xml:space="preserve"> (Prison Reform Trust 2012)</w:t>
      </w:r>
      <w:r w:rsidR="00DD7456" w:rsidRPr="00A13AFE">
        <w:rPr>
          <w:rFonts w:cstheme="minorHAnsi"/>
          <w:color w:val="000000" w:themeColor="text1"/>
        </w:rPr>
        <w:t>.</w:t>
      </w:r>
      <w:r w:rsidR="00B3621E" w:rsidRPr="00A13AFE">
        <w:rPr>
          <w:rFonts w:cstheme="minorHAnsi"/>
          <w:color w:val="000000" w:themeColor="text1"/>
        </w:rPr>
        <w:t xml:space="preserve">  Programmes for Restorative Justice, these initiatives address the harm caused by offences by bringing offenders, victims, and impacted community members together. They put a lot of effort into making amends, encouraging communication, and coming to decisions that will help the offender's rehabilitation and mend relationships</w:t>
      </w:r>
      <w:r w:rsidR="00F070E4" w:rsidRPr="00A13AFE">
        <w:rPr>
          <w:rFonts w:cstheme="minorHAnsi"/>
          <w:color w:val="000000" w:themeColor="text1"/>
        </w:rPr>
        <w:t xml:space="preserve"> (The Crown Prosecution Service 2019)</w:t>
      </w:r>
      <w:r w:rsidR="00B3621E" w:rsidRPr="00A13AFE">
        <w:rPr>
          <w:rFonts w:cstheme="minorHAnsi"/>
          <w:color w:val="000000" w:themeColor="text1"/>
        </w:rPr>
        <w:t>. Another type of community-based sentence is home detention, which entails having the inmate stay at home for predetermined hours each day.</w:t>
      </w:r>
      <w:r w:rsidR="00F070E4" w:rsidRPr="00A13AFE">
        <w:rPr>
          <w:rFonts w:cstheme="minorHAnsi"/>
          <w:color w:val="000000" w:themeColor="text1"/>
        </w:rPr>
        <w:t xml:space="preserve"> Home detention and electronic monitoring, with the use of technology, people can be placed under electronic monitoring, which lets them stay in their communities while being watched over by gadgets that follow their whereabouts</w:t>
      </w:r>
      <w:r w:rsidR="00732072" w:rsidRPr="00A13AFE">
        <w:rPr>
          <w:rFonts w:cstheme="minorHAnsi"/>
          <w:color w:val="000000" w:themeColor="text1"/>
        </w:rPr>
        <w:t xml:space="preserve"> (Gibbs, 2001)</w:t>
      </w:r>
      <w:r w:rsidR="00F070E4" w:rsidRPr="00A13AFE">
        <w:rPr>
          <w:rFonts w:cstheme="minorHAnsi"/>
          <w:color w:val="000000" w:themeColor="text1"/>
        </w:rPr>
        <w:t>.</w:t>
      </w:r>
      <w:r w:rsidR="00D327DB" w:rsidRPr="00A13AFE">
        <w:rPr>
          <w:rFonts w:cstheme="minorHAnsi"/>
          <w:color w:val="000000" w:themeColor="text1"/>
        </w:rPr>
        <w:br/>
      </w:r>
      <w:r w:rsidR="00D327DB" w:rsidRPr="00A13AFE">
        <w:rPr>
          <w:rFonts w:cstheme="minorHAnsi"/>
          <w:color w:val="000000" w:themeColor="text1"/>
        </w:rPr>
        <w:br/>
      </w:r>
      <w:r>
        <w:rPr>
          <w:color w:val="000000" w:themeColor="text1"/>
          <w:kern w:val="0"/>
          <w14:ligatures w14:val="none"/>
        </w:rPr>
        <w:t xml:space="preserve">     </w:t>
      </w:r>
      <w:r w:rsidR="00B3621E" w:rsidRPr="00A13AFE">
        <w:rPr>
          <w:rFonts w:cstheme="minorHAnsi"/>
          <w:color w:val="000000" w:themeColor="text1"/>
        </w:rPr>
        <w:t xml:space="preserve">Reoffending rates, as used in England and Wales, describe the percentage of people who commit new crimes after being released from jail or receiving a non-custodial sentence. When assessing the success of rehabilitation and reintegration initiatives within the criminal justice system, reoffending rates must be measured. Reoffending is the act of a person who has engaged in criminal activity in the past committing a new crime following their release from custody or the fulfilment of a community-based sentence. Within a given timeframe following their release from custody or the completion of their sentence, individuals may receive fresh convictions, cautions, reprimands, or warnings. These events are </w:t>
      </w:r>
      <w:r w:rsidR="00F35B18" w:rsidRPr="00A13AFE">
        <w:rPr>
          <w:rFonts w:cstheme="minorHAnsi"/>
          <w:color w:val="000000" w:themeColor="text1"/>
        </w:rPr>
        <w:t>considered</w:t>
      </w:r>
      <w:r w:rsidR="00B3621E" w:rsidRPr="00A13AFE">
        <w:rPr>
          <w:rFonts w:cstheme="minorHAnsi"/>
          <w:color w:val="000000" w:themeColor="text1"/>
        </w:rPr>
        <w:t xml:space="preserve"> when calculating reoffending rates and they are called Reoffending Events</w:t>
      </w:r>
      <w:r w:rsidR="00732072" w:rsidRPr="00A13AFE">
        <w:rPr>
          <w:rFonts w:cstheme="minorHAnsi"/>
          <w:color w:val="000000" w:themeColor="text1"/>
        </w:rPr>
        <w:t xml:space="preserve"> (Ministry of Justice 2023)</w:t>
      </w:r>
      <w:r w:rsidR="00B3621E" w:rsidRPr="00A13AFE">
        <w:rPr>
          <w:rFonts w:cstheme="minorHAnsi"/>
          <w:color w:val="000000" w:themeColor="text1"/>
        </w:rPr>
        <w:t>.</w:t>
      </w:r>
      <w:r w:rsidR="00D327DB" w:rsidRPr="00A13AFE">
        <w:rPr>
          <w:rFonts w:cstheme="minorHAnsi"/>
          <w:color w:val="000000" w:themeColor="text1"/>
        </w:rPr>
        <w:br/>
      </w:r>
      <w:r w:rsidR="005F639E" w:rsidRPr="00A13AFE">
        <w:rPr>
          <w:rFonts w:cstheme="minorHAnsi"/>
          <w:color w:val="000000" w:themeColor="text1"/>
        </w:rPr>
        <w:br/>
      </w:r>
      <w:r>
        <w:rPr>
          <w:color w:val="000000" w:themeColor="text1"/>
          <w:kern w:val="0"/>
          <w14:ligatures w14:val="none"/>
        </w:rPr>
        <w:t xml:space="preserve">     </w:t>
      </w:r>
      <w:r w:rsidR="007714B1" w:rsidRPr="00A13AFE">
        <w:rPr>
          <w:rFonts w:cstheme="minorHAnsi"/>
          <w:color w:val="000000" w:themeColor="text1"/>
        </w:rPr>
        <w:t xml:space="preserve">High rates of re-offense after release from prison can be linked to </w:t>
      </w:r>
      <w:r w:rsidR="00F35B18" w:rsidRPr="00A13AFE">
        <w:rPr>
          <w:rFonts w:cstheme="minorHAnsi"/>
          <w:color w:val="000000" w:themeColor="text1"/>
        </w:rPr>
        <w:t>a few</w:t>
      </w:r>
      <w:r w:rsidR="007714B1" w:rsidRPr="00A13AFE">
        <w:rPr>
          <w:rFonts w:cstheme="minorHAnsi"/>
          <w:color w:val="000000" w:themeColor="text1"/>
        </w:rPr>
        <w:t xml:space="preserve"> intricate issues that prevent effective reintegration into society. Several factors contribute to this issue, such as the lack of </w:t>
      </w:r>
      <w:r w:rsidR="007714B1" w:rsidRPr="00A13AFE">
        <w:rPr>
          <w:rFonts w:cstheme="minorHAnsi"/>
          <w:color w:val="000000" w:themeColor="text1"/>
        </w:rPr>
        <w:lastRenderedPageBreak/>
        <w:t xml:space="preserve">rehabilitation programmes in </w:t>
      </w:r>
      <w:r w:rsidR="00D327DB" w:rsidRPr="00A13AFE">
        <w:rPr>
          <w:rFonts w:cstheme="minorHAnsi"/>
          <w:color w:val="000000" w:themeColor="text1"/>
        </w:rPr>
        <w:t>facilities of correction</w:t>
      </w:r>
      <w:r w:rsidR="007714B1" w:rsidRPr="00A13AFE">
        <w:rPr>
          <w:rFonts w:cstheme="minorHAnsi"/>
          <w:color w:val="000000" w:themeColor="text1"/>
        </w:rPr>
        <w:t xml:space="preserve"> and the inadequate or insufficient availability of efficient programmes that address education, career training, mental health treatment, and substance abuse</w:t>
      </w:r>
      <w:r w:rsidR="00732072" w:rsidRPr="00A13AFE">
        <w:rPr>
          <w:rFonts w:cstheme="minorHAnsi"/>
          <w:color w:val="000000" w:themeColor="text1"/>
        </w:rPr>
        <w:t xml:space="preserve"> (UNODC 2019)</w:t>
      </w:r>
      <w:r w:rsidR="007714B1" w:rsidRPr="00A13AFE">
        <w:rPr>
          <w:rFonts w:cstheme="minorHAnsi"/>
          <w:color w:val="000000" w:themeColor="text1"/>
        </w:rPr>
        <w:t>. Released individuals frequently encounter formidable obstacles, such as scarce employment prospects, precarious housing, poverty, and a lack of social support systems, which makes reintegration difficult in the absence of essential resources and assistance. Substance addiction and mental health issues affect a sizeable fraction of people behind bars. One of the factors that increases the risk of reoffending is inadequate access to quality treatment both during and after incarceration. Social stigma and discrimination against ex-offenders make it difficult for them to obtain housing or work. Many of the people involved in the criminal justice system are either undereducated or do not possess the skills required for employment. The likelihood of reoffending rises when individuals lack access to educational opportunities and job training, thereby decreasing their prospects for lawful employment</w:t>
      </w:r>
      <w:r w:rsidR="003047B2" w:rsidRPr="00A13AFE">
        <w:rPr>
          <w:rFonts w:cstheme="minorHAnsi"/>
          <w:color w:val="000000" w:themeColor="text1"/>
        </w:rPr>
        <w:t xml:space="preserve"> (Williams K,2012)</w:t>
      </w:r>
      <w:r w:rsidR="007714B1" w:rsidRPr="00A13AFE">
        <w:rPr>
          <w:rFonts w:cstheme="minorHAnsi"/>
          <w:color w:val="000000" w:themeColor="text1"/>
        </w:rPr>
        <w:t xml:space="preserve">. Long-term jail can result in institutionalisation, a process where people grow accustomed to the prison setting. It becomes difficult to reintegrate into society when one loses social skills, independence, and self-reliance. Re-entering the criminal world can result from reestablishing contact with old criminal partners or from being exposed to harmful peer pressure after release. Inadequate post-release support networks, such as community-based resources, counselling services, and mentorship programmes, impede effective reintegration and raise the chance of </w:t>
      </w:r>
      <w:r w:rsidR="00F35B18" w:rsidRPr="00A13AFE">
        <w:rPr>
          <w:rFonts w:cstheme="minorHAnsi"/>
          <w:color w:val="000000" w:themeColor="text1"/>
        </w:rPr>
        <w:t>reoffending</w:t>
      </w:r>
      <w:r w:rsidR="003047B2" w:rsidRPr="00A13AFE">
        <w:rPr>
          <w:rFonts w:cstheme="minorHAnsi"/>
          <w:color w:val="000000" w:themeColor="text1"/>
        </w:rPr>
        <w:t xml:space="preserve"> (</w:t>
      </w:r>
      <w:proofErr w:type="spellStart"/>
      <w:r w:rsidR="003047B2" w:rsidRPr="00A13AFE">
        <w:rPr>
          <w:rFonts w:cstheme="minorHAnsi"/>
          <w:color w:val="000000" w:themeColor="text1"/>
        </w:rPr>
        <w:t>Kelput</w:t>
      </w:r>
      <w:proofErr w:type="spellEnd"/>
      <w:r w:rsidR="003047B2" w:rsidRPr="00A13AFE">
        <w:rPr>
          <w:rFonts w:cstheme="minorHAnsi"/>
          <w:color w:val="000000" w:themeColor="text1"/>
        </w:rPr>
        <w:t>, H. 2021)</w:t>
      </w:r>
      <w:r w:rsidR="007714B1" w:rsidRPr="00A13AFE">
        <w:rPr>
          <w:rFonts w:cstheme="minorHAnsi"/>
          <w:color w:val="000000" w:themeColor="text1"/>
        </w:rPr>
        <w:t xml:space="preserve">. </w:t>
      </w:r>
      <w:r w:rsidR="003047B2" w:rsidRPr="00A13AFE">
        <w:rPr>
          <w:rFonts w:cstheme="minorHAnsi"/>
          <w:color w:val="000000" w:themeColor="text1"/>
        </w:rPr>
        <w:br/>
      </w:r>
      <w:r w:rsidR="003047B2" w:rsidRPr="00A13AFE">
        <w:rPr>
          <w:rFonts w:cstheme="minorHAnsi"/>
          <w:color w:val="000000" w:themeColor="text1"/>
        </w:rPr>
        <w:br/>
      </w:r>
      <w:r>
        <w:rPr>
          <w:color w:val="000000" w:themeColor="text1"/>
          <w:kern w:val="0"/>
          <w14:ligatures w14:val="none"/>
        </w:rPr>
        <w:t xml:space="preserve">     </w:t>
      </w:r>
      <w:r w:rsidR="003B616F" w:rsidRPr="00A13AFE">
        <w:rPr>
          <w:rFonts w:cstheme="minorHAnsi"/>
          <w:color w:val="000000" w:themeColor="text1"/>
        </w:rPr>
        <w:t xml:space="preserve">Alternatives to incarceration that are centred in the community provide a range of strategies meant to deal with criminal behaviour while retaining offenders in their communities. Principles of restorative justice, rehabilitation, and reintegration are given priority in these alternatives. Examples of these strategies include probation, which substitutes community supervision for jail time for the incarceration of offenders. The court may impose conditions on offenders, such as meeting with a probation officer on a regular basis, going to counselling, keeping a job, or abstaining from additional criminal activity. Offenders </w:t>
      </w:r>
      <w:r w:rsidR="00F35B18" w:rsidRPr="00A13AFE">
        <w:rPr>
          <w:rFonts w:cstheme="minorHAnsi"/>
          <w:color w:val="000000" w:themeColor="text1"/>
        </w:rPr>
        <w:t>can</w:t>
      </w:r>
      <w:r w:rsidR="003B616F" w:rsidRPr="00A13AFE">
        <w:rPr>
          <w:rFonts w:cstheme="minorHAnsi"/>
          <w:color w:val="000000" w:themeColor="text1"/>
        </w:rPr>
        <w:t xml:space="preserve"> stay in their communities under supervision and with assistance. Another example are community service programmes, which require that offenders carry out volunteer work for a predetermined </w:t>
      </w:r>
      <w:r w:rsidR="00F35B18" w:rsidRPr="00A13AFE">
        <w:rPr>
          <w:rFonts w:cstheme="minorHAnsi"/>
          <w:color w:val="000000" w:themeColor="text1"/>
        </w:rPr>
        <w:t>number</w:t>
      </w:r>
      <w:r w:rsidR="003B616F" w:rsidRPr="00A13AFE">
        <w:rPr>
          <w:rFonts w:cstheme="minorHAnsi"/>
          <w:color w:val="000000" w:themeColor="text1"/>
        </w:rPr>
        <w:t xml:space="preserve"> of hours </w:t>
      </w:r>
      <w:proofErr w:type="gramStart"/>
      <w:r w:rsidR="003B616F" w:rsidRPr="00A13AFE">
        <w:rPr>
          <w:rFonts w:cstheme="minorHAnsi"/>
          <w:color w:val="000000" w:themeColor="text1"/>
        </w:rPr>
        <w:t>in order to</w:t>
      </w:r>
      <w:proofErr w:type="gramEnd"/>
      <w:r w:rsidR="003B616F" w:rsidRPr="00A13AFE">
        <w:rPr>
          <w:rFonts w:cstheme="minorHAnsi"/>
          <w:color w:val="000000" w:themeColor="text1"/>
        </w:rPr>
        <w:t xml:space="preserve"> make amends with the community. This can entail doing community centre assistance, cleaning public areas, or participating in other constructive activities. It prevents incarceration while promoting accountability and social contribution</w:t>
      </w:r>
      <w:r w:rsidR="003047B2" w:rsidRPr="00A13AFE">
        <w:rPr>
          <w:rFonts w:cstheme="minorHAnsi"/>
          <w:color w:val="000000" w:themeColor="text1"/>
        </w:rPr>
        <w:t xml:space="preserve"> (</w:t>
      </w:r>
      <w:proofErr w:type="spellStart"/>
      <w:r w:rsidR="003047B2" w:rsidRPr="00A13AFE">
        <w:rPr>
          <w:rFonts w:cstheme="minorHAnsi"/>
          <w:color w:val="000000" w:themeColor="text1"/>
        </w:rPr>
        <w:t>NIDirect</w:t>
      </w:r>
      <w:proofErr w:type="spellEnd"/>
      <w:r w:rsidR="003047B2" w:rsidRPr="00A13AFE">
        <w:rPr>
          <w:rFonts w:cstheme="minorHAnsi"/>
          <w:color w:val="000000" w:themeColor="text1"/>
        </w:rPr>
        <w:t xml:space="preserve"> 2016)</w:t>
      </w:r>
      <w:r w:rsidR="003B616F" w:rsidRPr="00A13AFE">
        <w:rPr>
          <w:rFonts w:cstheme="minorHAnsi"/>
          <w:color w:val="000000" w:themeColor="text1"/>
        </w:rPr>
        <w:t>.</w:t>
      </w:r>
      <w:r w:rsidR="00D327DB" w:rsidRPr="00A13AFE">
        <w:rPr>
          <w:rFonts w:cstheme="minorHAnsi"/>
          <w:color w:val="000000" w:themeColor="text1"/>
        </w:rPr>
        <w:br/>
      </w:r>
      <w:r w:rsidR="003B616F" w:rsidRPr="00A13AFE">
        <w:rPr>
          <w:rFonts w:cstheme="minorHAnsi"/>
          <w:color w:val="000000" w:themeColor="text1"/>
        </w:rPr>
        <w:br/>
      </w:r>
      <w:r>
        <w:rPr>
          <w:color w:val="000000" w:themeColor="text1"/>
          <w:kern w:val="0"/>
          <w14:ligatures w14:val="none"/>
        </w:rPr>
        <w:t xml:space="preserve">     </w:t>
      </w:r>
      <w:r w:rsidR="003B616F" w:rsidRPr="00A13AFE">
        <w:rPr>
          <w:rFonts w:cstheme="minorHAnsi"/>
          <w:color w:val="000000" w:themeColor="text1"/>
        </w:rPr>
        <w:t xml:space="preserve">Studies and factual data analysing how community-based initiatives lower </w:t>
      </w:r>
      <w:r w:rsidR="00F35B18" w:rsidRPr="00A13AFE">
        <w:rPr>
          <w:rFonts w:cstheme="minorHAnsi"/>
          <w:color w:val="000000" w:themeColor="text1"/>
        </w:rPr>
        <w:t>reoffending</w:t>
      </w:r>
      <w:r w:rsidR="003B616F" w:rsidRPr="00A13AFE">
        <w:rPr>
          <w:rFonts w:cstheme="minorHAnsi"/>
          <w:color w:val="000000" w:themeColor="text1"/>
        </w:rPr>
        <w:t xml:space="preserve"> rates offer important insights into how successful these alternatives to incarceration are. Several research works have examined the results of different community-based initiatives and evaluated their impact on </w:t>
      </w:r>
      <w:r w:rsidR="00F35B18" w:rsidRPr="00A13AFE">
        <w:rPr>
          <w:rFonts w:cstheme="minorHAnsi"/>
          <w:color w:val="000000" w:themeColor="text1"/>
        </w:rPr>
        <w:t>reoffending</w:t>
      </w:r>
      <w:r w:rsidR="003B616F" w:rsidRPr="00A13AFE">
        <w:rPr>
          <w:rFonts w:cstheme="minorHAnsi"/>
          <w:color w:val="000000" w:themeColor="text1"/>
        </w:rPr>
        <w:t xml:space="preserve"> rates. Longitudinal studies, randomised control trials, and comparative analyses comparing the efficacy of various intervention techniques are frequently included in these analyses. Studies have revealed that </w:t>
      </w:r>
      <w:r w:rsidR="00F35B18" w:rsidRPr="00A13AFE">
        <w:rPr>
          <w:rFonts w:cstheme="minorHAnsi"/>
          <w:color w:val="000000" w:themeColor="text1"/>
        </w:rPr>
        <w:t>several</w:t>
      </w:r>
      <w:r w:rsidR="003B616F" w:rsidRPr="00A13AFE">
        <w:rPr>
          <w:rFonts w:cstheme="minorHAnsi"/>
          <w:color w:val="000000" w:themeColor="text1"/>
        </w:rPr>
        <w:t xml:space="preserve"> community-based initiatives, including restorative justice programmes, drug and mental health courts, and probation with close supervision, have demonstrated encouraging outcomes in lowering reoffending rates. </w:t>
      </w:r>
      <w:r w:rsidR="00F35B18" w:rsidRPr="00A13AFE">
        <w:rPr>
          <w:rFonts w:cstheme="minorHAnsi"/>
          <w:color w:val="000000" w:themeColor="text1"/>
        </w:rPr>
        <w:t xml:space="preserve">reoffending </w:t>
      </w:r>
      <w:r w:rsidR="003B616F" w:rsidRPr="00A13AFE">
        <w:rPr>
          <w:rFonts w:cstheme="minorHAnsi"/>
          <w:color w:val="000000" w:themeColor="text1"/>
        </w:rPr>
        <w:t xml:space="preserve">rates have been linked to them being lower than those of traditional incarceration techniques. Probation programmes have shown success in reducing </w:t>
      </w:r>
      <w:r w:rsidR="00F35B18" w:rsidRPr="00A13AFE">
        <w:rPr>
          <w:rFonts w:cstheme="minorHAnsi"/>
          <w:color w:val="000000" w:themeColor="text1"/>
        </w:rPr>
        <w:t>reoffending</w:t>
      </w:r>
      <w:r w:rsidR="003B616F" w:rsidRPr="00A13AFE">
        <w:rPr>
          <w:rFonts w:cstheme="minorHAnsi"/>
          <w:color w:val="000000" w:themeColor="text1"/>
        </w:rPr>
        <w:t xml:space="preserve"> by addressing the underlying causes of criminal behaviour when combined with customised interventions like cognitive-behavioural therapy, drug abuse treatment, or educational initiatives. Studies on restorative justice initiatives have shown how they can improve offenders' attitudes and behaviours, which lowers their chance of reoffending, while also promoting accountability, healing harm, and bringing closure to victims</w:t>
      </w:r>
      <w:r w:rsidR="003662FB" w:rsidRPr="00A13AFE">
        <w:rPr>
          <w:rFonts w:cstheme="minorHAnsi"/>
          <w:color w:val="000000" w:themeColor="text1"/>
        </w:rPr>
        <w:t xml:space="preserve"> (Paulson, P. 2013)</w:t>
      </w:r>
      <w:r w:rsidR="003B616F" w:rsidRPr="00A13AFE">
        <w:rPr>
          <w:rFonts w:cstheme="minorHAnsi"/>
          <w:color w:val="000000" w:themeColor="text1"/>
        </w:rPr>
        <w:t>.</w:t>
      </w:r>
      <w:r w:rsidR="00D327DB" w:rsidRPr="00A13AFE">
        <w:rPr>
          <w:rFonts w:cstheme="minorHAnsi"/>
          <w:color w:val="000000" w:themeColor="text1"/>
        </w:rPr>
        <w:t xml:space="preserve"> </w:t>
      </w:r>
      <w:r w:rsidR="00D327DB" w:rsidRPr="00A13AFE">
        <w:rPr>
          <w:rFonts w:cstheme="minorHAnsi"/>
          <w:color w:val="000000" w:themeColor="text1"/>
        </w:rPr>
        <w:br/>
      </w:r>
      <w:r w:rsidR="00D327DB" w:rsidRPr="00A13AFE">
        <w:rPr>
          <w:rFonts w:cstheme="minorHAnsi"/>
          <w:color w:val="000000" w:themeColor="text1"/>
        </w:rPr>
        <w:br/>
      </w:r>
      <w:r>
        <w:rPr>
          <w:color w:val="000000" w:themeColor="text1"/>
          <w:kern w:val="0"/>
          <w14:ligatures w14:val="none"/>
        </w:rPr>
        <w:t xml:space="preserve">     </w:t>
      </w:r>
      <w:r w:rsidR="003B616F" w:rsidRPr="00A13AFE">
        <w:rPr>
          <w:rFonts w:cstheme="minorHAnsi"/>
          <w:color w:val="000000" w:themeColor="text1"/>
        </w:rPr>
        <w:t xml:space="preserve">Studies that contrast the rates of reoffending between participants in community-based </w:t>
      </w:r>
      <w:r w:rsidR="003B616F" w:rsidRPr="00A13AFE">
        <w:rPr>
          <w:rFonts w:cstheme="minorHAnsi"/>
          <w:color w:val="000000" w:themeColor="text1"/>
        </w:rPr>
        <w:lastRenderedPageBreak/>
        <w:t xml:space="preserve">programmes and those who are incarcerated provide important insights into the efficacy of various strategies used in the criminal justice system. Comparative analyses of the effectiveness of community-based programmes and traditional incarceration in lowering </w:t>
      </w:r>
      <w:r w:rsidR="00F35B18" w:rsidRPr="00A13AFE">
        <w:rPr>
          <w:rFonts w:cstheme="minorHAnsi"/>
          <w:color w:val="000000" w:themeColor="text1"/>
        </w:rPr>
        <w:t xml:space="preserve">reoffending </w:t>
      </w:r>
      <w:r w:rsidR="003B616F" w:rsidRPr="00A13AFE">
        <w:rPr>
          <w:rFonts w:cstheme="minorHAnsi"/>
          <w:color w:val="000000" w:themeColor="text1"/>
        </w:rPr>
        <w:t xml:space="preserve">rates have been carried out in numerous studies. These comparative studies' conclusions show that people who take part in community-based initiatives like specialty courts, diversion programmes, probation, and restorative justice frequently have lower </w:t>
      </w:r>
      <w:r w:rsidR="00F35B18" w:rsidRPr="00A13AFE">
        <w:rPr>
          <w:rFonts w:cstheme="minorHAnsi"/>
          <w:color w:val="000000" w:themeColor="text1"/>
        </w:rPr>
        <w:t xml:space="preserve">reoffending </w:t>
      </w:r>
      <w:r w:rsidR="003B616F" w:rsidRPr="00A13AFE">
        <w:rPr>
          <w:rFonts w:cstheme="minorHAnsi"/>
          <w:color w:val="000000" w:themeColor="text1"/>
        </w:rPr>
        <w:t>rates than people who are imprisoned in conventional prison settings. When compared to people serving jail sentences, probation programs especially those that include customised interventions like counselling, drug rehab, or educational initiatives have shown reduced rates of re-offending</w:t>
      </w:r>
      <w:r w:rsidR="003662FB" w:rsidRPr="00A13AFE">
        <w:rPr>
          <w:rFonts w:cstheme="minorHAnsi"/>
          <w:color w:val="000000" w:themeColor="text1"/>
        </w:rPr>
        <w:t xml:space="preserve"> (HM Prison and Probation Service, 2019)</w:t>
      </w:r>
      <w:r w:rsidR="00D327DB" w:rsidRPr="00A13AFE">
        <w:rPr>
          <w:rFonts w:cstheme="minorHAnsi"/>
          <w:color w:val="000000" w:themeColor="text1"/>
        </w:rPr>
        <w:t>.</w:t>
      </w:r>
      <w:r w:rsidR="00D327DB" w:rsidRPr="00A13AFE">
        <w:rPr>
          <w:rFonts w:cstheme="minorHAnsi"/>
          <w:color w:val="000000" w:themeColor="text1"/>
        </w:rPr>
        <w:br/>
      </w:r>
      <w:r w:rsidR="00D327DB" w:rsidRPr="00A13AFE">
        <w:rPr>
          <w:rFonts w:cstheme="minorHAnsi"/>
          <w:color w:val="000000" w:themeColor="text1"/>
        </w:rPr>
        <w:br/>
      </w:r>
      <w:r>
        <w:rPr>
          <w:color w:val="000000" w:themeColor="text1"/>
          <w:kern w:val="0"/>
          <w14:ligatures w14:val="none"/>
        </w:rPr>
        <w:t xml:space="preserve">     </w:t>
      </w:r>
      <w:r w:rsidR="00D327DB" w:rsidRPr="00A13AFE">
        <w:rPr>
          <w:rFonts w:cstheme="minorHAnsi"/>
          <w:color w:val="000000" w:themeColor="text1"/>
        </w:rPr>
        <w:t xml:space="preserve">Despite their potential advantages, community-based programmes face </w:t>
      </w:r>
      <w:r w:rsidR="00F35B18" w:rsidRPr="00A13AFE">
        <w:rPr>
          <w:rFonts w:cstheme="minorHAnsi"/>
          <w:color w:val="000000" w:themeColor="text1"/>
        </w:rPr>
        <w:t>a few</w:t>
      </w:r>
      <w:r w:rsidR="00D327DB" w:rsidRPr="00A13AFE">
        <w:rPr>
          <w:rFonts w:cstheme="minorHAnsi"/>
          <w:color w:val="000000" w:themeColor="text1"/>
        </w:rPr>
        <w:t xml:space="preserve"> obstacles that make it difficult for them to successfully support successful rehabilitation and lower reoffending rates. Implementing and maintaining these programmes is severely hampered by a lack of funding and resources. Inadequate funding frequently results in fewer programme participants, understaffed programmes, and restricted access to necessary services like drug and alcohol rehab, mental health counselling, and educational opportunities. It can be difficult to guarantee participant compliance with programme requirements. People could find it difficult to follow through on obligations like going to counselling, keeping a job, or not committing any more crimes. Non-compliance may be caused by elements such as mental health problems, substance misuse, or a lack of motivation. The acceptance and efficacy of community-based alternatives to incarceration can be impacted by stigmatisation and societal perceptions of these alternatives. It may be more difficult for people to reintegrate into the community, find work, or find housing if there are negative attitudes towards offenders taking part in these programmes. This can result in social exclusion. Successful reintegration may be hampered by limited access to support services like housing assistance, job training, mental health care, and drug abuse programmes. These services can be unavailable or have lengthy waiting lists, which can hinder people's progress and raise their chance of </w:t>
      </w:r>
      <w:r w:rsidR="00F35B18" w:rsidRPr="00A13AFE">
        <w:rPr>
          <w:rFonts w:cstheme="minorHAnsi"/>
          <w:color w:val="000000" w:themeColor="text1"/>
        </w:rPr>
        <w:t>reoffending</w:t>
      </w:r>
      <w:r w:rsidR="00D327DB" w:rsidRPr="00A13AFE">
        <w:rPr>
          <w:rFonts w:cstheme="minorHAnsi"/>
          <w:color w:val="000000" w:themeColor="text1"/>
        </w:rPr>
        <w:t>. Community-based interventions may suffer from inconsistent programme design, insufficient evaluation techniques, or a deficiency of evidence-based practices. Programmes with little chance of success may fail to address the root causes of criminal behaviour</w:t>
      </w:r>
      <w:r w:rsidR="003662FB" w:rsidRPr="00A13AFE">
        <w:rPr>
          <w:rFonts w:cstheme="minorHAnsi"/>
          <w:color w:val="000000" w:themeColor="text1"/>
        </w:rPr>
        <w:t xml:space="preserve"> (Ministry of Justice 2013)</w:t>
      </w:r>
      <w:r w:rsidR="00D327DB" w:rsidRPr="00A13AFE">
        <w:rPr>
          <w:rFonts w:cstheme="minorHAnsi"/>
          <w:color w:val="000000" w:themeColor="text1"/>
        </w:rPr>
        <w:t>.</w:t>
      </w:r>
      <w:r w:rsidR="00D327DB" w:rsidRPr="00A13AFE">
        <w:rPr>
          <w:rFonts w:cstheme="minorHAnsi"/>
          <w:color w:val="000000" w:themeColor="text1"/>
        </w:rPr>
        <w:br/>
      </w:r>
      <w:r w:rsidR="00D327DB" w:rsidRPr="00A13AFE">
        <w:rPr>
          <w:rFonts w:cstheme="minorHAnsi"/>
          <w:color w:val="000000" w:themeColor="text1"/>
        </w:rPr>
        <w:br/>
      </w:r>
      <w:r>
        <w:rPr>
          <w:color w:val="000000" w:themeColor="text1"/>
          <w:kern w:val="0"/>
          <w14:ligatures w14:val="none"/>
        </w:rPr>
        <w:t xml:space="preserve">     </w:t>
      </w:r>
      <w:r w:rsidR="00D327DB" w:rsidRPr="00A13AFE">
        <w:rPr>
          <w:rFonts w:cstheme="minorHAnsi"/>
          <w:color w:val="000000" w:themeColor="text1"/>
        </w:rPr>
        <w:t xml:space="preserve">This essay concludes by critically analysing how well community-based alternatives to incarceration work in England and Wales to lower reoffending rates. It assesses how different community-based projects and programmes affect people making the transition from being involved in the criminal justice system to returning to society. In recent decades, there have been fluctuations in the rates of incarceration in England and Wales. These fluctuations can be attributed to various factors, including changes in legislation, an increase in prosecutions for specific offences, and modifications to sentencing guidelines. </w:t>
      </w:r>
      <w:proofErr w:type="gramStart"/>
      <w:r w:rsidR="00F35B18" w:rsidRPr="00A13AFE">
        <w:rPr>
          <w:rFonts w:cstheme="minorHAnsi"/>
          <w:color w:val="000000" w:themeColor="text1"/>
        </w:rPr>
        <w:t>At the moment</w:t>
      </w:r>
      <w:proofErr w:type="gramEnd"/>
      <w:r w:rsidR="00D327DB" w:rsidRPr="00A13AFE">
        <w:rPr>
          <w:rFonts w:cstheme="minorHAnsi"/>
          <w:color w:val="000000" w:themeColor="text1"/>
        </w:rPr>
        <w:t xml:space="preserve"> England and Wales have greater rates of incarceration than some other European countries. These rates are primarily linked to crimes such as theft, burglary, drug-related offences, violent crimes, and public order offences. A range of therapies and initiatives are included in community-based alternatives to incarceration with the goal of addressing criminal behaviour, lowering </w:t>
      </w:r>
      <w:r w:rsidR="00F35B18" w:rsidRPr="00A13AFE">
        <w:rPr>
          <w:rFonts w:cstheme="minorHAnsi"/>
          <w:color w:val="000000" w:themeColor="text1"/>
        </w:rPr>
        <w:t>reoffending,</w:t>
      </w:r>
      <w:r w:rsidR="00D327DB" w:rsidRPr="00A13AFE">
        <w:rPr>
          <w:rFonts w:cstheme="minorHAnsi"/>
          <w:color w:val="000000" w:themeColor="text1"/>
        </w:rPr>
        <w:t xml:space="preserve"> and keeping people in their local communities. In contrast to traditional prisons, these alternatives place a higher priority on community safety, rehabilitation, and reintegration while providing more customised and restorative methods. Among the main alternatives to incarceration are electronic monitoring, home detention, restorative justice programmes, community service, probation, and electronic monitoring. These alternatives emphasise community supervision, voluntary community work, reconciliation, and electronic surveillance. Community-based programmes offer a variety of approaches that centre on rehabilitation, reintegration, and restorative justice; however, obstacles stand in the way of their </w:t>
      </w:r>
      <w:r w:rsidR="00D327DB" w:rsidRPr="00A13AFE">
        <w:rPr>
          <w:rFonts w:cstheme="minorHAnsi"/>
          <w:color w:val="000000" w:themeColor="text1"/>
        </w:rPr>
        <w:lastRenderedPageBreak/>
        <w:t xml:space="preserve">effectiveness. Their efficacy is hampered by a lack of funding, problems with participant compliance, social stigma, restricted access to support services, inconsistent programme design, and subpar evaluations. </w:t>
      </w:r>
      <w:r w:rsidR="00F35B18" w:rsidRPr="00A13AFE">
        <w:rPr>
          <w:rFonts w:cstheme="minorHAnsi"/>
          <w:color w:val="000000" w:themeColor="text1"/>
        </w:rPr>
        <w:t>In summary, although community-based alternatives to incarceration exhibit potential in diminishing reoffending rates and promoting reintegration, they face considerable challenges. To overcome these obstacles, coordinated efforts in funding distribution, improved programme design, expanded support service accessibility, and improved public acceptance of these alternatives are needed. Community-based programmes must be continuously researched, assessed, and improved upon if they are to effectively lower reoffending and promote the successful rehabilitation of those involved in the criminal justice system.</w:t>
      </w:r>
    </w:p>
    <w:p w14:paraId="317F13E5" w14:textId="348421D0" w:rsidR="00A13AFE" w:rsidRDefault="00A13AFE" w:rsidP="00A13AFE">
      <w:pPr>
        <w:pStyle w:val="Heading1"/>
      </w:pPr>
      <w:r>
        <w:br/>
        <w:t>Reference list</w:t>
      </w:r>
    </w:p>
    <w:p w14:paraId="2554B2D5" w14:textId="77777777" w:rsidR="00A13AFE" w:rsidRDefault="00A13AFE" w:rsidP="00A13AFE">
      <w:r>
        <w:t xml:space="preserve">Gibbs, A., King, D. and </w:t>
      </w:r>
      <w:proofErr w:type="spellStart"/>
      <w:r>
        <w:t>and</w:t>
      </w:r>
      <w:proofErr w:type="spellEnd"/>
      <w:r>
        <w:t xml:space="preserve">, C. (2001). </w:t>
      </w:r>
      <w:r>
        <w:rPr>
          <w:i/>
          <w:iCs/>
        </w:rPr>
        <w:t xml:space="preserve">The Electronic Ball and </w:t>
      </w:r>
      <w:proofErr w:type="gramStart"/>
      <w:r>
        <w:rPr>
          <w:i/>
          <w:iCs/>
        </w:rPr>
        <w:t>Chain?</w:t>
      </w:r>
      <w:r>
        <w:t>.</w:t>
      </w:r>
      <w:proofErr w:type="gramEnd"/>
    </w:p>
    <w:p w14:paraId="3D5D49C1" w14:textId="77777777" w:rsidR="00A13AFE" w:rsidRDefault="00A13AFE" w:rsidP="00A13AFE">
      <w:r>
        <w:t xml:space="preserve">HM Prison and Probation Service (2019). </w:t>
      </w:r>
      <w:r>
        <w:rPr>
          <w:i/>
          <w:iCs/>
        </w:rPr>
        <w:t>Prison Drugs Strategy</w:t>
      </w:r>
      <w:r>
        <w:t>. [online] Available at: https://assets.publishing.service.gov.uk/media/5ca4844b40f0b625e7f496aa/prison-drugs-strategy.pdf.</w:t>
      </w:r>
    </w:p>
    <w:p w14:paraId="3EE349AE" w14:textId="77777777" w:rsidR="00A13AFE" w:rsidRDefault="00A13AFE" w:rsidP="00A13AFE">
      <w:proofErr w:type="spellStart"/>
      <w:r>
        <w:t>Kelput</w:t>
      </w:r>
      <w:proofErr w:type="spellEnd"/>
      <w:r>
        <w:t xml:space="preserve">, H. (2021). </w:t>
      </w:r>
      <w:r>
        <w:rPr>
          <w:i/>
          <w:iCs/>
        </w:rPr>
        <w:t xml:space="preserve">How to Integrate Back </w:t>
      </w:r>
      <w:proofErr w:type="gramStart"/>
      <w:r>
        <w:rPr>
          <w:i/>
          <w:iCs/>
        </w:rPr>
        <w:t>Into</w:t>
      </w:r>
      <w:proofErr w:type="gramEnd"/>
      <w:r>
        <w:rPr>
          <w:i/>
          <w:iCs/>
        </w:rPr>
        <w:t xml:space="preserve"> Society After Serving Time In Prison</w:t>
      </w:r>
      <w:r>
        <w:t xml:space="preserve">. [online] Back </w:t>
      </w:r>
      <w:proofErr w:type="gramStart"/>
      <w:r>
        <w:t>Into</w:t>
      </w:r>
      <w:proofErr w:type="gramEnd"/>
      <w:r>
        <w:t xml:space="preserve"> Society. Available at: https://backintosociety.co.uk/2021/01/16/how-to-integrate-back-into-society-after-serving-time-in-prison/.</w:t>
      </w:r>
    </w:p>
    <w:p w14:paraId="308E6683" w14:textId="77777777" w:rsidR="00A13AFE" w:rsidRDefault="00A13AFE" w:rsidP="00A13AFE">
      <w:r>
        <w:t xml:space="preserve">Ministry Of Justice (2013). </w:t>
      </w:r>
      <w:r>
        <w:rPr>
          <w:i/>
          <w:iCs/>
        </w:rPr>
        <w:t>Story of the Prison Population: 1993 -2012 England and Wales</w:t>
      </w:r>
      <w:r>
        <w:t>. [online] Available at: https://assets.publishing.service.gov.uk/media/5a7cc70040f0b6629523bc15/story-prison-population.pdf.</w:t>
      </w:r>
    </w:p>
    <w:p w14:paraId="61FF824F" w14:textId="77777777" w:rsidR="00A13AFE" w:rsidRDefault="00A13AFE" w:rsidP="00A13AFE">
      <w:r>
        <w:t xml:space="preserve">Ministry of Justice (2013). </w:t>
      </w:r>
      <w:r>
        <w:rPr>
          <w:i/>
          <w:iCs/>
        </w:rPr>
        <w:t>Transforming Rehabilitation: a summary of evidence on reducing reoffending Ministry of Justice Analytical Series 2013</w:t>
      </w:r>
      <w:r>
        <w:t>. [online] Available at: https://assets.publishing.service.gov.uk/media/5a7565a8e5274a1baf95e408/evidence-reduce-reoffending.pdf.</w:t>
      </w:r>
    </w:p>
    <w:p w14:paraId="2236FEEC" w14:textId="77777777" w:rsidR="00A13AFE" w:rsidRDefault="00A13AFE" w:rsidP="00A13AFE">
      <w:r>
        <w:t xml:space="preserve">Ministry of Justice (2018). </w:t>
      </w:r>
      <w:r>
        <w:rPr>
          <w:i/>
          <w:iCs/>
        </w:rPr>
        <w:t>Offending behaviour programmes and interventions</w:t>
      </w:r>
      <w:r>
        <w:t>. [online] GOV.UK. Available at: https://www.gov.uk/guidance/offending-behaviour-programmes-and-interventions.</w:t>
      </w:r>
    </w:p>
    <w:p w14:paraId="32DE5EA1" w14:textId="77777777" w:rsidR="00A13AFE" w:rsidRDefault="00A13AFE" w:rsidP="00A13AFE">
      <w:r>
        <w:t xml:space="preserve">Ministry of Justice (2023). </w:t>
      </w:r>
      <w:r>
        <w:rPr>
          <w:i/>
          <w:iCs/>
        </w:rPr>
        <w:t>Proven Reoffending Statistics: January to March 2021</w:t>
      </w:r>
      <w:r>
        <w:t>. [online] GOV.UK. Available at: https://www.gov.uk/government/statistics/proven-reoffending-statistics-january-to-march-2021/proven-reoffending-statistics-january-to-march-2021.</w:t>
      </w:r>
    </w:p>
    <w:p w14:paraId="17E1177D" w14:textId="77777777" w:rsidR="00A13AFE" w:rsidRDefault="00A13AFE" w:rsidP="00A13AFE">
      <w:proofErr w:type="spellStart"/>
      <w:r>
        <w:t>NIDirect</w:t>
      </w:r>
      <w:proofErr w:type="spellEnd"/>
      <w:r>
        <w:t xml:space="preserve"> (2016). </w:t>
      </w:r>
      <w:r>
        <w:rPr>
          <w:i/>
          <w:iCs/>
        </w:rPr>
        <w:t xml:space="preserve">Non-custodial sentences | </w:t>
      </w:r>
      <w:proofErr w:type="spellStart"/>
      <w:r>
        <w:rPr>
          <w:i/>
          <w:iCs/>
        </w:rPr>
        <w:t>nidirect</w:t>
      </w:r>
      <w:proofErr w:type="spellEnd"/>
      <w:r>
        <w:t xml:space="preserve">. [online] </w:t>
      </w:r>
      <w:proofErr w:type="spellStart"/>
      <w:r>
        <w:t>nidirect</w:t>
      </w:r>
      <w:proofErr w:type="spellEnd"/>
      <w:r>
        <w:t>. Available at: https://www.nidirect.gov.uk/articles/non-custodial-sentences.</w:t>
      </w:r>
    </w:p>
    <w:p w14:paraId="314ED773" w14:textId="77777777" w:rsidR="00A13AFE" w:rsidRDefault="00A13AFE" w:rsidP="00A13AFE">
      <w:r>
        <w:t xml:space="preserve">Paulson, P. (2013). </w:t>
      </w:r>
      <w:r>
        <w:rPr>
          <w:i/>
          <w:iCs/>
        </w:rPr>
        <w:t>The Role of Community Based Programs in Reducing Recidivism in Ex-Offenders</w:t>
      </w:r>
      <w:r>
        <w:t>. [PDF] Available at: https://researchonline.stthomas.edu/esploro/outputs/graduate/The-Role-of-Community-Based-Programs/991015131765303691/filesAndLinks?index=0.</w:t>
      </w:r>
    </w:p>
    <w:p w14:paraId="38AC23BB" w14:textId="77777777" w:rsidR="00A13AFE" w:rsidRDefault="00A13AFE" w:rsidP="00A13AFE">
      <w:r>
        <w:t xml:space="preserve">Prison Reform Trust (2012). </w:t>
      </w:r>
      <w:r>
        <w:rPr>
          <w:i/>
          <w:iCs/>
        </w:rPr>
        <w:t>Effective Community Sentences</w:t>
      </w:r>
      <w:r>
        <w:t>. [online] Prison Reform Trust. Available at: https://prisonreformtrust.org.uk/wp-content/uploads/old_files/Documents/effective%20community%20sentences.pdf.</w:t>
      </w:r>
    </w:p>
    <w:p w14:paraId="3EE38551" w14:textId="77777777" w:rsidR="00A13AFE" w:rsidRDefault="00A13AFE" w:rsidP="00A13AFE">
      <w:r>
        <w:t xml:space="preserve">The Crown Prosecution Service (2019). </w:t>
      </w:r>
      <w:r>
        <w:rPr>
          <w:i/>
          <w:iCs/>
        </w:rPr>
        <w:t>Restorative Justice</w:t>
      </w:r>
      <w:r>
        <w:t>. [online] Cps.gov.uk. Available at: https://www.cps.gov.uk/legal-guidance/restorative-justice.</w:t>
      </w:r>
    </w:p>
    <w:p w14:paraId="397E39BC" w14:textId="77777777" w:rsidR="00A13AFE" w:rsidRDefault="00A13AFE" w:rsidP="00A13AFE">
      <w:r>
        <w:lastRenderedPageBreak/>
        <w:t xml:space="preserve">UNODC (2019). </w:t>
      </w:r>
      <w:r>
        <w:rPr>
          <w:i/>
          <w:iCs/>
        </w:rPr>
        <w:t>The Prevention of Recidivism and the Social Reintegration of Offenders CRIMINAL JUSTICE HANDBOOK SERIES</w:t>
      </w:r>
      <w:r>
        <w:t xml:space="preserve">. [online] United Nations Office on Drugs and Crime, </w:t>
      </w:r>
      <w:proofErr w:type="spellStart"/>
      <w:proofErr w:type="gramStart"/>
      <w:r>
        <w:t>p.UNODC</w:t>
      </w:r>
      <w:proofErr w:type="spellEnd"/>
      <w:proofErr w:type="gramEnd"/>
      <w:r>
        <w:t>. Available at: https://www.unodc.org/documents/justice-and-prison-reform/18-02303_ebook.pdf.</w:t>
      </w:r>
    </w:p>
    <w:p w14:paraId="3A79BBD0" w14:textId="77777777" w:rsidR="00A13AFE" w:rsidRDefault="00A13AFE" w:rsidP="00A13AFE">
      <w:r>
        <w:t xml:space="preserve">Williams, K., Poyser, J. and Hopkins, K. (2012). </w:t>
      </w:r>
      <w:r>
        <w:rPr>
          <w:i/>
          <w:iCs/>
        </w:rPr>
        <w:t>Accommodation, Homelessness and Reoffending of Prisoners: Results from the Surveying Prisoner Crime Reduction (SPCR) Survey</w:t>
      </w:r>
      <w:r>
        <w:t xml:space="preserve">. [online] Ministry </w:t>
      </w:r>
      <w:proofErr w:type="gramStart"/>
      <w:r>
        <w:t>Of</w:t>
      </w:r>
      <w:proofErr w:type="gramEnd"/>
      <w:r>
        <w:t xml:space="preserve"> Justice. Available at: https://assets.publishing.service.gov.uk/media/5a757ec340f0b6397f35edf3/homelessness-reoffending-prisoners.pdf.</w:t>
      </w:r>
    </w:p>
    <w:p w14:paraId="56C709EC" w14:textId="72911896" w:rsidR="00A13AFE" w:rsidRPr="00A13AFE" w:rsidRDefault="00A13AFE" w:rsidP="00A13AFE">
      <w:pPr>
        <w:pStyle w:val="Heading1"/>
      </w:pPr>
    </w:p>
    <w:sectPr w:rsidR="00A13AFE" w:rsidRPr="00A13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904E3"/>
    <w:multiLevelType w:val="multilevel"/>
    <w:tmpl w:val="72E8C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B76AFE"/>
    <w:multiLevelType w:val="multilevel"/>
    <w:tmpl w:val="D590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0156AC"/>
    <w:multiLevelType w:val="multilevel"/>
    <w:tmpl w:val="BDF62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7A1EEE"/>
    <w:multiLevelType w:val="multilevel"/>
    <w:tmpl w:val="75E4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ECF78F2"/>
    <w:multiLevelType w:val="multilevel"/>
    <w:tmpl w:val="3EAA7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EAA41DF"/>
    <w:multiLevelType w:val="multilevel"/>
    <w:tmpl w:val="8BC22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94648A4"/>
    <w:multiLevelType w:val="multilevel"/>
    <w:tmpl w:val="F1642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8510935">
    <w:abstractNumId w:val="1"/>
  </w:num>
  <w:num w:numId="2" w16cid:durableId="1521356757">
    <w:abstractNumId w:val="4"/>
  </w:num>
  <w:num w:numId="3" w16cid:durableId="1000889395">
    <w:abstractNumId w:val="0"/>
  </w:num>
  <w:num w:numId="4" w16cid:durableId="1627348707">
    <w:abstractNumId w:val="2"/>
  </w:num>
  <w:num w:numId="5" w16cid:durableId="1370303289">
    <w:abstractNumId w:val="6"/>
  </w:num>
  <w:num w:numId="6" w16cid:durableId="1119953610">
    <w:abstractNumId w:val="5"/>
  </w:num>
  <w:num w:numId="7" w16cid:durableId="19545513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456"/>
    <w:rsid w:val="00062C3D"/>
    <w:rsid w:val="003047B2"/>
    <w:rsid w:val="003662FB"/>
    <w:rsid w:val="003B616F"/>
    <w:rsid w:val="005F4090"/>
    <w:rsid w:val="005F639E"/>
    <w:rsid w:val="00732072"/>
    <w:rsid w:val="007714B1"/>
    <w:rsid w:val="00912C2C"/>
    <w:rsid w:val="009C22BF"/>
    <w:rsid w:val="00A13AFE"/>
    <w:rsid w:val="00B3621E"/>
    <w:rsid w:val="00D327DB"/>
    <w:rsid w:val="00DD7456"/>
    <w:rsid w:val="00F070E4"/>
    <w:rsid w:val="00F335AA"/>
    <w:rsid w:val="00F35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8BB31"/>
  <w15:chartTrackingRefBased/>
  <w15:docId w15:val="{F6617CEB-480F-49BE-A3B7-FE6B7B346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A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16F"/>
    <w:pPr>
      <w:ind w:left="720"/>
      <w:contextualSpacing/>
    </w:pPr>
  </w:style>
  <w:style w:type="paragraph" w:styleId="Title">
    <w:name w:val="Title"/>
    <w:basedOn w:val="Normal"/>
    <w:next w:val="Normal"/>
    <w:link w:val="TitleChar"/>
    <w:uiPriority w:val="10"/>
    <w:qFormat/>
    <w:rsid w:val="003662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2B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C22BF"/>
    <w:rPr>
      <w:rFonts w:eastAsiaTheme="minorEastAsia"/>
      <w:color w:val="5A5A5A" w:themeColor="text1" w:themeTint="A5"/>
      <w:spacing w:val="15"/>
    </w:rPr>
  </w:style>
  <w:style w:type="character" w:styleId="SubtleEmphasis">
    <w:name w:val="Subtle Emphasis"/>
    <w:basedOn w:val="DefaultParagraphFont"/>
    <w:uiPriority w:val="19"/>
    <w:qFormat/>
    <w:rsid w:val="009C22BF"/>
    <w:rPr>
      <w:i/>
      <w:iCs/>
      <w:color w:val="404040" w:themeColor="text1" w:themeTint="BF"/>
    </w:rPr>
  </w:style>
  <w:style w:type="character" w:customStyle="1" w:styleId="Heading1Char">
    <w:name w:val="Heading 1 Char"/>
    <w:basedOn w:val="DefaultParagraphFont"/>
    <w:link w:val="Heading1"/>
    <w:uiPriority w:val="9"/>
    <w:rsid w:val="00A13AF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13A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11547">
      <w:bodyDiv w:val="1"/>
      <w:marLeft w:val="0"/>
      <w:marRight w:val="0"/>
      <w:marTop w:val="0"/>
      <w:marBottom w:val="0"/>
      <w:divBdr>
        <w:top w:val="none" w:sz="0" w:space="0" w:color="auto"/>
        <w:left w:val="none" w:sz="0" w:space="0" w:color="auto"/>
        <w:bottom w:val="none" w:sz="0" w:space="0" w:color="auto"/>
        <w:right w:val="none" w:sz="0" w:space="0" w:color="auto"/>
      </w:divBdr>
    </w:div>
    <w:div w:id="598026612">
      <w:bodyDiv w:val="1"/>
      <w:marLeft w:val="0"/>
      <w:marRight w:val="0"/>
      <w:marTop w:val="0"/>
      <w:marBottom w:val="0"/>
      <w:divBdr>
        <w:top w:val="none" w:sz="0" w:space="0" w:color="auto"/>
        <w:left w:val="none" w:sz="0" w:space="0" w:color="auto"/>
        <w:bottom w:val="none" w:sz="0" w:space="0" w:color="auto"/>
        <w:right w:val="none" w:sz="0" w:space="0" w:color="auto"/>
      </w:divBdr>
    </w:div>
    <w:div w:id="793258936">
      <w:bodyDiv w:val="1"/>
      <w:marLeft w:val="0"/>
      <w:marRight w:val="0"/>
      <w:marTop w:val="0"/>
      <w:marBottom w:val="0"/>
      <w:divBdr>
        <w:top w:val="none" w:sz="0" w:space="0" w:color="auto"/>
        <w:left w:val="none" w:sz="0" w:space="0" w:color="auto"/>
        <w:bottom w:val="none" w:sz="0" w:space="0" w:color="auto"/>
        <w:right w:val="none" w:sz="0" w:space="0" w:color="auto"/>
      </w:divBdr>
    </w:div>
    <w:div w:id="1069110048">
      <w:bodyDiv w:val="1"/>
      <w:marLeft w:val="0"/>
      <w:marRight w:val="0"/>
      <w:marTop w:val="0"/>
      <w:marBottom w:val="0"/>
      <w:divBdr>
        <w:top w:val="none" w:sz="0" w:space="0" w:color="auto"/>
        <w:left w:val="none" w:sz="0" w:space="0" w:color="auto"/>
        <w:bottom w:val="none" w:sz="0" w:space="0" w:color="auto"/>
        <w:right w:val="none" w:sz="0" w:space="0" w:color="auto"/>
      </w:divBdr>
      <w:divsChild>
        <w:div w:id="750544975">
          <w:marLeft w:val="0"/>
          <w:marRight w:val="0"/>
          <w:marTop w:val="0"/>
          <w:marBottom w:val="0"/>
          <w:divBdr>
            <w:top w:val="none" w:sz="0" w:space="0" w:color="auto"/>
            <w:left w:val="none" w:sz="0" w:space="0" w:color="auto"/>
            <w:bottom w:val="none" w:sz="0" w:space="0" w:color="auto"/>
            <w:right w:val="none" w:sz="0" w:space="0" w:color="auto"/>
          </w:divBdr>
        </w:div>
      </w:divsChild>
    </w:div>
    <w:div w:id="1177967399">
      <w:bodyDiv w:val="1"/>
      <w:marLeft w:val="0"/>
      <w:marRight w:val="0"/>
      <w:marTop w:val="0"/>
      <w:marBottom w:val="0"/>
      <w:divBdr>
        <w:top w:val="none" w:sz="0" w:space="0" w:color="auto"/>
        <w:left w:val="none" w:sz="0" w:space="0" w:color="auto"/>
        <w:bottom w:val="none" w:sz="0" w:space="0" w:color="auto"/>
        <w:right w:val="none" w:sz="0" w:space="0" w:color="auto"/>
      </w:divBdr>
    </w:div>
    <w:div w:id="1418097257">
      <w:bodyDiv w:val="1"/>
      <w:marLeft w:val="0"/>
      <w:marRight w:val="0"/>
      <w:marTop w:val="0"/>
      <w:marBottom w:val="0"/>
      <w:divBdr>
        <w:top w:val="none" w:sz="0" w:space="0" w:color="auto"/>
        <w:left w:val="none" w:sz="0" w:space="0" w:color="auto"/>
        <w:bottom w:val="none" w:sz="0" w:space="0" w:color="auto"/>
        <w:right w:val="none" w:sz="0" w:space="0" w:color="auto"/>
      </w:divBdr>
    </w:div>
    <w:div w:id="150674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6</Pages>
  <Words>2492</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Dalea (2123080)</dc:creator>
  <cp:keywords/>
  <dc:description/>
  <cp:lastModifiedBy>Patrick Dalea (2123080)</cp:lastModifiedBy>
  <cp:revision>4</cp:revision>
  <dcterms:created xsi:type="dcterms:W3CDTF">2023-12-02T23:23:00Z</dcterms:created>
  <dcterms:modified xsi:type="dcterms:W3CDTF">2024-01-11T23:56:00Z</dcterms:modified>
</cp:coreProperties>
</file>