
<file path=[Content_Types].xml><?xml version="1.0" encoding="utf-8"?>
<Types xmlns="http://schemas.openxmlformats.org/package/2006/content-types">
  <Default Extension="xml" ContentType="application/xml"/>
  <Default Extension="jpeg" ContentType="image/jpeg"/>
  <Default Extension="tiff" ContentType="image/tiff"/>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bookmarkStart w:id="67" w:name="_GoBack"/>
      <w:bookmarkEnd w:id="67"/>
      <w:r>
        <mc:AlternateContent>
          <mc:Choice Requires="wps">
            <w:drawing>
              <wp:anchor distT="0" distB="0" distL="114300" distR="114300" simplePos="0" relativeHeight="251680768" behindDoc="0" locked="0" layoutInCell="1" allowOverlap="1">
                <wp:simplePos x="0" y="0"/>
                <wp:positionH relativeFrom="column">
                  <wp:posOffset>1059180</wp:posOffset>
                </wp:positionH>
                <wp:positionV relativeFrom="paragraph">
                  <wp:posOffset>6850380</wp:posOffset>
                </wp:positionV>
                <wp:extent cx="4686300" cy="1874520"/>
                <wp:effectExtent l="0" t="0" r="0" b="0"/>
                <wp:wrapNone/>
                <wp:docPr id="18" name="文本框 18"/>
                <wp:cNvGraphicFramePr/>
                <a:graphic xmlns:a="http://schemas.openxmlformats.org/drawingml/2006/main">
                  <a:graphicData uri="http://schemas.microsoft.com/office/word/2010/wordprocessingShape">
                    <wps:wsp>
                      <wps:cNvSpPr txBox="1"/>
                      <wps:spPr>
                        <a:xfrm>
                          <a:off x="0" y="0"/>
                          <a:ext cx="4686300" cy="1874520"/>
                        </a:xfrm>
                        <a:prstGeom prst="rect">
                          <a:avLst/>
                        </a:prstGeom>
                        <a:noFill/>
                        <a:ln w="6350">
                          <a:noFill/>
                        </a:ln>
                      </wps:spPr>
                      <wps:txbx>
                        <w:txbxContent>
                          <w:p>
                            <w:pPr>
                              <w:jc w:val="center"/>
                              <w:rPr>
                                <w:b/>
                                <w:sz w:val="48"/>
                              </w:rPr>
                            </w:pPr>
                            <w:r>
                              <w:rPr>
                                <w:rFonts w:hint="eastAsia"/>
                                <w:b/>
                                <w:sz w:val="48"/>
                              </w:rPr>
                              <w:t>The</w:t>
                            </w:r>
                            <w:r>
                              <w:rPr>
                                <w:b/>
                                <w:sz w:val="48"/>
                              </w:rPr>
                              <w:t xml:space="preserve"> Market Plan of Didi China</w:t>
                            </w:r>
                          </w:p>
                          <w:p>
                            <w:pPr>
                              <w:jc w:val="center"/>
                              <w:rPr>
                                <w:sz w:val="28"/>
                              </w:rPr>
                            </w:pPr>
                            <w:r>
                              <w:rPr>
                                <w:sz w:val="28"/>
                              </w:rPr>
                              <w:t>Student Name: Wen Hang</w:t>
                            </w:r>
                          </w:p>
                          <w:p>
                            <w:pPr>
                              <w:jc w:val="center"/>
                              <w:rPr>
                                <w:sz w:val="28"/>
                              </w:rPr>
                            </w:pPr>
                            <w:r>
                              <w:rPr>
                                <w:rFonts w:hint="eastAsia"/>
                                <w:sz w:val="28"/>
                              </w:rPr>
                              <w:t>S</w:t>
                            </w:r>
                            <w:r>
                              <w:rPr>
                                <w:sz w:val="28"/>
                              </w:rPr>
                              <w:t>tudent ID: 1801428</w:t>
                            </w:r>
                          </w:p>
                          <w:p>
                            <w:pPr>
                              <w:jc w:val="center"/>
                              <w:rPr>
                                <w:rFonts w:hint="eastAsia"/>
                                <w:sz w:val="28"/>
                              </w:rPr>
                            </w:pPr>
                            <w:r>
                              <w:rPr>
                                <w:sz w:val="28"/>
                              </w:rPr>
                              <w:t>Words: 4092</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83.4pt;margin-top:539.4pt;height:147.6pt;width:369pt;z-index:251680768;mso-width-relative:page;mso-height-relative:page;" filled="f" stroked="f" coordsize="21600,21600" o:gfxdata="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">
                <v:fill on="f" focussize="0,0"/>
                <v:stroke on="f" weight="0.5pt"/>
                <v:imagedata o:title=""/>
                <o:lock v:ext="edit" aspectratio="f"/>
                <v:textbox>
                  <w:txbxContent>
                    <w:p>
                      <w:pPr>
                        <w:jc w:val="center"/>
                        <w:rPr>
                          <w:b/>
                          <w:sz w:val="48"/>
                        </w:rPr>
                      </w:pPr>
                      <w:r>
                        <w:rPr>
                          <w:rFonts w:hint="eastAsia"/>
                          <w:b/>
                          <w:sz w:val="48"/>
                        </w:rPr>
                        <w:t>The</w:t>
                      </w:r>
                      <w:r>
                        <w:rPr>
                          <w:b/>
                          <w:sz w:val="48"/>
                        </w:rPr>
                        <w:t xml:space="preserve"> Market Plan of Didi China</w:t>
                      </w:r>
                    </w:p>
                    <w:p>
                      <w:pPr>
                        <w:jc w:val="center"/>
                        <w:rPr>
                          <w:sz w:val="28"/>
                        </w:rPr>
                      </w:pPr>
                      <w:r>
                        <w:rPr>
                          <w:sz w:val="28"/>
                        </w:rPr>
                        <w:t>Student Name: Wen Hang</w:t>
                      </w:r>
                    </w:p>
                    <w:p>
                      <w:pPr>
                        <w:jc w:val="center"/>
                        <w:rPr>
                          <w:sz w:val="28"/>
                        </w:rPr>
                      </w:pPr>
                      <w:r>
                        <w:rPr>
                          <w:rFonts w:hint="eastAsia"/>
                          <w:sz w:val="28"/>
                        </w:rPr>
                        <w:t>S</w:t>
                      </w:r>
                      <w:r>
                        <w:rPr>
                          <w:sz w:val="28"/>
                        </w:rPr>
                        <w:t>tudent ID: 1801428</w:t>
                      </w:r>
                    </w:p>
                    <w:p>
                      <w:pPr>
                        <w:jc w:val="center"/>
                        <w:rPr>
                          <w:rFonts w:hint="eastAsia"/>
                          <w:sz w:val="28"/>
                        </w:rPr>
                      </w:pPr>
                      <w:r>
                        <w:rPr>
                          <w:sz w:val="28"/>
                        </w:rPr>
                        <w:t>Words: 4092</w:t>
                      </w:r>
                    </w:p>
                  </w:txbxContent>
                </v:textbox>
              </v:shape>
            </w:pict>
          </mc:Fallback>
        </mc:AlternateContent>
      </w:r>
      <w:r>
        <mc:AlternateContent>
          <mc:Choice Requires="wps">
            <w:drawing>
              <wp:anchor distT="45720" distB="45720" distL="114300" distR="114300" simplePos="0" relativeHeight="251679744" behindDoc="0" locked="0" layoutInCell="1" allowOverlap="1">
                <wp:simplePos x="0" y="0"/>
                <wp:positionH relativeFrom="column">
                  <wp:posOffset>2484120</wp:posOffset>
                </wp:positionH>
                <wp:positionV relativeFrom="paragraph">
                  <wp:posOffset>2354580</wp:posOffset>
                </wp:positionV>
                <wp:extent cx="632460" cy="533400"/>
                <wp:effectExtent l="0" t="0" r="0" b="0"/>
                <wp:wrapSquare wrapText="bothSides"/>
                <wp:docPr id="17" name="文本框 2"/>
                <wp:cNvGraphicFramePr/>
                <a:graphic xmlns:a="http://schemas.openxmlformats.org/drawingml/2006/main">
                  <a:graphicData uri="http://schemas.microsoft.com/office/word/2010/wordprocessingShape">
                    <wps:wsp>
                      <wps:cNvSpPr txBox="1">
                        <a:spLocks noChangeArrowheads="1"/>
                      </wps:cNvSpPr>
                      <wps:spPr bwMode="auto">
                        <a:xfrm>
                          <a:off x="0" y="0"/>
                          <a:ext cx="632460" cy="533400"/>
                        </a:xfrm>
                        <a:prstGeom prst="rect">
                          <a:avLst/>
                        </a:prstGeom>
                        <a:noFill/>
                        <a:ln w="9525">
                          <a:noFill/>
                          <a:miter lim="800000"/>
                        </a:ln>
                      </wps:spPr>
                      <wps:txbx>
                        <w:txbxContent>
                          <w:p>
                            <w:pPr>
                              <w:rPr>
                                <w:rFonts w:ascii="Arial Narrow" w:hAnsi="Arial Narrow"/>
                                <w:i/>
                                <w:color w:val="70AD47" w:themeColor="accent6"/>
                                <w:sz w:val="28"/>
                                <w14:textFill>
                                  <w14:solidFill>
                                    <w14:schemeClr w14:val="accent6"/>
                                  </w14:solidFill>
                                </w14:textFill>
                              </w:rPr>
                            </w:pPr>
                            <w:r>
                              <w:rPr>
                                <w:rFonts w:ascii="Arial Narrow" w:hAnsi="Arial Narrow"/>
                                <w:i/>
                                <w:color w:val="70AD47" w:themeColor="accent6"/>
                                <w:sz w:val="28"/>
                                <w14:textFill>
                                  <w14:solidFill>
                                    <w14:schemeClr w14:val="accent6"/>
                                  </w14:solidFill>
                                </w14:textFill>
                              </w:rPr>
                              <w:t>Grab</w:t>
                            </w:r>
                          </w:p>
                          <w:p>
                            <w:pPr>
                              <w:rPr>
                                <w:rFonts w:ascii="Arial Narrow" w:hAnsi="Arial Narrow"/>
                                <w:i/>
                                <w:color w:val="70AD47" w:themeColor="accent6"/>
                                <w:sz w:val="28"/>
                                <w14:textFill>
                                  <w14:solidFill>
                                    <w14:schemeClr w14:val="accent6"/>
                                  </w14:solidFill>
                                </w14:textFill>
                              </w:rPr>
                            </w:pP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195.6pt;margin-top:185.4pt;height:42pt;width:49.8pt;mso-wrap-distance-bottom:3.6pt;mso-wrap-distance-left:9pt;mso-wrap-distance-right:9pt;mso-wrap-distance-top:3.6pt;z-index:251679744;mso-width-relative:page;mso-height-relative:page;" filled="f" stroked="f" coordsize="21600,21600" o:gfxdata="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Ihmp4DXAAAACwEAAA8AAAAAAAAAAQAgAAAAIgAA&#10;AGRycy9kb3ducmV2LnhtbFBLAQIUABQAAAAIAIdO4kAflMnrCQIAANsDAAAOAAAAAAAAAAEAIAAA&#10;ACYBAABkcnMvZTJvRG9jLnhtbFBLBQYAAAAABgAGAFkBAAChBQAAAAA=&#10;">
                <v:fill on="f" focussize="0,0"/>
                <v:stroke on="f" miterlimit="8" joinstyle="miter"/>
                <v:imagedata o:title=""/>
                <o:lock v:ext="edit" aspectratio="f"/>
                <v:textbox>
                  <w:txbxContent>
                    <w:p>
                      <w:pPr>
                        <w:rPr>
                          <w:rFonts w:ascii="Arial Narrow" w:hAnsi="Arial Narrow"/>
                          <w:i/>
                          <w:color w:val="70AD47" w:themeColor="accent6"/>
                          <w:sz w:val="28"/>
                          <w14:textFill>
                            <w14:solidFill>
                              <w14:schemeClr w14:val="accent6"/>
                            </w14:solidFill>
                          </w14:textFill>
                        </w:rPr>
                      </w:pPr>
                      <w:r>
                        <w:rPr>
                          <w:rFonts w:ascii="Arial Narrow" w:hAnsi="Arial Narrow"/>
                          <w:i/>
                          <w:color w:val="70AD47" w:themeColor="accent6"/>
                          <w:sz w:val="28"/>
                          <w14:textFill>
                            <w14:solidFill>
                              <w14:schemeClr w14:val="accent6"/>
                            </w14:solidFill>
                          </w14:textFill>
                        </w:rPr>
                        <w:t>Grab</w:t>
                      </w:r>
                    </w:p>
                    <w:p>
                      <w:pPr>
                        <w:rPr>
                          <w:rFonts w:ascii="Arial Narrow" w:hAnsi="Arial Narrow"/>
                          <w:i/>
                          <w:color w:val="70AD47" w:themeColor="accent6"/>
                          <w:sz w:val="28"/>
                          <w14:textFill>
                            <w14:solidFill>
                              <w14:schemeClr w14:val="accent6"/>
                            </w14:solidFill>
                          </w14:textFill>
                        </w:rPr>
                      </w:pPr>
                    </w:p>
                  </w:txbxContent>
                </v:textbox>
                <w10:wrap type="square"/>
              </v:shape>
            </w:pict>
          </mc:Fallback>
        </mc:AlternateContent>
      </w:r>
      <w:r>
        <mc:AlternateContent>
          <mc:Choice Requires="wps">
            <w:drawing>
              <wp:anchor distT="0" distB="0" distL="114300" distR="114300" simplePos="0" relativeHeight="251677696" behindDoc="0" locked="0" layoutInCell="1" allowOverlap="1">
                <wp:simplePos x="0" y="0"/>
                <wp:positionH relativeFrom="column">
                  <wp:posOffset>2400300</wp:posOffset>
                </wp:positionH>
                <wp:positionV relativeFrom="paragraph">
                  <wp:posOffset>2270760</wp:posOffset>
                </wp:positionV>
                <wp:extent cx="693420" cy="693420"/>
                <wp:effectExtent l="0" t="0" r="11430" b="11430"/>
                <wp:wrapNone/>
                <wp:docPr id="11" name="椭圆 11"/>
                <wp:cNvGraphicFramePr/>
                <a:graphic xmlns:a="http://schemas.openxmlformats.org/drawingml/2006/main">
                  <a:graphicData uri="http://schemas.microsoft.com/office/word/2010/wordprocessingShape">
                    <wps:wsp>
                      <wps:cNvSpPr/>
                      <wps:spPr>
                        <a:xfrm>
                          <a:off x="0" y="0"/>
                          <a:ext cx="693420" cy="693420"/>
                        </a:xfrm>
                        <a:prstGeom prst="ellipse">
                          <a:avLst/>
                        </a:prstGeom>
                        <a:solidFill>
                          <a:schemeClr val="bg1"/>
                        </a:solidFill>
                        <a:ln>
                          <a:solidFill>
                            <a:schemeClr val="accent6">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89pt;margin-top:178.8pt;height:54.6pt;width:54.6pt;z-index:251677696;v-text-anchor:middle;mso-width-relative:page;mso-height-relative:page;" fillcolor="#FFFFFF [3212]" filled="t" stroked="t" coordsize="21600,21600" o:gfxdata="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">
                <v:fill on="t" focussize="0,0"/>
                <v:stroke weight="1pt" color="#548235 [2409]" miterlimit="8" joinstyle="miter"/>
                <v:imagedata o:title=""/>
                <o:lock v:ext="edit" aspectratio="f"/>
              </v:shape>
            </w:pict>
          </mc:Fallback>
        </mc:AlternateContent>
      </w:r>
      <w:r>
        <w:drawing>
          <wp:anchor distT="0" distB="0" distL="114300" distR="114300" simplePos="0" relativeHeight="251658240" behindDoc="0" locked="0" layoutInCell="1" allowOverlap="1">
            <wp:simplePos x="0" y="0"/>
            <wp:positionH relativeFrom="page">
              <wp:align>left</wp:align>
            </wp:positionH>
            <wp:positionV relativeFrom="paragraph">
              <wp:posOffset>-914400</wp:posOffset>
            </wp:positionV>
            <wp:extent cx="7550785" cy="11304270"/>
            <wp:effectExtent l="0" t="0" r="0" b="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7551015" cy="11304270"/>
                    </a:xfrm>
                    <a:prstGeom prst="rect">
                      <a:avLst/>
                    </a:prstGeom>
                    <a:noFill/>
                    <a:ln>
                      <a:noFill/>
                    </a:ln>
                  </pic:spPr>
                </pic:pic>
              </a:graphicData>
            </a:graphic>
          </wp:anchor>
        </w:drawing>
      </w:r>
      <w:r>
        <mc:AlternateContent>
          <mc:Choice Requires="wps">
            <w:drawing>
              <wp:anchor distT="0" distB="0" distL="114300" distR="114300" simplePos="0" relativeHeight="251667456" behindDoc="0" locked="0" layoutInCell="1" allowOverlap="1">
                <wp:simplePos x="0" y="0"/>
                <wp:positionH relativeFrom="column">
                  <wp:posOffset>1219200</wp:posOffset>
                </wp:positionH>
                <wp:positionV relativeFrom="paragraph">
                  <wp:posOffset>3299460</wp:posOffset>
                </wp:positionV>
                <wp:extent cx="693420" cy="693420"/>
                <wp:effectExtent l="0" t="0" r="11430" b="11430"/>
                <wp:wrapNone/>
                <wp:docPr id="9" name="椭圆 9"/>
                <wp:cNvGraphicFramePr/>
                <a:graphic xmlns:a="http://schemas.openxmlformats.org/drawingml/2006/main">
                  <a:graphicData uri="http://schemas.microsoft.com/office/word/2010/wordprocessingShape">
                    <wps:wsp>
                      <wps:cNvSpPr/>
                      <wps:spPr>
                        <a:xfrm>
                          <a:off x="0" y="0"/>
                          <a:ext cx="693420" cy="693420"/>
                        </a:xfrm>
                        <a:prstGeom prst="ellipse">
                          <a:avLst/>
                        </a:prstGeom>
                        <a:solidFill>
                          <a:schemeClr val="bg1"/>
                        </a:solidFill>
                        <a:ln>
                          <a:solidFill>
                            <a:srgbClr val="FF3399"/>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96pt;margin-top:259.8pt;height:54.6pt;width:54.6pt;z-index:251667456;v-text-anchor:middle;mso-width-relative:page;mso-height-relative:page;" fillcolor="#FFFFFF [3212]" filled="t" stroked="t" coordsize="21600,21600" o:gfxdata="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">
                <v:fill on="t" focussize="0,0"/>
                <v:stroke weight="1pt" color="#FF3399 [3204]" miterlimit="8" joinstyle="miter"/>
                <v:imagedata o:title=""/>
                <o:lock v:ext="edit" aspectratio="f"/>
              </v:shape>
            </w:pict>
          </mc:Fallback>
        </mc:AlternateContent>
      </w:r>
      <w:r>
        <mc:AlternateContent>
          <mc:Choice Requires="wps">
            <w:drawing>
              <wp:anchor distT="45720" distB="45720" distL="114300" distR="114300" simplePos="0" relativeHeight="251669504" behindDoc="0" locked="0" layoutInCell="1" allowOverlap="1">
                <wp:simplePos x="0" y="0"/>
                <wp:positionH relativeFrom="column">
                  <wp:posOffset>1348740</wp:posOffset>
                </wp:positionH>
                <wp:positionV relativeFrom="paragraph">
                  <wp:posOffset>3398520</wp:posOffset>
                </wp:positionV>
                <wp:extent cx="426720" cy="441960"/>
                <wp:effectExtent l="0" t="0" r="0" b="0"/>
                <wp:wrapSquare wrapText="bothSides"/>
                <wp:docPr id="10" name="文本框 2"/>
                <wp:cNvGraphicFramePr/>
                <a:graphic xmlns:a="http://schemas.openxmlformats.org/drawingml/2006/main">
                  <a:graphicData uri="http://schemas.microsoft.com/office/word/2010/wordprocessingShape">
                    <wps:wsp>
                      <wps:cNvSpPr txBox="1">
                        <a:spLocks noChangeArrowheads="1"/>
                      </wps:cNvSpPr>
                      <wps:spPr bwMode="auto">
                        <a:xfrm>
                          <a:off x="0" y="0"/>
                          <a:ext cx="426720" cy="441960"/>
                        </a:xfrm>
                        <a:prstGeom prst="rect">
                          <a:avLst/>
                        </a:prstGeom>
                        <a:solidFill>
                          <a:srgbClr val="FFFFFF"/>
                        </a:solidFill>
                        <a:ln w="9525">
                          <a:noFill/>
                          <a:miter lim="800000"/>
                        </a:ln>
                      </wps:spPr>
                      <wps:txbx>
                        <w:txbxContent>
                          <w:p>
                            <w:pPr>
                              <w:rPr>
                                <w:rFonts w:ascii="Arial Narrow" w:hAnsi="Arial Narrow"/>
                                <w:i/>
                                <w:color w:val="FF3399"/>
                                <w:sz w:val="28"/>
                              </w:rPr>
                            </w:pPr>
                            <w:r>
                              <w:rPr>
                                <w:rFonts w:ascii="Arial Narrow" w:hAnsi="Arial Narrow"/>
                                <w:i/>
                                <w:color w:val="FF3399"/>
                                <w:sz w:val="28"/>
                              </w:rPr>
                              <w:t>Lyft</w:t>
                            </w: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106.2pt;margin-top:267.6pt;height:34.8pt;width:33.6pt;mso-wrap-distance-bottom:3.6pt;mso-wrap-distance-left:9pt;mso-wrap-distance-right:9pt;mso-wrap-distance-top:3.6pt;z-index:251669504;mso-width-relative:page;mso-height-relative:page;" fillcolor="#FFFFFF" filled="t" stroked="f" coordsize="21600,21600" o:gfxdata="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Dc0P7I2QAAAAsB&#10;AAAPAAAAAAAAAAEAIAAAACIAAABkcnMvZG93bnJldi54bWxQSwECFAAUAAAACACHTuJAnAXiixoC&#10;AAAEBAAADgAAAAAAAAABACAAAAAoAQAAZHJzL2Uyb0RvYy54bWxQSwUGAAAAAAYABgBZAQAAtAUA&#10;AAAA&#10;">
                <v:fill on="t" focussize="0,0"/>
                <v:stroke on="f" miterlimit="8" joinstyle="miter"/>
                <v:imagedata o:title=""/>
                <o:lock v:ext="edit" aspectratio="f"/>
                <v:textbox>
                  <w:txbxContent>
                    <w:p>
                      <w:pPr>
                        <w:rPr>
                          <w:rFonts w:ascii="Arial Narrow" w:hAnsi="Arial Narrow"/>
                          <w:i/>
                          <w:color w:val="FF3399"/>
                          <w:sz w:val="28"/>
                        </w:rPr>
                      </w:pPr>
                      <w:r>
                        <w:rPr>
                          <w:rFonts w:ascii="Arial Narrow" w:hAnsi="Arial Narrow"/>
                          <w:i/>
                          <w:color w:val="FF3399"/>
                          <w:sz w:val="28"/>
                        </w:rPr>
                        <w:t>Lyft</w:t>
                      </w:r>
                    </w:p>
                  </w:txbxContent>
                </v:textbox>
                <w10:wrap type="square"/>
              </v:shape>
            </w:pict>
          </mc:Fallback>
        </mc:AlternateContent>
      </w:r>
      <w:r>
        <mc:AlternateContent>
          <mc:Choice Requires="wps">
            <w:drawing>
              <wp:anchor distT="45720" distB="45720" distL="114300" distR="114300" simplePos="0" relativeHeight="251665408" behindDoc="0" locked="0" layoutInCell="1" allowOverlap="1">
                <wp:simplePos x="0" y="0"/>
                <wp:positionH relativeFrom="column">
                  <wp:posOffset>358140</wp:posOffset>
                </wp:positionH>
                <wp:positionV relativeFrom="paragraph">
                  <wp:posOffset>2727960</wp:posOffset>
                </wp:positionV>
                <wp:extent cx="754380" cy="1404620"/>
                <wp:effectExtent l="0" t="0" r="7620" b="0"/>
                <wp:wrapSquare wrapText="bothSides"/>
                <wp:docPr id="8" name="文本框 2"/>
                <wp:cNvGraphicFramePr/>
                <a:graphic xmlns:a="http://schemas.openxmlformats.org/drawingml/2006/main">
                  <a:graphicData uri="http://schemas.microsoft.com/office/word/2010/wordprocessingShape">
                    <wps:wsp>
                      <wps:cNvSpPr txBox="1">
                        <a:spLocks noChangeArrowheads="1"/>
                      </wps:cNvSpPr>
                      <wps:spPr bwMode="auto">
                        <a:xfrm>
                          <a:off x="0" y="0"/>
                          <a:ext cx="754380" cy="1404620"/>
                        </a:xfrm>
                        <a:prstGeom prst="rect">
                          <a:avLst/>
                        </a:prstGeom>
                        <a:solidFill>
                          <a:srgbClr val="FFFFFF"/>
                        </a:solidFill>
                        <a:ln w="9525">
                          <a:noFill/>
                          <a:miter lim="800000"/>
                        </a:ln>
                      </wps:spPr>
                      <wps:txbx>
                        <w:txbxContent>
                          <w:p>
                            <w:pPr>
                              <w:rPr>
                                <w:rFonts w:ascii="Arial Narrow" w:hAnsi="Arial Narrow"/>
                                <w:i/>
                                <w:color w:val="44546A" w:themeColor="text2"/>
                                <w:sz w:val="48"/>
                                <w14:textFill>
                                  <w14:solidFill>
                                    <w14:schemeClr w14:val="tx2"/>
                                  </w14:solidFill>
                                </w14:textFill>
                              </w:rPr>
                            </w:pPr>
                            <w:r>
                              <w:rPr>
                                <w:rFonts w:ascii="Arial Narrow" w:hAnsi="Arial Narrow"/>
                                <w:i/>
                                <w:color w:val="44546A" w:themeColor="text2"/>
                                <w:sz w:val="48"/>
                                <w14:textFill>
                                  <w14:solidFill>
                                    <w14:schemeClr w14:val="tx2"/>
                                  </w14:solidFill>
                                </w14:textFill>
                              </w:rPr>
                              <w:t>Uber</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id="文本框 2" o:spid="_x0000_s1026" o:spt="202" type="#_x0000_t202" style="position:absolute;left:0pt;margin-left:28.2pt;margin-top:214.8pt;height:110.6pt;width:59.4pt;mso-wrap-distance-bottom:3.6pt;mso-wrap-distance-left:9pt;mso-wrap-distance-right:9pt;mso-wrap-distance-top:3.6pt;z-index:251665408;mso-width-relative:page;mso-height-relative:margin;mso-height-percent:200;" fillcolor="#FFFFFF" filled="t" stroked="f" coordsize="21600,21600" o:gfxdata="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">
                <v:fill on="t" focussize="0,0"/>
                <v:stroke on="f" miterlimit="8" joinstyle="miter"/>
                <v:imagedata o:title=""/>
                <o:lock v:ext="edit" aspectratio="f"/>
                <v:textbox style="mso-fit-shape-to-text:t;">
                  <w:txbxContent>
                    <w:p>
                      <w:pPr>
                        <w:rPr>
                          <w:rFonts w:ascii="Arial Narrow" w:hAnsi="Arial Narrow"/>
                          <w:i/>
                          <w:color w:val="44546A" w:themeColor="text2"/>
                          <w:sz w:val="48"/>
                          <w14:textFill>
                            <w14:solidFill>
                              <w14:schemeClr w14:val="tx2"/>
                            </w14:solidFill>
                          </w14:textFill>
                        </w:rPr>
                      </w:pPr>
                      <w:r>
                        <w:rPr>
                          <w:rFonts w:ascii="Arial Narrow" w:hAnsi="Arial Narrow"/>
                          <w:i/>
                          <w:color w:val="44546A" w:themeColor="text2"/>
                          <w:sz w:val="48"/>
                          <w14:textFill>
                            <w14:solidFill>
                              <w14:schemeClr w14:val="tx2"/>
                            </w14:solidFill>
                          </w14:textFill>
                        </w:rPr>
                        <w:t>Uber</w:t>
                      </w:r>
                    </w:p>
                  </w:txbxContent>
                </v:textbox>
                <w10:wrap type="square"/>
              </v:shape>
            </w:pict>
          </mc:Fallback>
        </mc:AlternateContent>
      </w:r>
      <w:r>
        <mc:AlternateContent>
          <mc:Choice Requires="wps">
            <w:drawing>
              <wp:anchor distT="0" distB="0" distL="114300" distR="114300" simplePos="0" relativeHeight="251663360" behindDoc="0" locked="0" layoutInCell="1" allowOverlap="1">
                <wp:simplePos x="0" y="0"/>
                <wp:positionH relativeFrom="column">
                  <wp:posOffset>182880</wp:posOffset>
                </wp:positionH>
                <wp:positionV relativeFrom="paragraph">
                  <wp:posOffset>2430780</wp:posOffset>
                </wp:positionV>
                <wp:extent cx="1127760" cy="1127760"/>
                <wp:effectExtent l="0" t="0" r="15240" b="15240"/>
                <wp:wrapNone/>
                <wp:docPr id="7" name="椭圆 7"/>
                <wp:cNvGraphicFramePr/>
                <a:graphic xmlns:a="http://schemas.openxmlformats.org/drawingml/2006/main">
                  <a:graphicData uri="http://schemas.microsoft.com/office/word/2010/wordprocessingShape">
                    <wps:wsp>
                      <wps:cNvSpPr/>
                      <wps:spPr>
                        <a:xfrm>
                          <a:off x="0" y="0"/>
                          <a:ext cx="1127760" cy="1127760"/>
                        </a:xfrm>
                        <a:prstGeom prst="ellipse">
                          <a:avLst/>
                        </a:prstGeom>
                        <a:solidFill>
                          <a:schemeClr val="bg1"/>
                        </a:solidFill>
                        <a:ln>
                          <a:solidFill>
                            <a:schemeClr val="tx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14.4pt;margin-top:191.4pt;height:88.8pt;width:88.8pt;z-index:251663360;v-text-anchor:middle;mso-width-relative:page;mso-height-relative:page;" fillcolor="#FFFFFF [3212]" filled="t" stroked="t" coordsize="21600,21600" o:gfxdata="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KHHqRHZAAAACgEAAA8AAAAAAAAAAQAgAAAAIgAAAGRycy9kb3ducmV2LnhtbFBLAQIU&#10;ABQAAAAIAIdO4kBp9LQwZAIAAMwEAAAOAAAAAAAAAAEAIAAAACgBAABkcnMvZTJvRG9jLnhtbFBL&#10;BQYAAAAABgAGAFkBAAD+BQAAAAA=&#10;">
                <v:fill on="t" focussize="0,0"/>
                <v:stroke weight="1pt" color="#222A35 [1615]" miterlimit="8" joinstyle="miter"/>
                <v:imagedata o:title=""/>
                <o:lock v:ext="edit" aspectratio="f"/>
              </v:shape>
            </w:pict>
          </mc:Fallback>
        </mc:AlternateContent>
      </w:r>
      <w:r>
        <mc:AlternateContent>
          <mc:Choice Requires="wps">
            <w:drawing>
              <wp:anchor distT="45720" distB="45720" distL="114300" distR="114300" simplePos="0" relativeHeight="251661312" behindDoc="0" locked="0" layoutInCell="1" allowOverlap="1">
                <wp:simplePos x="0" y="0"/>
                <wp:positionH relativeFrom="column">
                  <wp:posOffset>4335780</wp:posOffset>
                </wp:positionH>
                <wp:positionV relativeFrom="paragraph">
                  <wp:posOffset>2644140</wp:posOffset>
                </wp:positionV>
                <wp:extent cx="952500" cy="1404620"/>
                <wp:effectExtent l="0" t="0" r="0" b="0"/>
                <wp:wrapSquare wrapText="bothSides"/>
                <wp:docPr id="217" name="文本框 2"/>
                <wp:cNvGraphicFramePr/>
                <a:graphic xmlns:a="http://schemas.openxmlformats.org/drawingml/2006/main">
                  <a:graphicData uri="http://schemas.microsoft.com/office/word/2010/wordprocessingShape">
                    <wps:wsp>
                      <wps:cNvSpPr txBox="1">
                        <a:spLocks noChangeArrowheads="1"/>
                      </wps:cNvSpPr>
                      <wps:spPr bwMode="auto">
                        <a:xfrm>
                          <a:off x="0" y="0"/>
                          <a:ext cx="952500" cy="1404620"/>
                        </a:xfrm>
                        <a:prstGeom prst="rect">
                          <a:avLst/>
                        </a:prstGeom>
                        <a:solidFill>
                          <a:srgbClr val="FFFFFF"/>
                        </a:solidFill>
                        <a:ln w="9525">
                          <a:noFill/>
                          <a:miter lim="800000"/>
                        </a:ln>
                      </wps:spPr>
                      <wps:txbx>
                        <w:txbxContent>
                          <w:p>
                            <w:pPr>
                              <w:rPr>
                                <w:rFonts w:ascii="Arial Narrow" w:hAnsi="Arial Narrow"/>
                                <w:i/>
                                <w:color w:val="C55A11" w:themeColor="accent2" w:themeShade="BF"/>
                                <w:sz w:val="56"/>
                              </w:rPr>
                            </w:pPr>
                            <w:r>
                              <w:rPr>
                                <w:rFonts w:ascii="Arial Narrow" w:hAnsi="Arial Narrow"/>
                                <w:i/>
                                <w:color w:val="C55A11" w:themeColor="accent2" w:themeShade="BF"/>
                                <w:sz w:val="56"/>
                              </w:rPr>
                              <w:t>DIDI</w:t>
                            </w:r>
                          </w:p>
                        </w:txbxContent>
                      </wps:txbx>
                      <wps:bodyPr rot="0" vert="horz" wrap="square" lIns="91440" tIns="45720" rIns="91440" bIns="45720" anchor="t" anchorCtr="0">
                        <a:spAutoFit/>
                      </wps:bodyPr>
                    </wps:wsp>
                  </a:graphicData>
                </a:graphic>
                <wp14:sizeRelH relativeFrom="page">
                  <wp14:pctWidth>0</wp14:pctWidth>
                </wp14:sizeRelH>
                <wp14:sizeRelV relativeFrom="margin">
                  <wp14:pctHeight>20000</wp14:pctHeight>
                </wp14:sizeRelV>
              </wp:anchor>
            </w:drawing>
          </mc:Choice>
          <mc:Fallback>
            <w:pict>
              <v:shape id="文本框 2" o:spid="_x0000_s1026" o:spt="202" type="#_x0000_t202" style="position:absolute;left:0pt;margin-left:341.4pt;margin-top:208.2pt;height:110.6pt;width:75pt;mso-wrap-distance-bottom:3.6pt;mso-wrap-distance-left:9pt;mso-wrap-distance-right:9pt;mso-wrap-distance-top:3.6pt;z-index:251661312;mso-width-relative:page;mso-height-relative:margin;mso-height-percent:200;" fillcolor="#FFFFFF" filled="t" stroked="f" coordsize="21600,21600" o:gfxdata="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">
                <v:fill on="t" focussize="0,0"/>
                <v:stroke on="f" miterlimit="8" joinstyle="miter"/>
                <v:imagedata o:title=""/>
                <o:lock v:ext="edit" aspectratio="f"/>
                <v:textbox style="mso-fit-shape-to-text:t;">
                  <w:txbxContent>
                    <w:p>
                      <w:pPr>
                        <w:rPr>
                          <w:rFonts w:ascii="Arial Narrow" w:hAnsi="Arial Narrow"/>
                          <w:i/>
                          <w:color w:val="C55A11" w:themeColor="accent2" w:themeShade="BF"/>
                          <w:sz w:val="56"/>
                        </w:rPr>
                      </w:pPr>
                      <w:r>
                        <w:rPr>
                          <w:rFonts w:ascii="Arial Narrow" w:hAnsi="Arial Narrow"/>
                          <w:i/>
                          <w:color w:val="C55A11" w:themeColor="accent2" w:themeShade="BF"/>
                          <w:sz w:val="56"/>
                        </w:rPr>
                        <w:t>DIDI</w:t>
                      </w:r>
                    </w:p>
                  </w:txbxContent>
                </v:textbox>
                <w10:wrap type="square"/>
              </v:shape>
            </w:pict>
          </mc:Fallback>
        </mc:AlternateContent>
      </w:r>
      <w:r>
        <mc:AlternateContent>
          <mc:Choice Requires="wps">
            <w:drawing>
              <wp:anchor distT="0" distB="0" distL="114300" distR="114300" simplePos="0" relativeHeight="251659264" behindDoc="0" locked="0" layoutInCell="1" allowOverlap="1">
                <wp:simplePos x="0" y="0"/>
                <wp:positionH relativeFrom="column">
                  <wp:posOffset>3901440</wp:posOffset>
                </wp:positionH>
                <wp:positionV relativeFrom="paragraph">
                  <wp:posOffset>2171700</wp:posOffset>
                </wp:positionV>
                <wp:extent cx="1676400" cy="1676400"/>
                <wp:effectExtent l="0" t="0" r="19050" b="19050"/>
                <wp:wrapNone/>
                <wp:docPr id="6" name="椭圆 6"/>
                <wp:cNvGraphicFramePr/>
                <a:graphic xmlns:a="http://schemas.openxmlformats.org/drawingml/2006/main">
                  <a:graphicData uri="http://schemas.microsoft.com/office/word/2010/wordprocessingShape">
                    <wps:wsp>
                      <wps:cNvSpPr/>
                      <wps:spPr>
                        <a:xfrm>
                          <a:off x="0" y="0"/>
                          <a:ext cx="1676400" cy="1676400"/>
                        </a:xfrm>
                        <a:prstGeom prst="ellipse">
                          <a:avLst/>
                        </a:prstGeom>
                        <a:solidFill>
                          <a:schemeClr val="bg1"/>
                        </a:solidFill>
                        <a:ln>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shape id="_x0000_s1026" o:spid="_x0000_s1026" o:spt="3" type="#_x0000_t3" style="position:absolute;left:0pt;margin-left:307.2pt;margin-top:171pt;height:132pt;width:132pt;z-index:251659264;v-text-anchor:middle;mso-width-relative:page;mso-height-relative:page;" fillcolor="#FFFFFF [3212]" filled="t" stroked="t" coordsize="21600,21600" o:gfxdata="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">
                <v:fill on="t" focussize="0,0"/>
                <v:stroke weight="1pt" color="#C55A11 [2405]" miterlimit="8" joinstyle="miter"/>
                <v:imagedata o:title=""/>
                <o:lock v:ext="edit" aspectratio="f"/>
              </v:shape>
            </w:pict>
          </mc:Fallback>
        </mc:AlternateContent>
      </w:r>
      <w:r>
        <w:br w:type="page"/>
      </w:r>
    </w:p>
    <w:p>
      <w:pPr>
        <w:jc w:val="center"/>
        <w:outlineLvl w:val="0"/>
        <w:rPr>
          <w:rFonts w:ascii="Arial Narrow" w:hAnsi="Arial Narrow"/>
          <w:b/>
          <w:sz w:val="32"/>
        </w:rPr>
      </w:pPr>
      <w:bookmarkStart w:id="0" w:name="_Toc8391994"/>
      <w:r>
        <w:rPr>
          <w:rFonts w:hint="eastAsia" w:ascii="Arial Narrow" w:hAnsi="Arial Narrow"/>
          <w:b/>
          <w:sz w:val="32"/>
        </w:rPr>
        <w:t>E</w:t>
      </w:r>
      <w:r>
        <w:rPr>
          <w:rFonts w:ascii="Arial Narrow" w:hAnsi="Arial Narrow"/>
          <w:b/>
          <w:sz w:val="32"/>
        </w:rPr>
        <w:t>xecutive Summary</w:t>
      </w:r>
      <w:bookmarkEnd w:id="0"/>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This report provides a situation analysis consisting intern, external (micro and macro environmental) of the largest online car hailing service provider Didi chuxing in China. The situation analysis with a summarizing SWOT analysis paves the way for a marketing plan proposed with the objective set to expand the user base of the company, to enhance the profitability and to restore the public image of the company. This report uses the 7P model to design a marketing mix with recommendations on the possible issue with solutions. </w:t>
      </w:r>
      <w:r>
        <w:rPr>
          <w:rFonts w:ascii="Times New Roman" w:hAnsi="Times New Roman" w:cs="Times New Roman"/>
          <w:sz w:val="24"/>
          <w:szCs w:val="24"/>
        </w:rPr>
        <w:br w:type="page"/>
      </w:r>
    </w:p>
    <w:sdt>
      <w:sdtPr>
        <w:rPr>
          <w:rFonts w:asciiTheme="minorHAnsi" w:hAnsiTheme="minorHAnsi" w:eastAsiaTheme="minorEastAsia" w:cstheme="minorBidi"/>
          <w:color w:val="auto"/>
          <w:kern w:val="2"/>
          <w:sz w:val="21"/>
          <w:szCs w:val="22"/>
          <w:lang w:val="zh-CN"/>
        </w:rPr>
        <w:id w:val="1197585002"/>
        <w:docPartObj>
          <w:docPartGallery w:val="Table of Contents"/>
          <w:docPartUnique/>
        </w:docPartObj>
      </w:sdtPr>
      <w:sdtEndPr>
        <w:rPr>
          <w:rFonts w:asciiTheme="minorHAnsi" w:hAnsiTheme="minorHAnsi" w:eastAsiaTheme="minorEastAsia" w:cstheme="minorBidi"/>
          <w:b/>
          <w:bCs/>
          <w:color w:val="auto"/>
          <w:kern w:val="2"/>
          <w:sz w:val="21"/>
          <w:szCs w:val="22"/>
          <w:lang w:val="zh-CN"/>
        </w:rPr>
      </w:sdtEndPr>
      <w:sdtContent>
        <w:p>
          <w:pPr>
            <w:pStyle w:val="17"/>
            <w:rPr>
              <w:color w:val="auto"/>
            </w:rPr>
          </w:pPr>
          <w:r>
            <w:rPr>
              <w:color w:val="auto"/>
              <w:lang w:val="zh-CN"/>
            </w:rPr>
            <w:t>Table of contents</w:t>
          </w:r>
        </w:p>
        <w:p>
          <w:pPr>
            <w:pStyle w:val="6"/>
            <w:tabs>
              <w:tab w:val="right" w:leader="dot" w:pos="9736"/>
            </w:tabs>
            <w:rPr>
              <w:sz w:val="24"/>
              <w:szCs w:val="24"/>
              <w:lang w:val="en-US"/>
            </w:rPr>
          </w:pPr>
          <w:r>
            <w:rPr>
              <w:b/>
              <w:bCs/>
              <w:lang w:val="zh-CN"/>
            </w:rPr>
            <w:fldChar w:fldCharType="begin"/>
          </w:r>
          <w:r>
            <w:rPr>
              <w:b/>
              <w:bCs/>
              <w:lang w:val="zh-CN"/>
            </w:rPr>
            <w:instrText xml:space="preserve"> TOC \o "1-3" \h \z \u </w:instrText>
          </w:r>
          <w:r>
            <w:rPr>
              <w:b/>
              <w:bCs/>
              <w:lang w:val="zh-CN"/>
            </w:rPr>
            <w:fldChar w:fldCharType="separate"/>
          </w:r>
          <w:r>
            <w:fldChar w:fldCharType="begin"/>
          </w:r>
          <w:r>
            <w:instrText xml:space="preserve"> HYPERLINK \l "_Toc8391994" </w:instrText>
          </w:r>
          <w:r>
            <w:fldChar w:fldCharType="separate"/>
          </w:r>
          <w:r>
            <w:rPr>
              <w:rStyle w:val="10"/>
              <w:rFonts w:ascii="Arial Narrow" w:hAnsi="Arial Narrow"/>
              <w:b/>
              <w:sz w:val="24"/>
              <w:szCs w:val="24"/>
            </w:rPr>
            <w:t>Executive Summary</w:t>
          </w:r>
          <w:r>
            <w:rPr>
              <w:sz w:val="24"/>
              <w:szCs w:val="24"/>
            </w:rPr>
            <w:tab/>
          </w:r>
          <w:r>
            <w:rPr>
              <w:sz w:val="24"/>
              <w:szCs w:val="24"/>
            </w:rPr>
            <w:fldChar w:fldCharType="begin"/>
          </w:r>
          <w:r>
            <w:rPr>
              <w:sz w:val="24"/>
              <w:szCs w:val="24"/>
            </w:rPr>
            <w:instrText xml:space="preserve"> PAGEREF _Toc8391994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"_Toc8391995" </w:instrText>
          </w:r>
          <w:r>
            <w:fldChar w:fldCharType="separate"/>
          </w:r>
          <w:r>
            <w:rPr>
              <w:rStyle w:val="10"/>
              <w:rFonts w:ascii="Arial Narrow" w:hAnsi="Arial Narrow"/>
              <w:b/>
              <w:sz w:val="24"/>
              <w:szCs w:val="24"/>
            </w:rPr>
            <w:t>1.</w:t>
          </w:r>
          <w:r>
            <w:rPr>
              <w:sz w:val="24"/>
              <w:szCs w:val="24"/>
              <w:lang w:val="en-US"/>
            </w:rPr>
            <w:tab/>
          </w:r>
          <w:r>
            <w:rPr>
              <w:rStyle w:val="10"/>
              <w:rFonts w:ascii="Arial Narrow" w:hAnsi="Arial Narrow"/>
              <w:b/>
              <w:sz w:val="24"/>
              <w:szCs w:val="24"/>
            </w:rPr>
            <w:t>Introduction</w:t>
          </w:r>
          <w:r>
            <w:rPr>
              <w:sz w:val="24"/>
              <w:szCs w:val="24"/>
            </w:rPr>
            <w:tab/>
          </w:r>
          <w:r>
            <w:rPr>
              <w:sz w:val="24"/>
              <w:szCs w:val="24"/>
            </w:rPr>
            <w:fldChar w:fldCharType="begin"/>
          </w:r>
          <w:r>
            <w:rPr>
              <w:sz w:val="24"/>
              <w:szCs w:val="24"/>
            </w:rPr>
            <w:instrText xml:space="preserve"> PAGEREF _Toc8391995 \h </w:instrText>
          </w:r>
          <w:r>
            <w:rPr>
              <w:sz w:val="24"/>
              <w:szCs w:val="24"/>
            </w:rPr>
            <w:fldChar w:fldCharType="separate"/>
          </w:r>
          <w:r>
            <w:rPr>
              <w:sz w:val="24"/>
              <w:szCs w:val="24"/>
            </w:rPr>
            <w:t>1</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"_Toc8391996" </w:instrText>
          </w:r>
          <w:r>
            <w:fldChar w:fldCharType="separate"/>
          </w:r>
          <w:r>
            <w:rPr>
              <w:rStyle w:val="10"/>
              <w:rFonts w:ascii="Arial Narrow" w:hAnsi="Arial Narrow"/>
              <w:b/>
              <w:sz w:val="24"/>
              <w:szCs w:val="24"/>
            </w:rPr>
            <w:t>2.</w:t>
          </w:r>
          <w:r>
            <w:rPr>
              <w:sz w:val="24"/>
              <w:szCs w:val="24"/>
              <w:lang w:val="en-US"/>
            </w:rPr>
            <w:tab/>
          </w:r>
          <w:r>
            <w:rPr>
              <w:rStyle w:val="10"/>
              <w:rFonts w:ascii="Arial Narrow" w:hAnsi="Arial Narrow"/>
              <w:b/>
              <w:sz w:val="24"/>
              <w:szCs w:val="24"/>
            </w:rPr>
            <w:t>Situation analysis of Didi in Chinese market</w:t>
          </w:r>
          <w:r>
            <w:rPr>
              <w:sz w:val="24"/>
              <w:szCs w:val="24"/>
            </w:rPr>
            <w:tab/>
          </w:r>
          <w:r>
            <w:rPr>
              <w:sz w:val="24"/>
              <w:szCs w:val="24"/>
            </w:rPr>
            <w:fldChar w:fldCharType="begin"/>
          </w:r>
          <w:r>
            <w:rPr>
              <w:sz w:val="24"/>
              <w:szCs w:val="24"/>
            </w:rPr>
            <w:instrText xml:space="preserve"> PAGEREF _Toc8391996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7"/>
            <w:rPr>
              <w:b/>
              <w:sz w:val="24"/>
              <w:szCs w:val="24"/>
              <w:lang w:val="en-US"/>
            </w:rPr>
          </w:pPr>
          <w:r>
            <w:fldChar w:fldCharType="begin"/>
          </w:r>
          <w:r>
            <w:instrText xml:space="preserve"> HYPERLINK \l "_Toc8391997" </w:instrText>
          </w:r>
          <w:r>
            <w:fldChar w:fldCharType="separate"/>
          </w:r>
          <w:r>
            <w:rPr>
              <w:rStyle w:val="10"/>
              <w:rFonts w:ascii="Arial Narrow" w:hAnsi="Arial Narrow" w:cs="Times New Roman"/>
              <w:b/>
              <w:sz w:val="24"/>
              <w:szCs w:val="24"/>
            </w:rPr>
            <w:t>2.1.</w:t>
          </w:r>
          <w:r>
            <w:rPr>
              <w:b/>
              <w:sz w:val="24"/>
              <w:szCs w:val="24"/>
              <w:lang w:val="en-US"/>
            </w:rPr>
            <w:tab/>
          </w:r>
          <w:r>
            <w:rPr>
              <w:rStyle w:val="10"/>
              <w:rFonts w:ascii="Arial Narrow" w:hAnsi="Arial Narrow" w:cs="Times New Roman"/>
              <w:b/>
              <w:sz w:val="24"/>
              <w:szCs w:val="24"/>
            </w:rPr>
            <w:t>Internal analysis of Didi Chuxing – VRIO Analysis</w:t>
          </w:r>
          <w:r>
            <w:rPr>
              <w:b/>
              <w:sz w:val="24"/>
              <w:szCs w:val="24"/>
            </w:rPr>
            <w:tab/>
          </w:r>
          <w:r>
            <w:rPr>
              <w:b/>
              <w:sz w:val="24"/>
              <w:szCs w:val="24"/>
            </w:rPr>
            <w:fldChar w:fldCharType="begin"/>
          </w:r>
          <w:r>
            <w:rPr>
              <w:b/>
              <w:sz w:val="24"/>
              <w:szCs w:val="24"/>
            </w:rPr>
            <w:instrText xml:space="preserve"> PAGEREF _Toc8391997 \h </w:instrText>
          </w:r>
          <w:r>
            <w:rPr>
              <w:b/>
              <w:sz w:val="24"/>
              <w:szCs w:val="24"/>
            </w:rPr>
            <w:fldChar w:fldCharType="separate"/>
          </w:r>
          <w:r>
            <w:rPr>
              <w:b/>
              <w:sz w:val="24"/>
              <w:szCs w:val="24"/>
            </w:rPr>
            <w:t>2</w:t>
          </w:r>
          <w:r>
            <w:rPr>
              <w:b/>
              <w:sz w:val="24"/>
              <w:szCs w:val="24"/>
            </w:rPr>
            <w:fldChar w:fldCharType="end"/>
          </w:r>
          <w:r>
            <w:rPr>
              <w:b/>
              <w:sz w:val="24"/>
              <w:szCs w:val="24"/>
            </w:rPr>
            <w:fldChar w:fldCharType="end"/>
          </w:r>
        </w:p>
        <w:p>
          <w:pPr>
            <w:pStyle w:val="7"/>
            <w:rPr>
              <w:b/>
              <w:sz w:val="24"/>
              <w:szCs w:val="24"/>
              <w:lang w:val="en-US"/>
            </w:rPr>
          </w:pPr>
          <w:r>
            <w:fldChar w:fldCharType="begin"/>
          </w:r>
          <w:r>
            <w:instrText xml:space="preserve"> HYPERLINK \l "_Toc8392005" </w:instrText>
          </w:r>
          <w:r>
            <w:fldChar w:fldCharType="separate"/>
          </w:r>
          <w:r>
            <w:rPr>
              <w:rStyle w:val="10"/>
              <w:rFonts w:ascii="Arial Narrow" w:hAnsi="Arial Narrow" w:cs="Times New Roman"/>
              <w:b/>
              <w:sz w:val="24"/>
              <w:szCs w:val="24"/>
            </w:rPr>
            <w:t>2.2.</w:t>
          </w:r>
          <w:r>
            <w:rPr>
              <w:b/>
              <w:sz w:val="24"/>
              <w:szCs w:val="24"/>
              <w:lang w:val="en-US"/>
            </w:rPr>
            <w:tab/>
          </w:r>
          <w:r>
            <w:rPr>
              <w:rStyle w:val="10"/>
              <w:rFonts w:ascii="Arial Narrow" w:hAnsi="Arial Narrow" w:cs="Times New Roman"/>
              <w:b/>
              <w:sz w:val="24"/>
              <w:szCs w:val="24"/>
            </w:rPr>
            <w:t>Micro environment analysis of Didi – Porter Five Forces Analysis</w:t>
          </w:r>
          <w:r>
            <w:rPr>
              <w:b/>
              <w:sz w:val="24"/>
              <w:szCs w:val="24"/>
            </w:rPr>
            <w:tab/>
          </w:r>
          <w:r>
            <w:rPr>
              <w:b/>
              <w:sz w:val="24"/>
              <w:szCs w:val="24"/>
            </w:rPr>
            <w:fldChar w:fldCharType="begin"/>
          </w:r>
          <w:r>
            <w:rPr>
              <w:b/>
              <w:sz w:val="24"/>
              <w:szCs w:val="24"/>
            </w:rPr>
            <w:instrText xml:space="preserve"> PAGEREF _Toc8392005 \h </w:instrText>
          </w:r>
          <w:r>
            <w:rPr>
              <w:b/>
              <w:sz w:val="24"/>
              <w:szCs w:val="24"/>
            </w:rPr>
            <w:fldChar w:fldCharType="separate"/>
          </w:r>
          <w:r>
            <w:rPr>
              <w:b/>
              <w:sz w:val="24"/>
              <w:szCs w:val="24"/>
            </w:rPr>
            <w:t>6</w:t>
          </w:r>
          <w:r>
            <w:rPr>
              <w:b/>
              <w:sz w:val="24"/>
              <w:szCs w:val="24"/>
            </w:rPr>
            <w:fldChar w:fldCharType="end"/>
          </w:r>
          <w:r>
            <w:rPr>
              <w:b/>
              <w:sz w:val="24"/>
              <w:szCs w:val="24"/>
            </w:rPr>
            <w:fldChar w:fldCharType="end"/>
          </w:r>
        </w:p>
        <w:p>
          <w:pPr>
            <w:pStyle w:val="7"/>
            <w:rPr>
              <w:b/>
              <w:sz w:val="24"/>
              <w:szCs w:val="24"/>
              <w:lang w:val="en-US"/>
            </w:rPr>
          </w:pPr>
          <w:r>
            <w:fldChar w:fldCharType="begin"/>
          </w:r>
          <w:r>
            <w:instrText xml:space="preserve"> HYPERLINK \l "_Toc8392011" </w:instrText>
          </w:r>
          <w:r>
            <w:fldChar w:fldCharType="separate"/>
          </w:r>
          <w:r>
            <w:rPr>
              <w:rStyle w:val="10"/>
              <w:rFonts w:ascii="Arial Narrow" w:hAnsi="Arial Narrow" w:cs="Times New Roman"/>
              <w:b/>
              <w:sz w:val="24"/>
              <w:szCs w:val="24"/>
            </w:rPr>
            <w:t>2.3.</w:t>
          </w:r>
          <w:r>
            <w:rPr>
              <w:b/>
              <w:sz w:val="24"/>
              <w:szCs w:val="24"/>
              <w:lang w:val="en-US"/>
            </w:rPr>
            <w:tab/>
          </w:r>
          <w:r>
            <w:rPr>
              <w:rStyle w:val="10"/>
              <w:rFonts w:ascii="Arial Narrow" w:hAnsi="Arial Narrow" w:cs="Times New Roman"/>
              <w:b/>
              <w:sz w:val="24"/>
              <w:szCs w:val="24"/>
            </w:rPr>
            <w:t>Macro environment analysis – PEST Analysis</w:t>
          </w:r>
          <w:r>
            <w:rPr>
              <w:b/>
              <w:sz w:val="24"/>
              <w:szCs w:val="24"/>
            </w:rPr>
            <w:tab/>
          </w:r>
          <w:r>
            <w:rPr>
              <w:b/>
              <w:sz w:val="24"/>
              <w:szCs w:val="24"/>
            </w:rPr>
            <w:fldChar w:fldCharType="begin"/>
          </w:r>
          <w:r>
            <w:rPr>
              <w:b/>
              <w:sz w:val="24"/>
              <w:szCs w:val="24"/>
            </w:rPr>
            <w:instrText xml:space="preserve"> PAGEREF _Toc8392011 \h </w:instrText>
          </w:r>
          <w:r>
            <w:rPr>
              <w:b/>
              <w:sz w:val="24"/>
              <w:szCs w:val="24"/>
            </w:rPr>
            <w:fldChar w:fldCharType="separate"/>
          </w:r>
          <w:r>
            <w:rPr>
              <w:b/>
              <w:sz w:val="24"/>
              <w:szCs w:val="24"/>
            </w:rPr>
            <w:t>8</w:t>
          </w:r>
          <w:r>
            <w:rPr>
              <w:b/>
              <w:sz w:val="24"/>
              <w:szCs w:val="24"/>
            </w:rPr>
            <w:fldChar w:fldCharType="end"/>
          </w:r>
          <w:r>
            <w:rPr>
              <w:b/>
              <w:sz w:val="24"/>
              <w:szCs w:val="24"/>
            </w:rPr>
            <w:fldChar w:fldCharType="end"/>
          </w:r>
        </w:p>
        <w:p>
          <w:pPr>
            <w:pStyle w:val="7"/>
            <w:rPr>
              <w:b/>
              <w:sz w:val="24"/>
              <w:szCs w:val="24"/>
              <w:lang w:val="en-US"/>
            </w:rPr>
          </w:pPr>
          <w:r>
            <w:fldChar w:fldCharType="begin"/>
          </w:r>
          <w:r>
            <w:instrText xml:space="preserve"> HYPERLINK \l "_Toc8392017" </w:instrText>
          </w:r>
          <w:r>
            <w:fldChar w:fldCharType="separate"/>
          </w:r>
          <w:r>
            <w:rPr>
              <w:rStyle w:val="10"/>
              <w:rFonts w:ascii="Arial Narrow" w:hAnsi="Arial Narrow" w:cs="Times New Roman"/>
              <w:b/>
              <w:sz w:val="24"/>
              <w:szCs w:val="24"/>
            </w:rPr>
            <w:t>2.4.</w:t>
          </w:r>
          <w:r>
            <w:rPr>
              <w:b/>
              <w:sz w:val="24"/>
              <w:szCs w:val="24"/>
              <w:lang w:val="en-US"/>
            </w:rPr>
            <w:tab/>
          </w:r>
          <w:r>
            <w:rPr>
              <w:rStyle w:val="10"/>
              <w:rFonts w:ascii="Arial Narrow" w:hAnsi="Arial Narrow" w:cs="Times New Roman"/>
              <w:b/>
              <w:sz w:val="24"/>
              <w:szCs w:val="24"/>
            </w:rPr>
            <w:t>SWOT Analysis</w:t>
          </w:r>
          <w:r>
            <w:rPr>
              <w:b/>
              <w:sz w:val="24"/>
              <w:szCs w:val="24"/>
            </w:rPr>
            <w:tab/>
          </w:r>
          <w:r>
            <w:rPr>
              <w:b/>
              <w:sz w:val="24"/>
              <w:szCs w:val="24"/>
            </w:rPr>
            <w:fldChar w:fldCharType="begin"/>
          </w:r>
          <w:r>
            <w:rPr>
              <w:b/>
              <w:sz w:val="24"/>
              <w:szCs w:val="24"/>
            </w:rPr>
            <w:instrText xml:space="preserve"> PAGEREF _Toc8392017 \h </w:instrText>
          </w:r>
          <w:r>
            <w:rPr>
              <w:b/>
              <w:sz w:val="24"/>
              <w:szCs w:val="24"/>
            </w:rPr>
            <w:fldChar w:fldCharType="separate"/>
          </w:r>
          <w:r>
            <w:rPr>
              <w:b/>
              <w:sz w:val="24"/>
              <w:szCs w:val="24"/>
            </w:rPr>
            <w:t>11</w:t>
          </w:r>
          <w:r>
            <w:rPr>
              <w:b/>
              <w:sz w:val="24"/>
              <w:szCs w:val="24"/>
            </w:rPr>
            <w:fldChar w:fldCharType="end"/>
          </w:r>
          <w:r>
            <w:rPr>
              <w:b/>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"_Toc8392018" </w:instrText>
          </w:r>
          <w:r>
            <w:fldChar w:fldCharType="separate"/>
          </w:r>
          <w:r>
            <w:rPr>
              <w:rStyle w:val="10"/>
              <w:rFonts w:ascii="Arial Narrow" w:hAnsi="Arial Narrow"/>
              <w:b/>
              <w:sz w:val="24"/>
              <w:szCs w:val="24"/>
            </w:rPr>
            <w:t>3.</w:t>
          </w:r>
          <w:r>
            <w:rPr>
              <w:sz w:val="24"/>
              <w:szCs w:val="24"/>
              <w:lang w:val="en-US"/>
            </w:rPr>
            <w:tab/>
          </w:r>
          <w:r>
            <w:rPr>
              <w:rStyle w:val="10"/>
              <w:rFonts w:ascii="Arial Narrow" w:hAnsi="Arial Narrow"/>
              <w:b/>
              <w:sz w:val="24"/>
              <w:szCs w:val="24"/>
            </w:rPr>
            <w:t>Strategic Intent of Didi</w:t>
          </w:r>
          <w:r>
            <w:rPr>
              <w:sz w:val="24"/>
              <w:szCs w:val="24"/>
            </w:rPr>
            <w:tab/>
          </w:r>
          <w:r>
            <w:rPr>
              <w:sz w:val="24"/>
              <w:szCs w:val="24"/>
            </w:rPr>
            <w:fldChar w:fldCharType="begin"/>
          </w:r>
          <w:r>
            <w:rPr>
              <w:sz w:val="24"/>
              <w:szCs w:val="24"/>
            </w:rPr>
            <w:instrText xml:space="preserve"> PAGEREF _Toc8392018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"_Toc8392019" </w:instrText>
          </w:r>
          <w:r>
            <w:fldChar w:fldCharType="separate"/>
          </w:r>
          <w:r>
            <w:rPr>
              <w:rStyle w:val="10"/>
              <w:rFonts w:ascii="Arial Narrow" w:hAnsi="Arial Narrow"/>
              <w:b/>
              <w:sz w:val="24"/>
              <w:szCs w:val="24"/>
            </w:rPr>
            <w:t>4.</w:t>
          </w:r>
          <w:r>
            <w:rPr>
              <w:sz w:val="24"/>
              <w:szCs w:val="24"/>
              <w:lang w:val="en-US"/>
            </w:rPr>
            <w:tab/>
          </w:r>
          <w:r>
            <w:rPr>
              <w:rStyle w:val="10"/>
              <w:rFonts w:ascii="Arial Narrow" w:hAnsi="Arial Narrow"/>
              <w:b/>
              <w:sz w:val="24"/>
              <w:szCs w:val="24"/>
            </w:rPr>
            <w:t>STP of Didi in Chinese market</w:t>
          </w:r>
          <w:r>
            <w:rPr>
              <w:sz w:val="24"/>
              <w:szCs w:val="24"/>
            </w:rPr>
            <w:tab/>
          </w:r>
          <w:r>
            <w:rPr>
              <w:sz w:val="24"/>
              <w:szCs w:val="24"/>
            </w:rPr>
            <w:fldChar w:fldCharType="begin"/>
          </w:r>
          <w:r>
            <w:rPr>
              <w:sz w:val="24"/>
              <w:szCs w:val="24"/>
            </w:rPr>
            <w:instrText xml:space="preserve"> PAGEREF _Toc8392019 \h </w:instrText>
          </w:r>
          <w:r>
            <w:rPr>
              <w:sz w:val="24"/>
              <w:szCs w:val="24"/>
            </w:rPr>
            <w:fldChar w:fldCharType="separate"/>
          </w:r>
          <w:r>
            <w:rPr>
              <w:sz w:val="24"/>
              <w:szCs w:val="24"/>
            </w:rPr>
            <w:t>13</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"_Toc8392023" </w:instrText>
          </w:r>
          <w:r>
            <w:fldChar w:fldCharType="separate"/>
          </w:r>
          <w:r>
            <w:rPr>
              <w:rStyle w:val="10"/>
              <w:rFonts w:ascii="Arial Narrow" w:hAnsi="Arial Narrow"/>
              <w:b/>
              <w:sz w:val="24"/>
              <w:szCs w:val="24"/>
            </w:rPr>
            <w:t>5.</w:t>
          </w:r>
          <w:r>
            <w:rPr>
              <w:sz w:val="24"/>
              <w:szCs w:val="24"/>
              <w:lang w:val="en-US"/>
            </w:rPr>
            <w:tab/>
          </w:r>
          <w:r>
            <w:rPr>
              <w:rStyle w:val="10"/>
              <w:rFonts w:ascii="Arial Narrow" w:hAnsi="Arial Narrow"/>
              <w:b/>
              <w:sz w:val="24"/>
              <w:szCs w:val="24"/>
            </w:rPr>
            <w:t>Tactics – 7P Model</w:t>
          </w:r>
          <w:r>
            <w:rPr>
              <w:sz w:val="24"/>
              <w:szCs w:val="24"/>
            </w:rPr>
            <w:tab/>
          </w:r>
          <w:r>
            <w:rPr>
              <w:sz w:val="24"/>
              <w:szCs w:val="24"/>
            </w:rPr>
            <w:fldChar w:fldCharType="begin"/>
          </w:r>
          <w:r>
            <w:rPr>
              <w:sz w:val="24"/>
              <w:szCs w:val="24"/>
            </w:rPr>
            <w:instrText xml:space="preserve"> PAGEREF _Toc8392023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"_Toc8392031" </w:instrText>
          </w:r>
          <w:r>
            <w:fldChar w:fldCharType="separate"/>
          </w:r>
          <w:r>
            <w:rPr>
              <w:rStyle w:val="10"/>
              <w:rFonts w:ascii="Arial Narrow" w:hAnsi="Arial Narrow"/>
              <w:b/>
              <w:sz w:val="24"/>
              <w:szCs w:val="24"/>
            </w:rPr>
            <w:t>6.</w:t>
          </w:r>
          <w:r>
            <w:rPr>
              <w:sz w:val="24"/>
              <w:szCs w:val="24"/>
              <w:lang w:val="en-US"/>
            </w:rPr>
            <w:tab/>
          </w:r>
          <w:r>
            <w:rPr>
              <w:rStyle w:val="10"/>
              <w:rFonts w:ascii="Arial Narrow" w:hAnsi="Arial Narrow"/>
              <w:b/>
              <w:sz w:val="24"/>
              <w:szCs w:val="24"/>
            </w:rPr>
            <w:t>Marketing plan monitoring and process control</w:t>
          </w:r>
          <w:r>
            <w:rPr>
              <w:sz w:val="24"/>
              <w:szCs w:val="24"/>
            </w:rPr>
            <w:tab/>
          </w:r>
          <w:r>
            <w:rPr>
              <w:sz w:val="24"/>
              <w:szCs w:val="24"/>
            </w:rPr>
            <w:fldChar w:fldCharType="begin"/>
          </w:r>
          <w:r>
            <w:rPr>
              <w:sz w:val="24"/>
              <w:szCs w:val="24"/>
            </w:rPr>
            <w:instrText xml:space="preserve"> PAGEREF _Toc8392031 \h </w:instrText>
          </w:r>
          <w:r>
            <w:rPr>
              <w:sz w:val="24"/>
              <w:szCs w:val="24"/>
            </w:rPr>
            <w:fldChar w:fldCharType="separate"/>
          </w:r>
          <w:r>
            <w:rPr>
              <w:sz w:val="24"/>
              <w:szCs w:val="24"/>
            </w:rPr>
            <w:t>20</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"_Toc8392032" </w:instrText>
          </w:r>
          <w:r>
            <w:fldChar w:fldCharType="separate"/>
          </w:r>
          <w:r>
            <w:rPr>
              <w:rStyle w:val="10"/>
              <w:rFonts w:ascii="Arial Narrow" w:hAnsi="Arial Narrow"/>
              <w:b/>
              <w:sz w:val="24"/>
              <w:szCs w:val="24"/>
            </w:rPr>
            <w:t>7.</w:t>
          </w:r>
          <w:r>
            <w:rPr>
              <w:sz w:val="24"/>
              <w:szCs w:val="24"/>
              <w:lang w:val="en-US"/>
            </w:rPr>
            <w:tab/>
          </w:r>
          <w:r>
            <w:rPr>
              <w:rStyle w:val="10"/>
              <w:rFonts w:ascii="Arial Narrow" w:hAnsi="Arial Narrow"/>
              <w:b/>
              <w:sz w:val="24"/>
              <w:szCs w:val="24"/>
            </w:rPr>
            <w:t>Conclusion</w:t>
          </w:r>
          <w:r>
            <w:rPr>
              <w:sz w:val="24"/>
              <w:szCs w:val="24"/>
            </w:rPr>
            <w:tab/>
          </w:r>
          <w:r>
            <w:rPr>
              <w:sz w:val="24"/>
              <w:szCs w:val="24"/>
            </w:rPr>
            <w:fldChar w:fldCharType="begin"/>
          </w:r>
          <w:r>
            <w:rPr>
              <w:sz w:val="24"/>
              <w:szCs w:val="24"/>
            </w:rPr>
            <w:instrText xml:space="preserve"> PAGEREF _Toc8392032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6"/>
            <w:tabs>
              <w:tab w:val="left" w:pos="420"/>
              <w:tab w:val="right" w:leader="dot" w:pos="9736"/>
            </w:tabs>
            <w:rPr>
              <w:sz w:val="24"/>
              <w:szCs w:val="24"/>
              <w:lang w:val="en-US"/>
            </w:rPr>
          </w:pPr>
          <w:r>
            <w:fldChar w:fldCharType="begin"/>
          </w:r>
          <w:r>
            <w:instrText xml:space="preserve"> HYPERLINK \l "_Toc8392033" </w:instrText>
          </w:r>
          <w:r>
            <w:fldChar w:fldCharType="separate"/>
          </w:r>
          <w:r>
            <w:rPr>
              <w:rStyle w:val="10"/>
              <w:rFonts w:ascii="Arial Narrow" w:hAnsi="Arial Narrow"/>
              <w:b/>
              <w:sz w:val="24"/>
              <w:szCs w:val="24"/>
            </w:rPr>
            <w:t>8.</w:t>
          </w:r>
          <w:r>
            <w:rPr>
              <w:sz w:val="24"/>
              <w:szCs w:val="24"/>
              <w:lang w:val="en-US"/>
            </w:rPr>
            <w:tab/>
          </w:r>
          <w:r>
            <w:rPr>
              <w:rStyle w:val="10"/>
              <w:rFonts w:ascii="Arial Narrow" w:hAnsi="Arial Narrow"/>
              <w:b/>
              <w:sz w:val="24"/>
              <w:szCs w:val="24"/>
            </w:rPr>
            <w:t>Reference</w:t>
          </w:r>
          <w:r>
            <w:rPr>
              <w:sz w:val="24"/>
              <w:szCs w:val="24"/>
            </w:rPr>
            <w:tab/>
          </w:r>
          <w:r>
            <w:rPr>
              <w:sz w:val="24"/>
              <w:szCs w:val="24"/>
            </w:rPr>
            <w:fldChar w:fldCharType="begin"/>
          </w:r>
          <w:r>
            <w:rPr>
              <w:sz w:val="24"/>
              <w:szCs w:val="24"/>
            </w:rPr>
            <w:instrText xml:space="preserve"> PAGEREF _Toc8392033 \h </w:instrText>
          </w:r>
          <w:r>
            <w:rPr>
              <w:sz w:val="24"/>
              <w:szCs w:val="24"/>
            </w:rPr>
            <w:fldChar w:fldCharType="separate"/>
          </w:r>
          <w:r>
            <w:rPr>
              <w:sz w:val="24"/>
              <w:szCs w:val="24"/>
            </w:rPr>
            <w:t>22</w:t>
          </w:r>
          <w:r>
            <w:rPr>
              <w:sz w:val="24"/>
              <w:szCs w:val="24"/>
            </w:rPr>
            <w:fldChar w:fldCharType="end"/>
          </w:r>
          <w:r>
            <w:rPr>
              <w:sz w:val="24"/>
              <w:szCs w:val="24"/>
            </w:rPr>
            <w:fldChar w:fldCharType="end"/>
          </w:r>
        </w:p>
        <w:p>
          <w:pPr>
            <w:spacing w:line="360" w:lineRule="auto"/>
          </w:pPr>
          <w:r>
            <w:rPr>
              <w:b/>
              <w:bCs/>
              <w:lang w:val="zh-CN"/>
            </w:rPr>
            <w:fldChar w:fldCharType="end"/>
          </w:r>
        </w:p>
      </w:sdtContent>
    </w:sdt>
    <w:p>
      <w:pPr>
        <w:rPr>
          <w:rFonts w:ascii="Times New Roman" w:hAnsi="Times New Roman" w:cs="Times New Roman"/>
          <w:sz w:val="24"/>
          <w:szCs w:val="24"/>
        </w:rPr>
      </w:pPr>
      <w:r>
        <w:rPr>
          <w:rFonts w:ascii="Times New Roman" w:hAnsi="Times New Roman" w:cs="Times New Roman"/>
          <w:sz w:val="24"/>
          <w:szCs w:val="24"/>
        </w:rPr>
        <w:br w:type="page"/>
      </w:r>
    </w:p>
    <w:p>
      <w:pPr>
        <w:outlineLvl w:val="0"/>
        <w:rPr>
          <w:rFonts w:ascii="Arial Narrow" w:hAnsi="Arial Narrow"/>
          <w:b/>
          <w:sz w:val="32"/>
        </w:rPr>
        <w:sectPr>
          <w:footerReference r:id="rId3" w:type="default"/>
          <w:pgSz w:w="11906" w:h="16838"/>
          <w:pgMar w:top="1440" w:right="1080" w:bottom="1440" w:left="1080" w:header="851" w:footer="992" w:gutter="0"/>
          <w:cols w:space="425" w:num="1"/>
          <w:docGrid w:type="lines" w:linePitch="312" w:charSpace="0"/>
        </w:sectPr>
      </w:pPr>
    </w:p>
    <w:p>
      <w:pPr>
        <w:pStyle w:val="13"/>
        <w:numPr>
          <w:ilvl w:val="0"/>
          <w:numId w:val="1"/>
        </w:numPr>
        <w:ind w:firstLineChars="0"/>
        <w:outlineLvl w:val="0"/>
        <w:rPr>
          <w:rFonts w:ascii="Arial Narrow" w:hAnsi="Arial Narrow"/>
          <w:b/>
          <w:sz w:val="32"/>
        </w:rPr>
      </w:pPr>
      <w:bookmarkStart w:id="1" w:name="_Toc8391995"/>
      <w:r>
        <w:rPr>
          <w:rFonts w:ascii="Arial Narrow" w:hAnsi="Arial Narrow"/>
          <w:b/>
          <w:sz w:val="32"/>
        </w:rPr>
        <w:t>Introduction</w:t>
      </w:r>
      <w:bookmarkEnd w:id="1"/>
      <w:r>
        <w:rPr>
          <w:rFonts w:ascii="Arial Narrow" w:hAnsi="Arial Narrow"/>
          <w:b/>
          <w:sz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sharing economy market is among the most dynamic markets in the world. One shining example in the Chinese sharing economy is the Didi Chuxing (literally meaning Didi travelling). The company was established in 2012 as a mobile based platform similar to Uber for car hailing in major Chinese cities. The business model of Didi was later appreciated by major Chinese internet companies such as Tencent (largest online social service provider in China) and Alibaba (largest e-commerce service provider in China) and was funded for radical marketing against its competitors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{"citationItems":[{"id":"ITEM-1","itemData":{"author":[{"dropping-particle":"","family":"DIDI Chuxing","given":"","non-dropping-particle":"","parse-names":false,"suffix":""}],"container-title":"Xiaoju Technology Co., Ltd. Last Modified June","id":"ITEM-1","issued":{"date-parts":[["2016"]]},"page":"2016","title":"About didi","type":"article-journal","volume":"28"},"uris":["http://www.mendeley.com/documents/?uuid=bfb1be50-eb65-42db-a887-1a324591a8fb"]}],"mendeley":{"formattedCitation":"(DIDI Chuxing, 2016)","plainTextFormattedCitation":"(DIDI Chuxing, 2016)","previouslyFormattedCitation":"(DIDI Chuxing, 2016)"},"properties":{"noteIndex":0},"schema":"https://github.com/citation-style-language/schema/raw/master/csl-citation.json"}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(DIDI Chuxing, 2016)</w:t>
      </w:r>
      <w:r>
        <w:rPr>
          <w:rFonts w:ascii="Times New Roman" w:hAnsi="Times New Roman" w:cs="Times New Roman"/>
          <w:sz w:val="24"/>
          <w:szCs w:val="24"/>
        </w:rPr>
        <w:fldChar w:fldCharType="end"/>
      </w:r>
      <w:r>
        <w:rPr>
          <w:rFonts w:ascii="Times New Roman" w:hAnsi="Times New Roman" w:cs="Times New Roman"/>
          <w:sz w:val="24"/>
          <w:szCs w:val="24"/>
        </w:rPr>
        <w:t xml:space="preserve">. The marketing strategy of the company in the past several years have proven to be valid. However, with some scandals relating to the security issues in the process of car hailing, the company is suffering from a difficult time in formulating marketing plans for the future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1877-0509","author":[{"dropping-particle":"","family":"Chaudhry","given":"Benish","non-dropping-particle":"","parse-names":false,"suffix":""},{"dropping-particle":"","family":"El-Amine","given":"Samar","non-dropping-particle":"","parse-names":false,"suffix":""},{"dropping-particle":"","family":"Shakshuki","given":"Elhadi","non-dropping-particle":"","parse-names":false,"suffix":""}],"container-title":"Procedia computer science","id":"ITEM-1","issued":{"date-parts":[["2018"]]},"page":"1044-1050","publisher":"Elsevier","title":"Passenger Safety in Ride-Sharing Services","type":"article-journal","volume":"130"},"uris":["http://www.mendeley.com/documents/?uuid=c9bd399d-184f-44ae-a6ef-becc74e7fb11"]}],"mendeley":{"formattedCitation":"(Chaudhry, El-Amine and Shakshuki, 2018)","plainTextFormattedCitation":"(Chaudhry, El-Amine and Shakshuki, 2018)","previouslyFormattedCitation":"(Chaudhry, El-Amine and Shakshuki,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(Chaudhry, El-Amine and Shakshuki, 2018)</w:t>
      </w:r>
      <w:r>
        <w:rPr>
          <w:rFonts w:ascii="Times New Roman" w:hAnsi="Times New Roman" w:cs="Times New Roman"/>
          <w:sz w:val="24"/>
          <w:szCs w:val="24"/>
        </w:rPr>
        <w:fldChar w:fldCharType="end"/>
      </w:r>
      <w:r>
        <w:rPr>
          <w:rFonts w:ascii="Times New Roman" w:hAnsi="Times New Roman" w:cs="Times New Roman"/>
          <w:sz w:val="24"/>
          <w:szCs w:val="24"/>
        </w:rPr>
        <w:t xml:space="preserve">. The expansion into global market was one of the core strategies of the company, the company is also hesitating on the sustainability of the international expansion strategy. The various market entrants with funding from state-owned enterprises in China are also threating market segments such as the high-end car hailing service (similar to Uber black)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{"citationItems":[{"id":"ITEM-1","itemData":{"ISSN":"0968-090X","author":[{"dropping-particle":"","family":"Nie","given":"Yu Marco","non-dropping-particle":"","parse-names":false,"suffix":""}],"container-title":"Transportation Research Part C: Emerging Technologies","id":"ITEM-1","issued":{"date-parts":[["2017"]]},"page":"242-256","publisher":"Elsevier","title":"How can the taxi industry survive the tide of ridesourcing? Evidence from Shenzhen, China","type":"article-journal","volume":"79"},"uris":["http://www.mendeley.com/documents/?uuid=c48fcc0a-486e-47cb-ab3e-bd857a6f0e1c"]}],"mendeley":{"formattedCitation":"(Nie, 2017)","plainTextFormattedCitation":"(Nie, 2017)","previouslyFormattedCitation":"(Nie,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(Nie, 2017)</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Hence this report is to formulate a useable marketing plan for the company by analysing its current business situation with a situation analysis and following strategy formulation with implementation plan. The situation analysis is based on VRIO analysis for internal analysis, Porter five forces analysis for micro analysis and PEST analysis for macro analysis. The situation analysis will be summarized with a SWOT analysis. The strategy formulation will be based on the results of the situation analysis. The tactics of the strategy implementation is based on the 4P model as the company is operating online platform with minimal physical evidence. </w:t>
      </w:r>
    </w:p>
    <w:p>
      <w:pPr>
        <w:pStyle w:val="13"/>
        <w:numPr>
          <w:ilvl w:val="0"/>
          <w:numId w:val="1"/>
        </w:numPr>
        <w:ind w:firstLineChars="0"/>
        <w:outlineLvl w:val="0"/>
        <w:rPr>
          <w:rFonts w:ascii="Arial Narrow" w:hAnsi="Arial Narrow"/>
          <w:b/>
          <w:sz w:val="32"/>
        </w:rPr>
      </w:pPr>
      <w:bookmarkStart w:id="2" w:name="_Toc8391996"/>
      <w:r>
        <w:rPr>
          <w:rFonts w:ascii="Arial Narrow" w:hAnsi="Arial Narrow"/>
          <w:b/>
          <w:sz w:val="32"/>
        </w:rPr>
        <w:t>Situation analysis of Didi in Chinese market</w:t>
      </w:r>
      <w:bookmarkEnd w:id="2"/>
      <w:r>
        <w:rPr>
          <w:rFonts w:ascii="Arial Narrow" w:hAnsi="Arial Narrow"/>
          <w:b/>
          <w:sz w:val="32"/>
        </w:rPr>
        <w:t xml:space="preserve">                              </w:t>
      </w:r>
    </w:p>
    <w:p>
      <w:pPr>
        <w:pStyle w:val="13"/>
        <w:numPr>
          <w:ilvl w:val="0"/>
          <w:numId w:val="2"/>
        </w:numPr>
        <w:spacing w:before="156" w:beforeLines="50" w:after="156" w:afterLines="50" w:line="480" w:lineRule="auto"/>
        <w:ind w:firstLineChars="0"/>
        <w:rPr>
          <w:rFonts w:ascii="Arial Narrow" w:hAnsi="Arial Narrow" w:cs="Times New Roman"/>
          <w:i/>
          <w:vanish/>
          <w:sz w:val="28"/>
          <w:szCs w:val="28"/>
        </w:rPr>
      </w:pPr>
    </w:p>
    <w:p>
      <w:pPr>
        <w:pStyle w:val="13"/>
        <w:numPr>
          <w:ilvl w:val="0"/>
          <w:numId w:val="2"/>
        </w:numPr>
        <w:spacing w:before="156" w:beforeLines="50" w:after="156" w:afterLines="50" w:line="480" w:lineRule="auto"/>
        <w:ind w:firstLineChars="0"/>
        <w:rPr>
          <w:rFonts w:ascii="Arial Narrow" w:hAnsi="Arial Narrow" w:cs="Times New Roman"/>
          <w:i/>
          <w:vanish/>
          <w:sz w:val="28"/>
          <w:szCs w:val="28"/>
        </w:rPr>
      </w:pPr>
    </w:p>
    <w:p>
      <w:pPr>
        <w:pStyle w:val="13"/>
        <w:numPr>
          <w:ilvl w:val="1"/>
          <w:numId w:val="2"/>
        </w:numPr>
        <w:spacing w:before="156" w:beforeLines="50" w:after="156" w:afterLines="50" w:line="480" w:lineRule="auto"/>
        <w:ind w:firstLineChars="0"/>
        <w:outlineLvl w:val="1"/>
        <w:rPr>
          <w:rFonts w:ascii="Arial Narrow" w:hAnsi="Arial Narrow" w:cs="Times New Roman"/>
          <w:sz w:val="28"/>
          <w:szCs w:val="28"/>
        </w:rPr>
      </w:pPr>
      <w:bookmarkStart w:id="3" w:name="_Toc8391997"/>
      <w:r>
        <w:rPr>
          <w:rFonts w:ascii="Arial Narrow" w:hAnsi="Arial Narrow" w:cs="Times New Roman"/>
          <w:sz w:val="28"/>
          <w:szCs w:val="28"/>
        </w:rPr>
        <w:t>Internal analysis of Didi Chuxing – VRIO Analysis</w:t>
      </w:r>
      <w:bookmarkEnd w:id="3"/>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4" w:name="_Toc8391452"/>
      <w:bookmarkStart w:id="5" w:name="_Toc8391998"/>
      <w:r>
        <w:rPr>
          <w:rFonts w:ascii="Arial Narrow" w:hAnsi="Arial Narrow" w:cs="Times New Roman"/>
          <w:b/>
          <w:i/>
          <w:sz w:val="24"/>
          <w:szCs w:val="24"/>
        </w:rPr>
        <w:t>Scale of Didi</w:t>
      </w:r>
      <w:bookmarkEnd w:id="4"/>
      <w:bookmarkEnd w:id="5"/>
    </w:p>
    <w:p>
      <w:pPr>
        <w:spacing w:before="156" w:beforeLines="50"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V</w:t>
      </w:r>
      <w:r>
        <w:rPr>
          <w:rFonts w:ascii="Times New Roman" w:hAnsi="Times New Roman" w:cs="Times New Roman"/>
          <w:sz w:val="24"/>
          <w:szCs w:val="24"/>
        </w:rPr>
        <w:t xml:space="preserve">RIO is the analysis of the applicable resources within the organization. The resources are those that the enterprises can use for sustainable business development. It focuses on the value, rarity, inimitability and organization of the resources. </w:t>
      </w:r>
      <w:r>
        <w:rPr>
          <w:rFonts w:hint="eastAsia" w:ascii="Times New Roman" w:hAnsi="Times New Roman" w:cs="Times New Roman"/>
          <w:sz w:val="24"/>
          <w:szCs w:val="24"/>
        </w:rPr>
        <w:t>D</w:t>
      </w:r>
      <w:r>
        <w:rPr>
          <w:rFonts w:ascii="Times New Roman" w:hAnsi="Times New Roman" w:cs="Times New Roman"/>
          <w:sz w:val="24"/>
          <w:szCs w:val="24"/>
        </w:rPr>
        <w:t xml:space="preserve">idi is the largest car hailing service provider in China by daily transaction volume. As a mobile based service platform, the App of Didi is the most frequently downloaded App in all App stores in China. Didi is also the second largest unicorn companies in China with latest valuation of 56 billion USD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{"citationItems":[{"id":"ITEM-1","itemData":{"abstract":"Technology and digitalization today have greatly accelerated the process of globalization and introduced new business approaches and concepts. Drawing on the notion of a sharing economy, the ride sharing economy introduced by Uber has created social controversy and debate. When Uber expanded to the market in China from 2013 to 2017 with the venture ending in failure, it marked the first time to introduce the concept of a ‘sharing economy’ to China. The ride sharing economy brought by Uber created economic, political, cultural, and social upheaval within society. Guided by the technoethical approach, a case study on the failure of Uber in China was conducted using a systematic literature review of essential research articles and news coverage from 2013 to 2017. Case study findings uncover the following main themes connected to Uber’s localization in China: safety, privacy, morals and ethics, environments, regulation and legislation, urban plan, labor identity, and labor fairness. The technoethical analysis reveals a gap between technology and ethical awareness, a need to pay more attention to ethical consequences, and a need for government","author":[{"dropping-particle":"","family":"Zhen","given":"Yu","non-dropping-particle":"","parse-names":false,"suffix":""}],"id":"ITEM-1","issue":"December","issued":{"date-parts":[["2017"]]},"title":"Case Study of the Uber Failure in China: A Technoethical Analysis","type":"article-journal"},"uris":["http://www.mendeley.com/documents/?uuid=edb2601b-7592-45bd-9a1b-ae2f02125940"]}],"mendeley":{"formattedCitation":"(Zhen, 2017)","plainTextFormattedCitation":"(Zhen, 2017)","previouslyFormattedCitation":"(Zhen,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(Zhen, 2017)</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56" w:beforeLines="50" w:after="156" w:afterLines="50" w:line="480" w:lineRule="auto"/>
        <w:jc w:val="center"/>
        <w:rPr>
          <w:rFonts w:ascii="Times New Roman" w:hAnsi="Times New Roman" w:cs="Times New Roman"/>
          <w:sz w:val="24"/>
          <w:szCs w:val="24"/>
        </w:rPr>
      </w:pPr>
      <w:r>
        <w:rPr>
          <w:rFonts w:ascii="Times New Roman" w:hAnsi="Times New Roman" w:cs="Times New Roman"/>
          <w:sz w:val="24"/>
          <w:szCs w:val="24"/>
        </w:rPr>
        <mc:AlternateContent>
          <mc:Choice Requires="wps">
            <w:drawing>
              <wp:anchor distT="45720" distB="45720" distL="114300" distR="114300" simplePos="0" relativeHeight="251675648" behindDoc="0" locked="0" layoutInCell="1" allowOverlap="1">
                <wp:simplePos x="0" y="0"/>
                <wp:positionH relativeFrom="column">
                  <wp:posOffset>2644140</wp:posOffset>
                </wp:positionH>
                <wp:positionV relativeFrom="paragraph">
                  <wp:posOffset>1859280</wp:posOffset>
                </wp:positionV>
                <wp:extent cx="1859280" cy="1074420"/>
                <wp:effectExtent l="0" t="0" r="0" b="0"/>
                <wp:wrapNone/>
                <wp:docPr id="5" name="文本框 2"/>
                <wp:cNvGraphicFramePr/>
                <a:graphic xmlns:a="http://schemas.openxmlformats.org/drawingml/2006/main">
                  <a:graphicData uri="http://schemas.microsoft.com/office/word/2010/wordprocessingShape">
                    <wps:wsp>
                      <wps:cNvSpPr txBox="1">
                        <a:spLocks noChangeArrowheads="1"/>
                      </wps:cNvSpPr>
                      <wps:spPr bwMode="auto">
                        <a:xfrm>
                          <a:off x="0" y="0"/>
                          <a:ext cx="1859280" cy="1074420"/>
                        </a:xfrm>
                        <a:prstGeom prst="rect">
                          <a:avLst/>
                        </a:prstGeom>
                        <a:noFill/>
                        <a:ln w="9525">
                          <a:noFill/>
                          <a:miter lim="800000"/>
                        </a:ln>
                      </wps:spPr>
                      <wps:txbx>
                        <w:txbxContent>
                          <w:p>
                            <w:pPr>
                              <w:rPr>
                                <w:rFonts w:ascii="Arial Narrow" w:hAnsi="Arial Narrow"/>
                              </w:rPr>
                            </w:pPr>
                            <w:r>
                              <w:rPr>
                                <w:rFonts w:ascii="Arial Narrow" w:hAnsi="Arial Narrow"/>
                              </w:rPr>
                              <w:t>Market share of car hailing service providers in China</w:t>
                            </w: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208.2pt;margin-top:146.4pt;height:84.6pt;width:146.4pt;z-index:251675648;mso-width-relative:page;mso-height-relative:page;" filled="f" stroked="f" coordsize="21600,21600" o:gfxdata="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OBh7JrXAAAACwEAAA8AAAAAAAAAAQAgAAAAIgAA&#10;AGRycy9kb3ducmV2LnhtbFBLAQIUABQAAAAIAIdO4kAz2sPLCQIAANwDAAAOAAAAAAAAAAEAIAAA&#10;ACYBAABkcnMvZTJvRG9jLnhtbFBLBQYAAAAABgAGAFkBAAChBQAAAAA=&#10;">
                <v:fill on="f" focussize="0,0"/>
                <v:stroke on="f" miterlimit="8" joinstyle="miter"/>
                <v:imagedata o:title=""/>
                <o:lock v:ext="edit" aspectratio="f"/>
                <v:textbox>
                  <w:txbxContent>
                    <w:p>
                      <w:pPr>
                        <w:rPr>
                          <w:rFonts w:ascii="Arial Narrow" w:hAnsi="Arial Narrow"/>
                        </w:rPr>
                      </w:pPr>
                      <w:r>
                        <w:rPr>
                          <w:rFonts w:ascii="Arial Narrow" w:hAnsi="Arial Narrow"/>
                        </w:rPr>
                        <w:t>Market share of car hailing service providers in China</w:t>
                      </w:r>
                    </w:p>
                  </w:txbxContent>
                </v:textbox>
              </v:shape>
            </w:pict>
          </mc:Fallback>
        </mc:AlternateContent>
      </w:r>
      <w:r>
        <w:rPr>
          <w:rFonts w:ascii="Times New Roman" w:hAnsi="Times New Roman" w:cs="Times New Roman"/>
          <w:sz w:val="24"/>
          <w:szCs w:val="24"/>
        </w:rPr>
        <mc:AlternateContent>
          <mc:Choice Requires="wps">
            <w:drawing>
              <wp:anchor distT="45720" distB="45720" distL="114300" distR="114300" simplePos="0" relativeHeight="251673600" behindDoc="0" locked="0" layoutInCell="1" allowOverlap="1">
                <wp:simplePos x="0" y="0"/>
                <wp:positionH relativeFrom="column">
                  <wp:posOffset>480060</wp:posOffset>
                </wp:positionH>
                <wp:positionV relativeFrom="paragraph">
                  <wp:posOffset>2270760</wp:posOffset>
                </wp:positionV>
                <wp:extent cx="1935480" cy="533400"/>
                <wp:effectExtent l="0" t="0" r="0" b="0"/>
                <wp:wrapNone/>
                <wp:docPr id="4" name="文本框 2"/>
                <wp:cNvGraphicFramePr/>
                <a:graphic xmlns:a="http://schemas.openxmlformats.org/drawingml/2006/main">
                  <a:graphicData uri="http://schemas.microsoft.com/office/word/2010/wordprocessingShape">
                    <wps:wsp>
                      <wps:cNvSpPr txBox="1">
                        <a:spLocks noChangeArrowheads="1"/>
                      </wps:cNvSpPr>
                      <wps:spPr bwMode="auto">
                        <a:xfrm>
                          <a:off x="0" y="0"/>
                          <a:ext cx="1935480" cy="533400"/>
                        </a:xfrm>
                        <a:prstGeom prst="rect">
                          <a:avLst/>
                        </a:prstGeom>
                        <a:noFill/>
                        <a:ln w="9525">
                          <a:noFill/>
                          <a:miter lim="800000"/>
                        </a:ln>
                      </wps:spPr>
                      <wps:txbx>
                        <w:txbxContent>
                          <w:p>
                            <w:pPr>
                              <w:rPr>
                                <w:rFonts w:ascii="Arial Narrow" w:hAnsi="Arial Narrow"/>
                              </w:rPr>
                            </w:pPr>
                            <w:r>
                              <w:rPr>
                                <w:rFonts w:ascii="Arial Narrow" w:hAnsi="Arial Narrow"/>
                              </w:rPr>
                              <w:t>Valuation of top Chinese unicorn companies</w:t>
                            </w: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37.8pt;margin-top:178.8pt;height:42pt;width:152.4pt;z-index:251673600;mso-width-relative:page;mso-height-relative:page;" filled="f" stroked="f" coordsize="21600,21600" o:gfxdata="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">
                <v:fill on="f" focussize="0,0"/>
                <v:stroke on="f" miterlimit="8" joinstyle="miter"/>
                <v:imagedata o:title=""/>
                <o:lock v:ext="edit" aspectratio="f"/>
                <v:textbox>
                  <w:txbxContent>
                    <w:p>
                      <w:pPr>
                        <w:rPr>
                          <w:rFonts w:ascii="Arial Narrow" w:hAnsi="Arial Narrow"/>
                        </w:rPr>
                      </w:pPr>
                      <w:r>
                        <w:rPr>
                          <w:rFonts w:ascii="Arial Narrow" w:hAnsi="Arial Narrow"/>
                        </w:rPr>
                        <w:t>Valuation of top Chinese unicorn companies</w:t>
                      </w:r>
                    </w:p>
                  </w:txbxContent>
                </v:textbox>
              </v:shape>
            </w:pict>
          </mc:Fallback>
        </mc:AlternateContent>
      </w:r>
      <w:r>
        <w:rPr>
          <w:rFonts w:ascii="Times New Roman" w:hAnsi="Times New Roman" w:cs="Times New Roman"/>
          <w:sz w:val="24"/>
          <w:szCs w:val="24"/>
        </w:rPr>
        <mc:AlternateContent>
          <mc:Choice Requires="wps">
            <w:drawing>
              <wp:anchor distT="45720" distB="45720" distL="114300" distR="114300" simplePos="0" relativeHeight="251671552" behindDoc="0" locked="0" layoutInCell="1" allowOverlap="1">
                <wp:simplePos x="0" y="0"/>
                <wp:positionH relativeFrom="column">
                  <wp:posOffset>297180</wp:posOffset>
                </wp:positionH>
                <wp:positionV relativeFrom="paragraph">
                  <wp:posOffset>838200</wp:posOffset>
                </wp:positionV>
                <wp:extent cx="1935480" cy="533400"/>
                <wp:effectExtent l="0" t="0" r="0" b="0"/>
                <wp:wrapNone/>
                <wp:docPr id="3" name="文本框 2"/>
                <wp:cNvGraphicFramePr/>
                <a:graphic xmlns:a="http://schemas.openxmlformats.org/drawingml/2006/main">
                  <a:graphicData uri="http://schemas.microsoft.com/office/word/2010/wordprocessingShape">
                    <wps:wsp>
                      <wps:cNvSpPr txBox="1">
                        <a:spLocks noChangeArrowheads="1"/>
                      </wps:cNvSpPr>
                      <wps:spPr bwMode="auto">
                        <a:xfrm>
                          <a:off x="0" y="0"/>
                          <a:ext cx="1935480" cy="533400"/>
                        </a:xfrm>
                        <a:prstGeom prst="rect">
                          <a:avLst/>
                        </a:prstGeom>
                        <a:noFill/>
                        <a:ln w="9525">
                          <a:noFill/>
                          <a:miter lim="800000"/>
                        </a:ln>
                      </wps:spPr>
                      <wps:txbx>
                        <w:txbxContent>
                          <w:p>
                            <w:pPr>
                              <w:rPr>
                                <w:rFonts w:ascii="Arial Narrow" w:hAnsi="Arial Narrow"/>
                              </w:rPr>
                            </w:pPr>
                            <w:r>
                              <w:rPr>
                                <w:rFonts w:ascii="Arial Narrow" w:hAnsi="Arial Narrow"/>
                              </w:rPr>
                              <w:t>Valuation of global car hailing service providers</w:t>
                            </w:r>
                          </w:p>
                        </w:txbxContent>
                      </wps:txbx>
                      <wps:bodyPr rot="0" vert="horz" wrap="square" lIns="91440" tIns="45720" rIns="91440" bIns="45720" anchor="t" anchorCtr="0">
                        <a:noAutofit/>
                      </wps:bodyPr>
                    </wps:wsp>
                  </a:graphicData>
                </a:graphic>
              </wp:anchor>
            </w:drawing>
          </mc:Choice>
          <mc:Fallback>
            <w:pict>
              <v:shape id="文本框 2" o:spid="_x0000_s1026" o:spt="202" type="#_x0000_t202" style="position:absolute;left:0pt;margin-left:23.4pt;margin-top:66pt;height:42pt;width:152.4pt;z-index:251671552;mso-width-relative:page;mso-height-relative:page;" filled="f" stroked="f" coordsize="21600,21600" o:gfxdata="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">
                <v:fill on="f" focussize="0,0"/>
                <v:stroke on="f" miterlimit="8" joinstyle="miter"/>
                <v:imagedata o:title=""/>
                <o:lock v:ext="edit" aspectratio="f"/>
                <v:textbox>
                  <w:txbxContent>
                    <w:p>
                      <w:pPr>
                        <w:rPr>
                          <w:rFonts w:ascii="Arial Narrow" w:hAnsi="Arial Narrow"/>
                        </w:rPr>
                      </w:pPr>
                      <w:r>
                        <w:rPr>
                          <w:rFonts w:ascii="Arial Narrow" w:hAnsi="Arial Narrow"/>
                        </w:rPr>
                        <w:t>Valuation of global car hailing service providers</w:t>
                      </w:r>
                    </w:p>
                  </w:txbxContent>
                </v:textbox>
              </v:shape>
            </w:pict>
          </mc:Fallback>
        </mc:AlternateContent>
      </w:r>
      <w:r>
        <w:rPr>
          <w:rFonts w:hint="eastAsia" w:ascii="Times New Roman" w:hAnsi="Times New Roman" w:cs="Times New Roman"/>
          <w:sz w:val="24"/>
          <w:szCs w:val="24"/>
        </w:rPr>
        <w:drawing>
          <wp:inline distT="0" distB="0" distL="0" distR="0">
            <wp:extent cx="6041390" cy="3547745"/>
            <wp:effectExtent l="0" t="0" r="0" b="0"/>
            <wp:docPr id="12"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6041618" cy="3547745"/>
                    </a:xfrm>
                    <a:prstGeom prst="rect">
                      <a:avLst/>
                    </a:prstGeom>
                  </pic:spPr>
                </pic:pic>
              </a:graphicData>
            </a:graphic>
          </wp:inline>
        </w:drawing>
      </w:r>
    </w:p>
    <w:p>
      <w:pPr>
        <w:rPr>
          <w:rFonts w:ascii="Times New Roman" w:hAnsi="Times New Roman" w:cs="Times New Roman"/>
          <w:sz w:val="24"/>
          <w:szCs w:val="24"/>
        </w:rPr>
      </w:pPr>
      <w:r>
        <w:rPr>
          <w:rFonts w:ascii="Times New Roman" w:hAnsi="Times New Roman" w:cs="Times New Roman"/>
          <w:sz w:val="24"/>
          <w:szCs w:val="24"/>
        </w:rPr>
        <w:br w:type="page"/>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6" w:name="_Toc8391999"/>
      <w:bookmarkStart w:id="7" w:name="_Toc8391453"/>
      <w:r>
        <w:rPr>
          <w:rFonts w:ascii="Arial Narrow" w:hAnsi="Arial Narrow" w:cs="Times New Roman"/>
          <w:b/>
          <w:i/>
          <w:sz w:val="24"/>
          <w:szCs w:val="24"/>
        </w:rPr>
        <w:t>Reputation of Didi</w:t>
      </w:r>
      <w:bookmarkEnd w:id="6"/>
      <w:bookmarkEnd w:id="7"/>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reputation has been declining in the past year as several scandals concerning the security issues of the customers using car hailing services. In one scandal an air attendant was killed by the driver while Didi did not fully function as a supervisor of the car hailing service. In the Chinese user satisfaction on car hailing services, many are now thinking that after Didi became the monopoly in the market, the service level has degraded to that as the same with regular taxi services in China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{"citationItems":[{"id":"ITEM-1","itemData":{"author":[{"dropping-particle":"","family":"Commision","given":"NTC","non-dropping-particle":"","parse-names":false,"suffix":""}],"id":"ITEM-1","issue":"November","issued":{"date-parts":[["2017"]]},"title":"DiDi Chuxing Submission on NTC Discussion Paper ' Changing driving laws to support DiDi Chuxing","type":"article-journal"},"uris":["http://www.mendeley.com/documents/?uuid=f1e04681-a866-48ba-a199-1ce7e05ac5ef"]}],"mendeley":{"formattedCitation":"(Commision, 2017)","plainTextFormattedCitation":"(Commision, 2017)","previouslyFormattedCitation":"(Commision,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(Commision, 2017)</w:t>
      </w:r>
      <w:r>
        <w:rPr>
          <w:rFonts w:ascii="Times New Roman" w:hAnsi="Times New Roman" w:cs="Times New Roman"/>
          <w:sz w:val="24"/>
          <w:szCs w:val="24"/>
        </w:rPr>
        <w:fldChar w:fldCharType="end"/>
      </w:r>
      <w:r>
        <w:rPr>
          <w:rFonts w:ascii="Times New Roman" w:hAnsi="Times New Roman" w:cs="Times New Roman"/>
          <w:sz w:val="24"/>
          <w:szCs w:val="24"/>
        </w:rPr>
        <w:t xml:space="preserve">. With Didi acquiring the dominant position in online car hailing service market in China, the reputation has been further degrading as many are complaining that the system becomes hard to use and cars cannot be booked without high extra fees.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8" w:name="_Toc8392000"/>
      <w:bookmarkStart w:id="9" w:name="_Toc8391454"/>
      <w:r>
        <w:rPr>
          <w:rFonts w:ascii="Arial Narrow" w:hAnsi="Arial Narrow" w:cs="Times New Roman"/>
          <w:b/>
          <w:i/>
          <w:sz w:val="24"/>
          <w:szCs w:val="24"/>
        </w:rPr>
        <w:t>Organizational management</w:t>
      </w:r>
      <w:bookmarkEnd w:id="8"/>
      <w:bookmarkEnd w:id="9"/>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organizational structure of Didi is a typical M structure i.e. business lines are separated into different business units with a senior managerial team on top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{"citationItems":[{"id":"ITEM-1","itemData":{"author":[{"dropping-particle":"","family":"GIZ Institute","given":"","non-dropping-particle":"","parse-names":false,"suffix":""}],"id":"ITEM-1","issued":{"date-parts":[["2017"]]},"title":"Transport Innovation made in China : How China is changing the global transport regime","type":"report"},"uris":["http://www.mendeley.com/documents/?uuid=dda5e2f0-b83b-4362-abfe-7b4ce5e57fee"]}],"mendeley":{"formattedCitation":"(GIZ Institute, 2017)","plainTextFormattedCitation":"(GIZ Institute, 2017)","previouslyFormattedCitation":"(GIZ Institute,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(GIZ Institute, 2017)</w:t>
      </w:r>
      <w:r>
        <w:rPr>
          <w:rFonts w:ascii="Times New Roman" w:hAnsi="Times New Roman" w:cs="Times New Roman"/>
          <w:sz w:val="24"/>
          <w:szCs w:val="24"/>
        </w:rPr>
        <w:fldChar w:fldCharType="end"/>
      </w:r>
      <w:r>
        <w:rPr>
          <w:rFonts w:ascii="Times New Roman" w:hAnsi="Times New Roman" w:cs="Times New Roman"/>
          <w:sz w:val="24"/>
          <w:szCs w:val="24"/>
        </w:rPr>
        <w:t xml:space="preserve">. This model has been serving the company well but are easily inimitable.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10" w:name="_Toc8392001"/>
      <w:bookmarkStart w:id="11" w:name="_Toc8391455"/>
      <w:r>
        <w:rPr>
          <w:rFonts w:ascii="Arial Narrow" w:hAnsi="Arial Narrow" w:cs="Times New Roman"/>
          <w:b/>
          <w:i/>
          <w:sz w:val="24"/>
          <w:szCs w:val="24"/>
        </w:rPr>
        <w:t>Funding and other resource acquiring capacity</w:t>
      </w:r>
      <w:bookmarkEnd w:id="10"/>
      <w:bookmarkEnd w:id="11"/>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funding capacity of the company is high and rare as exhibited by its valuation. As shown in the graph below, the valuation history (orange line) shows that the company has strong capacity in acquiring financial and other resources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{"citationItems":[{"id":"ITEM-1","itemData":{"URL":"https://www.cbinsights.com/company/didi-kuaidi","accessed":{"date-parts":[["2019","5","10"]]},"author":[{"dropping-particle":"","family":"CB Insights","given":"","non-dropping-particle":"","parse-names":false,"suffix":""}],"id":"ITEM-1","issued":{"date-parts":[["2019"]]},"title":"Didi Chuxing - CB Insights","type":"webpage"},"uris":["http://www.mendeley.com/documents/?uuid=19fb6edc-5b2c-3277-8a4c-ba070639ecab"]}],"mendeley":{"formattedCitation":"(CB Insights, 2019)","plainTextFormattedCitation":"(CB Insights, 2019)","previouslyFormattedCitation":"(CB Insights,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(CB Insights, 2019)</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56" w:beforeLines="50" w:after="156" w:afterLines="50" w:line="480" w:lineRule="auto"/>
        <w:jc w:val="center"/>
        <w:rPr>
          <w:rFonts w:ascii="Times New Roman" w:hAnsi="Times New Roman" w:cs="Times New Roman"/>
          <w:sz w:val="24"/>
          <w:szCs w:val="24"/>
        </w:rPr>
      </w:pPr>
      <w:r>
        <w:drawing>
          <wp:inline distT="0" distB="0" distL="0" distR="0">
            <wp:extent cx="3078480" cy="2238375"/>
            <wp:effectExtent l="0" t="0" r="7620" b="9525"/>
            <wp:docPr id="13" name="图片 13" descr="1-uber-didi-val-august-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1-uber-didi-val-august-20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a:xfrm>
                      <a:off x="0" y="0"/>
                      <a:ext cx="3094031" cy="2249709"/>
                    </a:xfrm>
                    <a:prstGeom prst="rect">
                      <a:avLst/>
                    </a:prstGeom>
                    <a:noFill/>
                    <a:ln>
                      <a:noFill/>
                    </a:ln>
                  </pic:spPr>
                </pic:pic>
              </a:graphicData>
            </a:graphic>
          </wp:inline>
        </w:drawing>
      </w:r>
    </w:p>
    <w:p>
      <w:pPr>
        <w:spacing w:before="156" w:beforeLines="50" w:after="156" w:afterLines="50" w:line="480" w:lineRule="auto"/>
        <w:jc w:val="left"/>
        <w:rPr>
          <w:rFonts w:ascii="Times New Roman" w:hAnsi="Times New Roman" w:cs="Times New Roman"/>
          <w:sz w:val="24"/>
          <w:szCs w:val="24"/>
        </w:rPr>
      </w:pPr>
      <w:r>
        <w:rPr>
          <w:rFonts w:ascii="Times New Roman" w:hAnsi="Times New Roman" w:cs="Times New Roman"/>
          <w:sz w:val="24"/>
          <w:szCs w:val="24"/>
        </w:rPr>
        <w:t xml:space="preserve">The COO (Chief Operating Officer) is the daughter of the CEO of another technology giant in China – Lenovo. She is also the former COO of Goldman Sachs in Asia Pacific. The invisible resources of Didi is overwhelming.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12" w:name="_Toc8392002"/>
      <w:bookmarkStart w:id="13" w:name="_Toc8391456"/>
      <w:r>
        <w:rPr>
          <w:rFonts w:hint="eastAsia" w:ascii="Arial Narrow" w:hAnsi="Arial Narrow" w:cs="Times New Roman"/>
          <w:b/>
          <w:i/>
          <w:sz w:val="24"/>
          <w:szCs w:val="24"/>
        </w:rPr>
        <w:t>R</w:t>
      </w:r>
      <w:r>
        <w:rPr>
          <w:rFonts w:ascii="Arial Narrow" w:hAnsi="Arial Narrow" w:cs="Times New Roman"/>
          <w:b/>
          <w:i/>
          <w:sz w:val="24"/>
          <w:szCs w:val="24"/>
        </w:rPr>
        <w:t>&amp;D capacity</w:t>
      </w:r>
      <w:bookmarkEnd w:id="12"/>
      <w:bookmarkEnd w:id="13"/>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Didi has a large engineer team screened by highly challenging recruiting processes. Many of them are former employees of successful internet companies such as Baidu and Alibaba. The R&amp;D </w:t>
      </w:r>
      <w:r>
        <w:rPr>
          <w:rFonts w:hint="eastAsia" w:ascii="Times New Roman" w:hAnsi="Times New Roman" w:cs="Times New Roman"/>
          <w:sz w:val="24"/>
          <w:szCs w:val="24"/>
        </w:rPr>
        <w:t>cap</w:t>
      </w:r>
      <w:r>
        <w:rPr>
          <w:rFonts w:ascii="Times New Roman" w:hAnsi="Times New Roman" w:cs="Times New Roman"/>
          <w:sz w:val="24"/>
          <w:szCs w:val="24"/>
        </w:rPr>
        <w:t xml:space="preserve">acity of the company is strong.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14" w:name="_Toc8392003"/>
      <w:bookmarkStart w:id="15" w:name="_Toc8391457"/>
      <w:r>
        <w:rPr>
          <w:rFonts w:ascii="Arial Narrow" w:hAnsi="Arial Narrow" w:cs="Times New Roman"/>
          <w:b/>
          <w:i/>
          <w:sz w:val="24"/>
          <w:szCs w:val="24"/>
        </w:rPr>
        <w:t>Promoting capacity</w:t>
      </w:r>
      <w:bookmarkEnd w:id="14"/>
      <w:bookmarkEnd w:id="15"/>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Didi reached its first 100 million user milestone within 2 years after establishment. The company has many promotion activities that are now the textbook cases in Chinese business schools. With the support from major internet companies, Didi is able to display is advertisements directly on several of the largest social networking platforms in China.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16" w:name="_Toc8391458"/>
      <w:bookmarkStart w:id="17" w:name="_Toc8392004"/>
      <w:r>
        <w:rPr>
          <w:rFonts w:ascii="Arial Narrow" w:hAnsi="Arial Narrow" w:cs="Times New Roman"/>
          <w:b/>
          <w:i/>
          <w:sz w:val="24"/>
          <w:szCs w:val="24"/>
        </w:rPr>
        <w:t>Profitability capacity</w:t>
      </w:r>
      <w:bookmarkEnd w:id="16"/>
      <w:bookmarkEnd w:id="17"/>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estimated profit loss in 2018 fiscal year of Didi is around 500 million USD. The profitability is the issue of many internet companies. Its global competitor Uber has just gained positive profit in 2018. The VRIO of the company based on above analysis and other reports is summarized in the chart below. </w:t>
      </w:r>
    </w:p>
    <w:tbl>
      <w:tblPr>
        <w:tblStyle w:val="8"/>
        <w:tblW w:w="9540" w:type="dxa"/>
        <w:tblInd w:w="0" w:type="dxa"/>
        <w:tblLayout w:type="fixed"/>
        <w:tblCellMar>
          <w:top w:w="0" w:type="dxa"/>
          <w:left w:w="108" w:type="dxa"/>
          <w:bottom w:w="0" w:type="dxa"/>
          <w:right w:w="108" w:type="dxa"/>
        </w:tblCellMar>
      </w:tblPr>
      <w:tblGrid>
        <w:gridCol w:w="2740"/>
        <w:gridCol w:w="1700"/>
        <w:gridCol w:w="1700"/>
        <w:gridCol w:w="1700"/>
        <w:gridCol w:w="1700"/>
      </w:tblGrid>
      <w:tr>
        <w:tblPrEx>
          <w:tblLayout w:type="fixed"/>
        </w:tblPrEx>
        <w:trPr>
          <w:trHeight w:val="276" w:hRule="atLeast"/>
        </w:trPr>
        <w:tc>
          <w:tcPr>
            <w:tcW w:w="2740" w:type="dxa"/>
            <w:tcBorders>
              <w:top w:val="nil"/>
              <w:left w:val="nil"/>
              <w:bottom w:val="double" w:color="auto" w:sz="6" w:space="0"/>
              <w:right w:val="nil"/>
            </w:tcBorders>
            <w:shd w:val="clear" w:color="auto" w:fill="auto"/>
            <w:noWrap/>
            <w:vAlign w:val="bottom"/>
          </w:tcPr>
          <w:p>
            <w:pPr>
              <w:widowControl/>
              <w:jc w:val="left"/>
              <w:rPr>
                <w:rFonts w:ascii="Arial" w:hAnsi="Arial" w:eastAsia="宋体" w:cs="Arial"/>
                <w:kern w:val="0"/>
                <w:sz w:val="20"/>
                <w:szCs w:val="20"/>
                <w:lang w:val="en-US"/>
              </w:rPr>
            </w:pPr>
            <w:r>
              <w:rPr>
                <w:rFonts w:ascii="Arial" w:hAnsi="Arial" w:eastAsia="宋体" w:cs="Arial"/>
                <w:kern w:val="0"/>
                <w:sz w:val="20"/>
                <w:szCs w:val="20"/>
                <w:lang w:val="en-US"/>
              </w:rPr>
              <w:t>　</w:t>
            </w:r>
          </w:p>
        </w:tc>
        <w:tc>
          <w:tcPr>
            <w:tcW w:w="1700" w:type="dxa"/>
            <w:tcBorders>
              <w:top w:val="nil"/>
              <w:left w:val="nil"/>
              <w:bottom w:val="double" w:color="auto" w:sz="6" w:space="0"/>
              <w:right w:val="nil"/>
            </w:tcBorders>
            <w:shd w:val="clear" w:color="auto" w:fill="auto"/>
            <w:noWrap/>
            <w:vAlign w:val="bottom"/>
          </w:tcPr>
          <w:p>
            <w:pPr>
              <w:widowControl/>
              <w:jc w:val="center"/>
              <w:rPr>
                <w:rFonts w:ascii="Arial" w:hAnsi="Arial" w:eastAsia="宋体" w:cs="Arial"/>
                <w:b/>
                <w:bCs/>
                <w:kern w:val="0"/>
                <w:sz w:val="20"/>
                <w:szCs w:val="20"/>
                <w:lang w:val="en-US"/>
              </w:rPr>
            </w:pPr>
            <w:r>
              <w:rPr>
                <w:rFonts w:ascii="Arial" w:hAnsi="Arial" w:eastAsia="宋体" w:cs="Arial"/>
                <w:b/>
                <w:bCs/>
                <w:kern w:val="0"/>
                <w:sz w:val="20"/>
                <w:szCs w:val="20"/>
                <w:lang w:val="en-US"/>
              </w:rPr>
              <w:t>Value</w:t>
            </w:r>
          </w:p>
        </w:tc>
        <w:tc>
          <w:tcPr>
            <w:tcW w:w="1700" w:type="dxa"/>
            <w:tcBorders>
              <w:top w:val="nil"/>
              <w:left w:val="nil"/>
              <w:bottom w:val="double" w:color="auto" w:sz="6" w:space="0"/>
              <w:right w:val="nil"/>
            </w:tcBorders>
            <w:shd w:val="clear" w:color="auto" w:fill="auto"/>
            <w:noWrap/>
            <w:vAlign w:val="bottom"/>
          </w:tcPr>
          <w:p>
            <w:pPr>
              <w:widowControl/>
              <w:jc w:val="center"/>
              <w:rPr>
                <w:rFonts w:ascii="Arial" w:hAnsi="Arial" w:eastAsia="宋体" w:cs="Arial"/>
                <w:b/>
                <w:bCs/>
                <w:kern w:val="0"/>
                <w:sz w:val="20"/>
                <w:szCs w:val="20"/>
                <w:lang w:val="en-US"/>
              </w:rPr>
            </w:pPr>
            <w:r>
              <w:rPr>
                <w:rFonts w:ascii="Arial" w:hAnsi="Arial" w:eastAsia="宋体" w:cs="Arial"/>
                <w:b/>
                <w:bCs/>
                <w:kern w:val="0"/>
                <w:sz w:val="20"/>
                <w:szCs w:val="20"/>
                <w:lang w:val="en-US"/>
              </w:rPr>
              <w:t xml:space="preserve">Rarity </w:t>
            </w:r>
          </w:p>
        </w:tc>
        <w:tc>
          <w:tcPr>
            <w:tcW w:w="1700" w:type="dxa"/>
            <w:tcBorders>
              <w:top w:val="nil"/>
              <w:left w:val="nil"/>
              <w:bottom w:val="double" w:color="auto" w:sz="6" w:space="0"/>
              <w:right w:val="nil"/>
            </w:tcBorders>
            <w:shd w:val="clear" w:color="auto" w:fill="auto"/>
            <w:noWrap/>
            <w:vAlign w:val="bottom"/>
          </w:tcPr>
          <w:p>
            <w:pPr>
              <w:widowControl/>
              <w:jc w:val="center"/>
              <w:rPr>
                <w:rFonts w:ascii="Arial" w:hAnsi="Arial" w:eastAsia="宋体" w:cs="Arial"/>
                <w:b/>
                <w:bCs/>
                <w:kern w:val="0"/>
                <w:sz w:val="20"/>
                <w:szCs w:val="20"/>
                <w:lang w:val="en-US"/>
              </w:rPr>
            </w:pPr>
            <w:r>
              <w:rPr>
                <w:rFonts w:ascii="Arial" w:hAnsi="Arial" w:eastAsia="宋体" w:cs="Arial"/>
                <w:b/>
                <w:bCs/>
                <w:kern w:val="0"/>
                <w:sz w:val="20"/>
                <w:szCs w:val="20"/>
                <w:lang w:val="en-US"/>
              </w:rPr>
              <w:t xml:space="preserve">Inimitability </w:t>
            </w:r>
          </w:p>
        </w:tc>
        <w:tc>
          <w:tcPr>
            <w:tcW w:w="1700" w:type="dxa"/>
            <w:tcBorders>
              <w:top w:val="nil"/>
              <w:left w:val="nil"/>
              <w:bottom w:val="double" w:color="auto" w:sz="6" w:space="0"/>
              <w:right w:val="nil"/>
            </w:tcBorders>
            <w:shd w:val="clear" w:color="auto" w:fill="auto"/>
            <w:noWrap/>
            <w:vAlign w:val="bottom"/>
          </w:tcPr>
          <w:p>
            <w:pPr>
              <w:widowControl/>
              <w:jc w:val="center"/>
              <w:rPr>
                <w:rFonts w:ascii="Arial" w:hAnsi="Arial" w:eastAsia="宋体" w:cs="Arial"/>
                <w:b/>
                <w:bCs/>
                <w:kern w:val="0"/>
                <w:sz w:val="20"/>
                <w:szCs w:val="20"/>
                <w:lang w:val="en-US"/>
              </w:rPr>
            </w:pPr>
            <w:r>
              <w:rPr>
                <w:rFonts w:ascii="Arial" w:hAnsi="Arial" w:eastAsia="宋体" w:cs="Arial"/>
                <w:b/>
                <w:bCs/>
                <w:kern w:val="0"/>
                <w:sz w:val="20"/>
                <w:szCs w:val="20"/>
                <w:lang w:val="en-US"/>
              </w:rPr>
              <w:t>Organizational</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nil"/>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Scale</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nil"/>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Reputation</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nil"/>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 xml:space="preserve">Organizaional management </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nil"/>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 xml:space="preserve">Resource acquisition </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nil"/>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R&amp;D</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nil"/>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Promotion</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c>
          <w:tcPr>
            <w:tcW w:w="1700" w:type="dxa"/>
            <w:tcBorders>
              <w:top w:val="nil"/>
              <w:left w:val="nil"/>
              <w:bottom w:val="nil"/>
              <w:right w:val="nil"/>
            </w:tcBorders>
            <w:shd w:val="clear" w:color="auto" w:fill="auto"/>
            <w:noWrap/>
            <w:vAlign w:val="center"/>
          </w:tcPr>
          <w:p>
            <w:pPr>
              <w:widowControl/>
              <w:jc w:val="center"/>
              <w:rPr>
                <w:rFonts w:ascii="Arial" w:hAnsi="Arial" w:eastAsia="宋体" w:cs="Arial"/>
                <w:b/>
                <w:bCs/>
                <w:i/>
                <w:iCs/>
                <w:color w:val="222222"/>
                <w:kern w:val="0"/>
                <w:sz w:val="24"/>
                <w:szCs w:val="24"/>
                <w:lang w:val="en-US"/>
              </w:rPr>
            </w:pPr>
            <w:r>
              <w:rPr>
                <w:rFonts w:ascii="Arial" w:hAnsi="Arial" w:eastAsia="宋体" w:cs="Arial"/>
                <w:b/>
                <w:bCs/>
                <w:i/>
                <w:iCs/>
                <w:color w:val="222222"/>
                <w:kern w:val="0"/>
                <w:sz w:val="24"/>
                <w:szCs w:val="24"/>
                <w:lang w:val="en-US"/>
              </w:rPr>
              <w:t>√</w:t>
            </w:r>
          </w:p>
        </w:tc>
      </w:tr>
      <w:tr>
        <w:tblPrEx>
          <w:tblLayout w:type="fixed"/>
          <w:tblCellMar>
            <w:top w:w="0" w:type="dxa"/>
            <w:left w:w="108" w:type="dxa"/>
            <w:bottom w:w="0" w:type="dxa"/>
            <w:right w:w="108" w:type="dxa"/>
          </w:tblCellMar>
        </w:tblPrEx>
        <w:trPr>
          <w:trHeight w:val="399" w:hRule="atLeast"/>
        </w:trPr>
        <w:tc>
          <w:tcPr>
            <w:tcW w:w="2740" w:type="dxa"/>
            <w:tcBorders>
              <w:top w:val="nil"/>
              <w:left w:val="nil"/>
              <w:bottom w:val="double" w:color="auto" w:sz="6" w:space="0"/>
              <w:right w:val="nil"/>
            </w:tcBorders>
            <w:shd w:val="clear" w:color="auto" w:fill="auto"/>
            <w:noWrap/>
            <w:vAlign w:val="bottom"/>
          </w:tcPr>
          <w:p>
            <w:pPr>
              <w:widowControl/>
              <w:jc w:val="left"/>
              <w:rPr>
                <w:rFonts w:ascii="Arial" w:hAnsi="Arial" w:eastAsia="宋体" w:cs="Arial"/>
                <w:b/>
                <w:bCs/>
                <w:kern w:val="0"/>
                <w:sz w:val="20"/>
                <w:szCs w:val="20"/>
                <w:lang w:val="en-US"/>
              </w:rPr>
            </w:pPr>
            <w:r>
              <w:rPr>
                <w:rFonts w:ascii="Arial" w:hAnsi="Arial" w:eastAsia="宋体" w:cs="Arial"/>
                <w:b/>
                <w:bCs/>
                <w:kern w:val="0"/>
                <w:sz w:val="20"/>
                <w:szCs w:val="20"/>
                <w:lang w:val="en-US"/>
              </w:rPr>
              <w:t xml:space="preserve">Profitability </w:t>
            </w:r>
          </w:p>
        </w:tc>
        <w:tc>
          <w:tcPr>
            <w:tcW w:w="1700" w:type="dxa"/>
            <w:tcBorders>
              <w:top w:val="nil"/>
              <w:left w:val="nil"/>
              <w:bottom w:val="double" w:color="auto" w:sz="6" w:space="0"/>
              <w:right w:val="nil"/>
            </w:tcBorders>
            <w:shd w:val="clear" w:color="auto" w:fill="auto"/>
            <w:noWrap/>
            <w:vAlign w:val="center"/>
          </w:tcPr>
          <w:p>
            <w:pPr>
              <w:widowControl/>
              <w:jc w:val="center"/>
              <w:rPr>
                <w:rFonts w:ascii="Arial" w:hAnsi="Arial" w:eastAsia="宋体" w:cs="Arial"/>
                <w:b/>
                <w:bCs/>
                <w:i/>
                <w:iCs/>
                <w:color w:val="222222"/>
                <w:kern w:val="0"/>
                <w:sz w:val="20"/>
                <w:szCs w:val="20"/>
                <w:lang w:val="en-US"/>
              </w:rPr>
            </w:pPr>
            <w:r>
              <w:rPr>
                <w:rFonts w:ascii="Arial" w:hAnsi="Arial" w:eastAsia="宋体" w:cs="Arial"/>
                <w:b/>
                <w:bCs/>
                <w:i/>
                <w:iCs/>
                <w:color w:val="222222"/>
                <w:kern w:val="0"/>
                <w:sz w:val="20"/>
                <w:szCs w:val="20"/>
                <w:lang w:val="en-US"/>
              </w:rPr>
              <w:t>√</w:t>
            </w:r>
          </w:p>
        </w:tc>
        <w:tc>
          <w:tcPr>
            <w:tcW w:w="1700" w:type="dxa"/>
            <w:tcBorders>
              <w:top w:val="nil"/>
              <w:left w:val="nil"/>
              <w:bottom w:val="double" w:color="auto" w:sz="6" w:space="0"/>
              <w:right w:val="nil"/>
            </w:tcBorders>
            <w:shd w:val="clear" w:color="auto" w:fill="auto"/>
            <w:noWrap/>
            <w:vAlign w:val="center"/>
          </w:tcPr>
          <w:p>
            <w:pPr>
              <w:widowControl/>
              <w:jc w:val="center"/>
              <w:rPr>
                <w:rFonts w:ascii="Arial" w:hAnsi="Arial" w:eastAsia="宋体" w:cs="Arial"/>
                <w:b/>
                <w:bCs/>
                <w:i/>
                <w:iCs/>
                <w:color w:val="222222"/>
                <w:kern w:val="0"/>
                <w:sz w:val="20"/>
                <w:szCs w:val="20"/>
                <w:lang w:val="en-US"/>
              </w:rPr>
            </w:pPr>
            <w:r>
              <w:rPr>
                <w:rFonts w:ascii="Arial" w:hAnsi="Arial" w:eastAsia="宋体" w:cs="Arial"/>
                <w:b/>
                <w:bCs/>
                <w:i/>
                <w:iCs/>
                <w:color w:val="222222"/>
                <w:kern w:val="0"/>
                <w:sz w:val="20"/>
                <w:szCs w:val="20"/>
                <w:lang w:val="en-US"/>
              </w:rPr>
              <w:t>√</w:t>
            </w:r>
          </w:p>
        </w:tc>
        <w:tc>
          <w:tcPr>
            <w:tcW w:w="1700" w:type="dxa"/>
            <w:tcBorders>
              <w:top w:val="nil"/>
              <w:left w:val="nil"/>
              <w:bottom w:val="double" w:color="auto" w:sz="6" w:space="0"/>
              <w:right w:val="nil"/>
            </w:tcBorders>
            <w:shd w:val="clear" w:color="auto" w:fill="auto"/>
            <w:noWrap/>
            <w:vAlign w:val="center"/>
          </w:tcPr>
          <w:p>
            <w:pPr>
              <w:widowControl/>
              <w:jc w:val="center"/>
              <w:rPr>
                <w:rFonts w:ascii="Arial" w:hAnsi="Arial" w:eastAsia="宋体" w:cs="Arial"/>
                <w:b/>
                <w:bCs/>
                <w:i/>
                <w:iCs/>
                <w:color w:val="222222"/>
                <w:kern w:val="0"/>
                <w:sz w:val="20"/>
                <w:szCs w:val="20"/>
                <w:lang w:val="en-US"/>
              </w:rPr>
            </w:pPr>
            <w:r>
              <w:rPr>
                <w:rFonts w:ascii="Arial" w:hAnsi="Arial" w:eastAsia="宋体" w:cs="Arial"/>
                <w:b/>
                <w:bCs/>
                <w:i/>
                <w:iCs/>
                <w:color w:val="222222"/>
                <w:kern w:val="0"/>
                <w:sz w:val="20"/>
                <w:szCs w:val="20"/>
                <w:lang w:val="en-US"/>
              </w:rPr>
              <w:t>√</w:t>
            </w:r>
          </w:p>
        </w:tc>
        <w:tc>
          <w:tcPr>
            <w:tcW w:w="1700" w:type="dxa"/>
            <w:tcBorders>
              <w:top w:val="nil"/>
              <w:left w:val="nil"/>
              <w:bottom w:val="double" w:color="auto" w:sz="6" w:space="0"/>
              <w:right w:val="nil"/>
            </w:tcBorders>
            <w:shd w:val="clear" w:color="auto" w:fill="auto"/>
            <w:noWrap/>
            <w:vAlign w:val="center"/>
          </w:tcPr>
          <w:p>
            <w:pPr>
              <w:widowControl/>
              <w:jc w:val="center"/>
              <w:rPr>
                <w:rFonts w:ascii="Arial" w:hAnsi="Arial" w:eastAsia="宋体" w:cs="Arial"/>
                <w:b/>
                <w:bCs/>
                <w:i/>
                <w:iCs/>
                <w:color w:val="222222"/>
                <w:kern w:val="0"/>
                <w:sz w:val="20"/>
                <w:szCs w:val="20"/>
                <w:lang w:val="en-US"/>
              </w:rPr>
            </w:pPr>
            <w:r>
              <w:rPr>
                <w:rFonts w:ascii="Arial" w:hAnsi="Arial" w:eastAsia="宋体" w:cs="Arial"/>
                <w:b/>
                <w:bCs/>
                <w:i/>
                <w:iCs/>
                <w:color w:val="222222"/>
                <w:kern w:val="0"/>
                <w:sz w:val="20"/>
                <w:szCs w:val="20"/>
                <w:lang w:val="en-US"/>
              </w:rPr>
              <w:t>√</w:t>
            </w:r>
          </w:p>
        </w:tc>
      </w:tr>
    </w:tbl>
    <w:p>
      <w:pPr>
        <w:spacing w:before="156" w:beforeLines="50" w:after="156" w:afterLines="50" w:line="480" w:lineRule="auto"/>
        <w:rPr>
          <w:rFonts w:ascii="Arial Narrow" w:hAnsi="Arial Narrow" w:cs="Times New Roman"/>
          <w:sz w:val="28"/>
          <w:szCs w:val="28"/>
        </w:rPr>
      </w:pPr>
    </w:p>
    <w:p>
      <w:pPr>
        <w:rPr>
          <w:rFonts w:ascii="Arial Narrow" w:hAnsi="Arial Narrow" w:cs="Times New Roman"/>
          <w:sz w:val="28"/>
          <w:szCs w:val="28"/>
        </w:rPr>
      </w:pPr>
      <w:r>
        <w:rPr>
          <w:rFonts w:ascii="Arial Narrow" w:hAnsi="Arial Narrow" w:cs="Times New Roman"/>
          <w:sz w:val="28"/>
          <w:szCs w:val="28"/>
        </w:rPr>
        <w:br w:type="page"/>
      </w:r>
    </w:p>
    <w:p>
      <w:pPr>
        <w:pStyle w:val="13"/>
        <w:numPr>
          <w:ilvl w:val="1"/>
          <w:numId w:val="2"/>
        </w:numPr>
        <w:spacing w:before="156" w:beforeLines="50" w:after="156" w:afterLines="50" w:line="480" w:lineRule="auto"/>
        <w:ind w:firstLineChars="0"/>
        <w:outlineLvl w:val="1"/>
        <w:rPr>
          <w:rFonts w:ascii="Arial Narrow" w:hAnsi="Arial Narrow" w:cs="Times New Roman"/>
          <w:sz w:val="28"/>
          <w:szCs w:val="28"/>
        </w:rPr>
      </w:pPr>
      <w:bookmarkStart w:id="18" w:name="_Toc8392005"/>
      <w:r>
        <w:rPr>
          <w:rFonts w:ascii="Arial Narrow" w:hAnsi="Arial Narrow" w:cs="Times New Roman"/>
          <w:sz w:val="28"/>
          <w:szCs w:val="28"/>
        </w:rPr>
        <w:t>Micro environment analysis of Didi – Porter Five Forces Analysis</w:t>
      </w:r>
      <w:bookmarkEnd w:id="18"/>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porter five force analysis consists the bargaining power of buyers, suppliers, market entrants and substitutes, together with existing rivalry.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19" w:name="_Toc8392006"/>
      <w:bookmarkStart w:id="20" w:name="_Toc8391460"/>
      <w:r>
        <w:rPr>
          <w:rFonts w:ascii="Arial Narrow" w:hAnsi="Arial Narrow" w:cs="Times New Roman"/>
          <w:b/>
          <w:i/>
          <w:sz w:val="24"/>
          <w:szCs w:val="24"/>
        </w:rPr>
        <w:t>Bargaining power of buyers</w:t>
      </w:r>
      <w:bookmarkEnd w:id="19"/>
      <w:bookmarkEnd w:id="20"/>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buyers i.e. the customers in the market has low bargaining power as Didi has become the monopoly in the market. In the market expansion time of Didi, customers could obtain coupons or promotions every time they use the service. As the market expansion has almost completed, cost of acquiring new customers become lower, which lowers the bargaining power of customers.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21" w:name="_Toc8392007"/>
      <w:bookmarkStart w:id="22" w:name="_Toc8391461"/>
      <w:r>
        <w:rPr>
          <w:rFonts w:ascii="Arial Narrow" w:hAnsi="Arial Narrow" w:cs="Times New Roman"/>
          <w:b/>
          <w:i/>
          <w:sz w:val="24"/>
          <w:szCs w:val="24"/>
        </w:rPr>
        <w:t>Bargaining power of supplier</w:t>
      </w:r>
      <w:bookmarkEnd w:id="21"/>
      <w:bookmarkEnd w:id="22"/>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suppliers in this case are the drivers and car owners providing the services on the Didi platform. As Didi is providing a service other companies can also provide, the bargaining power of the suppliers is high. This is why the sharing percentage of the gain for the car drivers and owners is still high at the moment.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23" w:name="_Toc8391462"/>
      <w:bookmarkStart w:id="24" w:name="_Toc8392008"/>
      <w:r>
        <w:rPr>
          <w:rFonts w:ascii="Arial Narrow" w:hAnsi="Arial Narrow" w:cs="Times New Roman"/>
          <w:b/>
          <w:i/>
          <w:sz w:val="24"/>
          <w:szCs w:val="24"/>
        </w:rPr>
        <w:t>Marek entrants</w:t>
      </w:r>
      <w:bookmarkEnd w:id="23"/>
      <w:bookmarkEnd w:id="24"/>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market entrants can hardly compete with Didi at all market segments from low-cost car hailing to premium car hailing. However, the possible market entrants can adopt the strategy of taping the needs of specific market segment. Market entrants with the state-owned enterprises in Chin as investors have significantly higher funding capacity. The power of market entrants is high.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25" w:name="_Toc8392009"/>
      <w:bookmarkStart w:id="26" w:name="_Toc8391463"/>
      <w:r>
        <w:rPr>
          <w:rFonts w:ascii="Arial Narrow" w:hAnsi="Arial Narrow" w:cs="Times New Roman"/>
          <w:b/>
          <w:i/>
          <w:sz w:val="24"/>
          <w:szCs w:val="24"/>
        </w:rPr>
        <w:t>Market substitutes</w:t>
      </w:r>
      <w:bookmarkEnd w:id="25"/>
      <w:bookmarkEnd w:id="26"/>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There are almost no substitutes for the online car hailing services at the moment. As the customer habit being formed, with the monopoly position of Didi, the power of the market substitutes is low. During the publicity crisis when one of the Didi customers was killed, many customers were looking for substitutes of the Didi. However, except for the conventional taxi service there was no other alternative of Didi in many regional and local markets.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27" w:name="_Toc8392010"/>
      <w:bookmarkStart w:id="28" w:name="_Toc8391464"/>
      <w:r>
        <w:rPr>
          <w:rFonts w:ascii="Arial Narrow" w:hAnsi="Arial Narrow" w:cs="Times New Roman"/>
          <w:b/>
          <w:i/>
          <w:sz w:val="24"/>
          <w:szCs w:val="24"/>
        </w:rPr>
        <w:t>Existing market rivalry</w:t>
      </w:r>
      <w:bookmarkEnd w:id="27"/>
      <w:bookmarkEnd w:id="28"/>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As Uber China being acquired by Didi, and many other online car hailing service providers enjoying marginal market share, the power from existing market rivalry is medium. It is possible that by tapping into specific market segments, some competitors in the market can grow into competitive position against Didi. However, the investors in the market may not support the rising competitors as they were supporting Didi as Didi is now being invested by many leading investors in China as well in east Asia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{"citationItems":[{"id":"ITEM-1","itemData":{"ISBN":"9781526478566","author":[{"dropping-particle":"","family":"Ko","given":"Stephen","non-dropping-particle":"","parse-names":false,"suffix":""}],"collection-title":"SAGE Knowledge. Cases","id":"ITEM-1","issued":{"date-parts":[["2019"]]},"publisher":"SAGE Publications: SAGE Business Cases Originals","title":"Didi Chuxing: Expansion and Risk Management","type":"book"},"uris":["http://www.mendeley.com/documents/?uuid=fabeb9de-ee82-44a7-ae2d-8ec62d8d29fd"]}],"mendeley":{"formattedCitation":"(Ko, 2019)","plainTextFormattedCitation":"(Ko, 2019)","previouslyFormattedCitation":"(Ko,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(Ko, 2019)</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Porter Five Force analysis is summarized in the following graph. </w:t>
      </w:r>
    </w:p>
    <w:p>
      <w:pPr>
        <w:spacing w:before="156" w:beforeLines="50" w:after="156" w:afterLines="50" w:line="48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4572000" cy="2736850"/>
            <wp:effectExtent l="0" t="0" r="0" b="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572396" cy="2737341"/>
                    </a:xfrm>
                    <a:prstGeom prst="rect">
                      <a:avLst/>
                    </a:prstGeom>
                  </pic:spPr>
                </pic:pic>
              </a:graphicData>
            </a:graphic>
          </wp:inline>
        </w:drawing>
      </w:r>
    </w:p>
    <w:p>
      <w:pPr>
        <w:rPr>
          <w:rFonts w:ascii="Times New Roman" w:hAnsi="Times New Roman" w:cs="Times New Roman"/>
          <w:sz w:val="24"/>
          <w:szCs w:val="24"/>
        </w:rPr>
      </w:pPr>
      <w:r>
        <w:rPr>
          <w:rFonts w:ascii="Times New Roman" w:hAnsi="Times New Roman" w:cs="Times New Roman"/>
          <w:sz w:val="24"/>
          <w:szCs w:val="24"/>
        </w:rPr>
        <w:br w:type="page"/>
      </w:r>
    </w:p>
    <w:p>
      <w:pPr>
        <w:pStyle w:val="13"/>
        <w:numPr>
          <w:ilvl w:val="1"/>
          <w:numId w:val="2"/>
        </w:numPr>
        <w:spacing w:before="156" w:beforeLines="50" w:after="156" w:afterLines="50" w:line="480" w:lineRule="auto"/>
        <w:ind w:firstLineChars="0"/>
        <w:outlineLvl w:val="1"/>
        <w:rPr>
          <w:rFonts w:ascii="Arial Narrow" w:hAnsi="Arial Narrow" w:cs="Times New Roman"/>
          <w:sz w:val="28"/>
          <w:szCs w:val="28"/>
        </w:rPr>
      </w:pPr>
      <w:bookmarkStart w:id="29" w:name="_Toc8392011"/>
      <w:r>
        <w:rPr>
          <w:rFonts w:ascii="Arial Narrow" w:hAnsi="Arial Narrow" w:cs="Times New Roman"/>
          <w:sz w:val="28"/>
          <w:szCs w:val="28"/>
        </w:rPr>
        <w:t>Macro environment analysis – PEST Analysis</w:t>
      </w:r>
      <w:bookmarkEnd w:id="29"/>
    </w:p>
    <w:p>
      <w:pPr>
        <w:spacing w:before="156" w:beforeLines="50"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P</w:t>
      </w:r>
      <w:r>
        <w:rPr>
          <w:rFonts w:ascii="Times New Roman" w:hAnsi="Times New Roman" w:cs="Times New Roman"/>
          <w:sz w:val="24"/>
          <w:szCs w:val="24"/>
        </w:rPr>
        <w:t xml:space="preserve">EST analysis is the assessment of the political, economic, social and technological factors that are influential to the enterprise.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30" w:name="_Toc8391466"/>
      <w:bookmarkStart w:id="31" w:name="_Toc8392012"/>
      <w:r>
        <w:rPr>
          <w:rFonts w:ascii="Arial Narrow" w:hAnsi="Arial Narrow" w:cs="Times New Roman"/>
          <w:b/>
          <w:i/>
          <w:sz w:val="24"/>
          <w:szCs w:val="24"/>
        </w:rPr>
        <w:t>Political</w:t>
      </w:r>
      <w:bookmarkEnd w:id="30"/>
      <w:bookmarkEnd w:id="31"/>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Political factors are crucial for enterprises. It is even more important for Didi as the company is now the monopoly in the Chinese market.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political environment in Chin is stable. During recent years the central government is putting looser regulations and lowering the entry requirements of many industries. In 2018 the central government launched a series of tax reduction and exemption policies for private companies. Didi was selected as the shining example of the Chinese rising sharing economy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BN":"1450349137","author":[{"dropping-particle":"","family":"Fang","given":"Zhixuan","non-dropping-particle":"","parse-names":false,"suffix":""},{"dropping-particle":"","family":"Huang","given":"Longbo","non-dropping-particle":"","parse-names":false,"suffix":""},{"dropping-particle":"","family":"Wierman","given":"Adam","non-dropping-particle":"","parse-names":false,"suffix":""}],"container-title":"Proceedings of the 26th International Conference on World Wide Web","id":"ITEM-1","issued":{"date-parts":[["2017"]]},"page":"53-62","publisher":"International World Wide Web Conferences Steering Committee","title":"Prices and subsidies in the sharing economy","type":"paper-conference"},"uris":["http://www.mendeley.com/documents/?uuid=7766d863-f89b-4237-b8ae-5d62648d42ac"]}],"mendeley":{"formattedCitation":"(Fang, Huang and Wierman, 2017)","plainTextFormattedCitation":"(Fang, Huang and Wierman, 2017)","previouslyFormattedCitation":"(Fang, Huang and Wierman,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(Fang, Huang and Wierman, 2017)</w:t>
      </w:r>
      <w:r>
        <w:rPr>
          <w:rFonts w:ascii="Times New Roman" w:hAnsi="Times New Roman" w:cs="Times New Roman"/>
          <w:sz w:val="24"/>
          <w:szCs w:val="24"/>
        </w:rPr>
        <w:fldChar w:fldCharType="end"/>
      </w:r>
      <w:r>
        <w:rPr>
          <w:rFonts w:ascii="Times New Roman" w:hAnsi="Times New Roman" w:cs="Times New Roman"/>
          <w:sz w:val="24"/>
          <w:szCs w:val="24"/>
        </w:rPr>
        <w:t>. The overall political environment is generally positively affecting the company.</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However, the scandals and crises of the company, as well as its monopoly position in the market have attracted high level of attention from regulatory bodies of online service in China. As Didi is impacting many local taxi businesses, many local governments have been strongly against the company. As a response of the scandals happened in the services provided by the company, CEO and COO of Didi have been called by the regulatory bodies several times to explain their current pricing strategy and justify their effort in maintaining the security of customers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{"citationItems":[{"id":"ITEM-1","itemData":{"URL":"https://www.nytimes.com/2018/08/26/business/didi-chuxing-murder-rape-women.html","accessed":{"date-parts":[["2019","5","10"]]},"author":[{"dropping-particle":"","family":"Sui-Lee Wee","given":"","non-dropping-particle":"","parse-names":false,"suffix":""}],"container-title":"New York Times","id":"ITEM-1","issued":{"date-parts":[["2018"]]},"title":"Didi Suspends Carpooling Service in China After 2nd Passenger Is Killed - The New York Times","type":"webpage"},"uris":["http://www.mendeley.com/documents/?uuid=4aecdd0d-49b3-3a2e-a69d-ae0847cedf16"]}],"mendeley":{"formattedCitation":"(Sui-Lee Wee, 2018)","plainTextFormattedCitation":"(Sui-Lee Wee, 2018)","previouslyFormattedCitation":"(Sui-Lee Wee,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(Sui-Lee Wee, 2018)</w:t>
      </w:r>
      <w:r>
        <w:rPr>
          <w:rFonts w:ascii="Times New Roman" w:hAnsi="Times New Roman" w:cs="Times New Roman"/>
          <w:sz w:val="24"/>
          <w:szCs w:val="24"/>
        </w:rPr>
        <w:fldChar w:fldCharType="end"/>
      </w:r>
      <w:r>
        <w:rPr>
          <w:rFonts w:ascii="Times New Roman" w:hAnsi="Times New Roman" w:cs="Times New Roman"/>
          <w:sz w:val="24"/>
          <w:szCs w:val="24"/>
        </w:rPr>
        <w:t xml:space="preserve">. </w:t>
      </w:r>
    </w:p>
    <w:p>
      <w:pPr>
        <w:rPr>
          <w:rFonts w:ascii="Times New Roman" w:hAnsi="Times New Roman" w:cs="Times New Roman"/>
          <w:sz w:val="24"/>
          <w:szCs w:val="24"/>
        </w:rPr>
      </w:pPr>
      <w:r>
        <w:rPr>
          <w:rFonts w:ascii="Times New Roman" w:hAnsi="Times New Roman" w:cs="Times New Roman"/>
          <w:sz w:val="24"/>
          <w:szCs w:val="24"/>
        </w:rPr>
        <w:br w:type="page"/>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32" w:name="_Toc8391467"/>
      <w:bookmarkStart w:id="33" w:name="_Toc8392013"/>
      <w:r>
        <w:rPr>
          <w:rFonts w:ascii="Arial Narrow" w:hAnsi="Arial Narrow" w:cs="Times New Roman"/>
          <w:b/>
          <w:i/>
          <w:sz w:val="24"/>
          <w:szCs w:val="24"/>
        </w:rPr>
        <w:t>Economic</w:t>
      </w:r>
      <w:bookmarkEnd w:id="32"/>
      <w:bookmarkEnd w:id="33"/>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Chinese economy is experiencing a consumption upgrade with the proportion of service industry continue to increase as shown in the figure below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{"citationItems":[{"id":"ITEM-1","itemData":{"URL":"https://www.worldbank.org/en/country/china","accessed":{"date-parts":[["2019","5","3"]]},"author":[{"dropping-particle":"","family":"World Bank","given":"","non-dropping-particle":"","parse-names":false,"suffix":""}],"id":"ITEM-1","issued":{"date-parts":[["2019"]]},"title":"China Home","type":"webpage"},"uris":["http://www.mendeley.com/documents/?uuid=80edb2d0-69f2-3f16-88ba-f9b76043da84"]}],"mendeley":{"formattedCitation":"(World Bank, 2019)","plainTextFormattedCitation":"(World Bank, 2019)","previouslyFormattedCitation":"(World Bank, 2019)"},"properties":{"noteIndex":0},"schema":"https://github.com/citation-style-language/schema/raw/master/csl-citation.json"}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(World Bank, 2019)</w:t>
      </w:r>
      <w:r>
        <w:rPr>
          <w:rFonts w:ascii="Times New Roman" w:hAnsi="Times New Roman" w:cs="Times New Roman"/>
          <w:sz w:val="24"/>
          <w:szCs w:val="24"/>
        </w:rPr>
        <w:fldChar w:fldCharType="end"/>
      </w:r>
      <w:r>
        <w:rPr>
          <w:rFonts w:ascii="Times New Roman" w:hAnsi="Times New Roman" w:cs="Times New Roman"/>
          <w:sz w:val="24"/>
          <w:szCs w:val="24"/>
        </w:rPr>
        <w:t xml:space="preserve">. Though the GDP per capita growth has slowed, the disposable income of Chinese is still increasing. </w:t>
      </w:r>
    </w:p>
    <w:p>
      <w:pPr>
        <w:spacing w:before="156" w:beforeLines="50" w:after="156" w:afterLines="50" w:line="480" w:lineRule="auto"/>
        <w:jc w:val="center"/>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3543935" cy="2125980"/>
            <wp:effectExtent l="0" t="0" r="0" b="7620"/>
            <wp:docPr id="15" name="图片 15" descr="图片包含 文字&#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图片包含 文字&#10;&#10;已生成极高可信度的说明"/>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566528" cy="2139332"/>
                    </a:xfrm>
                    <a:prstGeom prst="rect">
                      <a:avLst/>
                    </a:prstGeom>
                  </pic:spPr>
                </pic:pic>
              </a:graphicData>
            </a:graphic>
          </wp:inline>
        </w:drawing>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car hailing services provided by Didi and its competitors have changed the way how Chinese commute and travel. With the consumption upgrade ongoing, more people are welcoming the car hailing services.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34" w:name="_Toc8391468"/>
      <w:bookmarkStart w:id="35" w:name="_Toc8392014"/>
      <w:r>
        <w:rPr>
          <w:rFonts w:ascii="Arial Narrow" w:hAnsi="Arial Narrow" w:cs="Times New Roman"/>
          <w:b/>
          <w:i/>
          <w:sz w:val="24"/>
          <w:szCs w:val="24"/>
        </w:rPr>
        <w:t>Social</w:t>
      </w:r>
      <w:bookmarkEnd w:id="34"/>
      <w:bookmarkEnd w:id="35"/>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lang w:val="en"/>
        </w:rPr>
        <w:t xml:space="preserve">In the Internet era, people's way of life and consumption concept compared with the traditional society has been very different, e-commerce has become an indispensable tool for people to use in all aspects. China has high mobile internet penetration especially in the developed cities. People are accustomed to use mobile based services in daily lives. In addition, people pay more attention to the quality of life, car hailing service as a convenient and comfortable transportation method has become the option of more and more Chinese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{"citationItems":[{"id":"ITEM-1","itemData":{"author":[{"dropping-particle":"","family":"Goldman","given":"","non-dropping-particle":"","parse-names":false,"suffix":""}],"id":"ITEM-1","issued":{"date-parts":[["2017"]]},"title":"Rethinking Mobility: The 'pay as you go' car: Ride hailing just the start","type":"report"},"uris":["http://www.mendeley.com/documents/?uuid=05d5faf4-a2e0-342d-82cc-91cb0d9e1f6b"]}],"mendeley":{"formattedCitation":"(Goldman, 2017)","plainTextFormattedCitation":"(Goldman, 2017)","previouslyFormattedCitation":"(Goldman, 2017)"},"properties":{"noteIndex":0},"schema":"https://github.com/citation-style-language/schema/raw/master/csl-citation.json"}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(Goldman, 2017)</w:t>
      </w:r>
      <w:r>
        <w:rPr>
          <w:rFonts w:ascii="Times New Roman" w:hAnsi="Times New Roman" w:cs="Times New Roman"/>
          <w:sz w:val="24"/>
          <w:szCs w:val="24"/>
          <w:lang w:val="en"/>
        </w:rPr>
        <w:fldChar w:fldCharType="end"/>
      </w:r>
      <w:r>
        <w:rPr>
          <w:rFonts w:ascii="Times New Roman" w:hAnsi="Times New Roman" w:cs="Times New Roman"/>
          <w:sz w:val="24"/>
          <w:szCs w:val="24"/>
          <w:lang w:val="en"/>
        </w:rPr>
        <w:t xml:space="preserve">. On the one hand, the current traffic situation of China's big cities is still worsening with poor public transport and infrastructure construction. Before the time of Didi, many Chinese found it extremely difficult to get a taxi with normal price.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36" w:name="_Toc8391469"/>
      <w:bookmarkStart w:id="37" w:name="_Toc8392015"/>
      <w:r>
        <w:rPr>
          <w:rFonts w:ascii="Arial Narrow" w:hAnsi="Arial Narrow" w:cs="Times New Roman"/>
          <w:b/>
          <w:i/>
          <w:sz w:val="24"/>
          <w:szCs w:val="24"/>
        </w:rPr>
        <w:t>Technological</w:t>
      </w:r>
      <w:bookmarkEnd w:id="36"/>
      <w:bookmarkEnd w:id="37"/>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Technological factors are demanding Didi to catch up with latest technological development agilely. The rising and wide application of mobile internet technology was the underlying technological factor that Didi could be founded in the beginning. The company has been providing more accessible services than its competitors, based on its strong technological engineering team. The rising of Big Data technologies and cloud computing technologies have been providing the companies with competitive advantages as it has enormous user base. The wide application of mobile payment technology was the technological factor that Didi can become a national level service provider. With the emerging artificial intelligence and deep learning, Didi is facing another wave of challenges on whether it can fully leverage the power of these technologies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ISSN":"0921-030X","author":[{"dropping-particle":"","family":"Zhu","given":"Guowei","non-dropping-particle":"","parse-names":false,"suffix":""},{"dropping-particle":"","family":"Li","given":"Hongshan","non-dropping-particle":"","parse-names":false,"suffix":""},{"dropping-particle":"","family":"Zhou","given":"Li","non-dropping-particle":"","parse-names":false,"suffix":""}],"container-title":"Natural Hazards","id":"ITEM-1","issue":"2","issued":{"date-parts":[["2018"]]},"page":"611-633","publisher":"Springer","title":"Enhancing the development of sharing economy to mitigate the carbon emission: a case study of online ride-hailing development in China","type":"article-journal","volume":"91"},"uris":["http://www.mendeley.com/documents/?uuid=0dbb28f3-8a03-43a5-8429-21bf0d799465"]}],"mendeley":{"formattedCitation":"(Zhu, Li and Zhou, 2018)","plainTextFormattedCitation":"(Zhu, Li and Zhou, 2018)","previouslyFormattedCitation":"(Zhu, Li and Zhou, 2018)"},"properties":{"noteIndex":0},"schema":"https://github.com/citation-style-language/schema/raw/master/csl-citation.json"}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(Zhu, Li and Zhou, 2018)</w:t>
      </w:r>
      <w:r>
        <w:rPr>
          <w:rFonts w:ascii="Times New Roman" w:hAnsi="Times New Roman" w:cs="Times New Roman"/>
          <w:sz w:val="24"/>
          <w:szCs w:val="24"/>
        </w:rPr>
        <w:fldChar w:fldCharType="end"/>
      </w:r>
      <w:r>
        <w:rPr>
          <w:rFonts w:ascii="Times New Roman" w:hAnsi="Times New Roman" w:cs="Times New Roman"/>
          <w:sz w:val="24"/>
          <w:szCs w:val="24"/>
        </w:rPr>
        <w:t xml:space="preserve">. Many car hailing service providers in the world are using these technologies to better predict the needs from the customers and better allocate the car resource.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38" w:name="_Toc8391470"/>
      <w:bookmarkStart w:id="39" w:name="_Toc8392016"/>
      <w:r>
        <w:rPr>
          <w:rFonts w:ascii="Arial Narrow" w:hAnsi="Arial Narrow" w:cs="Times New Roman"/>
          <w:b/>
          <w:i/>
          <w:sz w:val="24"/>
          <w:szCs w:val="24"/>
        </w:rPr>
        <w:t>Sum-up of internal and external analysis</w:t>
      </w:r>
      <w:bookmarkEnd w:id="38"/>
      <w:bookmarkEnd w:id="39"/>
      <w:r>
        <w:rPr>
          <w:rFonts w:ascii="Arial Narrow" w:hAnsi="Arial Narrow" w:cs="Times New Roman"/>
          <w:b/>
          <w:i/>
          <w:sz w:val="24"/>
          <w:szCs w:val="24"/>
        </w:rPr>
        <w:t xml:space="preserve"> </w:t>
      </w:r>
    </w:p>
    <w:p>
      <w:pPr>
        <w:tabs>
          <w:tab w:val="left" w:pos="708"/>
        </w:tabs>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internal and external analysis of Didi shows that the company is facing certain challenges from the external environment such as the regulations and market entrants. The company also have many opportunities such as the emerging technologies. The company is now dominant in the Chinese market and expanding in overseas market. Based on the above analyses this report formulates a SWOT analysis of the company in the following part. </w:t>
      </w:r>
    </w:p>
    <w:p>
      <w:pPr>
        <w:rPr>
          <w:rFonts w:ascii="Times New Roman" w:hAnsi="Times New Roman" w:cs="Times New Roman"/>
          <w:sz w:val="24"/>
          <w:szCs w:val="24"/>
        </w:rPr>
      </w:pPr>
      <w:r>
        <w:rPr>
          <w:rFonts w:ascii="Times New Roman" w:hAnsi="Times New Roman" w:cs="Times New Roman"/>
          <w:sz w:val="24"/>
          <w:szCs w:val="24"/>
        </w:rPr>
        <w:br w:type="page"/>
      </w:r>
    </w:p>
    <w:p>
      <w:pPr>
        <w:pStyle w:val="13"/>
        <w:numPr>
          <w:ilvl w:val="1"/>
          <w:numId w:val="2"/>
        </w:numPr>
        <w:spacing w:before="156" w:beforeLines="50" w:after="156" w:afterLines="50" w:line="480" w:lineRule="auto"/>
        <w:ind w:firstLineChars="0"/>
        <w:outlineLvl w:val="1"/>
        <w:rPr>
          <w:rFonts w:ascii="Arial Narrow" w:hAnsi="Arial Narrow" w:cs="Times New Roman"/>
          <w:sz w:val="28"/>
          <w:szCs w:val="28"/>
        </w:rPr>
      </w:pPr>
      <w:bookmarkStart w:id="40" w:name="_Toc8392017"/>
      <w:r>
        <w:rPr>
          <w:rFonts w:hint="eastAsia" w:ascii="Arial Narrow" w:hAnsi="Arial Narrow" w:cs="Times New Roman"/>
          <w:sz w:val="28"/>
          <w:szCs w:val="28"/>
        </w:rPr>
        <w:t>S</w:t>
      </w:r>
      <w:r>
        <w:rPr>
          <w:rFonts w:ascii="Arial Narrow" w:hAnsi="Arial Narrow" w:cs="Times New Roman"/>
          <w:sz w:val="28"/>
          <w:szCs w:val="28"/>
        </w:rPr>
        <w:t>WOT Analysis</w:t>
      </w:r>
      <w:bookmarkEnd w:id="40"/>
    </w:p>
    <w:tbl>
      <w:tblPr>
        <w:tblStyle w:val="8"/>
        <w:tblW w:w="6880" w:type="dxa"/>
        <w:tblInd w:w="0" w:type="dxa"/>
        <w:tblLayout w:type="fixed"/>
        <w:tblCellMar>
          <w:top w:w="0" w:type="dxa"/>
          <w:left w:w="108" w:type="dxa"/>
          <w:bottom w:w="0" w:type="dxa"/>
          <w:right w:w="108" w:type="dxa"/>
        </w:tblCellMar>
      </w:tblPr>
      <w:tblGrid>
        <w:gridCol w:w="3440"/>
        <w:gridCol w:w="3440"/>
      </w:tblGrid>
      <w:tr>
        <w:tblPrEx>
          <w:tblLayout w:type="fixed"/>
          <w:tblCellMar>
            <w:top w:w="0" w:type="dxa"/>
            <w:left w:w="108" w:type="dxa"/>
            <w:bottom w:w="0" w:type="dxa"/>
            <w:right w:w="108" w:type="dxa"/>
          </w:tblCellMar>
        </w:tblPrEx>
        <w:trPr>
          <w:trHeight w:val="288" w:hRule="atLeast"/>
        </w:trPr>
        <w:tc>
          <w:tcPr>
            <w:tcW w:w="3440" w:type="dxa"/>
            <w:tcBorders>
              <w:top w:val="nil"/>
              <w:left w:val="nil"/>
              <w:bottom w:val="single" w:color="000000" w:sz="12" w:space="0"/>
              <w:right w:val="double" w:color="1F497D" w:sz="6" w:space="0"/>
            </w:tcBorders>
            <w:shd w:val="clear" w:color="auto" w:fill="auto"/>
            <w:noWrap/>
            <w:vAlign w:val="center"/>
          </w:tcPr>
          <w:p>
            <w:pPr>
              <w:widowControl/>
              <w:jc w:val="center"/>
              <w:rPr>
                <w:rFonts w:ascii="Arial" w:hAnsi="Arial" w:eastAsia="宋体" w:cs="Arial"/>
                <w:b/>
                <w:bCs/>
                <w:i/>
                <w:iCs/>
                <w:color w:val="000000"/>
                <w:kern w:val="0"/>
                <w:sz w:val="20"/>
                <w:szCs w:val="20"/>
                <w:lang w:val="en-US"/>
              </w:rPr>
            </w:pPr>
            <w:r>
              <w:rPr>
                <w:rFonts w:ascii="Arial" w:hAnsi="Arial" w:eastAsia="宋体" w:cs="Arial"/>
                <w:b/>
                <w:bCs/>
                <w:i/>
                <w:iCs/>
                <w:color w:val="000000"/>
                <w:kern w:val="0"/>
                <w:sz w:val="20"/>
                <w:szCs w:val="20"/>
                <w:lang w:val="en-US"/>
              </w:rPr>
              <w:t>Strength</w:t>
            </w:r>
          </w:p>
        </w:tc>
        <w:tc>
          <w:tcPr>
            <w:tcW w:w="3440" w:type="dxa"/>
            <w:tcBorders>
              <w:top w:val="nil"/>
              <w:left w:val="nil"/>
              <w:bottom w:val="single" w:color="000000" w:sz="12" w:space="0"/>
              <w:right w:val="nil"/>
            </w:tcBorders>
            <w:shd w:val="clear" w:color="auto" w:fill="auto"/>
            <w:noWrap/>
            <w:vAlign w:val="center"/>
          </w:tcPr>
          <w:p>
            <w:pPr>
              <w:widowControl/>
              <w:jc w:val="center"/>
              <w:rPr>
                <w:rFonts w:ascii="Arial" w:hAnsi="Arial" w:eastAsia="宋体" w:cs="Arial"/>
                <w:b/>
                <w:bCs/>
                <w:i/>
                <w:iCs/>
                <w:color w:val="000000"/>
                <w:kern w:val="0"/>
                <w:sz w:val="20"/>
                <w:szCs w:val="20"/>
                <w:lang w:val="en-US"/>
              </w:rPr>
            </w:pPr>
            <w:r>
              <w:rPr>
                <w:rFonts w:ascii="Arial" w:hAnsi="Arial" w:eastAsia="宋体" w:cs="Arial"/>
                <w:b/>
                <w:bCs/>
                <w:i/>
                <w:iCs/>
                <w:color w:val="000000"/>
                <w:kern w:val="0"/>
                <w:sz w:val="20"/>
                <w:szCs w:val="20"/>
                <w:lang w:val="en-US"/>
              </w:rPr>
              <w:t>Weakness</w:t>
            </w:r>
          </w:p>
        </w:tc>
      </w:tr>
      <w:tr>
        <w:tblPrEx>
          <w:tblLayout w:type="fixed"/>
          <w:tblCellMar>
            <w:top w:w="0" w:type="dxa"/>
            <w:left w:w="108" w:type="dxa"/>
            <w:bottom w:w="0" w:type="dxa"/>
            <w:right w:w="108" w:type="dxa"/>
          </w:tblCellMar>
        </w:tblPrEx>
        <w:trPr>
          <w:trHeight w:val="1599" w:hRule="atLeast"/>
        </w:trPr>
        <w:tc>
          <w:tcPr>
            <w:tcW w:w="3440" w:type="dxa"/>
            <w:tcBorders>
              <w:top w:val="nil"/>
              <w:left w:val="nil"/>
              <w:bottom w:val="double" w:color="1F497D" w:sz="6" w:space="0"/>
              <w:right w:val="double" w:color="1F497D" w:sz="6" w:space="0"/>
            </w:tcBorders>
            <w:shd w:val="clear" w:color="auto" w:fill="auto"/>
          </w:tcPr>
          <w:p>
            <w:pPr>
              <w:widowControl/>
              <w:jc w:val="left"/>
              <w:rPr>
                <w:rFonts w:ascii="Arial Narrow" w:hAnsi="Arial Narrow" w:eastAsia="宋体" w:cs="Arial"/>
                <w:b/>
                <w:bCs/>
                <w:kern w:val="0"/>
                <w:sz w:val="20"/>
                <w:szCs w:val="20"/>
                <w:lang w:val="en-US"/>
              </w:rPr>
            </w:pPr>
            <w:r>
              <w:rPr>
                <w:rFonts w:ascii="Arial Narrow" w:hAnsi="Arial Narrow" w:eastAsia="宋体" w:cs="Arial"/>
                <w:b/>
                <w:bCs/>
                <w:kern w:val="0"/>
                <w:sz w:val="20"/>
                <w:szCs w:val="20"/>
                <w:lang w:val="en-US"/>
              </w:rPr>
              <w:t>1. Dominant position in the market</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2. Strong organizational management and organization operating capacity</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3. Strong funding capacity</w:t>
            </w:r>
          </w:p>
        </w:tc>
        <w:tc>
          <w:tcPr>
            <w:tcW w:w="3440" w:type="dxa"/>
            <w:tcBorders>
              <w:top w:val="nil"/>
              <w:left w:val="nil"/>
              <w:bottom w:val="double" w:color="1F497D" w:sz="6" w:space="0"/>
              <w:right w:val="nil"/>
            </w:tcBorders>
            <w:shd w:val="clear" w:color="auto" w:fill="auto"/>
          </w:tcPr>
          <w:p>
            <w:pPr>
              <w:widowControl/>
              <w:jc w:val="left"/>
              <w:rPr>
                <w:rFonts w:ascii="Arial Narrow" w:hAnsi="Arial Narrow" w:eastAsia="宋体" w:cs="Arial"/>
                <w:b/>
                <w:bCs/>
                <w:kern w:val="0"/>
                <w:sz w:val="20"/>
                <w:szCs w:val="20"/>
                <w:lang w:val="en-US"/>
              </w:rPr>
            </w:pPr>
            <w:r>
              <w:rPr>
                <w:rFonts w:ascii="Arial Narrow" w:hAnsi="Arial Narrow" w:eastAsia="宋体" w:cs="Arial"/>
                <w:b/>
                <w:bCs/>
                <w:kern w:val="0"/>
                <w:sz w:val="20"/>
                <w:szCs w:val="20"/>
                <w:lang w:val="en-US"/>
              </w:rPr>
              <w:t>1. Degrading reputation</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2. Low profitability</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3. Low loyalty of drivers and customers</w:t>
            </w:r>
          </w:p>
        </w:tc>
      </w:tr>
      <w:tr>
        <w:tblPrEx>
          <w:tblLayout w:type="fixed"/>
          <w:tblCellMar>
            <w:top w:w="0" w:type="dxa"/>
            <w:left w:w="108" w:type="dxa"/>
            <w:bottom w:w="0" w:type="dxa"/>
            <w:right w:w="108" w:type="dxa"/>
          </w:tblCellMar>
        </w:tblPrEx>
        <w:trPr>
          <w:trHeight w:val="288" w:hRule="atLeast"/>
        </w:trPr>
        <w:tc>
          <w:tcPr>
            <w:tcW w:w="3440" w:type="dxa"/>
            <w:tcBorders>
              <w:top w:val="nil"/>
              <w:left w:val="nil"/>
              <w:bottom w:val="single" w:color="000000" w:sz="12" w:space="0"/>
              <w:right w:val="double" w:color="1F497D" w:sz="6" w:space="0"/>
            </w:tcBorders>
            <w:shd w:val="clear" w:color="auto" w:fill="auto"/>
            <w:noWrap/>
            <w:vAlign w:val="center"/>
          </w:tcPr>
          <w:p>
            <w:pPr>
              <w:widowControl/>
              <w:jc w:val="center"/>
              <w:rPr>
                <w:rFonts w:ascii="Arial" w:hAnsi="Arial" w:eastAsia="宋体" w:cs="Arial"/>
                <w:b/>
                <w:bCs/>
                <w:i/>
                <w:iCs/>
                <w:color w:val="366092"/>
                <w:kern w:val="0"/>
                <w:sz w:val="20"/>
                <w:szCs w:val="20"/>
                <w:lang w:val="en-US"/>
              </w:rPr>
            </w:pPr>
            <w:r>
              <w:rPr>
                <w:rFonts w:ascii="Arial" w:hAnsi="Arial" w:eastAsia="宋体" w:cs="Arial"/>
                <w:b/>
                <w:bCs/>
                <w:i/>
                <w:iCs/>
                <w:color w:val="366092"/>
                <w:kern w:val="0"/>
                <w:sz w:val="20"/>
                <w:szCs w:val="20"/>
                <w:lang w:val="en-US"/>
              </w:rPr>
              <w:t>Opportunity</w:t>
            </w:r>
          </w:p>
        </w:tc>
        <w:tc>
          <w:tcPr>
            <w:tcW w:w="3440" w:type="dxa"/>
            <w:tcBorders>
              <w:top w:val="nil"/>
              <w:left w:val="nil"/>
              <w:bottom w:val="single" w:color="000000" w:sz="12" w:space="0"/>
              <w:right w:val="nil"/>
            </w:tcBorders>
            <w:shd w:val="clear" w:color="auto" w:fill="auto"/>
            <w:noWrap/>
            <w:vAlign w:val="center"/>
          </w:tcPr>
          <w:p>
            <w:pPr>
              <w:widowControl/>
              <w:jc w:val="center"/>
              <w:rPr>
                <w:rFonts w:ascii="Arial" w:hAnsi="Arial" w:eastAsia="宋体" w:cs="Arial"/>
                <w:b/>
                <w:bCs/>
                <w:i/>
                <w:iCs/>
                <w:color w:val="366092"/>
                <w:kern w:val="0"/>
                <w:sz w:val="20"/>
                <w:szCs w:val="20"/>
                <w:lang w:val="en-US"/>
              </w:rPr>
            </w:pPr>
            <w:r>
              <w:rPr>
                <w:rFonts w:ascii="Arial" w:hAnsi="Arial" w:eastAsia="宋体" w:cs="Arial"/>
                <w:b/>
                <w:bCs/>
                <w:i/>
                <w:iCs/>
                <w:color w:val="366092"/>
                <w:kern w:val="0"/>
                <w:sz w:val="20"/>
                <w:szCs w:val="20"/>
                <w:lang w:val="en-US"/>
              </w:rPr>
              <w:t>Threat</w:t>
            </w:r>
          </w:p>
        </w:tc>
      </w:tr>
      <w:tr>
        <w:tblPrEx>
          <w:tblLayout w:type="fixed"/>
          <w:tblCellMar>
            <w:top w:w="0" w:type="dxa"/>
            <w:left w:w="108" w:type="dxa"/>
            <w:bottom w:w="0" w:type="dxa"/>
            <w:right w:w="108" w:type="dxa"/>
          </w:tblCellMar>
        </w:tblPrEx>
        <w:trPr>
          <w:trHeight w:val="1599" w:hRule="atLeast"/>
        </w:trPr>
        <w:tc>
          <w:tcPr>
            <w:tcW w:w="3440" w:type="dxa"/>
            <w:tcBorders>
              <w:top w:val="nil"/>
              <w:left w:val="nil"/>
              <w:bottom w:val="nil"/>
              <w:right w:val="double" w:color="1F497D" w:sz="6" w:space="0"/>
            </w:tcBorders>
            <w:shd w:val="clear" w:color="auto" w:fill="auto"/>
          </w:tcPr>
          <w:p>
            <w:pPr>
              <w:widowControl/>
              <w:jc w:val="left"/>
              <w:rPr>
                <w:rFonts w:ascii="Arial Narrow" w:hAnsi="Arial Narrow" w:eastAsia="宋体" w:cs="Arial"/>
                <w:b/>
                <w:bCs/>
                <w:kern w:val="0"/>
                <w:sz w:val="20"/>
                <w:szCs w:val="20"/>
                <w:lang w:val="en-US"/>
              </w:rPr>
            </w:pPr>
            <w:r>
              <w:rPr>
                <w:rFonts w:ascii="Arial Narrow" w:hAnsi="Arial Narrow" w:eastAsia="宋体" w:cs="Arial"/>
                <w:b/>
                <w:bCs/>
                <w:kern w:val="0"/>
                <w:sz w:val="20"/>
                <w:szCs w:val="20"/>
                <w:lang w:val="en-US"/>
              </w:rPr>
              <w:t>1. Emerging technologies that could change the industry</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2. Consumption upgrade in China</w:t>
            </w:r>
          </w:p>
        </w:tc>
        <w:tc>
          <w:tcPr>
            <w:tcW w:w="3440" w:type="dxa"/>
            <w:tcBorders>
              <w:top w:val="nil"/>
              <w:left w:val="nil"/>
              <w:bottom w:val="nil"/>
              <w:right w:val="nil"/>
            </w:tcBorders>
            <w:shd w:val="clear" w:color="auto" w:fill="auto"/>
          </w:tcPr>
          <w:p>
            <w:pPr>
              <w:widowControl/>
              <w:jc w:val="left"/>
              <w:rPr>
                <w:rFonts w:ascii="Arial Narrow" w:hAnsi="Arial Narrow" w:eastAsia="宋体" w:cs="Arial"/>
                <w:b/>
                <w:bCs/>
                <w:kern w:val="0"/>
                <w:sz w:val="20"/>
                <w:szCs w:val="20"/>
                <w:lang w:val="en-US"/>
              </w:rPr>
            </w:pPr>
            <w:r>
              <w:rPr>
                <w:rFonts w:ascii="Arial Narrow" w:hAnsi="Arial Narrow" w:eastAsia="宋体" w:cs="Arial"/>
                <w:b/>
                <w:bCs/>
                <w:kern w:val="0"/>
                <w:sz w:val="20"/>
                <w:szCs w:val="20"/>
                <w:lang w:val="en-US"/>
              </w:rPr>
              <w:t>1. Market entrants with strong capital endorsement</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2. Stricter regulation</w:t>
            </w:r>
            <w:r>
              <w:rPr>
                <w:rFonts w:ascii="Arial Narrow" w:hAnsi="Arial Narrow" w:eastAsia="宋体" w:cs="Arial"/>
                <w:b/>
                <w:bCs/>
                <w:kern w:val="0"/>
                <w:sz w:val="20"/>
                <w:szCs w:val="20"/>
                <w:lang w:val="en-US"/>
              </w:rPr>
              <w:br w:type="textWrapping"/>
            </w:r>
            <w:r>
              <w:rPr>
                <w:rFonts w:ascii="Arial Narrow" w:hAnsi="Arial Narrow" w:eastAsia="宋体" w:cs="Arial"/>
                <w:b/>
                <w:bCs/>
                <w:kern w:val="0"/>
                <w:sz w:val="20"/>
                <w:szCs w:val="20"/>
                <w:lang w:val="en-US"/>
              </w:rPr>
              <w:t>3. Could be involved in anti-monopoly investigation</w:t>
            </w:r>
          </w:p>
        </w:tc>
      </w:tr>
    </w:tbl>
    <w:p>
      <w:pPr>
        <w:tabs>
          <w:tab w:val="left" w:pos="708"/>
        </w:tabs>
        <w:spacing w:before="156" w:beforeLines="50" w:after="156" w:afterLines="50" w:line="480" w:lineRule="auto"/>
        <w:rPr>
          <w:rFonts w:ascii="Times New Roman" w:hAnsi="Times New Roman" w:cs="Times New Roman"/>
          <w:sz w:val="24"/>
          <w:szCs w:val="24"/>
          <w:lang w:val="en-US"/>
        </w:rPr>
      </w:pPr>
    </w:p>
    <w:p>
      <w:pPr>
        <w:rPr>
          <w:rFonts w:ascii="Times New Roman" w:hAnsi="Times New Roman" w:cs="Times New Roman"/>
          <w:sz w:val="24"/>
          <w:szCs w:val="24"/>
          <w:lang w:val="en-US"/>
        </w:rPr>
      </w:pPr>
      <w:r>
        <w:rPr>
          <w:rFonts w:ascii="Times New Roman" w:hAnsi="Times New Roman" w:cs="Times New Roman"/>
          <w:sz w:val="24"/>
          <w:szCs w:val="24"/>
          <w:lang w:val="en-US"/>
        </w:rPr>
        <w:br w:type="page"/>
      </w:r>
    </w:p>
    <w:p>
      <w:pPr>
        <w:pStyle w:val="13"/>
        <w:numPr>
          <w:ilvl w:val="0"/>
          <w:numId w:val="1"/>
        </w:numPr>
        <w:ind w:firstLineChars="0"/>
        <w:outlineLvl w:val="0"/>
        <w:rPr>
          <w:rFonts w:ascii="Arial Narrow" w:hAnsi="Arial Narrow"/>
          <w:b/>
          <w:sz w:val="32"/>
        </w:rPr>
      </w:pPr>
      <w:bookmarkStart w:id="41" w:name="_Toc8392018"/>
      <w:r>
        <w:rPr>
          <w:rFonts w:hint="eastAsia" w:ascii="Arial Narrow" w:hAnsi="Arial Narrow"/>
          <w:b/>
          <w:sz w:val="32"/>
        </w:rPr>
        <w:t>St</w:t>
      </w:r>
      <w:r>
        <w:rPr>
          <w:rFonts w:ascii="Arial Narrow" w:hAnsi="Arial Narrow"/>
          <w:b/>
          <w:sz w:val="32"/>
        </w:rPr>
        <w:t>rategic Intent of Didi</w:t>
      </w:r>
      <w:bookmarkEnd w:id="41"/>
      <w:r>
        <w:rPr>
          <w:rFonts w:ascii="Arial Narrow" w:hAnsi="Arial Narrow"/>
          <w:b/>
          <w:sz w:val="32"/>
        </w:rPr>
        <w:t xml:space="preserve"> </w:t>
      </w:r>
    </w:p>
    <w:p>
      <w:pPr>
        <w:tabs>
          <w:tab w:val="left" w:pos="708"/>
        </w:tabs>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profitability of the company is not comparable with its customer base with more than one hundred million users and more than ten million premium service users. Despite its dominant position in the market, the company may find serious business development issues if the company failed to offer trust worthy one-stop transportation services to the customers. That is to cover car hailing, car rental as well as part of public transportation in the market. The company cannot maintain its funding capacity unless it can continue its user base growth. </w:t>
      </w:r>
    </w:p>
    <w:p>
      <w:pPr>
        <w:tabs>
          <w:tab w:val="left" w:pos="708"/>
        </w:tabs>
        <w:spacing w:before="156" w:beforeLines="50" w:after="156" w:afterLines="50" w:line="480" w:lineRule="auto"/>
        <w:rPr>
          <w:rFonts w:ascii="Times New Roman" w:hAnsi="Times New Roman" w:cs="Times New Roman"/>
          <w:sz w:val="24"/>
          <w:szCs w:val="24"/>
          <w:lang w:val="en-US"/>
        </w:rPr>
      </w:pPr>
      <w:r>
        <w:rPr>
          <w:rFonts w:ascii="Times New Roman" w:hAnsi="Times New Roman" w:cs="Times New Roman"/>
          <w:sz w:val="24"/>
          <w:szCs w:val="24"/>
          <w:lang w:val="en-US"/>
        </w:rPr>
        <w:t>The mission of the marketing plan and objective setting are thus stated as</w:t>
      </w:r>
      <w:r>
        <w:rPr>
          <w:rFonts w:hint="eastAsia" w:ascii="Times New Roman" w:hAnsi="Times New Roman" w:cs="Times New Roman"/>
          <w:sz w:val="24"/>
          <w:szCs w:val="24"/>
          <w:lang w:val="en-US"/>
        </w:rPr>
        <w:t>:</w:t>
      </w:r>
      <w:r>
        <w:rPr>
          <w:rFonts w:ascii="Times New Roman" w:hAnsi="Times New Roman" w:cs="Times New Roman"/>
          <w:sz w:val="24"/>
          <w:szCs w:val="24"/>
          <w:lang w:val="en-US"/>
        </w:rPr>
        <w:t xml:space="preserve"> D</w:t>
      </w:r>
      <w:r>
        <w:rPr>
          <w:rFonts w:hint="eastAsia" w:ascii="Times New Roman" w:hAnsi="Times New Roman" w:cs="Times New Roman"/>
          <w:sz w:val="24"/>
          <w:szCs w:val="24"/>
          <w:lang w:val="en-US"/>
        </w:rPr>
        <w:t>idi</w:t>
      </w:r>
      <w:r>
        <w:rPr>
          <w:rFonts w:ascii="Times New Roman" w:hAnsi="Times New Roman" w:cs="Times New Roman"/>
          <w:sz w:val="24"/>
          <w:szCs w:val="24"/>
          <w:lang w:val="en-US"/>
        </w:rPr>
        <w:t xml:space="preserve"> should expand its user base to three hundred million and become the globally largest one-stop transportation service provider. In every market segment of the transportation the company should aim for a penetration at least at 40%. The profitability of the company should be enhanced 5-10 folds comparing with current situation.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Based on the SWOT analysis, the marketing objective should aim at diversifying the business lines of the company as to penetrate into more market segments supported with growth strategy. This means that the company should leverage its dominant position in the market to gain market share in more market segments such as share bus, share bicycle and so on. By tapping into the public transportation market segment, the company can explore effective negotiation with central and local governments by investing in transportation infrastructures. </w:t>
      </w:r>
    </w:p>
    <w:p>
      <w:pPr>
        <w:rPr>
          <w:rFonts w:ascii="Times New Roman" w:hAnsi="Times New Roman" w:cs="Times New Roman"/>
          <w:sz w:val="24"/>
          <w:szCs w:val="24"/>
        </w:rPr>
      </w:pPr>
      <w:r>
        <w:rPr>
          <w:rFonts w:ascii="Times New Roman" w:hAnsi="Times New Roman" w:cs="Times New Roman"/>
          <w:sz w:val="24"/>
          <w:szCs w:val="24"/>
        </w:rPr>
        <w:br w:type="page"/>
      </w:r>
    </w:p>
    <w:p>
      <w:pPr>
        <w:pStyle w:val="13"/>
        <w:numPr>
          <w:ilvl w:val="0"/>
          <w:numId w:val="1"/>
        </w:numPr>
        <w:ind w:firstLineChars="0"/>
        <w:outlineLvl w:val="0"/>
        <w:rPr>
          <w:rFonts w:ascii="Arial Narrow" w:hAnsi="Arial Narrow"/>
          <w:b/>
          <w:sz w:val="32"/>
        </w:rPr>
      </w:pPr>
      <w:bookmarkStart w:id="42" w:name="_Toc8392019"/>
      <w:r>
        <w:rPr>
          <w:rFonts w:hint="eastAsia" w:ascii="Arial Narrow" w:hAnsi="Arial Narrow"/>
          <w:b/>
          <w:sz w:val="32"/>
        </w:rPr>
        <w:t>S</w:t>
      </w:r>
      <w:r>
        <w:rPr>
          <w:rFonts w:ascii="Arial Narrow" w:hAnsi="Arial Narrow"/>
          <w:b/>
          <w:sz w:val="32"/>
        </w:rPr>
        <w:t>TP of Didi in Chinese market</w:t>
      </w:r>
      <w:bookmarkEnd w:id="42"/>
      <w:r>
        <w:rPr>
          <w:rFonts w:ascii="Arial Narrow" w:hAnsi="Arial Narrow"/>
          <w:b/>
          <w:sz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STP is to define the market segmentation, targeting market and positioning of Didi in China.</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43" w:name="_Toc8392020"/>
      <w:bookmarkStart w:id="44" w:name="_Toc8391474"/>
      <w:r>
        <w:rPr>
          <w:rFonts w:ascii="Arial Narrow" w:hAnsi="Arial Narrow" w:cs="Times New Roman"/>
          <w:b/>
          <w:i/>
          <w:sz w:val="24"/>
          <w:szCs w:val="24"/>
        </w:rPr>
        <w:t>Segmentation</w:t>
      </w:r>
      <w:bookmarkEnd w:id="43"/>
      <w:bookmarkEnd w:id="44"/>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segmentation of the market is based on the income level of customers as this directly influences the willingness of customers to frequently use the car hailing services. The income inequality in China is large in different cities. The purchasing level of citizens in different cities also vary largely. As can be seen from the graph below </w:t>
      </w:r>
      <w:r>
        <w:rPr>
          <w:rFonts w:ascii="Times New Roman" w:hAnsi="Times New Roman" w:cs="Times New Roman"/>
          <w:sz w:val="24"/>
          <w:szCs w:val="24"/>
        </w:rPr>
        <w:fldChar w:fldCharType="begin" w:fldLock="1"/>
      </w:r>
      <w:r>
        <w:rPr>
          <w:rFonts w:ascii="Times New Roman" w:hAnsi="Times New Roman" w:cs="Times New Roman"/>
          <w:sz w:val="24"/>
          <w:szCs w:val="24"/>
        </w:rPr>
        <w:instrText xml:space="preserve">ADDIN CSL_CITATION {"citationItems":[{"id":"ITEM-1","itemData":{"URL":"https://www-statista-com.liverpool.idm.oclc.org/statistics/278857/consumption-expenditure-in-china-by-region/","accessed":{"date-parts":[["2019","5","10"]]},"author":[{"dropping-particle":"","family":"STATISTA","given":"","non-dropping-particle":"","parse-names":false,"suffix":""}],"id":"ITEM-1","issued":{"date-parts":[["2017"]]},"title":"• China: per capita annual consumption expenditure by region 2017 | Statistic","type":"webpage"},"uris":["http://www.mendeley.com/documents/?uuid=04a39e09-80ed-3c5c-b1ef-2d8dc7965333"]}],"mendeley":{"formattedCitation":"(STATISTA, 2017)","plainTextFormattedCitation":"(STATISTA, 2017)","previouslyFormattedCitation":"(STATISTA, 2017)"},"properties":{"noteIndex":0},"schema":"https://github.com/citation-style-language/schema/raw/master/csl-citation.json"}</w:instrText>
      </w:r>
      <w:r>
        <w:rPr>
          <w:rFonts w:ascii="Times New Roman" w:hAnsi="Times New Roman" w:cs="Times New Roman"/>
          <w:sz w:val="24"/>
          <w:szCs w:val="24"/>
        </w:rPr>
        <w:fldChar w:fldCharType="separate"/>
      </w:r>
      <w:r>
        <w:rPr>
          <w:rFonts w:ascii="Times New Roman" w:hAnsi="Times New Roman" w:cs="Times New Roman"/>
          <w:sz w:val="24"/>
          <w:szCs w:val="24"/>
        </w:rPr>
        <w:t>(STATISTA, 2017)</w:t>
      </w:r>
      <w:r>
        <w:rPr>
          <w:rFonts w:ascii="Times New Roman" w:hAnsi="Times New Roman" w:cs="Times New Roman"/>
          <w:sz w:val="24"/>
          <w:szCs w:val="24"/>
        </w:rPr>
        <w:fldChar w:fldCharType="end"/>
      </w:r>
      <w:r>
        <w:rPr>
          <w:rFonts w:ascii="Times New Roman" w:hAnsi="Times New Roman" w:cs="Times New Roman"/>
          <w:sz w:val="24"/>
          <w:szCs w:val="24"/>
        </w:rPr>
        <w:t>, the consumption expenditure largely varies in across the country.</w:t>
      </w:r>
    </w:p>
    <w:p>
      <w:pPr>
        <w:spacing w:before="156" w:beforeLines="50"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drawing>
          <wp:inline distT="0" distB="0" distL="0" distR="0">
            <wp:extent cx="5028565" cy="3238500"/>
            <wp:effectExtent l="0" t="0" r="635" b="0"/>
            <wp:docPr id="16" name="图片 16" descr="图片包含 文字, 地图&#10;&#10;已生成极高可信度的说明"/>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片包含 文字, 地图&#10;&#10;已生成极高可信度的说明"/>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46230" cy="3249553"/>
                    </a:xfrm>
                    <a:prstGeom prst="rect">
                      <a:avLst/>
                    </a:prstGeom>
                  </pic:spPr>
                </pic:pic>
              </a:graphicData>
            </a:graphic>
          </wp:inline>
        </w:drawing>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market segmentation is based on the consumption level and income level of each city or region in China as high income and high expenditure market segment, middle income and middle expenditure market segment, low income and low expenditure market segment. </w:t>
      </w:r>
    </w:p>
    <w:p>
      <w:pPr>
        <w:rPr>
          <w:rFonts w:ascii="Times New Roman" w:hAnsi="Times New Roman" w:cs="Times New Roman"/>
          <w:sz w:val="24"/>
          <w:szCs w:val="24"/>
        </w:rPr>
      </w:pPr>
      <w:r>
        <w:rPr>
          <w:rFonts w:ascii="Times New Roman" w:hAnsi="Times New Roman" w:cs="Times New Roman"/>
          <w:sz w:val="24"/>
          <w:szCs w:val="24"/>
        </w:rPr>
        <w:br w:type="page"/>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45" w:name="_Toc8392021"/>
      <w:bookmarkStart w:id="46" w:name="_Toc8391475"/>
      <w:r>
        <w:rPr>
          <w:rFonts w:ascii="Arial Narrow" w:hAnsi="Arial Narrow" w:cs="Times New Roman"/>
          <w:b/>
          <w:i/>
          <w:sz w:val="24"/>
          <w:szCs w:val="24"/>
        </w:rPr>
        <w:t>Targeting</w:t>
      </w:r>
      <w:bookmarkEnd w:id="45"/>
      <w:bookmarkEnd w:id="46"/>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As the monopoly in the national market, the company should develop diversified strategies with different market segments. The low income and expenditure, as shown in the graph as grey and white areas should not be the prioritized target market segments. The high and middle expenditure level market segments should be the priority of the company. According to the reports published by Didi, the majority of the user base of Didi is in the more developed cities in China.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company should develop more products such as tailored car hailing service based on data analytics in the high-end markets in developed cities in China as the user base in these regions are of higher value, which can potentially enhance the profitability of the company.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company should develop more cheap products such as sharing bus for middle and low-end markets to maintain its dominant position in the market.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47" w:name="_Toc8392022"/>
      <w:bookmarkStart w:id="48" w:name="_Toc8391476"/>
      <w:r>
        <w:rPr>
          <w:rFonts w:ascii="Arial Narrow" w:hAnsi="Arial Narrow" w:cs="Times New Roman"/>
          <w:b/>
          <w:i/>
          <w:sz w:val="24"/>
          <w:szCs w:val="24"/>
        </w:rPr>
        <w:t>Positioning</w:t>
      </w:r>
      <w:bookmarkEnd w:id="47"/>
      <w:bookmarkEnd w:id="48"/>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Didi should position itself in the national market as the one-stop solution for all transportation services, which is once Chinese needs to transport to another place, Didi can offer at least one product.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Didi should position its products as technology savvy in developed cities with some latest technologies imbedded such as artificial intelligence. The positioning in the high and middle end markets should be the product that can meet the needs from customers from all levels and with significant special features in the product such as smart prediction on next tour. </w:t>
      </w:r>
    </w:p>
    <w:p>
      <w:pPr>
        <w:spacing w:before="156" w:beforeLines="50" w:after="156" w:afterLines="50" w:line="480" w:lineRule="auto"/>
        <w:rPr>
          <w:rFonts w:ascii="Times New Roman" w:hAnsi="Times New Roman" w:cs="Times New Roman"/>
          <w:sz w:val="24"/>
          <w:szCs w:val="24"/>
        </w:rPr>
      </w:pPr>
      <w:r>
        <w:rPr>
          <w:rFonts w:hint="eastAsia" w:ascii="Times New Roman" w:hAnsi="Times New Roman" w:cs="Times New Roman"/>
          <w:sz w:val="24"/>
          <w:szCs w:val="24"/>
        </w:rPr>
        <w:t>D</w:t>
      </w:r>
      <w:r>
        <w:rPr>
          <w:rFonts w:ascii="Times New Roman" w:hAnsi="Times New Roman" w:cs="Times New Roman"/>
          <w:sz w:val="24"/>
          <w:szCs w:val="24"/>
        </w:rPr>
        <w:t xml:space="preserve">idi should position its products in less developed cities as being the more accessible and trustworthy product comparing to regular taxi services. </w:t>
      </w:r>
    </w:p>
    <w:p>
      <w:pPr>
        <w:pStyle w:val="13"/>
        <w:numPr>
          <w:ilvl w:val="0"/>
          <w:numId w:val="1"/>
        </w:numPr>
        <w:ind w:firstLineChars="0"/>
        <w:outlineLvl w:val="0"/>
        <w:rPr>
          <w:rFonts w:ascii="Arial Narrow" w:hAnsi="Arial Narrow"/>
          <w:b/>
          <w:sz w:val="32"/>
        </w:rPr>
      </w:pPr>
      <w:bookmarkStart w:id="49" w:name="_Toc8392023"/>
      <w:r>
        <w:rPr>
          <w:rFonts w:ascii="Arial Narrow" w:hAnsi="Arial Narrow"/>
          <w:b/>
          <w:sz w:val="32"/>
        </w:rPr>
        <w:t>Tactics – 7P Model</w:t>
      </w:r>
      <w:bookmarkEnd w:id="49"/>
      <w:r>
        <w:rPr>
          <w:rFonts w:ascii="Arial Narrow" w:hAnsi="Arial Narrow"/>
          <w:b/>
          <w:sz w:val="32"/>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7P model is a comprehensive model for building a practical marketing mix. Based on the analyses conducted above and the strategic objective setting the market plan, this report formulates the tactics of the marketing plan implementation with 7P model in the following.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50" w:name="_Toc8392024"/>
      <w:bookmarkStart w:id="51" w:name="_Toc8391478"/>
      <w:r>
        <w:rPr>
          <w:rFonts w:ascii="Arial Narrow" w:hAnsi="Arial Narrow" w:cs="Times New Roman"/>
          <w:b/>
          <w:i/>
          <w:sz w:val="24"/>
          <w:szCs w:val="24"/>
        </w:rPr>
        <w:t>Product</w:t>
      </w:r>
      <w:bookmarkEnd w:id="50"/>
      <w:bookmarkEnd w:id="51"/>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product from the company should be more diversified from several perspectives. The product in every market segment should be enhanced on ensuring the security of the customers such as adding the button of one-click alarming. </w:t>
      </w:r>
    </w:p>
    <w:p>
      <w:pPr>
        <w:spacing w:before="156" w:beforeLines="50" w:after="156" w:afterLines="50" w:line="480" w:lineRule="auto"/>
        <w:rPr>
          <w:rFonts w:ascii="Times New Roman" w:hAnsi="Times New Roman" w:cs="Times New Roman"/>
          <w:i/>
          <w:sz w:val="24"/>
          <w:szCs w:val="24"/>
        </w:rPr>
      </w:pPr>
      <w:r>
        <w:rPr>
          <w:rFonts w:ascii="Times New Roman" w:hAnsi="Times New Roman" w:cs="Times New Roman"/>
          <w:i/>
          <w:sz w:val="24"/>
          <w:szCs w:val="24"/>
        </w:rPr>
        <w:t xml:space="preserve">Diversification according to different market segments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According to the location of the user, the products i.e. the online platform should exhibit different user interfaces with minor differences on the prioritize functions on screen. For example, in less developed market segments, the priority of information shown on the screen should be the price or money saved by using Didi. In more developed market segments, the priority should be the convenience such as the time saved by using Didi service. </w:t>
      </w:r>
    </w:p>
    <w:p>
      <w:pPr>
        <w:spacing w:before="156" w:beforeLines="50" w:after="156" w:afterLines="50" w:line="480" w:lineRule="auto"/>
        <w:rPr>
          <w:rFonts w:ascii="Times New Roman" w:hAnsi="Times New Roman" w:cs="Times New Roman"/>
          <w:i/>
          <w:sz w:val="24"/>
          <w:szCs w:val="24"/>
        </w:rPr>
      </w:pPr>
      <w:r>
        <w:rPr>
          <w:rFonts w:ascii="Times New Roman" w:hAnsi="Times New Roman" w:cs="Times New Roman"/>
          <w:i/>
          <w:sz w:val="24"/>
          <w:szCs w:val="24"/>
        </w:rPr>
        <w:t>Diversification on the product line</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Didi should expand its product lines into more long-tail market segments such as bycycle sharing and bus sharing. The product lines developed for these market segments can complete the platform as being the one-stop solution for transportation.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52" w:name="_Toc8391479"/>
      <w:bookmarkStart w:id="53" w:name="_Toc8392025"/>
      <w:r>
        <w:rPr>
          <w:rFonts w:ascii="Arial Narrow" w:hAnsi="Arial Narrow" w:cs="Times New Roman"/>
          <w:b/>
          <w:i/>
          <w:sz w:val="24"/>
          <w:szCs w:val="24"/>
        </w:rPr>
        <w:t>Pricing</w:t>
      </w:r>
      <w:bookmarkEnd w:id="52"/>
      <w:bookmarkEnd w:id="53"/>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A dynamic pricing strategy should be adopted according to the analyses. As in different markets, the pricing strategy should also be different. In the more developed markets, the pricing strategy should not be focused on the low price but on the convenience of the product. For example, Didi can adopt more radical pricing strategies to increase the loyalty of the drivers, so that it can maintain the high-quality car owners and drivers. In the less developed markets, the pricing strategy should be maintained at being competitive comparing to local taxi services.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54" w:name="_Toc8392026"/>
      <w:bookmarkStart w:id="55" w:name="_Toc8391480"/>
      <w:r>
        <w:rPr>
          <w:rFonts w:ascii="Arial Narrow" w:hAnsi="Arial Narrow" w:cs="Times New Roman"/>
          <w:b/>
          <w:i/>
          <w:sz w:val="24"/>
          <w:szCs w:val="24"/>
        </w:rPr>
        <w:t>Promotion</w:t>
      </w:r>
      <w:bookmarkEnd w:id="54"/>
      <w:bookmarkEnd w:id="55"/>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priority of the promotion is one the safety of using Didi services. The company should leverage the online social media platforms to enhance its brand reputation. The company should work closely with stakeholders such as local regulatory bodies and governments to develop industry standard on how the safety of both the customers and drivers can be guaranteed. The company should also collaborate with the public sector to address issues in public transportation such as using big data to address the traffic jams in rush hours. The company should fully promote on its effort in ensuring the safety of customers and drivers, as well as fulfilling its social responsibilities. </w:t>
      </w:r>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For the market development of the products, the company should adopt the scenario-based promotions. The promotions based on scenarios are those can connect the customers with the company through scenarios in which the service is used. For example, in the Chinese New Year, transportation to home is hard to be sought. Didi at this time can promote on its hitchhike product that Didi can safely take its customers back home.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56" w:name="_Toc8392027"/>
      <w:bookmarkStart w:id="57" w:name="_Toc8391481"/>
      <w:r>
        <w:rPr>
          <w:rFonts w:ascii="Arial Narrow" w:hAnsi="Arial Narrow" w:cs="Times New Roman"/>
          <w:b/>
          <w:i/>
          <w:sz w:val="24"/>
          <w:szCs w:val="24"/>
        </w:rPr>
        <w:t>Placing</w:t>
      </w:r>
      <w:bookmarkEnd w:id="56"/>
      <w:bookmarkEnd w:id="57"/>
    </w:p>
    <w:p>
      <w:pPr>
        <w:spacing w:before="156" w:beforeLines="50" w:after="156" w:afterLines="50" w:line="480" w:lineRule="auto"/>
        <w:rPr>
          <w:rFonts w:ascii="Times New Roman" w:hAnsi="Times New Roman" w:cs="Times New Roman"/>
          <w:sz w:val="24"/>
          <w:szCs w:val="24"/>
        </w:rPr>
      </w:pPr>
      <w:r>
        <w:rPr>
          <w:rFonts w:ascii="Times New Roman" w:hAnsi="Times New Roman" w:cs="Times New Roman"/>
          <w:sz w:val="24"/>
          <w:szCs w:val="24"/>
        </w:rPr>
        <w:t xml:space="preserve">The placing in this case is primarily the mobile payment solution provider. Being the major investor of Didi, Tencent mobile payment has been the major mobile payment solution provider of the company. Despite the service also supports other kinds of mobile payment, it is important for the company to further loose its dependence on third-party payment solutions. The company should now invest in more mobile and online payment solution providers to increase its bargaining power against the large mobile payment platforms.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58" w:name="_Toc8391482"/>
      <w:bookmarkStart w:id="59" w:name="_Toc8392028"/>
      <w:r>
        <w:rPr>
          <w:rFonts w:ascii="Arial Narrow" w:hAnsi="Arial Narrow" w:cs="Times New Roman"/>
          <w:b/>
          <w:i/>
          <w:sz w:val="24"/>
          <w:szCs w:val="24"/>
        </w:rPr>
        <w:t>People</w:t>
      </w:r>
      <w:bookmarkEnd w:id="58"/>
      <w:bookmarkEnd w:id="59"/>
      <w:r>
        <w:rPr>
          <w:rFonts w:ascii="Arial Narrow" w:hAnsi="Arial Narrow" w:cs="Times New Roman"/>
          <w:b/>
          <w:i/>
          <w:sz w:val="24"/>
          <w:szCs w:val="24"/>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rPr>
        <w:t>T</w:t>
      </w:r>
      <w:r>
        <w:rPr>
          <w:rFonts w:hint="eastAsia" w:ascii="Times New Roman" w:hAnsi="Times New Roman" w:cs="Times New Roman"/>
          <w:sz w:val="24"/>
          <w:szCs w:val="24"/>
        </w:rPr>
        <w:t>he</w:t>
      </w:r>
      <w:r>
        <w:rPr>
          <w:rFonts w:ascii="Times New Roman" w:hAnsi="Times New Roman" w:cs="Times New Roman"/>
          <w:sz w:val="24"/>
          <w:szCs w:val="24"/>
        </w:rPr>
        <w:t xml:space="preserve"> human element is crucial for fulfil the marketing objectives. As a service provider company, the human element is even more important. </w:t>
      </w:r>
      <w:r>
        <w:rPr>
          <w:rFonts w:ascii="Times New Roman" w:hAnsi="Times New Roman" w:cs="Times New Roman"/>
          <w:sz w:val="24"/>
          <w:szCs w:val="24"/>
          <w:lang w:val="en"/>
        </w:rPr>
        <w:t xml:space="preserve">Staff quality is the foundation of brand building. All competition in the market, in the final analysis, are the competition of talent, and the competition between brands is even more so. The human factor should be put in the core strategic position. The company should emotionally respect the staff and treat them equally in the work. The company should realize that the fulfillment of its marketing objectives is crucially depending on the staff as the most important asset.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other human element is the drivers and owner of cars and customers hailing the cars. As a platform connecting these people together, the user experience of these people is crucial. The user experience will directly affect the consumer's impression of the brand. However, the user experience is a kind of pure subjective feeling established by the user in the process of using the product, which needs the brand to be gradually optimized and perfected in practice.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From the reports on some of the issues between customers and drivers, it is clear that Didi is emphasizing more on the customers. The company should conduct more soft management to the drivers using the platform. To solve the security issues, the company should use various technologies to enhance the background check of the drivers instead of directly channeling the loss from customer complaints to the drivers.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company should develop products for more types of customers based on its monopoly position in the market. For example, there is no optimized services for the handicap people and senior citizens. The company should take care of the needs from these relatively smaller customer groups to enhance its brand image and fulfill its social responsibility. The brand image of the company is the key part in effectively carrying out the marketing plan.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60" w:name="_Toc8391483"/>
      <w:bookmarkStart w:id="61" w:name="_Toc8392029"/>
      <w:r>
        <w:rPr>
          <w:rFonts w:ascii="Arial Narrow" w:hAnsi="Arial Narrow" w:cs="Times New Roman"/>
          <w:b/>
          <w:i/>
          <w:sz w:val="24"/>
          <w:szCs w:val="24"/>
        </w:rPr>
        <w:t>Process</w:t>
      </w:r>
      <w:bookmarkEnd w:id="60"/>
      <w:bookmarkEnd w:id="61"/>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process of carrying out the marketing mix is to be monitored via various tools from the top of the company. As the strategy is maintain the position of the company in national market, and to regain its reputation in the next few years, the process should be involved with teams across the company. The marketing plan should be initiated and led by senior managing teams to ensure the effective implementation. </w:t>
      </w:r>
    </w:p>
    <w:p>
      <w:pPr>
        <w:pStyle w:val="13"/>
        <w:numPr>
          <w:ilvl w:val="0"/>
          <w:numId w:val="3"/>
        </w:numPr>
        <w:spacing w:before="156" w:beforeLines="50" w:after="156" w:afterLines="50" w:line="480" w:lineRule="auto"/>
        <w:ind w:firstLineChars="0"/>
        <w:outlineLvl w:val="2"/>
        <w:rPr>
          <w:rFonts w:ascii="Arial Narrow" w:hAnsi="Arial Narrow" w:cs="Times New Roman"/>
          <w:b/>
          <w:i/>
          <w:sz w:val="24"/>
          <w:szCs w:val="24"/>
        </w:rPr>
      </w:pPr>
      <w:bookmarkStart w:id="62" w:name="_Toc8392030"/>
      <w:bookmarkStart w:id="63" w:name="_Toc8391484"/>
      <w:r>
        <w:rPr>
          <w:rFonts w:ascii="Arial Narrow" w:hAnsi="Arial Narrow" w:cs="Times New Roman"/>
          <w:b/>
          <w:i/>
          <w:sz w:val="24"/>
          <w:szCs w:val="24"/>
        </w:rPr>
        <w:t>Physical evidence</w:t>
      </w:r>
      <w:bookmarkEnd w:id="62"/>
      <w:bookmarkEnd w:id="63"/>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Didi has been providing mobile and online services for its customers, making the company virtual without physical evidence. To enhance the effect of promotion and the entire marketing plan, the company should establish experience stores in major Chinese cities. The experience stores could be designed for demonstration of its latest cooperation with public sectors. For example, the company can demonstrate its latest cooperation with public transportation service in Beijing to map out the traffic heat maps in rush hours as shown in the graph in the following </w:t>
      </w: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CSL_CITATION {"citationItems":[{"id":"ITEM-1","itemData":{"DOI":"10.1016/j.trc.2017.02.013","author":[{"dropping-particle":"","family":"Will Chen","given":"Peng","non-dropping-particle":"","parse-names":false,"suffix":""},{"dropping-particle":"","family":"Nie","given":"Yu","non-dropping-particle":"","parse-names":false,"suffix":""}],"container-title":"Transportation Research Part C: Emerging Technologies","id":"ITEM-1","issued":{"date-parts":[["2017","4","1"]]},"number-of-pages":"444-461","title":"Connecting e-hailing to mass transit platform: Analysis of relative spatial position","type":"book","volume":"77"},"uris":["http://www.mendeley.com/documents/?uuid=6e949405-dbb8-4d59-95c9-4ecb85f09e72"]}],"mendeley":{"formattedCitation":"(Will Chen and Nie, 2017)","plainTextFormattedCitation":"(Will Chen and Nie, 2017)"},"properties":{"noteIndex":0},"schema":"https://github.com/citation-style-language/schema/raw/master/csl-citation.json"}</w:instrText>
      </w:r>
      <w:r>
        <w:rPr>
          <w:rFonts w:ascii="Times New Roman" w:hAnsi="Times New Roman" w:cs="Times New Roman"/>
          <w:sz w:val="24"/>
          <w:szCs w:val="24"/>
          <w:lang w:val="en"/>
        </w:rPr>
        <w:fldChar w:fldCharType="separate"/>
      </w:r>
      <w:r>
        <w:rPr>
          <w:rFonts w:ascii="Times New Roman" w:hAnsi="Times New Roman" w:cs="Times New Roman"/>
          <w:sz w:val="24"/>
          <w:szCs w:val="24"/>
          <w:lang w:val="en"/>
        </w:rPr>
        <w:t>(Will Chen and Nie, 2017)</w:t>
      </w:r>
      <w:r>
        <w:rPr>
          <w:rFonts w:ascii="Times New Roman" w:hAnsi="Times New Roman" w:cs="Times New Roman"/>
          <w:sz w:val="24"/>
          <w:szCs w:val="24"/>
          <w:lang w:val="en"/>
        </w:rPr>
        <w:fldChar w:fldCharType="end"/>
      </w:r>
      <w:r>
        <w:rPr>
          <w:rFonts w:ascii="Times New Roman" w:hAnsi="Times New Roman" w:cs="Times New Roman"/>
          <w:sz w:val="24"/>
          <w:szCs w:val="24"/>
          <w:lang w:val="en"/>
        </w:rPr>
        <w:t>, which can be used to better design the bus routes.</w:t>
      </w:r>
    </w:p>
    <w:p>
      <w:pPr>
        <w:spacing w:before="156" w:beforeLines="50" w:after="156" w:afterLines="50" w:line="480" w:lineRule="auto"/>
        <w:jc w:val="center"/>
        <w:rPr>
          <w:rFonts w:ascii="Times New Roman" w:hAnsi="Times New Roman" w:cs="Times New Roman"/>
          <w:sz w:val="24"/>
          <w:szCs w:val="24"/>
          <w:lang w:val="en"/>
        </w:rPr>
      </w:pPr>
      <w:r>
        <w:drawing>
          <wp:inline distT="0" distB="0" distL="0" distR="0">
            <wp:extent cx="4091940" cy="2286635"/>
            <wp:effectExtent l="0" t="0" r="3810" b="0"/>
            <wp:docPr id="1" name="图片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Related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4111984" cy="2298281"/>
                    </a:xfrm>
                    <a:prstGeom prst="rect">
                      <a:avLst/>
                    </a:prstGeom>
                    <a:noFill/>
                    <a:ln>
                      <a:noFill/>
                    </a:ln>
                  </pic:spPr>
                </pic:pic>
              </a:graphicData>
            </a:graphic>
          </wp:inline>
        </w:drawing>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experience stores can also be used for its premium users for offline activities such as demo experience of its premium car fleets or test drive of its auto-drive cars. </w:t>
      </w:r>
    </w:p>
    <w:p>
      <w:pPr>
        <w:rPr>
          <w:rFonts w:ascii="Times New Roman" w:hAnsi="Times New Roman" w:cs="Times New Roman"/>
          <w:sz w:val="24"/>
          <w:szCs w:val="24"/>
          <w:lang w:val="en"/>
        </w:rPr>
      </w:pPr>
      <w:r>
        <w:rPr>
          <w:rFonts w:ascii="Times New Roman" w:hAnsi="Times New Roman" w:cs="Times New Roman"/>
          <w:sz w:val="24"/>
          <w:szCs w:val="24"/>
          <w:lang w:val="en"/>
        </w:rPr>
        <w:br w:type="page"/>
      </w:r>
    </w:p>
    <w:p>
      <w:pPr>
        <w:pStyle w:val="13"/>
        <w:numPr>
          <w:ilvl w:val="0"/>
          <w:numId w:val="1"/>
        </w:numPr>
        <w:ind w:firstLineChars="0"/>
        <w:outlineLvl w:val="0"/>
        <w:rPr>
          <w:rFonts w:ascii="Arial Narrow" w:hAnsi="Arial Narrow"/>
          <w:b/>
          <w:sz w:val="32"/>
        </w:rPr>
      </w:pPr>
      <w:bookmarkStart w:id="64" w:name="_Toc8392031"/>
      <w:r>
        <w:rPr>
          <w:rFonts w:ascii="Arial Narrow" w:hAnsi="Arial Narrow"/>
          <w:b/>
          <w:sz w:val="32"/>
        </w:rPr>
        <w:t>Marketing plan monitoring and process control</w:t>
      </w:r>
      <w:bookmarkEnd w:id="64"/>
      <w:r>
        <w:rPr>
          <w:rFonts w:ascii="Arial Narrow" w:hAnsi="Arial Narrow"/>
          <w:b/>
          <w:sz w:val="32"/>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monitoring of the marketing plan should be directly supervised by top management team of the company as led by COO or CEO. The detailed monitoring process should be designed with key indicators such as social media exposure, customer satisfaction, customer awareness and so on.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Possible issue in the process and solutions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first issue is that the public image of the company may further degrade if the promotion goes too far. The renouncing effect from the public may not produce empathy to the company but become harsh critics on the company as being monopoly. This can be partially resolved by showing the resolutions and attitudes from the top managers from the company. The company should appoint one or several high-ranking managers to show in the public domain such as TV shows or online platforms to explain and show the company’s attitude towards its objective as to provide safe and convenient services to the customers.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The second issue can be the pressure from the investors. As the profitability of the company is still not positive at the moment, the company many face issues of fund raising from investors to support its marketing strategies. This issue can be possibly resolved by enhance the profitability of the products that have high market penetration such as low-cost car hailing services. </w:t>
      </w:r>
    </w:p>
    <w:p>
      <w:pPr>
        <w:rPr>
          <w:rFonts w:ascii="Times New Roman" w:hAnsi="Times New Roman" w:cs="Times New Roman"/>
          <w:sz w:val="24"/>
          <w:szCs w:val="24"/>
          <w:lang w:val="en"/>
        </w:rPr>
      </w:pPr>
      <w:r>
        <w:rPr>
          <w:rFonts w:ascii="Times New Roman" w:hAnsi="Times New Roman" w:cs="Times New Roman"/>
          <w:sz w:val="24"/>
          <w:szCs w:val="24"/>
          <w:lang w:val="en"/>
        </w:rPr>
        <w:br w:type="page"/>
      </w:r>
    </w:p>
    <w:p>
      <w:pPr>
        <w:pStyle w:val="13"/>
        <w:numPr>
          <w:ilvl w:val="0"/>
          <w:numId w:val="1"/>
        </w:numPr>
        <w:ind w:firstLineChars="0"/>
        <w:outlineLvl w:val="0"/>
        <w:rPr>
          <w:rFonts w:ascii="Arial Narrow" w:hAnsi="Arial Narrow"/>
          <w:b/>
          <w:sz w:val="32"/>
        </w:rPr>
      </w:pPr>
      <w:bookmarkStart w:id="65" w:name="_Toc8392032"/>
      <w:r>
        <w:rPr>
          <w:rFonts w:ascii="Arial Narrow" w:hAnsi="Arial Narrow"/>
          <w:b/>
          <w:sz w:val="32"/>
        </w:rPr>
        <w:t>Conclusion</w:t>
      </w:r>
      <w:bookmarkEnd w:id="65"/>
      <w:r>
        <w:rPr>
          <w:rFonts w:ascii="Arial Narrow" w:hAnsi="Arial Narrow"/>
          <w:b/>
          <w:sz w:val="32"/>
        </w:rPr>
        <w:t xml:space="preserve"> </w:t>
      </w:r>
    </w:p>
    <w:p>
      <w:pPr>
        <w:spacing w:before="156" w:beforeLines="50" w:after="156" w:afterLines="50" w:line="480" w:lineRule="auto"/>
        <w:rPr>
          <w:rFonts w:ascii="Times New Roman" w:hAnsi="Times New Roman" w:cs="Times New Roman"/>
          <w:sz w:val="24"/>
          <w:szCs w:val="24"/>
          <w:lang w:val="en"/>
        </w:rPr>
      </w:pPr>
      <w:r>
        <w:rPr>
          <w:rFonts w:ascii="Times New Roman" w:hAnsi="Times New Roman" w:cs="Times New Roman"/>
          <w:sz w:val="24"/>
          <w:szCs w:val="24"/>
          <w:lang w:val="en"/>
        </w:rPr>
        <w:t xml:space="preserve">This report concludes that the situation of the leading online transportation service platform Didi is facing threats from many aspects. The dominant position and strong funding capacity of the company has been the competitive advantage of the company. However, the degradation of company’s reputation has created opportunities for its competitors. To maintain the market position and enhance the profitability of the company, this report proposes a marketing plan based on 7P model to focus on high and middle end markets. The company should adopt diversification of products strategy to enhance its market position and profitability. The company should initiate and monitor the implementation of the marketing plan from top management level to maximize its public image restoration. The marketing objective can only be achieved with the proper control and monitor. </w:t>
      </w:r>
    </w:p>
    <w:p>
      <w:pPr>
        <w:rPr>
          <w:rFonts w:ascii="Times New Roman" w:hAnsi="Times New Roman" w:cs="Times New Roman"/>
          <w:sz w:val="24"/>
          <w:szCs w:val="24"/>
          <w:lang w:val="en"/>
        </w:rPr>
      </w:pPr>
      <w:r>
        <w:rPr>
          <w:rFonts w:ascii="Times New Roman" w:hAnsi="Times New Roman" w:cs="Times New Roman"/>
          <w:sz w:val="24"/>
          <w:szCs w:val="24"/>
          <w:lang w:val="en"/>
        </w:rPr>
        <w:br w:type="page"/>
      </w:r>
    </w:p>
    <w:p>
      <w:pPr>
        <w:pStyle w:val="13"/>
        <w:numPr>
          <w:ilvl w:val="0"/>
          <w:numId w:val="1"/>
        </w:numPr>
        <w:ind w:firstLineChars="0"/>
        <w:outlineLvl w:val="0"/>
        <w:rPr>
          <w:rFonts w:ascii="Arial Narrow" w:hAnsi="Arial Narrow"/>
          <w:b/>
          <w:sz w:val="32"/>
        </w:rPr>
      </w:pPr>
      <w:bookmarkStart w:id="66" w:name="_Toc8392033"/>
      <w:r>
        <w:rPr>
          <w:rFonts w:ascii="Arial Narrow" w:hAnsi="Arial Narrow"/>
          <w:b/>
          <w:sz w:val="32"/>
        </w:rPr>
        <w:t>Reference</w:t>
      </w:r>
      <w:bookmarkEnd w:id="66"/>
      <w:r>
        <w:rPr>
          <w:rFonts w:ascii="Arial Narrow" w:hAnsi="Arial Narrow"/>
          <w:b/>
          <w:sz w:val="32"/>
        </w:rPr>
        <w:t xml:space="preserve"> </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sz w:val="24"/>
          <w:szCs w:val="24"/>
          <w:lang w:val="en"/>
        </w:rPr>
        <w:fldChar w:fldCharType="begin" w:fldLock="1"/>
      </w:r>
      <w:r>
        <w:rPr>
          <w:rFonts w:ascii="Times New Roman" w:hAnsi="Times New Roman" w:cs="Times New Roman"/>
          <w:sz w:val="24"/>
          <w:szCs w:val="24"/>
          <w:lang w:val="en"/>
        </w:rPr>
        <w:instrText xml:space="preserve">ADDIN Mendeley Bibliography CSL_BIBLIOGRAPHY </w:instrText>
      </w:r>
      <w:r>
        <w:rPr>
          <w:rFonts w:ascii="Times New Roman" w:hAnsi="Times New Roman" w:cs="Times New Roman"/>
          <w:sz w:val="24"/>
          <w:szCs w:val="24"/>
          <w:lang w:val="en"/>
        </w:rPr>
        <w:fldChar w:fldCharType="separate"/>
      </w:r>
      <w:r>
        <w:rPr>
          <w:rFonts w:ascii="Times New Roman" w:hAnsi="Times New Roman" w:cs="Times New Roman"/>
          <w:kern w:val="0"/>
          <w:sz w:val="24"/>
          <w:szCs w:val="24"/>
        </w:rPr>
        <w:t xml:space="preserve">CB Insights (2019) </w:t>
      </w:r>
      <w:r>
        <w:rPr>
          <w:rFonts w:ascii="Times New Roman" w:hAnsi="Times New Roman" w:cs="Times New Roman"/>
          <w:i/>
          <w:iCs/>
          <w:kern w:val="0"/>
          <w:sz w:val="24"/>
          <w:szCs w:val="24"/>
        </w:rPr>
        <w:t>Didi Chuxing - CB Insights</w:t>
      </w:r>
      <w:r>
        <w:rPr>
          <w:rFonts w:ascii="Times New Roman" w:hAnsi="Times New Roman" w:cs="Times New Roman"/>
          <w:kern w:val="0"/>
          <w:sz w:val="24"/>
          <w:szCs w:val="24"/>
        </w:rPr>
        <w:t>. Available at: https://www.cbinsights.com/company/didi-kuaidi (Accessed: 10 May 2019).</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Chaudhry, B., El-Amine, S. and Shakshuki, E. (2018) ‘Passenger Safety in Ride-Sharing Services’, </w:t>
      </w:r>
      <w:r>
        <w:rPr>
          <w:rFonts w:ascii="Times New Roman" w:hAnsi="Times New Roman" w:cs="Times New Roman"/>
          <w:i/>
          <w:iCs/>
          <w:kern w:val="0"/>
          <w:sz w:val="24"/>
          <w:szCs w:val="24"/>
        </w:rPr>
        <w:t>Procedia computer science</w:t>
      </w:r>
      <w:r>
        <w:rPr>
          <w:rFonts w:ascii="Times New Roman" w:hAnsi="Times New Roman" w:cs="Times New Roman"/>
          <w:kern w:val="0"/>
          <w:sz w:val="24"/>
          <w:szCs w:val="24"/>
        </w:rPr>
        <w:t>. Elsevier, 130, pp. 1044–1050.</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Commision, N. (2017) ‘DiDi Chuxing Submission on NTC Discussion Paper ’ Changing driving laws to support DiDi Chuxing’, (November).</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DIDI Chuxing (2016) ‘About didi’, </w:t>
      </w:r>
      <w:r>
        <w:rPr>
          <w:rFonts w:ascii="Times New Roman" w:hAnsi="Times New Roman" w:cs="Times New Roman"/>
          <w:i/>
          <w:iCs/>
          <w:kern w:val="0"/>
          <w:sz w:val="24"/>
          <w:szCs w:val="24"/>
        </w:rPr>
        <w:t>Xiaoju Technology Co., Ltd. Last Modified June</w:t>
      </w:r>
      <w:r>
        <w:rPr>
          <w:rFonts w:ascii="Times New Roman" w:hAnsi="Times New Roman" w:cs="Times New Roman"/>
          <w:kern w:val="0"/>
          <w:sz w:val="24"/>
          <w:szCs w:val="24"/>
        </w:rPr>
        <w:t>, 28, p. 2016.</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Fang, Z., Huang, L. and Wierman, A. (2017) ‘Prices and subsidies in the sharing economy’, in </w:t>
      </w:r>
      <w:r>
        <w:rPr>
          <w:rFonts w:ascii="Times New Roman" w:hAnsi="Times New Roman" w:cs="Times New Roman"/>
          <w:i/>
          <w:iCs/>
          <w:kern w:val="0"/>
          <w:sz w:val="24"/>
          <w:szCs w:val="24"/>
        </w:rPr>
        <w:t>Proceedings of the 26th International Conference on World Wide Web</w:t>
      </w:r>
      <w:r>
        <w:rPr>
          <w:rFonts w:ascii="Times New Roman" w:hAnsi="Times New Roman" w:cs="Times New Roman"/>
          <w:kern w:val="0"/>
          <w:sz w:val="24"/>
          <w:szCs w:val="24"/>
        </w:rPr>
        <w:t>. International World Wide Web Conferences Steering Committee, pp. 53–62.</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GIZ Institute (2017) </w:t>
      </w:r>
      <w:r>
        <w:rPr>
          <w:rFonts w:ascii="Times New Roman" w:hAnsi="Times New Roman" w:cs="Times New Roman"/>
          <w:i/>
          <w:iCs/>
          <w:kern w:val="0"/>
          <w:sz w:val="24"/>
          <w:szCs w:val="24"/>
        </w:rPr>
        <w:t>Transport Innovation made in China : How China is changing the global transport regime</w:t>
      </w:r>
      <w:r>
        <w:rPr>
          <w:rFonts w:ascii="Times New Roman" w:hAnsi="Times New Roman" w:cs="Times New Roman"/>
          <w:kern w:val="0"/>
          <w:sz w:val="24"/>
          <w:szCs w:val="24"/>
        </w:rPr>
        <w:t>.</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Goldman (2017) </w:t>
      </w:r>
      <w:r>
        <w:rPr>
          <w:rFonts w:ascii="Times New Roman" w:hAnsi="Times New Roman" w:cs="Times New Roman"/>
          <w:i/>
          <w:iCs/>
          <w:kern w:val="0"/>
          <w:sz w:val="24"/>
          <w:szCs w:val="24"/>
        </w:rPr>
        <w:t>Rethinking Mobility: The ‘pay as you go’ car: Ride hailing just the start</w:t>
      </w:r>
      <w:r>
        <w:rPr>
          <w:rFonts w:ascii="Times New Roman" w:hAnsi="Times New Roman" w:cs="Times New Roman"/>
          <w:kern w:val="0"/>
          <w:sz w:val="24"/>
          <w:szCs w:val="24"/>
        </w:rPr>
        <w:t>.</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Ko, S. (2019) </w:t>
      </w:r>
      <w:r>
        <w:rPr>
          <w:rFonts w:ascii="Times New Roman" w:hAnsi="Times New Roman" w:cs="Times New Roman"/>
          <w:i/>
          <w:iCs/>
          <w:kern w:val="0"/>
          <w:sz w:val="24"/>
          <w:szCs w:val="24"/>
        </w:rPr>
        <w:t>Didi Chuxing: Expansion and Risk Management</w:t>
      </w:r>
      <w:r>
        <w:rPr>
          <w:rFonts w:ascii="Times New Roman" w:hAnsi="Times New Roman" w:cs="Times New Roman"/>
          <w:kern w:val="0"/>
          <w:sz w:val="24"/>
          <w:szCs w:val="24"/>
        </w:rPr>
        <w:t>. SAGE Publications: SAGE Business Cases Originals (SAGE Knowledge. Cases).</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Nie, Y. M. (2017) ‘How can the taxi industry survive the tide of ridesourcing? Evidence from Shenzhen, China’, </w:t>
      </w:r>
      <w:r>
        <w:rPr>
          <w:rFonts w:ascii="Times New Roman" w:hAnsi="Times New Roman" w:cs="Times New Roman"/>
          <w:i/>
          <w:iCs/>
          <w:kern w:val="0"/>
          <w:sz w:val="24"/>
          <w:szCs w:val="24"/>
        </w:rPr>
        <w:t>Transportation Research Part C: Emerging Technologies</w:t>
      </w:r>
      <w:r>
        <w:rPr>
          <w:rFonts w:ascii="Times New Roman" w:hAnsi="Times New Roman" w:cs="Times New Roman"/>
          <w:kern w:val="0"/>
          <w:sz w:val="24"/>
          <w:szCs w:val="24"/>
        </w:rPr>
        <w:t>. Elsevier, 79, pp. 242–256.</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STATISTA (2017) </w:t>
      </w:r>
      <w:r>
        <w:rPr>
          <w:rFonts w:ascii="Times New Roman" w:hAnsi="Times New Roman" w:cs="Times New Roman"/>
          <w:i/>
          <w:iCs/>
          <w:kern w:val="0"/>
          <w:sz w:val="24"/>
          <w:szCs w:val="24"/>
        </w:rPr>
        <w:t>• China: per capita annual consumption expenditure by region 2017 | Statistic</w:t>
      </w:r>
      <w:r>
        <w:rPr>
          <w:rFonts w:ascii="Times New Roman" w:hAnsi="Times New Roman" w:cs="Times New Roman"/>
          <w:kern w:val="0"/>
          <w:sz w:val="24"/>
          <w:szCs w:val="24"/>
        </w:rPr>
        <w:t>. Available at: https://www-statista-com.liverpool.idm.oclc.org/statistics/278857/consumption-expenditure-in-china-by-region/ (Accessed: 10 May 2019).</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Sui-Lee Wee (2018) </w:t>
      </w:r>
      <w:r>
        <w:rPr>
          <w:rFonts w:ascii="Times New Roman" w:hAnsi="Times New Roman" w:cs="Times New Roman"/>
          <w:i/>
          <w:iCs/>
          <w:kern w:val="0"/>
          <w:sz w:val="24"/>
          <w:szCs w:val="24"/>
        </w:rPr>
        <w:t>Didi Suspends Carpooling Service in China After 2nd Passenger Is Killed - The New York Times</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New York Times</w:t>
      </w:r>
      <w:r>
        <w:rPr>
          <w:rFonts w:ascii="Times New Roman" w:hAnsi="Times New Roman" w:cs="Times New Roman"/>
          <w:kern w:val="0"/>
          <w:sz w:val="24"/>
          <w:szCs w:val="24"/>
        </w:rPr>
        <w:t>. Available at: https://www.nytimes.com/2018/08/26/business/didi-chuxing-murder-rape-women.html (Accessed: 10 May 2019).</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Will Chen, P. and Nie, Y. (2017) </w:t>
      </w:r>
      <w:r>
        <w:rPr>
          <w:rFonts w:ascii="Times New Roman" w:hAnsi="Times New Roman" w:cs="Times New Roman"/>
          <w:i/>
          <w:iCs/>
          <w:kern w:val="0"/>
          <w:sz w:val="24"/>
          <w:szCs w:val="24"/>
        </w:rPr>
        <w:t>Connecting e-hailing to mass transit platform: Analysis of relative spatial position</w:t>
      </w:r>
      <w:r>
        <w:rPr>
          <w:rFonts w:ascii="Times New Roman" w:hAnsi="Times New Roman" w:cs="Times New Roman"/>
          <w:kern w:val="0"/>
          <w:sz w:val="24"/>
          <w:szCs w:val="24"/>
        </w:rPr>
        <w:t xml:space="preserve">, </w:t>
      </w:r>
      <w:r>
        <w:rPr>
          <w:rFonts w:ascii="Times New Roman" w:hAnsi="Times New Roman" w:cs="Times New Roman"/>
          <w:i/>
          <w:iCs/>
          <w:kern w:val="0"/>
          <w:sz w:val="24"/>
          <w:szCs w:val="24"/>
        </w:rPr>
        <w:t>Transportation Research Part C: Emerging Technologies</w:t>
      </w:r>
      <w:r>
        <w:rPr>
          <w:rFonts w:ascii="Times New Roman" w:hAnsi="Times New Roman" w:cs="Times New Roman"/>
          <w:kern w:val="0"/>
          <w:sz w:val="24"/>
          <w:szCs w:val="24"/>
        </w:rPr>
        <w:t>. doi: 10.1016/j.trc.2017.02.013.</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 xml:space="preserve">World Bank (2019) </w:t>
      </w:r>
      <w:r>
        <w:rPr>
          <w:rFonts w:ascii="Times New Roman" w:hAnsi="Times New Roman" w:cs="Times New Roman"/>
          <w:i/>
          <w:iCs/>
          <w:kern w:val="0"/>
          <w:sz w:val="24"/>
          <w:szCs w:val="24"/>
        </w:rPr>
        <w:t>China Home</w:t>
      </w:r>
      <w:r>
        <w:rPr>
          <w:rFonts w:ascii="Times New Roman" w:hAnsi="Times New Roman" w:cs="Times New Roman"/>
          <w:kern w:val="0"/>
          <w:sz w:val="24"/>
          <w:szCs w:val="24"/>
        </w:rPr>
        <w:t>. Available at: https://www.worldbank.org/en/country/china (Accessed: 3 May 2019).</w:t>
      </w:r>
    </w:p>
    <w:p>
      <w:pPr>
        <w:autoSpaceDE w:val="0"/>
        <w:autoSpaceDN w:val="0"/>
        <w:adjustRightInd w:val="0"/>
        <w:spacing w:before="156" w:beforeLines="50" w:after="156" w:afterLines="50"/>
        <w:rPr>
          <w:rFonts w:ascii="Times New Roman" w:hAnsi="Times New Roman" w:cs="Times New Roman"/>
          <w:kern w:val="0"/>
          <w:sz w:val="24"/>
          <w:szCs w:val="24"/>
        </w:rPr>
      </w:pPr>
      <w:r>
        <w:rPr>
          <w:rFonts w:ascii="Times New Roman" w:hAnsi="Times New Roman" w:cs="Times New Roman"/>
          <w:kern w:val="0"/>
          <w:sz w:val="24"/>
          <w:szCs w:val="24"/>
        </w:rPr>
        <w:t>Zhen, Y. (2017) ‘Case Study of the Uber Failure in China: A Technoethical Analysis’, (December).</w:t>
      </w:r>
    </w:p>
    <w:p>
      <w:pPr>
        <w:autoSpaceDE w:val="0"/>
        <w:autoSpaceDN w:val="0"/>
        <w:adjustRightInd w:val="0"/>
        <w:spacing w:before="156" w:beforeLines="50" w:after="156" w:afterLines="50"/>
        <w:rPr>
          <w:rFonts w:ascii="Times New Roman" w:hAnsi="Times New Roman" w:cs="Times New Roman"/>
          <w:sz w:val="24"/>
        </w:rPr>
      </w:pPr>
      <w:r>
        <w:rPr>
          <w:rFonts w:ascii="Times New Roman" w:hAnsi="Times New Roman" w:cs="Times New Roman"/>
          <w:kern w:val="0"/>
          <w:sz w:val="24"/>
          <w:szCs w:val="24"/>
        </w:rPr>
        <w:t xml:space="preserve">Zhu, G., Li, H. and Zhou, L. (2018) ‘Enhancing the development of sharing economy to mitigate the carbon emission: a case study of online ride-hailing development in China’, </w:t>
      </w:r>
      <w:r>
        <w:rPr>
          <w:rFonts w:ascii="Times New Roman" w:hAnsi="Times New Roman" w:cs="Times New Roman"/>
          <w:i/>
          <w:iCs/>
          <w:kern w:val="0"/>
          <w:sz w:val="24"/>
          <w:szCs w:val="24"/>
        </w:rPr>
        <w:t>Natural Hazards</w:t>
      </w:r>
      <w:r>
        <w:rPr>
          <w:rFonts w:ascii="Times New Roman" w:hAnsi="Times New Roman" w:cs="Times New Roman"/>
          <w:kern w:val="0"/>
          <w:sz w:val="24"/>
          <w:szCs w:val="24"/>
        </w:rPr>
        <w:t>. Springer, 91(2), pp. 611–633.</w:t>
      </w:r>
    </w:p>
    <w:p>
      <w:pPr>
        <w:spacing w:before="156" w:beforeLines="50" w:after="156" w:afterLines="50"/>
        <w:rPr>
          <w:rFonts w:ascii="Times New Roman" w:hAnsi="Times New Roman" w:cs="Times New Roman"/>
          <w:sz w:val="24"/>
          <w:szCs w:val="24"/>
          <w:lang w:val="en"/>
        </w:rPr>
      </w:pPr>
      <w:r>
        <w:rPr>
          <w:rFonts w:ascii="Times New Roman" w:hAnsi="Times New Roman" w:cs="Times New Roman"/>
          <w:sz w:val="24"/>
          <w:szCs w:val="24"/>
          <w:lang w:val="en"/>
        </w:rPr>
        <w:fldChar w:fldCharType="end"/>
      </w:r>
    </w:p>
    <w:sectPr>
      <w:footerReference r:id="rId4" w:type="default"/>
      <w:pgSz w:w="11906" w:h="16838"/>
      <w:pgMar w:top="1440" w:right="1080" w:bottom="1440" w:left="1080" w:header="851" w:footer="992" w:gutter="0"/>
      <w:pgNumType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Arial Narrow">
    <w:altName w:val="Arial"/>
    <w:panose1 w:val="020B0606020202030204"/>
    <w:charset w:val="00"/>
    <w:family w:val="swiss"/>
    <w:pitch w:val="default"/>
    <w:sig w:usb0="00000000"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jc w:val="center"/>
    </w:pPr>
  </w:p>
  <w:p>
    <w:pPr>
      <w:pStyle w:val="4"/>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11770453"/>
      <w:docPartObj>
        <w:docPartGallery w:val="AutoText"/>
      </w:docPartObj>
    </w:sdtPr>
    <w:sdtContent>
      <w:p>
        <w:pPr>
          <w:pStyle w:val="4"/>
          <w:jc w:val="center"/>
        </w:pPr>
        <w:r>
          <w:fldChar w:fldCharType="begin"/>
        </w:r>
        <w:r>
          <w:instrText xml:space="preserve">PAGE   \* MERGEFORMAT</w:instrText>
        </w:r>
        <w:r>
          <w:fldChar w:fldCharType="separate"/>
        </w:r>
        <w:r>
          <w:rPr>
            <w:lang w:val="zh-CN"/>
          </w:rPr>
          <w:t>2</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323B82"/>
    <w:multiLevelType w:val="multilevel"/>
    <w:tmpl w:val="19323B82"/>
    <w:lvl w:ilvl="0" w:tentative="0">
      <w:start w:val="1"/>
      <w:numFmt w:val="decimal"/>
      <w:lvlText w:val="%1."/>
      <w:lvlJc w:val="left"/>
      <w:pPr>
        <w:ind w:left="425" w:hanging="425"/>
      </w:pPr>
    </w:lvl>
    <w:lvl w:ilvl="1" w:tentative="0">
      <w:start w:val="1"/>
      <w:numFmt w:val="decimal"/>
      <w:lvlText w:val="%1.%2."/>
      <w:lvlJc w:val="left"/>
      <w:pPr>
        <w:ind w:left="567" w:hanging="567"/>
      </w:pPr>
    </w:lvl>
    <w:lvl w:ilvl="2" w:tentative="0">
      <w:start w:val="1"/>
      <w:numFmt w:val="decimal"/>
      <w:lvlText w:val="%1.%2.%3."/>
      <w:lvlJc w:val="left"/>
      <w:pPr>
        <w:ind w:left="709" w:hanging="709"/>
      </w:pPr>
    </w:lvl>
    <w:lvl w:ilvl="3" w:tentative="0">
      <w:start w:val="1"/>
      <w:numFmt w:val="decimal"/>
      <w:lvlText w:val="%1.%2.%3.%4."/>
      <w:lvlJc w:val="left"/>
      <w:pPr>
        <w:ind w:left="851" w:hanging="851"/>
      </w:pPr>
    </w:lvl>
    <w:lvl w:ilvl="4" w:tentative="0">
      <w:start w:val="1"/>
      <w:numFmt w:val="decimal"/>
      <w:lvlText w:val="%1.%2.%3.%4.%5."/>
      <w:lvlJc w:val="left"/>
      <w:pPr>
        <w:ind w:left="992" w:hanging="992"/>
      </w:pPr>
    </w:lvl>
    <w:lvl w:ilvl="5" w:tentative="0">
      <w:start w:val="1"/>
      <w:numFmt w:val="decimal"/>
      <w:lvlText w:val="%1.%2.%3.%4.%5.%6."/>
      <w:lvlJc w:val="left"/>
      <w:pPr>
        <w:ind w:left="1134" w:hanging="1134"/>
      </w:pPr>
    </w:lvl>
    <w:lvl w:ilvl="6" w:tentative="0">
      <w:start w:val="1"/>
      <w:numFmt w:val="decimal"/>
      <w:lvlText w:val="%1.%2.%3.%4.%5.%6.%7."/>
      <w:lvlJc w:val="left"/>
      <w:pPr>
        <w:ind w:left="1276" w:hanging="1276"/>
      </w:pPr>
    </w:lvl>
    <w:lvl w:ilvl="7" w:tentative="0">
      <w:start w:val="1"/>
      <w:numFmt w:val="decimal"/>
      <w:lvlText w:val="%1.%2.%3.%4.%5.%6.%7.%8."/>
      <w:lvlJc w:val="left"/>
      <w:pPr>
        <w:ind w:left="1418" w:hanging="1418"/>
      </w:pPr>
    </w:lvl>
    <w:lvl w:ilvl="8" w:tentative="0">
      <w:start w:val="1"/>
      <w:numFmt w:val="decimal"/>
      <w:lvlText w:val="%1.%2.%3.%4.%5.%6.%7.%8.%9."/>
      <w:lvlJc w:val="left"/>
      <w:pPr>
        <w:ind w:left="1559" w:hanging="1559"/>
      </w:pPr>
    </w:lvl>
  </w:abstractNum>
  <w:abstractNum w:abstractNumId="1">
    <w:nsid w:val="54F87F58"/>
    <w:multiLevelType w:val="multilevel"/>
    <w:tmpl w:val="54F87F58"/>
    <w:lvl w:ilvl="0" w:tentative="0">
      <w:start w:val="1"/>
      <w:numFmt w:val="bullet"/>
      <w:lvlText w:val=""/>
      <w:lvlJc w:val="left"/>
      <w:pPr>
        <w:ind w:left="420" w:hanging="420"/>
      </w:pPr>
      <w:rPr>
        <w:rFonts w:hint="default" w:ascii="Wingdings" w:hAnsi="Wingdings"/>
      </w:rPr>
    </w:lvl>
    <w:lvl w:ilvl="1" w:tentative="0">
      <w:start w:val="1"/>
      <w:numFmt w:val="bullet"/>
      <w:lvlText w:val=""/>
      <w:lvlJc w:val="left"/>
      <w:pPr>
        <w:ind w:left="840" w:hanging="420"/>
      </w:pPr>
      <w:rPr>
        <w:rFonts w:hint="default" w:ascii="Wingdings" w:hAnsi="Wingdings"/>
      </w:rPr>
    </w:lvl>
    <w:lvl w:ilvl="2" w:tentative="0">
      <w:start w:val="1"/>
      <w:numFmt w:val="bullet"/>
      <w:lvlText w:val=""/>
      <w:lvlJc w:val="left"/>
      <w:pPr>
        <w:ind w:left="1260" w:hanging="420"/>
      </w:pPr>
      <w:rPr>
        <w:rFonts w:hint="default" w:ascii="Wingdings" w:hAnsi="Wingdings"/>
      </w:rPr>
    </w:lvl>
    <w:lvl w:ilvl="3" w:tentative="0">
      <w:start w:val="1"/>
      <w:numFmt w:val="bullet"/>
      <w:lvlText w:val=""/>
      <w:lvlJc w:val="left"/>
      <w:pPr>
        <w:ind w:left="1680" w:hanging="420"/>
      </w:pPr>
      <w:rPr>
        <w:rFonts w:hint="default" w:ascii="Wingdings" w:hAnsi="Wingdings"/>
      </w:rPr>
    </w:lvl>
    <w:lvl w:ilvl="4" w:tentative="0">
      <w:start w:val="1"/>
      <w:numFmt w:val="bullet"/>
      <w:lvlText w:val=""/>
      <w:lvlJc w:val="left"/>
      <w:pPr>
        <w:ind w:left="2100" w:hanging="420"/>
      </w:pPr>
      <w:rPr>
        <w:rFonts w:hint="default" w:ascii="Wingdings" w:hAnsi="Wingdings"/>
      </w:rPr>
    </w:lvl>
    <w:lvl w:ilvl="5" w:tentative="0">
      <w:start w:val="1"/>
      <w:numFmt w:val="bullet"/>
      <w:lvlText w:val=""/>
      <w:lvlJc w:val="left"/>
      <w:pPr>
        <w:ind w:left="2520" w:hanging="420"/>
      </w:pPr>
      <w:rPr>
        <w:rFonts w:hint="default" w:ascii="Wingdings" w:hAnsi="Wingdings"/>
      </w:rPr>
    </w:lvl>
    <w:lvl w:ilvl="6" w:tentative="0">
      <w:start w:val="1"/>
      <w:numFmt w:val="bullet"/>
      <w:lvlText w:val=""/>
      <w:lvlJc w:val="left"/>
      <w:pPr>
        <w:ind w:left="2940" w:hanging="420"/>
      </w:pPr>
      <w:rPr>
        <w:rFonts w:hint="default" w:ascii="Wingdings" w:hAnsi="Wingdings"/>
      </w:rPr>
    </w:lvl>
    <w:lvl w:ilvl="7" w:tentative="0">
      <w:start w:val="1"/>
      <w:numFmt w:val="bullet"/>
      <w:lvlText w:val=""/>
      <w:lvlJc w:val="left"/>
      <w:pPr>
        <w:ind w:left="3360" w:hanging="420"/>
      </w:pPr>
      <w:rPr>
        <w:rFonts w:hint="default" w:ascii="Wingdings" w:hAnsi="Wingdings"/>
      </w:rPr>
    </w:lvl>
    <w:lvl w:ilvl="8" w:tentative="0">
      <w:start w:val="1"/>
      <w:numFmt w:val="bullet"/>
      <w:lvlText w:val=""/>
      <w:lvlJc w:val="left"/>
      <w:pPr>
        <w:ind w:left="3780" w:hanging="420"/>
      </w:pPr>
      <w:rPr>
        <w:rFonts w:hint="default" w:ascii="Wingdings" w:hAnsi="Wingdings"/>
      </w:rPr>
    </w:lvl>
  </w:abstractNum>
  <w:abstractNum w:abstractNumId="2">
    <w:nsid w:val="65967071"/>
    <w:multiLevelType w:val="multilevel"/>
    <w:tmpl w:val="65967071"/>
    <w:lvl w:ilvl="0" w:tentative="0">
      <w:start w:val="1"/>
      <w:numFmt w:val="decimal"/>
      <w:lvlText w:val="%1."/>
      <w:lvlJc w:val="left"/>
      <w:pPr>
        <w:ind w:left="420" w:hanging="420"/>
      </w:pPr>
      <w:rPr>
        <w:rFonts w:hint="eastAsia"/>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val="1"/>
  <w:bordersDoNotSurroundFooter w:val="1"/>
  <w:documentProtection w:enforcement="0"/>
  <w:defaultTabStop w:val="420"/>
  <w:drawingGridHorizontalSpacing w:val="105"/>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LQ0MzU3sDA3NzQwNTVQ0lEKTi0uzszPAykwrQUAC/PhCCwAAAA="/>
  </w:docVars>
  <w:rsids>
    <w:rsidRoot w:val="00C71BC5"/>
    <w:rsid w:val="00006C2D"/>
    <w:rsid w:val="00013B40"/>
    <w:rsid w:val="000434E4"/>
    <w:rsid w:val="0005486A"/>
    <w:rsid w:val="00056114"/>
    <w:rsid w:val="0007091F"/>
    <w:rsid w:val="00074610"/>
    <w:rsid w:val="000952B1"/>
    <w:rsid w:val="00097510"/>
    <w:rsid w:val="000B070D"/>
    <w:rsid w:val="000B37BF"/>
    <w:rsid w:val="000C13C3"/>
    <w:rsid w:val="000D3285"/>
    <w:rsid w:val="000F1C1B"/>
    <w:rsid w:val="0010142B"/>
    <w:rsid w:val="00116907"/>
    <w:rsid w:val="00116CB6"/>
    <w:rsid w:val="0014095C"/>
    <w:rsid w:val="00147CFE"/>
    <w:rsid w:val="0015173C"/>
    <w:rsid w:val="00165037"/>
    <w:rsid w:val="00176B44"/>
    <w:rsid w:val="00180C18"/>
    <w:rsid w:val="00180EDB"/>
    <w:rsid w:val="001A4CB4"/>
    <w:rsid w:val="001A5B19"/>
    <w:rsid w:val="001B116F"/>
    <w:rsid w:val="001B64D5"/>
    <w:rsid w:val="001B6532"/>
    <w:rsid w:val="001B6703"/>
    <w:rsid w:val="001C0812"/>
    <w:rsid w:val="001C44BA"/>
    <w:rsid w:val="001C5290"/>
    <w:rsid w:val="001D2837"/>
    <w:rsid w:val="001D4B9B"/>
    <w:rsid w:val="001E0AB3"/>
    <w:rsid w:val="001E1AF3"/>
    <w:rsid w:val="001E2740"/>
    <w:rsid w:val="001E6E58"/>
    <w:rsid w:val="002039B1"/>
    <w:rsid w:val="00213171"/>
    <w:rsid w:val="0024360C"/>
    <w:rsid w:val="00243BF8"/>
    <w:rsid w:val="002452FA"/>
    <w:rsid w:val="00251526"/>
    <w:rsid w:val="002566D3"/>
    <w:rsid w:val="00267164"/>
    <w:rsid w:val="002731A0"/>
    <w:rsid w:val="00273723"/>
    <w:rsid w:val="002844F1"/>
    <w:rsid w:val="002A3FBB"/>
    <w:rsid w:val="002A4ABA"/>
    <w:rsid w:val="002D084E"/>
    <w:rsid w:val="002E7526"/>
    <w:rsid w:val="00306082"/>
    <w:rsid w:val="00313480"/>
    <w:rsid w:val="00323781"/>
    <w:rsid w:val="00326552"/>
    <w:rsid w:val="00340BEE"/>
    <w:rsid w:val="00344294"/>
    <w:rsid w:val="00346249"/>
    <w:rsid w:val="00354F8B"/>
    <w:rsid w:val="0036668D"/>
    <w:rsid w:val="00391F7F"/>
    <w:rsid w:val="003A294F"/>
    <w:rsid w:val="003E0E37"/>
    <w:rsid w:val="003E2AD4"/>
    <w:rsid w:val="003E4958"/>
    <w:rsid w:val="003E5795"/>
    <w:rsid w:val="003F2936"/>
    <w:rsid w:val="004124D9"/>
    <w:rsid w:val="004173E9"/>
    <w:rsid w:val="0044451D"/>
    <w:rsid w:val="004540FA"/>
    <w:rsid w:val="00457428"/>
    <w:rsid w:val="00457A25"/>
    <w:rsid w:val="00470675"/>
    <w:rsid w:val="00473530"/>
    <w:rsid w:val="00474B74"/>
    <w:rsid w:val="00485243"/>
    <w:rsid w:val="004A31B1"/>
    <w:rsid w:val="004A66CF"/>
    <w:rsid w:val="004B3B57"/>
    <w:rsid w:val="004B4AD4"/>
    <w:rsid w:val="004D3A35"/>
    <w:rsid w:val="004E356D"/>
    <w:rsid w:val="00532E08"/>
    <w:rsid w:val="00533D19"/>
    <w:rsid w:val="00545780"/>
    <w:rsid w:val="00552773"/>
    <w:rsid w:val="00552C44"/>
    <w:rsid w:val="005544A2"/>
    <w:rsid w:val="005676A1"/>
    <w:rsid w:val="00567AE7"/>
    <w:rsid w:val="00573D87"/>
    <w:rsid w:val="005849F0"/>
    <w:rsid w:val="005918EB"/>
    <w:rsid w:val="005929BF"/>
    <w:rsid w:val="00594A46"/>
    <w:rsid w:val="00597C90"/>
    <w:rsid w:val="005A1F24"/>
    <w:rsid w:val="005B0B6B"/>
    <w:rsid w:val="005B3C23"/>
    <w:rsid w:val="005B49E4"/>
    <w:rsid w:val="005C268C"/>
    <w:rsid w:val="005C5FEB"/>
    <w:rsid w:val="005E0BD3"/>
    <w:rsid w:val="005E3466"/>
    <w:rsid w:val="005F06D2"/>
    <w:rsid w:val="006013D5"/>
    <w:rsid w:val="006026D1"/>
    <w:rsid w:val="00610C2F"/>
    <w:rsid w:val="006302EF"/>
    <w:rsid w:val="00637FA8"/>
    <w:rsid w:val="00644C8F"/>
    <w:rsid w:val="0065261B"/>
    <w:rsid w:val="00663359"/>
    <w:rsid w:val="006748D8"/>
    <w:rsid w:val="0069081A"/>
    <w:rsid w:val="00692FA8"/>
    <w:rsid w:val="00693736"/>
    <w:rsid w:val="00695563"/>
    <w:rsid w:val="006A0D75"/>
    <w:rsid w:val="006A2CC4"/>
    <w:rsid w:val="006C7131"/>
    <w:rsid w:val="006E412F"/>
    <w:rsid w:val="006F3DC2"/>
    <w:rsid w:val="006F7864"/>
    <w:rsid w:val="00705440"/>
    <w:rsid w:val="00714FEA"/>
    <w:rsid w:val="007151B3"/>
    <w:rsid w:val="00727BDB"/>
    <w:rsid w:val="0073459A"/>
    <w:rsid w:val="00745B2E"/>
    <w:rsid w:val="007528CF"/>
    <w:rsid w:val="00755BE3"/>
    <w:rsid w:val="0076672E"/>
    <w:rsid w:val="007737B9"/>
    <w:rsid w:val="00775128"/>
    <w:rsid w:val="007815BC"/>
    <w:rsid w:val="007818ED"/>
    <w:rsid w:val="00783605"/>
    <w:rsid w:val="007926CD"/>
    <w:rsid w:val="00797D8F"/>
    <w:rsid w:val="007B0CEF"/>
    <w:rsid w:val="007B4846"/>
    <w:rsid w:val="007C584B"/>
    <w:rsid w:val="007C67E7"/>
    <w:rsid w:val="007D1F89"/>
    <w:rsid w:val="007D2082"/>
    <w:rsid w:val="007D3DA8"/>
    <w:rsid w:val="007E59A5"/>
    <w:rsid w:val="007E6373"/>
    <w:rsid w:val="007F1711"/>
    <w:rsid w:val="00801B80"/>
    <w:rsid w:val="00812EC1"/>
    <w:rsid w:val="0082056A"/>
    <w:rsid w:val="00824CF7"/>
    <w:rsid w:val="008357D0"/>
    <w:rsid w:val="00845514"/>
    <w:rsid w:val="00854FEC"/>
    <w:rsid w:val="00857516"/>
    <w:rsid w:val="00857F46"/>
    <w:rsid w:val="00863D1A"/>
    <w:rsid w:val="00882803"/>
    <w:rsid w:val="00885E78"/>
    <w:rsid w:val="00894587"/>
    <w:rsid w:val="00896212"/>
    <w:rsid w:val="008C74C3"/>
    <w:rsid w:val="008C799B"/>
    <w:rsid w:val="008D0E2C"/>
    <w:rsid w:val="008E5F8B"/>
    <w:rsid w:val="008F180C"/>
    <w:rsid w:val="008F2A1E"/>
    <w:rsid w:val="008F7AE3"/>
    <w:rsid w:val="00903141"/>
    <w:rsid w:val="009100D8"/>
    <w:rsid w:val="00910795"/>
    <w:rsid w:val="00914B33"/>
    <w:rsid w:val="009227AA"/>
    <w:rsid w:val="00923126"/>
    <w:rsid w:val="00935DBD"/>
    <w:rsid w:val="00936686"/>
    <w:rsid w:val="00941B21"/>
    <w:rsid w:val="00946A66"/>
    <w:rsid w:val="009478E3"/>
    <w:rsid w:val="00967A41"/>
    <w:rsid w:val="009742BF"/>
    <w:rsid w:val="00974723"/>
    <w:rsid w:val="009764CC"/>
    <w:rsid w:val="00981D30"/>
    <w:rsid w:val="0098553E"/>
    <w:rsid w:val="0099190A"/>
    <w:rsid w:val="009A4691"/>
    <w:rsid w:val="009A62ED"/>
    <w:rsid w:val="009D22D3"/>
    <w:rsid w:val="009D5221"/>
    <w:rsid w:val="009E1148"/>
    <w:rsid w:val="009F1F59"/>
    <w:rsid w:val="009F555A"/>
    <w:rsid w:val="009F72CD"/>
    <w:rsid w:val="00A03878"/>
    <w:rsid w:val="00A10FFF"/>
    <w:rsid w:val="00A17E61"/>
    <w:rsid w:val="00A215C0"/>
    <w:rsid w:val="00A32753"/>
    <w:rsid w:val="00A34194"/>
    <w:rsid w:val="00A61DCA"/>
    <w:rsid w:val="00A728EE"/>
    <w:rsid w:val="00A74E7F"/>
    <w:rsid w:val="00A75D94"/>
    <w:rsid w:val="00A76817"/>
    <w:rsid w:val="00A77F33"/>
    <w:rsid w:val="00A83192"/>
    <w:rsid w:val="00A90E40"/>
    <w:rsid w:val="00AA0266"/>
    <w:rsid w:val="00AA1936"/>
    <w:rsid w:val="00AA5E45"/>
    <w:rsid w:val="00AA6AE2"/>
    <w:rsid w:val="00AB1ED5"/>
    <w:rsid w:val="00AC62A3"/>
    <w:rsid w:val="00AD5532"/>
    <w:rsid w:val="00AE0E2F"/>
    <w:rsid w:val="00AE28C6"/>
    <w:rsid w:val="00AE73DD"/>
    <w:rsid w:val="00B30591"/>
    <w:rsid w:val="00B43AF6"/>
    <w:rsid w:val="00B545B7"/>
    <w:rsid w:val="00B655F8"/>
    <w:rsid w:val="00B65775"/>
    <w:rsid w:val="00B66B1D"/>
    <w:rsid w:val="00B75119"/>
    <w:rsid w:val="00B845BC"/>
    <w:rsid w:val="00B9210F"/>
    <w:rsid w:val="00BA2F19"/>
    <w:rsid w:val="00BB6CAD"/>
    <w:rsid w:val="00BD058C"/>
    <w:rsid w:val="00C0235D"/>
    <w:rsid w:val="00C07F98"/>
    <w:rsid w:val="00C2325E"/>
    <w:rsid w:val="00C2364B"/>
    <w:rsid w:val="00C263D4"/>
    <w:rsid w:val="00C40582"/>
    <w:rsid w:val="00C51BD3"/>
    <w:rsid w:val="00C52174"/>
    <w:rsid w:val="00C53F6A"/>
    <w:rsid w:val="00C54D8C"/>
    <w:rsid w:val="00C71BC5"/>
    <w:rsid w:val="00C72446"/>
    <w:rsid w:val="00C91A9E"/>
    <w:rsid w:val="00CB790A"/>
    <w:rsid w:val="00CD2B74"/>
    <w:rsid w:val="00D04264"/>
    <w:rsid w:val="00D30C50"/>
    <w:rsid w:val="00D36A86"/>
    <w:rsid w:val="00D40CA5"/>
    <w:rsid w:val="00D411F4"/>
    <w:rsid w:val="00D41509"/>
    <w:rsid w:val="00D54347"/>
    <w:rsid w:val="00D73F34"/>
    <w:rsid w:val="00D776F4"/>
    <w:rsid w:val="00D81D6D"/>
    <w:rsid w:val="00D8438E"/>
    <w:rsid w:val="00D85926"/>
    <w:rsid w:val="00D865B5"/>
    <w:rsid w:val="00D86889"/>
    <w:rsid w:val="00D9353D"/>
    <w:rsid w:val="00DA2C25"/>
    <w:rsid w:val="00DB2698"/>
    <w:rsid w:val="00DB58C7"/>
    <w:rsid w:val="00DC099E"/>
    <w:rsid w:val="00DC27D0"/>
    <w:rsid w:val="00DF382C"/>
    <w:rsid w:val="00DF4D9C"/>
    <w:rsid w:val="00E16B43"/>
    <w:rsid w:val="00E2058E"/>
    <w:rsid w:val="00E34C25"/>
    <w:rsid w:val="00E433F3"/>
    <w:rsid w:val="00E56A87"/>
    <w:rsid w:val="00E65D76"/>
    <w:rsid w:val="00E67D9A"/>
    <w:rsid w:val="00E800CC"/>
    <w:rsid w:val="00E81C94"/>
    <w:rsid w:val="00E84EBE"/>
    <w:rsid w:val="00E95F79"/>
    <w:rsid w:val="00E979C9"/>
    <w:rsid w:val="00EA5878"/>
    <w:rsid w:val="00EA59B4"/>
    <w:rsid w:val="00EB4AA5"/>
    <w:rsid w:val="00EB674C"/>
    <w:rsid w:val="00EC697D"/>
    <w:rsid w:val="00EC7DAF"/>
    <w:rsid w:val="00ED5C18"/>
    <w:rsid w:val="00ED6006"/>
    <w:rsid w:val="00F03690"/>
    <w:rsid w:val="00F27161"/>
    <w:rsid w:val="00F45520"/>
    <w:rsid w:val="00F51D52"/>
    <w:rsid w:val="00F5217D"/>
    <w:rsid w:val="00F63FA7"/>
    <w:rsid w:val="00F77087"/>
    <w:rsid w:val="00F8750D"/>
    <w:rsid w:val="00F8768B"/>
    <w:rsid w:val="00F9695A"/>
    <w:rsid w:val="00FA112B"/>
    <w:rsid w:val="00FA3580"/>
    <w:rsid w:val="00FA4D85"/>
    <w:rsid w:val="00FA776F"/>
    <w:rsid w:val="00FC25FC"/>
    <w:rsid w:val="00FC2657"/>
    <w:rsid w:val="00FD3BCE"/>
    <w:rsid w:val="00FD72F5"/>
    <w:rsid w:val="00FE6FFA"/>
    <w:rsid w:val="5DE70BE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2"/>
      <w:lang w:val="en-GB" w:eastAsia="zh-CN" w:bidi="ar-SA"/>
    </w:rPr>
  </w:style>
  <w:style w:type="paragraph" w:styleId="2">
    <w:name w:val="heading 1"/>
    <w:basedOn w:val="1"/>
    <w:next w:val="1"/>
    <w:link w:val="16"/>
    <w:qFormat/>
    <w:uiPriority w:val="9"/>
    <w:pPr>
      <w:keepNext/>
      <w:keepLines/>
      <w:spacing w:before="340" w:after="330" w:line="578" w:lineRule="auto"/>
      <w:outlineLvl w:val="0"/>
    </w:pPr>
    <w:rPr>
      <w:b/>
      <w:bCs/>
      <w:kern w:val="44"/>
      <w:sz w:val="44"/>
      <w:szCs w:val="44"/>
    </w:rPr>
  </w:style>
  <w:style w:type="character" w:default="1" w:styleId="9">
    <w:name w:val="Default Paragraph Font"/>
    <w:semiHidden/>
    <w:unhideWhenUsed/>
    <w:uiPriority w:val="1"/>
  </w:style>
  <w:style w:type="table" w:default="1" w:styleId="8">
    <w:name w:val="Normal Table"/>
    <w:semiHidden/>
    <w:unhideWhenUsed/>
    <w:uiPriority w:val="99"/>
    <w:tblPr>
      <w:tblLayout w:type="fixed"/>
      <w:tblCellMar>
        <w:top w:w="0" w:type="dxa"/>
        <w:left w:w="108" w:type="dxa"/>
        <w:bottom w:w="0" w:type="dxa"/>
        <w:right w:w="108" w:type="dxa"/>
      </w:tblCellMar>
    </w:tblPr>
  </w:style>
  <w:style w:type="paragraph" w:styleId="3">
    <w:name w:val="toc 3"/>
    <w:basedOn w:val="1"/>
    <w:next w:val="1"/>
    <w:unhideWhenUsed/>
    <w:uiPriority w:val="39"/>
    <w:pPr>
      <w:ind w:left="840" w:leftChars="400"/>
    </w:pPr>
  </w:style>
  <w:style w:type="paragraph" w:styleId="4">
    <w:name w:val="footer"/>
    <w:basedOn w:val="1"/>
    <w:link w:val="12"/>
    <w:unhideWhenUsed/>
    <w:uiPriority w:val="99"/>
    <w:pPr>
      <w:tabs>
        <w:tab w:val="center" w:pos="4153"/>
        <w:tab w:val="right" w:pos="8306"/>
      </w:tabs>
      <w:snapToGrid w:val="0"/>
      <w:jc w:val="left"/>
    </w:pPr>
    <w:rPr>
      <w:sz w:val="18"/>
      <w:szCs w:val="18"/>
    </w:rPr>
  </w:style>
  <w:style w:type="paragraph" w:styleId="5">
    <w:name w:val="header"/>
    <w:basedOn w:val="1"/>
    <w:link w:val="11"/>
    <w:unhideWhenUsed/>
    <w:qFormat/>
    <w:uiPriority w:val="99"/>
    <w:pPr>
      <w:pBdr>
        <w:bottom w:val="single" w:color="auto" w:sz="6" w:space="1"/>
      </w:pBdr>
      <w:tabs>
        <w:tab w:val="center" w:pos="4153"/>
        <w:tab w:val="right" w:pos="8306"/>
      </w:tabs>
      <w:snapToGrid w:val="0"/>
      <w:jc w:val="center"/>
    </w:pPr>
    <w:rPr>
      <w:sz w:val="18"/>
      <w:szCs w:val="18"/>
    </w:rPr>
  </w:style>
  <w:style w:type="paragraph" w:styleId="6">
    <w:name w:val="toc 1"/>
    <w:basedOn w:val="1"/>
    <w:next w:val="1"/>
    <w:unhideWhenUsed/>
    <w:uiPriority w:val="39"/>
  </w:style>
  <w:style w:type="paragraph" w:styleId="7">
    <w:name w:val="toc 2"/>
    <w:basedOn w:val="1"/>
    <w:next w:val="1"/>
    <w:unhideWhenUsed/>
    <w:uiPriority w:val="39"/>
    <w:pPr>
      <w:tabs>
        <w:tab w:val="left" w:pos="1050"/>
        <w:tab w:val="right" w:leader="dot" w:pos="9736"/>
      </w:tabs>
      <w:spacing w:line="360" w:lineRule="auto"/>
      <w:ind w:left="420" w:leftChars="200"/>
    </w:p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1">
    <w:name w:val="页眉 字符"/>
    <w:basedOn w:val="9"/>
    <w:link w:val="5"/>
    <w:uiPriority w:val="99"/>
    <w:rPr>
      <w:sz w:val="18"/>
      <w:szCs w:val="18"/>
      <w:lang w:val="en-GB"/>
    </w:rPr>
  </w:style>
  <w:style w:type="character" w:customStyle="1" w:styleId="12">
    <w:name w:val="页脚 字符"/>
    <w:basedOn w:val="9"/>
    <w:link w:val="4"/>
    <w:uiPriority w:val="99"/>
    <w:rPr>
      <w:sz w:val="18"/>
      <w:szCs w:val="18"/>
      <w:lang w:val="en-GB"/>
    </w:rPr>
  </w:style>
  <w:style w:type="paragraph" w:styleId="13">
    <w:name w:val="List Paragraph"/>
    <w:basedOn w:val="1"/>
    <w:qFormat/>
    <w:uiPriority w:val="34"/>
    <w:pPr>
      <w:ind w:firstLine="420" w:firstLineChars="200"/>
    </w:pPr>
  </w:style>
  <w:style w:type="paragraph" w:styleId="14">
    <w:name w:val="Intense Quote"/>
    <w:basedOn w:val="1"/>
    <w:next w:val="1"/>
    <w:link w:val="15"/>
    <w:qFormat/>
    <w:uiPriority w:val="30"/>
    <w:pPr>
      <w:pBdr>
        <w:top w:val="single" w:color="4472C4" w:themeColor="accent1" w:sz="4" w:space="10"/>
        <w:bottom w:val="single" w:color="4472C4" w:themeColor="accent1" w:sz="4" w:space="10"/>
      </w:pBdr>
      <w:spacing w:before="360" w:after="360"/>
      <w:ind w:left="864" w:right="864"/>
      <w:jc w:val="center"/>
    </w:pPr>
    <w:rPr>
      <w:i/>
      <w:iCs/>
      <w:color w:val="4472C4" w:themeColor="accent1"/>
      <w14:textFill>
        <w14:solidFill>
          <w14:schemeClr w14:val="accent1"/>
        </w14:solidFill>
      </w14:textFill>
    </w:rPr>
  </w:style>
  <w:style w:type="character" w:customStyle="1" w:styleId="15">
    <w:name w:val="明显引用 字符"/>
    <w:basedOn w:val="9"/>
    <w:link w:val="14"/>
    <w:uiPriority w:val="30"/>
    <w:rPr>
      <w:i/>
      <w:iCs/>
      <w:color w:val="4472C4" w:themeColor="accent1"/>
      <w:lang w:val="en-GB"/>
      <w14:textFill>
        <w14:solidFill>
          <w14:schemeClr w14:val="accent1"/>
        </w14:solidFill>
      </w14:textFill>
    </w:rPr>
  </w:style>
  <w:style w:type="character" w:customStyle="1" w:styleId="16">
    <w:name w:val="标题 1 字符"/>
    <w:basedOn w:val="9"/>
    <w:link w:val="2"/>
    <w:uiPriority w:val="9"/>
    <w:rPr>
      <w:b/>
      <w:bCs/>
      <w:kern w:val="44"/>
      <w:sz w:val="44"/>
      <w:szCs w:val="44"/>
      <w:lang w:val="en-GB"/>
    </w:rPr>
  </w:style>
  <w:style w:type="paragraph" w:customStyle="1" w:styleId="17">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lang w:val="en-US"/>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media/image1.tiff"/><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2.xml"/><Relationship Id="rId14" Type="http://schemas.openxmlformats.org/officeDocument/2006/relationships/numbering" Target="numbering.xml"/><Relationship Id="rId13" Type="http://schemas.openxmlformats.org/officeDocument/2006/relationships/customXml" Target="../customXml/item1.xml"/><Relationship Id="rId12" Type="http://schemas.openxmlformats.org/officeDocument/2006/relationships/image" Target="media/image6.jpe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BC5A3A14-30D9-436B-814E-EC0B7D5488E5}">
  <ds:schemaRefs/>
</ds:datastoreItem>
</file>

<file path=docProps/app.xml><?xml version="1.0" encoding="utf-8"?>
<Properties xmlns="http://schemas.openxmlformats.org/officeDocument/2006/extended-properties" xmlns:vt="http://schemas.openxmlformats.org/officeDocument/2006/docPropsVTypes">
  <Template>Normal</Template>
  <Pages>25</Pages>
  <Words>6586</Words>
  <Characters>37542</Characters>
  <Lines>312</Lines>
  <Paragraphs>88</Paragraphs>
  <TotalTime>783</TotalTime>
  <ScaleCrop>false</ScaleCrop>
  <LinksUpToDate>false</LinksUpToDate>
  <CharactersWithSpaces>44040</CharactersWithSpaces>
  <Application>WPS Office_11.1.0.8597_F1E327BC-269C-435d-A152-05C5408002CA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2019-05-09T22:32:00Z</dcterms:created>
  <dc:creator>he lan</dc:creator>
  <cp:lastModifiedBy>10173</cp:lastModifiedBy>
  <dcterms:modified xsi:type="dcterms:W3CDTF">2019-05-10T17:14:20Z</dcterms:modified>
  <cp:revision>304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http://www.zotero.org/styles/american-political-science-association</vt:lpwstr>
  </property>
  <property fmtid="{D5CDD505-2E9C-101B-9397-08002B2CF9AE}" pid="3" name="Mendeley Recent Style Name 0_1">
    <vt:lpwstr>American Political Science Association</vt:lpwstr>
  </property>
  <property fmtid="{D5CDD505-2E9C-101B-9397-08002B2CF9AE}" pid="4" name="Mendeley Recent Style Id 1_1">
    <vt:lpwstr>http://www.zotero.org/styles/apa</vt:lpwstr>
  </property>
  <property fmtid="{D5CDD505-2E9C-101B-9397-08002B2CF9AE}" pid="5" name="Mendeley Recent Style Name 1_1">
    <vt:lpwstr>American Psychological Association 6th edition</vt:lpwstr>
  </property>
  <property fmtid="{D5CDD505-2E9C-101B-9397-08002B2CF9AE}" pid="6" name="Mendeley Recent Style Id 2_1">
    <vt:lpwstr>http://www.zotero.org/styles/american-sociological-association</vt:lpwstr>
  </property>
  <property fmtid="{D5CDD505-2E9C-101B-9397-08002B2CF9AE}" pid="7" name="Mendeley Recent Style Name 2_1">
    <vt:lpwstr>American Sociological Association</vt:lpwstr>
  </property>
  <property fmtid="{D5CDD505-2E9C-101B-9397-08002B2CF9AE}" pid="8" name="Mendeley Recent Style Id 3_1">
    <vt:lpwstr>http://www.zotero.org/styles/harvard-cite-them-right</vt:lpwstr>
  </property>
  <property fmtid="{D5CDD505-2E9C-101B-9397-08002B2CF9AE}" pid="9" name="Mendeley Recent Style Name 3_1">
    <vt:lpwstr>Cite Them Right 10th edition - Harvard</vt:lpwstr>
  </property>
  <property fmtid="{D5CDD505-2E9C-101B-9397-08002B2CF9AE}" pid="10" name="Mendeley Recent Style Id 4_1">
    <vt:lpwstr>http://www.zotero.org/styles/harvard-coventry-university</vt:lpwstr>
  </property>
  <property fmtid="{D5CDD505-2E9C-101B-9397-08002B2CF9AE}" pid="11" name="Mendeley Recent Style Name 4_1">
    <vt:lpwstr>Coventry University - Harvard</vt:lpwstr>
  </property>
  <property fmtid="{D5CDD505-2E9C-101B-9397-08002B2CF9AE}" pid="12" name="Mendeley Recent Style Id 5_1">
    <vt:lpwstr>http://csl.mendeley.com/styles/19284421/harvard-coventry-university</vt:lpwstr>
  </property>
  <property fmtid="{D5CDD505-2E9C-101B-9397-08002B2CF9AE}" pid="13" name="Mendeley Recent Style Name 5_1">
    <vt:lpwstr>Harvard - Coventry University (for Mendeley)</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072aee80-d7c5-3866-b96b-d829895a52cf</vt:lpwstr>
  </property>
  <property fmtid="{D5CDD505-2E9C-101B-9397-08002B2CF9AE}" pid="24" name="Mendeley Citation Style_1">
    <vt:lpwstr>http://www.zotero.org/styles/harvard-cite-them-right</vt:lpwstr>
  </property>
  <property fmtid="{D5CDD505-2E9C-101B-9397-08002B2CF9AE}" pid="25" name="KSOProductBuildVer">
    <vt:lpwstr>2052-11.1.0.8597</vt:lpwstr>
  </property>
</Properties>
</file>