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charts/chart6.xml" ContentType="application/vnd.openxmlformats-officedocument.drawingml.chart+xml"/>
  <Override PartName="/word/charts/chart7.xml" ContentType="application/vnd.openxmlformats-officedocument.drawingml.chart+xml"/>
  <Override PartName="/word/charts/chart8.xml" ContentType="application/vnd.openxmlformats-officedocument.drawingml.chart+xml"/>
  <Override PartName="/word/charts/chart9.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C4AEBFE" w14:textId="77777777" w:rsidR="00755236" w:rsidRPr="00755236" w:rsidRDefault="00755236" w:rsidP="001C62C1">
      <w:r w:rsidRPr="00755236">
        <w:rPr>
          <w:noProof/>
        </w:rPr>
        <w:drawing>
          <wp:inline distT="0" distB="0" distL="0" distR="0" wp14:anchorId="7EF55EAD" wp14:editId="263E044A">
            <wp:extent cx="5940000" cy="237751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2758).png"/>
                    <pic:cNvPicPr/>
                  </pic:nvPicPr>
                  <pic:blipFill>
                    <a:blip r:embed="rId8"/>
                    <a:stretch>
                      <a:fillRect/>
                    </a:stretch>
                  </pic:blipFill>
                  <pic:spPr>
                    <a:xfrm>
                      <a:off x="0" y="0"/>
                      <a:ext cx="5940000" cy="2377510"/>
                    </a:xfrm>
                    <a:prstGeom prst="rect">
                      <a:avLst/>
                    </a:prstGeom>
                  </pic:spPr>
                </pic:pic>
              </a:graphicData>
            </a:graphic>
          </wp:inline>
        </w:drawing>
      </w:r>
    </w:p>
    <w:p w14:paraId="114C51BB" w14:textId="77777777" w:rsidR="00755236" w:rsidRPr="00755236" w:rsidRDefault="00755236" w:rsidP="00755236">
      <w:pPr>
        <w:pBdr>
          <w:bottom w:val="single" w:sz="18" w:space="1" w:color="F2C600"/>
        </w:pBdr>
        <w:spacing w:after="280"/>
        <w:rPr>
          <w:sz w:val="28"/>
          <w:szCs w:val="28"/>
        </w:rPr>
      </w:pPr>
    </w:p>
    <w:p w14:paraId="37E8407C" w14:textId="6649E950" w:rsidR="00755236" w:rsidRPr="00755236" w:rsidRDefault="00755236" w:rsidP="00755236">
      <w:pPr>
        <w:jc w:val="center"/>
        <w:rPr>
          <w:sz w:val="28"/>
          <w:szCs w:val="28"/>
        </w:rPr>
      </w:pPr>
      <w:r w:rsidRPr="00755236">
        <w:rPr>
          <w:rFonts w:ascii="Arial" w:hAnsi="Arial"/>
          <w:b/>
          <w:sz w:val="28"/>
          <w:szCs w:val="28"/>
        </w:rPr>
        <w:t xml:space="preserve">ASSESSMENT </w:t>
      </w:r>
    </w:p>
    <w:p w14:paraId="63FEAECF" w14:textId="77777777" w:rsidR="00755236" w:rsidRPr="00755236" w:rsidRDefault="00755236" w:rsidP="00755236">
      <w:pPr>
        <w:spacing w:after="120" w:line="252" w:lineRule="auto"/>
        <w:jc w:val="center"/>
        <w:rPr>
          <w:sz w:val="28"/>
          <w:szCs w:val="28"/>
        </w:rPr>
      </w:pPr>
      <w:r w:rsidRPr="00755236">
        <w:rPr>
          <w:rFonts w:ascii="Arial" w:hAnsi="Arial"/>
          <w:b/>
          <w:sz w:val="28"/>
          <w:szCs w:val="28"/>
        </w:rPr>
        <w:t>Financial Performance and Management:</w:t>
      </w:r>
      <w:r w:rsidRPr="00755236">
        <w:rPr>
          <w:rFonts w:ascii="Arial" w:hAnsi="Arial"/>
          <w:b/>
          <w:sz w:val="28"/>
          <w:szCs w:val="28"/>
        </w:rPr>
        <w:br/>
        <w:t>A Strategic Financial Analysis of</w:t>
      </w:r>
      <w:r w:rsidRPr="00755236">
        <w:rPr>
          <w:rFonts w:ascii="Arial" w:hAnsi="Arial"/>
          <w:b/>
          <w:sz w:val="28"/>
          <w:szCs w:val="28"/>
        </w:rPr>
        <w:br/>
        <w:t>Marriott International, Inc.</w:t>
      </w:r>
    </w:p>
    <w:p w14:paraId="3C852C44" w14:textId="77777777" w:rsidR="00755236" w:rsidRPr="00755236" w:rsidRDefault="00755236" w:rsidP="00755236">
      <w:pPr>
        <w:spacing w:after="400"/>
        <w:jc w:val="center"/>
        <w:rPr>
          <w:b/>
          <w:bCs/>
          <w:iCs/>
          <w:sz w:val="28"/>
          <w:szCs w:val="28"/>
        </w:rPr>
      </w:pPr>
      <w:r w:rsidRPr="00755236">
        <w:rPr>
          <w:rFonts w:ascii="Arial" w:hAnsi="Arial"/>
          <w:b/>
          <w:bCs/>
          <w:iCs/>
          <w:color w:val="5A5A5A"/>
          <w:sz w:val="28"/>
          <w:szCs w:val="28"/>
        </w:rPr>
        <w:t>Assessment Component: Financial Performance and Management</w:t>
      </w:r>
    </w:p>
    <w:tbl>
      <w:tblPr>
        <w:tblStyle w:val="TableGrid"/>
        <w:tblW w:w="9638" w:type="dxa"/>
        <w:tblLayout w:type="fixed"/>
        <w:tblLook w:val="04A0" w:firstRow="1" w:lastRow="0" w:firstColumn="1" w:lastColumn="0" w:noHBand="0" w:noVBand="1"/>
      </w:tblPr>
      <w:tblGrid>
        <w:gridCol w:w="4819"/>
        <w:gridCol w:w="4819"/>
      </w:tblGrid>
      <w:tr w:rsidR="00755236" w:rsidRPr="00755236" w14:paraId="4ADD93A7" w14:textId="77777777" w:rsidTr="008C2E5F">
        <w:trPr>
          <w:trHeight w:val="510"/>
        </w:trPr>
        <w:tc>
          <w:tcPr>
            <w:tcW w:w="4819" w:type="dxa"/>
            <w:vAlign w:val="center"/>
          </w:tcPr>
          <w:p w14:paraId="5C000A36" w14:textId="77777777" w:rsidR="00755236" w:rsidRPr="00755236" w:rsidRDefault="00755236" w:rsidP="00AA5684">
            <w:pPr>
              <w:jc w:val="center"/>
              <w:rPr>
                <w:sz w:val="28"/>
                <w:szCs w:val="28"/>
              </w:rPr>
            </w:pPr>
            <w:r w:rsidRPr="00755236">
              <w:rPr>
                <w:rFonts w:ascii="Arial" w:hAnsi="Arial"/>
                <w:b/>
                <w:sz w:val="28"/>
                <w:szCs w:val="28"/>
              </w:rPr>
              <w:t>Student name:</w:t>
            </w:r>
          </w:p>
        </w:tc>
        <w:tc>
          <w:tcPr>
            <w:tcW w:w="4819" w:type="dxa"/>
            <w:vAlign w:val="center"/>
          </w:tcPr>
          <w:p w14:paraId="0894ADD6" w14:textId="49C5AF4E" w:rsidR="00755236" w:rsidRPr="00755236" w:rsidRDefault="009B1559" w:rsidP="00AA5684">
            <w:pPr>
              <w:jc w:val="center"/>
              <w:rPr>
                <w:sz w:val="28"/>
                <w:szCs w:val="28"/>
              </w:rPr>
            </w:pPr>
            <w:r w:rsidRPr="009B1559">
              <w:rPr>
                <w:sz w:val="28"/>
                <w:szCs w:val="28"/>
              </w:rPr>
              <w:t>Hiren</w:t>
            </w:r>
            <w:r>
              <w:rPr>
                <w:sz w:val="28"/>
                <w:szCs w:val="28"/>
              </w:rPr>
              <w:t xml:space="preserve"> </w:t>
            </w:r>
            <w:proofErr w:type="spellStart"/>
            <w:r w:rsidR="00ED1CDD">
              <w:rPr>
                <w:sz w:val="28"/>
                <w:szCs w:val="28"/>
              </w:rPr>
              <w:t>Kishorbhai</w:t>
            </w:r>
            <w:proofErr w:type="spellEnd"/>
            <w:r w:rsidR="00ED1CDD">
              <w:rPr>
                <w:sz w:val="28"/>
                <w:szCs w:val="28"/>
              </w:rPr>
              <w:t xml:space="preserve"> </w:t>
            </w:r>
            <w:proofErr w:type="spellStart"/>
            <w:r w:rsidR="00ED1CDD">
              <w:rPr>
                <w:sz w:val="28"/>
                <w:szCs w:val="28"/>
              </w:rPr>
              <w:t>Adroja</w:t>
            </w:r>
            <w:proofErr w:type="spellEnd"/>
          </w:p>
        </w:tc>
      </w:tr>
      <w:tr w:rsidR="008C2E5F" w:rsidRPr="00755236" w14:paraId="239F0733" w14:textId="77777777" w:rsidTr="008C2E5F">
        <w:trPr>
          <w:trHeight w:val="510"/>
        </w:trPr>
        <w:tc>
          <w:tcPr>
            <w:tcW w:w="4819" w:type="dxa"/>
            <w:vAlign w:val="center"/>
          </w:tcPr>
          <w:p w14:paraId="2182F0D4" w14:textId="0242FBBE" w:rsidR="008C2E5F" w:rsidRPr="00755236" w:rsidRDefault="008C2E5F" w:rsidP="00AA5684">
            <w:pPr>
              <w:jc w:val="center"/>
              <w:rPr>
                <w:rFonts w:ascii="Arial" w:hAnsi="Arial"/>
                <w:b/>
                <w:sz w:val="28"/>
                <w:szCs w:val="28"/>
              </w:rPr>
            </w:pPr>
            <w:r>
              <w:rPr>
                <w:rFonts w:ascii="Arial" w:hAnsi="Arial"/>
                <w:b/>
                <w:sz w:val="28"/>
                <w:szCs w:val="28"/>
              </w:rPr>
              <w:t>Student ID</w:t>
            </w:r>
          </w:p>
        </w:tc>
        <w:tc>
          <w:tcPr>
            <w:tcW w:w="4819" w:type="dxa"/>
            <w:vAlign w:val="center"/>
          </w:tcPr>
          <w:p w14:paraId="375DC6C3" w14:textId="630A72CA" w:rsidR="008C2E5F" w:rsidRPr="009B1559" w:rsidRDefault="001C62C1" w:rsidP="00AA5684">
            <w:pPr>
              <w:jc w:val="center"/>
              <w:rPr>
                <w:sz w:val="28"/>
                <w:szCs w:val="28"/>
              </w:rPr>
            </w:pPr>
            <w:r>
              <w:rPr>
                <w:sz w:val="28"/>
                <w:szCs w:val="28"/>
              </w:rPr>
              <w:t>2527939</w:t>
            </w:r>
            <w:bookmarkStart w:id="0" w:name="_GoBack"/>
            <w:bookmarkEnd w:id="0"/>
          </w:p>
        </w:tc>
      </w:tr>
      <w:tr w:rsidR="00755236" w:rsidRPr="00755236" w14:paraId="273CE61B" w14:textId="77777777" w:rsidTr="008C2E5F">
        <w:trPr>
          <w:trHeight w:val="510"/>
        </w:trPr>
        <w:tc>
          <w:tcPr>
            <w:tcW w:w="4819" w:type="dxa"/>
            <w:vAlign w:val="center"/>
          </w:tcPr>
          <w:p w14:paraId="31764E40" w14:textId="77777777" w:rsidR="00755236" w:rsidRPr="00755236" w:rsidRDefault="00755236" w:rsidP="00AA5684">
            <w:pPr>
              <w:jc w:val="center"/>
              <w:rPr>
                <w:sz w:val="28"/>
                <w:szCs w:val="28"/>
              </w:rPr>
            </w:pPr>
            <w:proofErr w:type="spellStart"/>
            <w:r w:rsidRPr="00755236">
              <w:rPr>
                <w:rFonts w:ascii="Arial" w:hAnsi="Arial"/>
                <w:b/>
                <w:sz w:val="28"/>
                <w:szCs w:val="28"/>
              </w:rPr>
              <w:t>Programme</w:t>
            </w:r>
            <w:proofErr w:type="spellEnd"/>
            <w:r w:rsidRPr="00755236">
              <w:rPr>
                <w:rFonts w:ascii="Arial" w:hAnsi="Arial"/>
                <w:b/>
                <w:sz w:val="28"/>
                <w:szCs w:val="28"/>
              </w:rPr>
              <w:t>:</w:t>
            </w:r>
          </w:p>
        </w:tc>
        <w:tc>
          <w:tcPr>
            <w:tcW w:w="4819" w:type="dxa"/>
            <w:vAlign w:val="center"/>
          </w:tcPr>
          <w:p w14:paraId="22A4CC43" w14:textId="77777777" w:rsidR="00755236" w:rsidRPr="00755236" w:rsidRDefault="00755236" w:rsidP="00AA5684">
            <w:pPr>
              <w:jc w:val="center"/>
              <w:rPr>
                <w:sz w:val="28"/>
                <w:szCs w:val="28"/>
              </w:rPr>
            </w:pPr>
            <w:r w:rsidRPr="00755236">
              <w:rPr>
                <w:rFonts w:ascii="Arial" w:hAnsi="Arial"/>
                <w:sz w:val="28"/>
                <w:szCs w:val="28"/>
              </w:rPr>
              <w:t>Master of Business Administration</w:t>
            </w:r>
          </w:p>
        </w:tc>
      </w:tr>
      <w:tr w:rsidR="00755236" w:rsidRPr="00755236" w14:paraId="14AF25F0" w14:textId="77777777" w:rsidTr="008C2E5F">
        <w:trPr>
          <w:trHeight w:val="510"/>
        </w:trPr>
        <w:tc>
          <w:tcPr>
            <w:tcW w:w="4819" w:type="dxa"/>
            <w:vAlign w:val="center"/>
          </w:tcPr>
          <w:p w14:paraId="66546363" w14:textId="77777777" w:rsidR="00755236" w:rsidRPr="00755236" w:rsidRDefault="00755236" w:rsidP="00AA5684">
            <w:pPr>
              <w:jc w:val="center"/>
              <w:rPr>
                <w:sz w:val="28"/>
                <w:szCs w:val="28"/>
              </w:rPr>
            </w:pPr>
            <w:r w:rsidRPr="00755236">
              <w:rPr>
                <w:rFonts w:ascii="Arial" w:hAnsi="Arial"/>
                <w:b/>
                <w:sz w:val="28"/>
                <w:szCs w:val="28"/>
              </w:rPr>
              <w:t>Module:</w:t>
            </w:r>
          </w:p>
        </w:tc>
        <w:tc>
          <w:tcPr>
            <w:tcW w:w="4819" w:type="dxa"/>
            <w:vAlign w:val="center"/>
          </w:tcPr>
          <w:p w14:paraId="4E75B50A" w14:textId="77777777" w:rsidR="00755236" w:rsidRPr="00755236" w:rsidRDefault="00755236" w:rsidP="00AA5684">
            <w:pPr>
              <w:jc w:val="center"/>
              <w:rPr>
                <w:sz w:val="28"/>
                <w:szCs w:val="28"/>
              </w:rPr>
            </w:pPr>
            <w:r w:rsidRPr="00755236">
              <w:rPr>
                <w:rFonts w:ascii="Arial" w:hAnsi="Arial"/>
                <w:sz w:val="28"/>
                <w:szCs w:val="28"/>
              </w:rPr>
              <w:t>Financial Management</w:t>
            </w:r>
          </w:p>
        </w:tc>
      </w:tr>
      <w:tr w:rsidR="00755236" w:rsidRPr="00755236" w14:paraId="009E36FE" w14:textId="77777777" w:rsidTr="008C2E5F">
        <w:trPr>
          <w:trHeight w:val="510"/>
        </w:trPr>
        <w:tc>
          <w:tcPr>
            <w:tcW w:w="4819" w:type="dxa"/>
            <w:vAlign w:val="center"/>
          </w:tcPr>
          <w:p w14:paraId="1E4F31D8" w14:textId="77777777" w:rsidR="00755236" w:rsidRPr="00755236" w:rsidRDefault="00755236" w:rsidP="00AA5684">
            <w:pPr>
              <w:jc w:val="center"/>
              <w:rPr>
                <w:sz w:val="28"/>
                <w:szCs w:val="28"/>
              </w:rPr>
            </w:pPr>
            <w:r w:rsidRPr="00755236">
              <w:rPr>
                <w:rFonts w:ascii="Arial" w:hAnsi="Arial"/>
                <w:b/>
                <w:sz w:val="28"/>
                <w:szCs w:val="28"/>
              </w:rPr>
              <w:t>Module code:</w:t>
            </w:r>
          </w:p>
        </w:tc>
        <w:tc>
          <w:tcPr>
            <w:tcW w:w="4819" w:type="dxa"/>
            <w:vAlign w:val="center"/>
          </w:tcPr>
          <w:p w14:paraId="5F37F426" w14:textId="77777777" w:rsidR="00755236" w:rsidRPr="00755236" w:rsidRDefault="00755236" w:rsidP="00AA5684">
            <w:pPr>
              <w:jc w:val="center"/>
              <w:rPr>
                <w:sz w:val="28"/>
                <w:szCs w:val="28"/>
              </w:rPr>
            </w:pPr>
            <w:r w:rsidRPr="00755236">
              <w:rPr>
                <w:rFonts w:ascii="Arial" w:hAnsi="Arial"/>
                <w:sz w:val="28"/>
                <w:szCs w:val="28"/>
              </w:rPr>
              <w:t>LCMB7002</w:t>
            </w:r>
          </w:p>
        </w:tc>
      </w:tr>
      <w:tr w:rsidR="00755236" w:rsidRPr="00755236" w14:paraId="32B2D129" w14:textId="77777777" w:rsidTr="008C2E5F">
        <w:trPr>
          <w:trHeight w:val="794"/>
        </w:trPr>
        <w:tc>
          <w:tcPr>
            <w:tcW w:w="4819" w:type="dxa"/>
            <w:vAlign w:val="center"/>
          </w:tcPr>
          <w:p w14:paraId="50B051F0" w14:textId="77777777" w:rsidR="00755236" w:rsidRPr="00755236" w:rsidRDefault="00755236" w:rsidP="00AA5684">
            <w:pPr>
              <w:jc w:val="center"/>
              <w:rPr>
                <w:sz w:val="28"/>
                <w:szCs w:val="28"/>
              </w:rPr>
            </w:pPr>
            <w:r w:rsidRPr="00755236">
              <w:rPr>
                <w:rFonts w:ascii="Arial" w:hAnsi="Arial"/>
                <w:b/>
                <w:sz w:val="28"/>
                <w:szCs w:val="28"/>
              </w:rPr>
              <w:t>Lecturers:</w:t>
            </w:r>
          </w:p>
        </w:tc>
        <w:tc>
          <w:tcPr>
            <w:tcW w:w="4819" w:type="dxa"/>
            <w:vAlign w:val="center"/>
          </w:tcPr>
          <w:p w14:paraId="17444FB7" w14:textId="2886CE32" w:rsidR="00755236" w:rsidRPr="00755236" w:rsidRDefault="00755236" w:rsidP="00AA5684">
            <w:pPr>
              <w:jc w:val="center"/>
              <w:rPr>
                <w:sz w:val="28"/>
                <w:szCs w:val="28"/>
              </w:rPr>
            </w:pPr>
            <w:r w:rsidRPr="00755236">
              <w:rPr>
                <w:rFonts w:ascii="Arial" w:hAnsi="Arial"/>
                <w:sz w:val="28"/>
                <w:szCs w:val="28"/>
              </w:rPr>
              <w:t>Patrick Yeboah</w:t>
            </w:r>
          </w:p>
        </w:tc>
      </w:tr>
      <w:tr w:rsidR="00755236" w:rsidRPr="00755236" w14:paraId="15423D86" w14:textId="77777777" w:rsidTr="008C2E5F">
        <w:trPr>
          <w:trHeight w:val="510"/>
        </w:trPr>
        <w:tc>
          <w:tcPr>
            <w:tcW w:w="4819" w:type="dxa"/>
            <w:vAlign w:val="center"/>
          </w:tcPr>
          <w:p w14:paraId="110ED5C8" w14:textId="77777777" w:rsidR="00755236" w:rsidRPr="00755236" w:rsidRDefault="00755236" w:rsidP="00AA5684">
            <w:pPr>
              <w:jc w:val="center"/>
              <w:rPr>
                <w:sz w:val="28"/>
                <w:szCs w:val="28"/>
              </w:rPr>
            </w:pPr>
            <w:r w:rsidRPr="00755236">
              <w:rPr>
                <w:rFonts w:ascii="Arial" w:hAnsi="Arial"/>
                <w:b/>
                <w:sz w:val="28"/>
                <w:szCs w:val="28"/>
              </w:rPr>
              <w:t xml:space="preserve">Company </w:t>
            </w:r>
            <w:proofErr w:type="spellStart"/>
            <w:r w:rsidRPr="00755236">
              <w:rPr>
                <w:rFonts w:ascii="Arial" w:hAnsi="Arial"/>
                <w:b/>
                <w:sz w:val="28"/>
                <w:szCs w:val="28"/>
              </w:rPr>
              <w:t>analysed</w:t>
            </w:r>
            <w:proofErr w:type="spellEnd"/>
            <w:r w:rsidRPr="00755236">
              <w:rPr>
                <w:rFonts w:ascii="Arial" w:hAnsi="Arial"/>
                <w:b/>
                <w:sz w:val="28"/>
                <w:szCs w:val="28"/>
              </w:rPr>
              <w:t>:</w:t>
            </w:r>
          </w:p>
        </w:tc>
        <w:tc>
          <w:tcPr>
            <w:tcW w:w="4819" w:type="dxa"/>
            <w:vAlign w:val="center"/>
          </w:tcPr>
          <w:p w14:paraId="012C22DE" w14:textId="77777777" w:rsidR="00755236" w:rsidRPr="00755236" w:rsidRDefault="00755236" w:rsidP="00AA5684">
            <w:pPr>
              <w:jc w:val="center"/>
              <w:rPr>
                <w:sz w:val="28"/>
                <w:szCs w:val="28"/>
              </w:rPr>
            </w:pPr>
            <w:r w:rsidRPr="00755236">
              <w:rPr>
                <w:rFonts w:ascii="Arial" w:hAnsi="Arial"/>
                <w:sz w:val="28"/>
                <w:szCs w:val="28"/>
              </w:rPr>
              <w:t>Marriott International, Inc.</w:t>
            </w:r>
          </w:p>
        </w:tc>
      </w:tr>
      <w:tr w:rsidR="00755236" w:rsidRPr="00755236" w14:paraId="37C0EA9D" w14:textId="77777777" w:rsidTr="008C2E5F">
        <w:trPr>
          <w:trHeight w:val="510"/>
        </w:trPr>
        <w:tc>
          <w:tcPr>
            <w:tcW w:w="4819" w:type="dxa"/>
            <w:vAlign w:val="center"/>
          </w:tcPr>
          <w:p w14:paraId="293EEADD" w14:textId="77777777" w:rsidR="00755236" w:rsidRPr="00755236" w:rsidRDefault="00755236" w:rsidP="00AA5684">
            <w:pPr>
              <w:jc w:val="center"/>
              <w:rPr>
                <w:sz w:val="28"/>
                <w:szCs w:val="28"/>
              </w:rPr>
            </w:pPr>
            <w:r w:rsidRPr="00755236">
              <w:rPr>
                <w:rFonts w:ascii="Arial" w:hAnsi="Arial"/>
                <w:b/>
                <w:sz w:val="28"/>
                <w:szCs w:val="28"/>
              </w:rPr>
              <w:t>Submission date:</w:t>
            </w:r>
          </w:p>
        </w:tc>
        <w:tc>
          <w:tcPr>
            <w:tcW w:w="4819" w:type="dxa"/>
            <w:vAlign w:val="center"/>
          </w:tcPr>
          <w:p w14:paraId="6DC4F391" w14:textId="1EE5DA6E" w:rsidR="00755236" w:rsidRPr="00755236" w:rsidRDefault="00C61CB4" w:rsidP="00AA5684">
            <w:pPr>
              <w:jc w:val="center"/>
              <w:rPr>
                <w:sz w:val="28"/>
                <w:szCs w:val="28"/>
              </w:rPr>
            </w:pPr>
            <w:r>
              <w:rPr>
                <w:sz w:val="28"/>
                <w:szCs w:val="28"/>
              </w:rPr>
              <w:t>24</w:t>
            </w:r>
            <w:r w:rsidRPr="00C61CB4">
              <w:rPr>
                <w:sz w:val="28"/>
                <w:szCs w:val="28"/>
                <w:vertAlign w:val="superscript"/>
              </w:rPr>
              <w:t>th</w:t>
            </w:r>
            <w:r>
              <w:rPr>
                <w:sz w:val="28"/>
                <w:szCs w:val="28"/>
              </w:rPr>
              <w:t xml:space="preserve"> July 2026</w:t>
            </w:r>
          </w:p>
        </w:tc>
      </w:tr>
    </w:tbl>
    <w:p w14:paraId="6C4C9725" w14:textId="77777777" w:rsidR="001A773C" w:rsidRPr="00755236" w:rsidRDefault="001A773C">
      <w:pPr>
        <w:rPr>
          <w:rFonts w:ascii="Arial" w:hAnsi="Arial" w:cs="Arial"/>
          <w:sz w:val="28"/>
          <w:szCs w:val="28"/>
        </w:rPr>
      </w:pPr>
    </w:p>
    <w:p w14:paraId="37E68495" w14:textId="77777777" w:rsidR="00CB5928" w:rsidRPr="00755236" w:rsidRDefault="00CB5928">
      <w:pPr>
        <w:rPr>
          <w:rFonts w:ascii="Arial" w:hAnsi="Arial" w:cs="Arial"/>
          <w:sz w:val="28"/>
          <w:szCs w:val="28"/>
        </w:rPr>
      </w:pPr>
    </w:p>
    <w:p w14:paraId="7836B5F4" w14:textId="77777777" w:rsidR="001476AF" w:rsidRDefault="001476AF">
      <w:pPr>
        <w:rPr>
          <w:rFonts w:ascii="Arial" w:hAnsi="Arial" w:cs="Arial"/>
          <w:sz w:val="24"/>
          <w:szCs w:val="24"/>
        </w:rPr>
      </w:pPr>
    </w:p>
    <w:p w14:paraId="0CF3211C" w14:textId="77777777" w:rsidR="00755236" w:rsidRPr="00F837E2" w:rsidRDefault="00755236">
      <w:pPr>
        <w:rPr>
          <w:rFonts w:ascii="Arial" w:hAnsi="Arial" w:cs="Arial"/>
          <w:sz w:val="24"/>
          <w:szCs w:val="24"/>
        </w:rPr>
      </w:pPr>
    </w:p>
    <w:p w14:paraId="2574C7A3" w14:textId="77777777" w:rsidR="001476AF" w:rsidRPr="00F837E2" w:rsidRDefault="001476AF">
      <w:pPr>
        <w:rPr>
          <w:rFonts w:ascii="Arial" w:hAnsi="Arial" w:cs="Arial"/>
          <w:sz w:val="24"/>
          <w:szCs w:val="24"/>
        </w:rPr>
      </w:pPr>
    </w:p>
    <w:sdt>
      <w:sdtPr>
        <w:rPr>
          <w:rFonts w:ascii="Arial" w:eastAsiaTheme="minorEastAsia" w:hAnsi="Arial" w:cs="Arial"/>
          <w:b w:val="0"/>
          <w:bCs w:val="0"/>
          <w:smallCaps w:val="0"/>
          <w:color w:val="auto"/>
          <w:sz w:val="24"/>
          <w:szCs w:val="24"/>
        </w:rPr>
        <w:id w:val="1974946681"/>
        <w:docPartObj>
          <w:docPartGallery w:val="Table of Contents"/>
          <w:docPartUnique/>
        </w:docPartObj>
      </w:sdtPr>
      <w:sdtEndPr>
        <w:rPr>
          <w:noProof/>
        </w:rPr>
      </w:sdtEndPr>
      <w:sdtContent>
        <w:p w14:paraId="5249E8D6" w14:textId="4D74E11B" w:rsidR="00C464AE" w:rsidRPr="00F837E2" w:rsidRDefault="00C464AE" w:rsidP="00CB5928">
          <w:pPr>
            <w:pStyle w:val="TOCHeading"/>
            <w:numPr>
              <w:ilvl w:val="0"/>
              <w:numId w:val="0"/>
            </w:numPr>
            <w:tabs>
              <w:tab w:val="left" w:pos="3609"/>
            </w:tabs>
            <w:ind w:left="432" w:hanging="432"/>
            <w:rPr>
              <w:rFonts w:ascii="Arial" w:hAnsi="Arial" w:cs="Arial"/>
              <w:sz w:val="24"/>
              <w:szCs w:val="24"/>
            </w:rPr>
          </w:pPr>
          <w:r w:rsidRPr="00F837E2">
            <w:rPr>
              <w:rFonts w:ascii="Arial" w:hAnsi="Arial" w:cs="Arial"/>
              <w:sz w:val="24"/>
              <w:szCs w:val="24"/>
            </w:rPr>
            <w:t>Table of Contents</w:t>
          </w:r>
          <w:r w:rsidR="00CB5928">
            <w:rPr>
              <w:rFonts w:ascii="Arial" w:hAnsi="Arial" w:cs="Arial"/>
              <w:sz w:val="24"/>
              <w:szCs w:val="24"/>
            </w:rPr>
            <w:tab/>
          </w:r>
        </w:p>
        <w:p w14:paraId="45634994" w14:textId="6E0CD07D" w:rsidR="00E40D93" w:rsidRDefault="00C464AE">
          <w:pPr>
            <w:pStyle w:val="TOC1"/>
            <w:tabs>
              <w:tab w:val="left" w:pos="480"/>
              <w:tab w:val="right" w:leader="dot" w:pos="9016"/>
            </w:tabs>
            <w:rPr>
              <w:noProof/>
              <w:kern w:val="2"/>
              <w:sz w:val="24"/>
              <w:szCs w:val="24"/>
              <w14:ligatures w14:val="standardContextual"/>
            </w:rPr>
          </w:pPr>
          <w:r w:rsidRPr="00F837E2">
            <w:rPr>
              <w:rFonts w:ascii="Arial" w:hAnsi="Arial" w:cs="Arial"/>
              <w:sz w:val="24"/>
              <w:szCs w:val="24"/>
            </w:rPr>
            <w:fldChar w:fldCharType="begin"/>
          </w:r>
          <w:r w:rsidRPr="00F837E2">
            <w:rPr>
              <w:rFonts w:ascii="Arial" w:hAnsi="Arial" w:cs="Arial"/>
              <w:sz w:val="24"/>
              <w:szCs w:val="24"/>
            </w:rPr>
            <w:instrText xml:space="preserve"> TOC \o "1-3" \h \z \u </w:instrText>
          </w:r>
          <w:r w:rsidRPr="00F837E2">
            <w:rPr>
              <w:rFonts w:ascii="Arial" w:hAnsi="Arial" w:cs="Arial"/>
              <w:sz w:val="24"/>
              <w:szCs w:val="24"/>
            </w:rPr>
            <w:fldChar w:fldCharType="separate"/>
          </w:r>
          <w:hyperlink w:anchor="_Toc235687056" w:history="1">
            <w:r w:rsidR="00E40D93" w:rsidRPr="007D2A26">
              <w:rPr>
                <w:rStyle w:val="Hyperlink"/>
                <w:rFonts w:ascii="Arial" w:hAnsi="Arial" w:cs="Arial"/>
                <w:noProof/>
              </w:rPr>
              <w:t>1</w:t>
            </w:r>
            <w:r w:rsidR="00E40D93">
              <w:rPr>
                <w:noProof/>
                <w:kern w:val="2"/>
                <w:sz w:val="24"/>
                <w:szCs w:val="24"/>
                <w14:ligatures w14:val="standardContextual"/>
              </w:rPr>
              <w:tab/>
            </w:r>
            <w:r w:rsidR="00E40D93" w:rsidRPr="007D2A26">
              <w:rPr>
                <w:rStyle w:val="Hyperlink"/>
                <w:rFonts w:ascii="Arial" w:hAnsi="Arial" w:cs="Arial"/>
                <w:noProof/>
              </w:rPr>
              <w:t>Financial Health Check</w:t>
            </w:r>
            <w:r w:rsidR="00E40D93">
              <w:rPr>
                <w:noProof/>
                <w:webHidden/>
              </w:rPr>
              <w:tab/>
            </w:r>
            <w:r w:rsidR="00E40D93">
              <w:rPr>
                <w:noProof/>
                <w:webHidden/>
              </w:rPr>
              <w:fldChar w:fldCharType="begin"/>
            </w:r>
            <w:r w:rsidR="00E40D93">
              <w:rPr>
                <w:noProof/>
                <w:webHidden/>
              </w:rPr>
              <w:instrText xml:space="preserve"> PAGEREF _Toc235687056 \h </w:instrText>
            </w:r>
            <w:r w:rsidR="00E40D93">
              <w:rPr>
                <w:noProof/>
                <w:webHidden/>
              </w:rPr>
            </w:r>
            <w:r w:rsidR="00E40D93">
              <w:rPr>
                <w:noProof/>
                <w:webHidden/>
              </w:rPr>
              <w:fldChar w:fldCharType="separate"/>
            </w:r>
            <w:r w:rsidR="00E40D93">
              <w:rPr>
                <w:noProof/>
                <w:webHidden/>
              </w:rPr>
              <w:t>4</w:t>
            </w:r>
            <w:r w:rsidR="00E40D93">
              <w:rPr>
                <w:noProof/>
                <w:webHidden/>
              </w:rPr>
              <w:fldChar w:fldCharType="end"/>
            </w:r>
          </w:hyperlink>
        </w:p>
        <w:p w14:paraId="0D0A8D35" w14:textId="356F016D" w:rsidR="00E40D93" w:rsidRDefault="00042DAE">
          <w:pPr>
            <w:pStyle w:val="TOC2"/>
            <w:tabs>
              <w:tab w:val="left" w:pos="960"/>
              <w:tab w:val="right" w:leader="dot" w:pos="9016"/>
            </w:tabs>
            <w:rPr>
              <w:noProof/>
              <w:kern w:val="2"/>
              <w:sz w:val="24"/>
              <w:szCs w:val="24"/>
              <w14:ligatures w14:val="standardContextual"/>
            </w:rPr>
          </w:pPr>
          <w:hyperlink w:anchor="_Toc235687057" w:history="1">
            <w:r w:rsidR="00E40D93" w:rsidRPr="007D2A26">
              <w:rPr>
                <w:rStyle w:val="Hyperlink"/>
                <w:rFonts w:ascii="Arial" w:hAnsi="Arial" w:cs="Arial"/>
                <w:noProof/>
              </w:rPr>
              <w:t>1.1</w:t>
            </w:r>
            <w:r w:rsidR="00E40D93">
              <w:rPr>
                <w:noProof/>
                <w:kern w:val="2"/>
                <w:sz w:val="24"/>
                <w:szCs w:val="24"/>
                <w14:ligatures w14:val="standardContextual"/>
              </w:rPr>
              <w:tab/>
            </w:r>
            <w:r w:rsidR="00E40D93" w:rsidRPr="007D2A26">
              <w:rPr>
                <w:rStyle w:val="Hyperlink"/>
                <w:rFonts w:ascii="Arial" w:hAnsi="Arial" w:cs="Arial"/>
                <w:noProof/>
              </w:rPr>
              <w:t>Scope and analytical approach</w:t>
            </w:r>
            <w:r w:rsidR="00E40D93">
              <w:rPr>
                <w:noProof/>
                <w:webHidden/>
              </w:rPr>
              <w:tab/>
            </w:r>
            <w:r w:rsidR="00E40D93">
              <w:rPr>
                <w:noProof/>
                <w:webHidden/>
              </w:rPr>
              <w:fldChar w:fldCharType="begin"/>
            </w:r>
            <w:r w:rsidR="00E40D93">
              <w:rPr>
                <w:noProof/>
                <w:webHidden/>
              </w:rPr>
              <w:instrText xml:space="preserve"> PAGEREF _Toc235687057 \h </w:instrText>
            </w:r>
            <w:r w:rsidR="00E40D93">
              <w:rPr>
                <w:noProof/>
                <w:webHidden/>
              </w:rPr>
            </w:r>
            <w:r w:rsidR="00E40D93">
              <w:rPr>
                <w:noProof/>
                <w:webHidden/>
              </w:rPr>
              <w:fldChar w:fldCharType="separate"/>
            </w:r>
            <w:r w:rsidR="00E40D93">
              <w:rPr>
                <w:noProof/>
                <w:webHidden/>
              </w:rPr>
              <w:t>4</w:t>
            </w:r>
            <w:r w:rsidR="00E40D93">
              <w:rPr>
                <w:noProof/>
                <w:webHidden/>
              </w:rPr>
              <w:fldChar w:fldCharType="end"/>
            </w:r>
          </w:hyperlink>
        </w:p>
        <w:p w14:paraId="68D7E6F2" w14:textId="6F37C622" w:rsidR="00E40D93" w:rsidRDefault="00042DAE">
          <w:pPr>
            <w:pStyle w:val="TOC2"/>
            <w:tabs>
              <w:tab w:val="left" w:pos="960"/>
              <w:tab w:val="right" w:leader="dot" w:pos="9016"/>
            </w:tabs>
            <w:rPr>
              <w:noProof/>
              <w:kern w:val="2"/>
              <w:sz w:val="24"/>
              <w:szCs w:val="24"/>
              <w14:ligatures w14:val="standardContextual"/>
            </w:rPr>
          </w:pPr>
          <w:hyperlink w:anchor="_Toc235687058" w:history="1">
            <w:r w:rsidR="00E40D93" w:rsidRPr="007D2A26">
              <w:rPr>
                <w:rStyle w:val="Hyperlink"/>
                <w:rFonts w:ascii="Arial" w:hAnsi="Arial" w:cs="Arial"/>
                <w:noProof/>
              </w:rPr>
              <w:t>1.2</w:t>
            </w:r>
            <w:r w:rsidR="00E40D93">
              <w:rPr>
                <w:noProof/>
                <w:kern w:val="2"/>
                <w:sz w:val="24"/>
                <w:szCs w:val="24"/>
                <w14:ligatures w14:val="standardContextual"/>
              </w:rPr>
              <w:tab/>
            </w:r>
            <w:r w:rsidR="00E40D93" w:rsidRPr="007D2A26">
              <w:rPr>
                <w:rStyle w:val="Hyperlink"/>
                <w:rFonts w:ascii="Arial" w:hAnsi="Arial" w:cs="Arial"/>
                <w:noProof/>
              </w:rPr>
              <w:t>Financial-statement performance</w:t>
            </w:r>
            <w:r w:rsidR="00E40D93">
              <w:rPr>
                <w:noProof/>
                <w:webHidden/>
              </w:rPr>
              <w:tab/>
            </w:r>
            <w:r w:rsidR="00E40D93">
              <w:rPr>
                <w:noProof/>
                <w:webHidden/>
              </w:rPr>
              <w:fldChar w:fldCharType="begin"/>
            </w:r>
            <w:r w:rsidR="00E40D93">
              <w:rPr>
                <w:noProof/>
                <w:webHidden/>
              </w:rPr>
              <w:instrText xml:space="preserve"> PAGEREF _Toc235687058 \h </w:instrText>
            </w:r>
            <w:r w:rsidR="00E40D93">
              <w:rPr>
                <w:noProof/>
                <w:webHidden/>
              </w:rPr>
            </w:r>
            <w:r w:rsidR="00E40D93">
              <w:rPr>
                <w:noProof/>
                <w:webHidden/>
              </w:rPr>
              <w:fldChar w:fldCharType="separate"/>
            </w:r>
            <w:r w:rsidR="00E40D93">
              <w:rPr>
                <w:noProof/>
                <w:webHidden/>
              </w:rPr>
              <w:t>4</w:t>
            </w:r>
            <w:r w:rsidR="00E40D93">
              <w:rPr>
                <w:noProof/>
                <w:webHidden/>
              </w:rPr>
              <w:fldChar w:fldCharType="end"/>
            </w:r>
          </w:hyperlink>
        </w:p>
        <w:p w14:paraId="3DC3B0B3" w14:textId="5AC74120" w:rsidR="00E40D93" w:rsidRDefault="00042DAE">
          <w:pPr>
            <w:pStyle w:val="TOC2"/>
            <w:tabs>
              <w:tab w:val="left" w:pos="960"/>
              <w:tab w:val="right" w:leader="dot" w:pos="9016"/>
            </w:tabs>
            <w:rPr>
              <w:noProof/>
              <w:kern w:val="2"/>
              <w:sz w:val="24"/>
              <w:szCs w:val="24"/>
              <w14:ligatures w14:val="standardContextual"/>
            </w:rPr>
          </w:pPr>
          <w:hyperlink w:anchor="_Toc235687059" w:history="1">
            <w:r w:rsidR="00E40D93" w:rsidRPr="007D2A26">
              <w:rPr>
                <w:rStyle w:val="Hyperlink"/>
                <w:rFonts w:ascii="Arial" w:hAnsi="Arial" w:cs="Arial"/>
                <w:noProof/>
              </w:rPr>
              <w:t>1.3</w:t>
            </w:r>
            <w:r w:rsidR="00E40D93">
              <w:rPr>
                <w:noProof/>
                <w:kern w:val="2"/>
                <w:sz w:val="24"/>
                <w:szCs w:val="24"/>
                <w14:ligatures w14:val="standardContextual"/>
              </w:rPr>
              <w:tab/>
            </w:r>
            <w:r w:rsidR="00E40D93" w:rsidRPr="007D2A26">
              <w:rPr>
                <w:rStyle w:val="Hyperlink"/>
                <w:rFonts w:ascii="Arial" w:hAnsi="Arial" w:cs="Arial"/>
                <w:noProof/>
              </w:rPr>
              <w:t>Efficiency and operational strengths</w:t>
            </w:r>
            <w:r w:rsidR="00E40D93">
              <w:rPr>
                <w:noProof/>
                <w:webHidden/>
              </w:rPr>
              <w:tab/>
            </w:r>
            <w:r w:rsidR="00E40D93">
              <w:rPr>
                <w:noProof/>
                <w:webHidden/>
              </w:rPr>
              <w:fldChar w:fldCharType="begin"/>
            </w:r>
            <w:r w:rsidR="00E40D93">
              <w:rPr>
                <w:noProof/>
                <w:webHidden/>
              </w:rPr>
              <w:instrText xml:space="preserve"> PAGEREF _Toc235687059 \h </w:instrText>
            </w:r>
            <w:r w:rsidR="00E40D93">
              <w:rPr>
                <w:noProof/>
                <w:webHidden/>
              </w:rPr>
            </w:r>
            <w:r w:rsidR="00E40D93">
              <w:rPr>
                <w:noProof/>
                <w:webHidden/>
              </w:rPr>
              <w:fldChar w:fldCharType="separate"/>
            </w:r>
            <w:r w:rsidR="00E40D93">
              <w:rPr>
                <w:noProof/>
                <w:webHidden/>
              </w:rPr>
              <w:t>5</w:t>
            </w:r>
            <w:r w:rsidR="00E40D93">
              <w:rPr>
                <w:noProof/>
                <w:webHidden/>
              </w:rPr>
              <w:fldChar w:fldCharType="end"/>
            </w:r>
          </w:hyperlink>
        </w:p>
        <w:p w14:paraId="175E9441" w14:textId="6F88BFFF" w:rsidR="00E40D93" w:rsidRDefault="00042DAE">
          <w:pPr>
            <w:pStyle w:val="TOC2"/>
            <w:tabs>
              <w:tab w:val="left" w:pos="960"/>
              <w:tab w:val="right" w:leader="dot" w:pos="9016"/>
            </w:tabs>
            <w:rPr>
              <w:noProof/>
              <w:kern w:val="2"/>
              <w:sz w:val="24"/>
              <w:szCs w:val="24"/>
              <w14:ligatures w14:val="standardContextual"/>
            </w:rPr>
          </w:pPr>
          <w:hyperlink w:anchor="_Toc235687060" w:history="1">
            <w:r w:rsidR="00E40D93" w:rsidRPr="007D2A26">
              <w:rPr>
                <w:rStyle w:val="Hyperlink"/>
                <w:rFonts w:ascii="Arial" w:hAnsi="Arial" w:cs="Arial"/>
                <w:noProof/>
              </w:rPr>
              <w:t>1.4</w:t>
            </w:r>
            <w:r w:rsidR="00E40D93">
              <w:rPr>
                <w:noProof/>
                <w:kern w:val="2"/>
                <w:sz w:val="24"/>
                <w:szCs w:val="24"/>
                <w14:ligatures w14:val="standardContextual"/>
              </w:rPr>
              <w:tab/>
            </w:r>
            <w:r w:rsidR="00E40D93" w:rsidRPr="007D2A26">
              <w:rPr>
                <w:rStyle w:val="Hyperlink"/>
                <w:rFonts w:ascii="Arial" w:hAnsi="Arial" w:cs="Arial"/>
                <w:noProof/>
              </w:rPr>
              <w:t>Liquidity and industry comparison</w:t>
            </w:r>
            <w:r w:rsidR="00E40D93">
              <w:rPr>
                <w:noProof/>
                <w:webHidden/>
              </w:rPr>
              <w:tab/>
            </w:r>
            <w:r w:rsidR="00E40D93">
              <w:rPr>
                <w:noProof/>
                <w:webHidden/>
              </w:rPr>
              <w:fldChar w:fldCharType="begin"/>
            </w:r>
            <w:r w:rsidR="00E40D93">
              <w:rPr>
                <w:noProof/>
                <w:webHidden/>
              </w:rPr>
              <w:instrText xml:space="preserve"> PAGEREF _Toc235687060 \h </w:instrText>
            </w:r>
            <w:r w:rsidR="00E40D93">
              <w:rPr>
                <w:noProof/>
                <w:webHidden/>
              </w:rPr>
            </w:r>
            <w:r w:rsidR="00E40D93">
              <w:rPr>
                <w:noProof/>
                <w:webHidden/>
              </w:rPr>
              <w:fldChar w:fldCharType="separate"/>
            </w:r>
            <w:r w:rsidR="00E40D93">
              <w:rPr>
                <w:noProof/>
                <w:webHidden/>
              </w:rPr>
              <w:t>5</w:t>
            </w:r>
            <w:r w:rsidR="00E40D93">
              <w:rPr>
                <w:noProof/>
                <w:webHidden/>
              </w:rPr>
              <w:fldChar w:fldCharType="end"/>
            </w:r>
          </w:hyperlink>
        </w:p>
        <w:p w14:paraId="226A3132" w14:textId="1AC8B159" w:rsidR="00E40D93" w:rsidRDefault="00042DAE">
          <w:pPr>
            <w:pStyle w:val="TOC2"/>
            <w:tabs>
              <w:tab w:val="left" w:pos="960"/>
              <w:tab w:val="right" w:leader="dot" w:pos="9016"/>
            </w:tabs>
            <w:rPr>
              <w:noProof/>
              <w:kern w:val="2"/>
              <w:sz w:val="24"/>
              <w:szCs w:val="24"/>
              <w14:ligatures w14:val="standardContextual"/>
            </w:rPr>
          </w:pPr>
          <w:hyperlink w:anchor="_Toc235687061" w:history="1">
            <w:r w:rsidR="00E40D93" w:rsidRPr="007D2A26">
              <w:rPr>
                <w:rStyle w:val="Hyperlink"/>
                <w:rFonts w:ascii="Arial" w:hAnsi="Arial" w:cs="Arial"/>
                <w:noProof/>
              </w:rPr>
              <w:t>1.5</w:t>
            </w:r>
            <w:r w:rsidR="00E40D93">
              <w:rPr>
                <w:noProof/>
                <w:kern w:val="2"/>
                <w:sz w:val="24"/>
                <w:szCs w:val="24"/>
                <w14:ligatures w14:val="standardContextual"/>
              </w:rPr>
              <w:tab/>
            </w:r>
            <w:r w:rsidR="00E40D93" w:rsidRPr="007D2A26">
              <w:rPr>
                <w:rStyle w:val="Hyperlink"/>
                <w:rFonts w:ascii="Arial" w:hAnsi="Arial" w:cs="Arial"/>
                <w:noProof/>
              </w:rPr>
              <w:t>Gearing, investment and cash flow</w:t>
            </w:r>
            <w:r w:rsidR="00E40D93">
              <w:rPr>
                <w:noProof/>
                <w:webHidden/>
              </w:rPr>
              <w:tab/>
            </w:r>
            <w:r w:rsidR="00E40D93">
              <w:rPr>
                <w:noProof/>
                <w:webHidden/>
              </w:rPr>
              <w:fldChar w:fldCharType="begin"/>
            </w:r>
            <w:r w:rsidR="00E40D93">
              <w:rPr>
                <w:noProof/>
                <w:webHidden/>
              </w:rPr>
              <w:instrText xml:space="preserve"> PAGEREF _Toc235687061 \h </w:instrText>
            </w:r>
            <w:r w:rsidR="00E40D93">
              <w:rPr>
                <w:noProof/>
                <w:webHidden/>
              </w:rPr>
            </w:r>
            <w:r w:rsidR="00E40D93">
              <w:rPr>
                <w:noProof/>
                <w:webHidden/>
              </w:rPr>
              <w:fldChar w:fldCharType="separate"/>
            </w:r>
            <w:r w:rsidR="00E40D93">
              <w:rPr>
                <w:noProof/>
                <w:webHidden/>
              </w:rPr>
              <w:t>6</w:t>
            </w:r>
            <w:r w:rsidR="00E40D93">
              <w:rPr>
                <w:noProof/>
                <w:webHidden/>
              </w:rPr>
              <w:fldChar w:fldCharType="end"/>
            </w:r>
          </w:hyperlink>
        </w:p>
        <w:p w14:paraId="5EEE0BC0" w14:textId="122B9564" w:rsidR="00E40D93" w:rsidRDefault="00042DAE">
          <w:pPr>
            <w:pStyle w:val="TOC2"/>
            <w:tabs>
              <w:tab w:val="left" w:pos="960"/>
              <w:tab w:val="right" w:leader="dot" w:pos="9016"/>
            </w:tabs>
            <w:rPr>
              <w:noProof/>
              <w:kern w:val="2"/>
              <w:sz w:val="24"/>
              <w:szCs w:val="24"/>
              <w14:ligatures w14:val="standardContextual"/>
            </w:rPr>
          </w:pPr>
          <w:hyperlink w:anchor="_Toc235687062" w:history="1">
            <w:r w:rsidR="00E40D93" w:rsidRPr="007D2A26">
              <w:rPr>
                <w:rStyle w:val="Hyperlink"/>
                <w:rFonts w:ascii="Arial" w:hAnsi="Arial" w:cs="Arial"/>
                <w:noProof/>
              </w:rPr>
              <w:t>1.6</w:t>
            </w:r>
            <w:r w:rsidR="00E40D93">
              <w:rPr>
                <w:noProof/>
                <w:kern w:val="2"/>
                <w:sz w:val="24"/>
                <w:szCs w:val="24"/>
                <w14:ligatures w14:val="standardContextual"/>
              </w:rPr>
              <w:tab/>
            </w:r>
            <w:r w:rsidR="00E40D93" w:rsidRPr="007D2A26">
              <w:rPr>
                <w:rStyle w:val="Hyperlink"/>
                <w:rFonts w:ascii="Arial" w:hAnsi="Arial" w:cs="Arial"/>
                <w:noProof/>
              </w:rPr>
              <w:t>Overall assessment</w:t>
            </w:r>
            <w:r w:rsidR="00E40D93">
              <w:rPr>
                <w:noProof/>
                <w:webHidden/>
              </w:rPr>
              <w:tab/>
            </w:r>
            <w:r w:rsidR="00E40D93">
              <w:rPr>
                <w:noProof/>
                <w:webHidden/>
              </w:rPr>
              <w:fldChar w:fldCharType="begin"/>
            </w:r>
            <w:r w:rsidR="00E40D93">
              <w:rPr>
                <w:noProof/>
                <w:webHidden/>
              </w:rPr>
              <w:instrText xml:space="preserve"> PAGEREF _Toc235687062 \h </w:instrText>
            </w:r>
            <w:r w:rsidR="00E40D93">
              <w:rPr>
                <w:noProof/>
                <w:webHidden/>
              </w:rPr>
            </w:r>
            <w:r w:rsidR="00E40D93">
              <w:rPr>
                <w:noProof/>
                <w:webHidden/>
              </w:rPr>
              <w:fldChar w:fldCharType="separate"/>
            </w:r>
            <w:r w:rsidR="00E40D93">
              <w:rPr>
                <w:noProof/>
                <w:webHidden/>
              </w:rPr>
              <w:t>7</w:t>
            </w:r>
            <w:r w:rsidR="00E40D93">
              <w:rPr>
                <w:noProof/>
                <w:webHidden/>
              </w:rPr>
              <w:fldChar w:fldCharType="end"/>
            </w:r>
          </w:hyperlink>
        </w:p>
        <w:p w14:paraId="6D45B49E" w14:textId="2ED464D5" w:rsidR="00E40D93" w:rsidRDefault="00042DAE">
          <w:pPr>
            <w:pStyle w:val="TOC1"/>
            <w:tabs>
              <w:tab w:val="left" w:pos="480"/>
              <w:tab w:val="right" w:leader="dot" w:pos="9016"/>
            </w:tabs>
            <w:rPr>
              <w:noProof/>
              <w:kern w:val="2"/>
              <w:sz w:val="24"/>
              <w:szCs w:val="24"/>
              <w14:ligatures w14:val="standardContextual"/>
            </w:rPr>
          </w:pPr>
          <w:hyperlink w:anchor="_Toc235687063" w:history="1">
            <w:r w:rsidR="00E40D93" w:rsidRPr="007D2A26">
              <w:rPr>
                <w:rStyle w:val="Hyperlink"/>
                <w:rFonts w:ascii="Arial" w:hAnsi="Arial" w:cs="Arial"/>
                <w:noProof/>
              </w:rPr>
              <w:t>2</w:t>
            </w:r>
            <w:r w:rsidR="00E40D93">
              <w:rPr>
                <w:noProof/>
                <w:kern w:val="2"/>
                <w:sz w:val="24"/>
                <w:szCs w:val="24"/>
                <w14:ligatures w14:val="standardContextual"/>
              </w:rPr>
              <w:tab/>
            </w:r>
            <w:r w:rsidR="00E40D93" w:rsidRPr="007D2A26">
              <w:rPr>
                <w:rStyle w:val="Hyperlink"/>
                <w:rFonts w:ascii="Arial" w:hAnsi="Arial" w:cs="Arial"/>
                <w:noProof/>
              </w:rPr>
              <w:t>Working Capital Management Analysis</w:t>
            </w:r>
            <w:r w:rsidR="00E40D93">
              <w:rPr>
                <w:noProof/>
                <w:webHidden/>
              </w:rPr>
              <w:tab/>
            </w:r>
            <w:r w:rsidR="00E40D93">
              <w:rPr>
                <w:noProof/>
                <w:webHidden/>
              </w:rPr>
              <w:fldChar w:fldCharType="begin"/>
            </w:r>
            <w:r w:rsidR="00E40D93">
              <w:rPr>
                <w:noProof/>
                <w:webHidden/>
              </w:rPr>
              <w:instrText xml:space="preserve"> PAGEREF _Toc235687063 \h </w:instrText>
            </w:r>
            <w:r w:rsidR="00E40D93">
              <w:rPr>
                <w:noProof/>
                <w:webHidden/>
              </w:rPr>
            </w:r>
            <w:r w:rsidR="00E40D93">
              <w:rPr>
                <w:noProof/>
                <w:webHidden/>
              </w:rPr>
              <w:fldChar w:fldCharType="separate"/>
            </w:r>
            <w:r w:rsidR="00E40D93">
              <w:rPr>
                <w:noProof/>
                <w:webHidden/>
              </w:rPr>
              <w:t>8</w:t>
            </w:r>
            <w:r w:rsidR="00E40D93">
              <w:rPr>
                <w:noProof/>
                <w:webHidden/>
              </w:rPr>
              <w:fldChar w:fldCharType="end"/>
            </w:r>
          </w:hyperlink>
        </w:p>
        <w:p w14:paraId="262EF282" w14:textId="4E2D4B04" w:rsidR="00E40D93" w:rsidRDefault="00042DAE">
          <w:pPr>
            <w:pStyle w:val="TOC2"/>
            <w:tabs>
              <w:tab w:val="left" w:pos="960"/>
              <w:tab w:val="right" w:leader="dot" w:pos="9016"/>
            </w:tabs>
            <w:rPr>
              <w:noProof/>
              <w:kern w:val="2"/>
              <w:sz w:val="24"/>
              <w:szCs w:val="24"/>
              <w14:ligatures w14:val="standardContextual"/>
            </w:rPr>
          </w:pPr>
          <w:hyperlink w:anchor="_Toc235687064" w:history="1">
            <w:r w:rsidR="00E40D93" w:rsidRPr="007D2A26">
              <w:rPr>
                <w:rStyle w:val="Hyperlink"/>
                <w:rFonts w:ascii="Arial" w:hAnsi="Arial" w:cs="Arial"/>
                <w:noProof/>
              </w:rPr>
              <w:t>2.1</w:t>
            </w:r>
            <w:r w:rsidR="00E40D93">
              <w:rPr>
                <w:noProof/>
                <w:kern w:val="2"/>
                <w:sz w:val="24"/>
                <w:szCs w:val="24"/>
                <w14:ligatures w14:val="standardContextual"/>
              </w:rPr>
              <w:tab/>
            </w:r>
            <w:r w:rsidR="00E40D93" w:rsidRPr="007D2A26">
              <w:rPr>
                <w:rStyle w:val="Hyperlink"/>
                <w:rFonts w:ascii="Arial" w:hAnsi="Arial" w:cs="Arial"/>
                <w:noProof/>
              </w:rPr>
              <w:t>Assessment of the Cash Operating Cycle</w:t>
            </w:r>
            <w:r w:rsidR="00E40D93">
              <w:rPr>
                <w:noProof/>
                <w:webHidden/>
              </w:rPr>
              <w:tab/>
            </w:r>
            <w:r w:rsidR="00E40D93">
              <w:rPr>
                <w:noProof/>
                <w:webHidden/>
              </w:rPr>
              <w:fldChar w:fldCharType="begin"/>
            </w:r>
            <w:r w:rsidR="00E40D93">
              <w:rPr>
                <w:noProof/>
                <w:webHidden/>
              </w:rPr>
              <w:instrText xml:space="preserve"> PAGEREF _Toc235687064 \h </w:instrText>
            </w:r>
            <w:r w:rsidR="00E40D93">
              <w:rPr>
                <w:noProof/>
                <w:webHidden/>
              </w:rPr>
            </w:r>
            <w:r w:rsidR="00E40D93">
              <w:rPr>
                <w:noProof/>
                <w:webHidden/>
              </w:rPr>
              <w:fldChar w:fldCharType="separate"/>
            </w:r>
            <w:r w:rsidR="00E40D93">
              <w:rPr>
                <w:noProof/>
                <w:webHidden/>
              </w:rPr>
              <w:t>8</w:t>
            </w:r>
            <w:r w:rsidR="00E40D93">
              <w:rPr>
                <w:noProof/>
                <w:webHidden/>
              </w:rPr>
              <w:fldChar w:fldCharType="end"/>
            </w:r>
          </w:hyperlink>
        </w:p>
        <w:p w14:paraId="721A2849" w14:textId="34EA79B2" w:rsidR="00E40D93" w:rsidRDefault="00042DAE">
          <w:pPr>
            <w:pStyle w:val="TOC2"/>
            <w:tabs>
              <w:tab w:val="left" w:pos="960"/>
              <w:tab w:val="right" w:leader="dot" w:pos="9016"/>
            </w:tabs>
            <w:rPr>
              <w:noProof/>
              <w:kern w:val="2"/>
              <w:sz w:val="24"/>
              <w:szCs w:val="24"/>
              <w14:ligatures w14:val="standardContextual"/>
            </w:rPr>
          </w:pPr>
          <w:hyperlink w:anchor="_Toc235687065" w:history="1">
            <w:r w:rsidR="00E40D93" w:rsidRPr="007D2A26">
              <w:rPr>
                <w:rStyle w:val="Hyperlink"/>
                <w:rFonts w:ascii="Arial" w:hAnsi="Arial" w:cs="Arial"/>
                <w:noProof/>
              </w:rPr>
              <w:t>2.2</w:t>
            </w:r>
            <w:r w:rsidR="00E40D93">
              <w:rPr>
                <w:noProof/>
                <w:kern w:val="2"/>
                <w:sz w:val="24"/>
                <w:szCs w:val="24"/>
                <w14:ligatures w14:val="standardContextual"/>
              </w:rPr>
              <w:tab/>
            </w:r>
            <w:r w:rsidR="00E40D93" w:rsidRPr="007D2A26">
              <w:rPr>
                <w:rStyle w:val="Hyperlink"/>
                <w:rFonts w:ascii="Arial" w:hAnsi="Arial" w:cs="Arial"/>
                <w:noProof/>
              </w:rPr>
              <w:t>WORKING CAPITAL Reforms to Improve Liquidity</w:t>
            </w:r>
            <w:r w:rsidR="00E40D93">
              <w:rPr>
                <w:noProof/>
                <w:webHidden/>
              </w:rPr>
              <w:tab/>
            </w:r>
            <w:r w:rsidR="00E40D93">
              <w:rPr>
                <w:noProof/>
                <w:webHidden/>
              </w:rPr>
              <w:fldChar w:fldCharType="begin"/>
            </w:r>
            <w:r w:rsidR="00E40D93">
              <w:rPr>
                <w:noProof/>
                <w:webHidden/>
              </w:rPr>
              <w:instrText xml:space="preserve"> PAGEREF _Toc235687065 \h </w:instrText>
            </w:r>
            <w:r w:rsidR="00E40D93">
              <w:rPr>
                <w:noProof/>
                <w:webHidden/>
              </w:rPr>
            </w:r>
            <w:r w:rsidR="00E40D93">
              <w:rPr>
                <w:noProof/>
                <w:webHidden/>
              </w:rPr>
              <w:fldChar w:fldCharType="separate"/>
            </w:r>
            <w:r w:rsidR="00E40D93">
              <w:rPr>
                <w:noProof/>
                <w:webHidden/>
              </w:rPr>
              <w:t>9</w:t>
            </w:r>
            <w:r w:rsidR="00E40D93">
              <w:rPr>
                <w:noProof/>
                <w:webHidden/>
              </w:rPr>
              <w:fldChar w:fldCharType="end"/>
            </w:r>
          </w:hyperlink>
        </w:p>
        <w:p w14:paraId="70886829" w14:textId="42B16DD9" w:rsidR="00E40D93" w:rsidRDefault="00042DAE">
          <w:pPr>
            <w:pStyle w:val="TOC2"/>
            <w:tabs>
              <w:tab w:val="left" w:pos="960"/>
              <w:tab w:val="right" w:leader="dot" w:pos="9016"/>
            </w:tabs>
            <w:rPr>
              <w:noProof/>
              <w:kern w:val="2"/>
              <w:sz w:val="24"/>
              <w:szCs w:val="24"/>
              <w14:ligatures w14:val="standardContextual"/>
            </w:rPr>
          </w:pPr>
          <w:hyperlink w:anchor="_Toc235687066" w:history="1">
            <w:r w:rsidR="00E40D93" w:rsidRPr="007D2A26">
              <w:rPr>
                <w:rStyle w:val="Hyperlink"/>
                <w:rFonts w:ascii="Arial" w:hAnsi="Arial" w:cs="Arial"/>
                <w:noProof/>
              </w:rPr>
              <w:t>2.3</w:t>
            </w:r>
            <w:r w:rsidR="00E40D93">
              <w:rPr>
                <w:noProof/>
                <w:kern w:val="2"/>
                <w:sz w:val="24"/>
                <w:szCs w:val="24"/>
                <w14:ligatures w14:val="standardContextual"/>
              </w:rPr>
              <w:tab/>
            </w:r>
            <w:r w:rsidR="00E40D93" w:rsidRPr="007D2A26">
              <w:rPr>
                <w:rStyle w:val="Hyperlink"/>
                <w:rFonts w:ascii="Arial" w:hAnsi="Arial" w:cs="Arial"/>
                <w:noProof/>
              </w:rPr>
              <w:t>Short-Term versus Long-Term Financing</w:t>
            </w:r>
            <w:r w:rsidR="00E40D93">
              <w:rPr>
                <w:noProof/>
                <w:webHidden/>
              </w:rPr>
              <w:tab/>
            </w:r>
            <w:r w:rsidR="00E40D93">
              <w:rPr>
                <w:noProof/>
                <w:webHidden/>
              </w:rPr>
              <w:fldChar w:fldCharType="begin"/>
            </w:r>
            <w:r w:rsidR="00E40D93">
              <w:rPr>
                <w:noProof/>
                <w:webHidden/>
              </w:rPr>
              <w:instrText xml:space="preserve"> PAGEREF _Toc235687066 \h </w:instrText>
            </w:r>
            <w:r w:rsidR="00E40D93">
              <w:rPr>
                <w:noProof/>
                <w:webHidden/>
              </w:rPr>
            </w:r>
            <w:r w:rsidR="00E40D93">
              <w:rPr>
                <w:noProof/>
                <w:webHidden/>
              </w:rPr>
              <w:fldChar w:fldCharType="separate"/>
            </w:r>
            <w:r w:rsidR="00E40D93">
              <w:rPr>
                <w:noProof/>
                <w:webHidden/>
              </w:rPr>
              <w:t>10</w:t>
            </w:r>
            <w:r w:rsidR="00E40D93">
              <w:rPr>
                <w:noProof/>
                <w:webHidden/>
              </w:rPr>
              <w:fldChar w:fldCharType="end"/>
            </w:r>
          </w:hyperlink>
        </w:p>
        <w:p w14:paraId="3C10DF9C" w14:textId="656B86FF" w:rsidR="00E40D93" w:rsidRDefault="00042DAE">
          <w:pPr>
            <w:pStyle w:val="TOC1"/>
            <w:tabs>
              <w:tab w:val="left" w:pos="480"/>
              <w:tab w:val="right" w:leader="dot" w:pos="9016"/>
            </w:tabs>
            <w:rPr>
              <w:noProof/>
              <w:kern w:val="2"/>
              <w:sz w:val="24"/>
              <w:szCs w:val="24"/>
              <w14:ligatures w14:val="standardContextual"/>
            </w:rPr>
          </w:pPr>
          <w:hyperlink w:anchor="_Toc235687067" w:history="1">
            <w:r w:rsidR="00E40D93" w:rsidRPr="007D2A26">
              <w:rPr>
                <w:rStyle w:val="Hyperlink"/>
                <w:rFonts w:ascii="Arial" w:hAnsi="Arial" w:cs="Arial"/>
                <w:noProof/>
              </w:rPr>
              <w:t>3</w:t>
            </w:r>
            <w:r w:rsidR="00E40D93">
              <w:rPr>
                <w:noProof/>
                <w:kern w:val="2"/>
                <w:sz w:val="24"/>
                <w:szCs w:val="24"/>
                <w14:ligatures w14:val="standardContextual"/>
              </w:rPr>
              <w:tab/>
            </w:r>
            <w:r w:rsidR="00E40D93" w:rsidRPr="007D2A26">
              <w:rPr>
                <w:rStyle w:val="Hyperlink"/>
                <w:rFonts w:ascii="Arial" w:hAnsi="Arial" w:cs="Arial"/>
                <w:noProof/>
              </w:rPr>
              <w:t>Strategic Financial Restructuring Plan</w:t>
            </w:r>
            <w:r w:rsidR="00E40D93">
              <w:rPr>
                <w:noProof/>
                <w:webHidden/>
              </w:rPr>
              <w:tab/>
            </w:r>
            <w:r w:rsidR="00E40D93">
              <w:rPr>
                <w:noProof/>
                <w:webHidden/>
              </w:rPr>
              <w:fldChar w:fldCharType="begin"/>
            </w:r>
            <w:r w:rsidR="00E40D93">
              <w:rPr>
                <w:noProof/>
                <w:webHidden/>
              </w:rPr>
              <w:instrText xml:space="preserve"> PAGEREF _Toc235687067 \h </w:instrText>
            </w:r>
            <w:r w:rsidR="00E40D93">
              <w:rPr>
                <w:noProof/>
                <w:webHidden/>
              </w:rPr>
            </w:r>
            <w:r w:rsidR="00E40D93">
              <w:rPr>
                <w:noProof/>
                <w:webHidden/>
              </w:rPr>
              <w:fldChar w:fldCharType="separate"/>
            </w:r>
            <w:r w:rsidR="00E40D93">
              <w:rPr>
                <w:noProof/>
                <w:webHidden/>
              </w:rPr>
              <w:t>10</w:t>
            </w:r>
            <w:r w:rsidR="00E40D93">
              <w:rPr>
                <w:noProof/>
                <w:webHidden/>
              </w:rPr>
              <w:fldChar w:fldCharType="end"/>
            </w:r>
          </w:hyperlink>
        </w:p>
        <w:p w14:paraId="6E5F411B" w14:textId="1384E506" w:rsidR="00E40D93" w:rsidRDefault="00042DAE">
          <w:pPr>
            <w:pStyle w:val="TOC2"/>
            <w:tabs>
              <w:tab w:val="left" w:pos="960"/>
              <w:tab w:val="right" w:leader="dot" w:pos="9016"/>
            </w:tabs>
            <w:rPr>
              <w:noProof/>
              <w:kern w:val="2"/>
              <w:sz w:val="24"/>
              <w:szCs w:val="24"/>
              <w14:ligatures w14:val="standardContextual"/>
            </w:rPr>
          </w:pPr>
          <w:hyperlink w:anchor="_Toc235687068" w:history="1">
            <w:r w:rsidR="00E40D93" w:rsidRPr="007D2A26">
              <w:rPr>
                <w:rStyle w:val="Hyperlink"/>
                <w:rFonts w:ascii="Arial" w:hAnsi="Arial" w:cs="Arial"/>
                <w:noProof/>
              </w:rPr>
              <w:t>3.1</w:t>
            </w:r>
            <w:r w:rsidR="00E40D93">
              <w:rPr>
                <w:noProof/>
                <w:kern w:val="2"/>
                <w:sz w:val="24"/>
                <w:szCs w:val="24"/>
                <w14:ligatures w14:val="standardContextual"/>
              </w:rPr>
              <w:tab/>
            </w:r>
            <w:r w:rsidR="00E40D93" w:rsidRPr="007D2A26">
              <w:rPr>
                <w:rStyle w:val="Hyperlink"/>
                <w:rFonts w:ascii="Arial" w:hAnsi="Arial" w:cs="Arial"/>
                <w:noProof/>
              </w:rPr>
              <w:t>Recommended Restructuring Options</w:t>
            </w:r>
            <w:r w:rsidR="00E40D93">
              <w:rPr>
                <w:noProof/>
                <w:webHidden/>
              </w:rPr>
              <w:tab/>
            </w:r>
            <w:r w:rsidR="00E40D93">
              <w:rPr>
                <w:noProof/>
                <w:webHidden/>
              </w:rPr>
              <w:fldChar w:fldCharType="begin"/>
            </w:r>
            <w:r w:rsidR="00E40D93">
              <w:rPr>
                <w:noProof/>
                <w:webHidden/>
              </w:rPr>
              <w:instrText xml:space="preserve"> PAGEREF _Toc235687068 \h </w:instrText>
            </w:r>
            <w:r w:rsidR="00E40D93">
              <w:rPr>
                <w:noProof/>
                <w:webHidden/>
              </w:rPr>
            </w:r>
            <w:r w:rsidR="00E40D93">
              <w:rPr>
                <w:noProof/>
                <w:webHidden/>
              </w:rPr>
              <w:fldChar w:fldCharType="separate"/>
            </w:r>
            <w:r w:rsidR="00E40D93">
              <w:rPr>
                <w:noProof/>
                <w:webHidden/>
              </w:rPr>
              <w:t>10</w:t>
            </w:r>
            <w:r w:rsidR="00E40D93">
              <w:rPr>
                <w:noProof/>
                <w:webHidden/>
              </w:rPr>
              <w:fldChar w:fldCharType="end"/>
            </w:r>
          </w:hyperlink>
        </w:p>
        <w:p w14:paraId="5751960E" w14:textId="3F3B2072" w:rsidR="00E40D93" w:rsidRDefault="00042DAE">
          <w:pPr>
            <w:pStyle w:val="TOC2"/>
            <w:tabs>
              <w:tab w:val="left" w:pos="960"/>
              <w:tab w:val="right" w:leader="dot" w:pos="9016"/>
            </w:tabs>
            <w:rPr>
              <w:noProof/>
              <w:kern w:val="2"/>
              <w:sz w:val="24"/>
              <w:szCs w:val="24"/>
              <w14:ligatures w14:val="standardContextual"/>
            </w:rPr>
          </w:pPr>
          <w:hyperlink w:anchor="_Toc235687069" w:history="1">
            <w:r w:rsidR="00E40D93" w:rsidRPr="007D2A26">
              <w:rPr>
                <w:rStyle w:val="Hyperlink"/>
                <w:rFonts w:ascii="Arial" w:hAnsi="Arial" w:cs="Arial"/>
                <w:noProof/>
              </w:rPr>
              <w:t>3.2</w:t>
            </w:r>
            <w:r w:rsidR="00E40D93">
              <w:rPr>
                <w:noProof/>
                <w:kern w:val="2"/>
                <w:sz w:val="24"/>
                <w:szCs w:val="24"/>
                <w14:ligatures w14:val="standardContextual"/>
              </w:rPr>
              <w:tab/>
            </w:r>
            <w:r w:rsidR="00E40D93" w:rsidRPr="007D2A26">
              <w:rPr>
                <w:rStyle w:val="Hyperlink"/>
                <w:rFonts w:ascii="Arial" w:hAnsi="Arial" w:cs="Arial"/>
                <w:noProof/>
              </w:rPr>
              <w:t>Effects on Shareholder Value, Debt and Flexibility</w:t>
            </w:r>
            <w:r w:rsidR="00E40D93">
              <w:rPr>
                <w:noProof/>
                <w:webHidden/>
              </w:rPr>
              <w:tab/>
            </w:r>
            <w:r w:rsidR="00E40D93">
              <w:rPr>
                <w:noProof/>
                <w:webHidden/>
              </w:rPr>
              <w:fldChar w:fldCharType="begin"/>
            </w:r>
            <w:r w:rsidR="00E40D93">
              <w:rPr>
                <w:noProof/>
                <w:webHidden/>
              </w:rPr>
              <w:instrText xml:space="preserve"> PAGEREF _Toc235687069 \h </w:instrText>
            </w:r>
            <w:r w:rsidR="00E40D93">
              <w:rPr>
                <w:noProof/>
                <w:webHidden/>
              </w:rPr>
            </w:r>
            <w:r w:rsidR="00E40D93">
              <w:rPr>
                <w:noProof/>
                <w:webHidden/>
              </w:rPr>
              <w:fldChar w:fldCharType="separate"/>
            </w:r>
            <w:r w:rsidR="00E40D93">
              <w:rPr>
                <w:noProof/>
                <w:webHidden/>
              </w:rPr>
              <w:t>11</w:t>
            </w:r>
            <w:r w:rsidR="00E40D93">
              <w:rPr>
                <w:noProof/>
                <w:webHidden/>
              </w:rPr>
              <w:fldChar w:fldCharType="end"/>
            </w:r>
          </w:hyperlink>
        </w:p>
        <w:p w14:paraId="6FF66AA1" w14:textId="112F114A" w:rsidR="00E40D93" w:rsidRDefault="00042DAE">
          <w:pPr>
            <w:pStyle w:val="TOC2"/>
            <w:tabs>
              <w:tab w:val="left" w:pos="960"/>
              <w:tab w:val="right" w:leader="dot" w:pos="9016"/>
            </w:tabs>
            <w:rPr>
              <w:noProof/>
              <w:kern w:val="2"/>
              <w:sz w:val="24"/>
              <w:szCs w:val="24"/>
              <w14:ligatures w14:val="standardContextual"/>
            </w:rPr>
          </w:pPr>
          <w:hyperlink w:anchor="_Toc235687070" w:history="1">
            <w:r w:rsidR="00E40D93" w:rsidRPr="007D2A26">
              <w:rPr>
                <w:rStyle w:val="Hyperlink"/>
                <w:rFonts w:ascii="Arial" w:hAnsi="Arial" w:cs="Arial"/>
                <w:noProof/>
              </w:rPr>
              <w:t>3.3</w:t>
            </w:r>
            <w:r w:rsidR="00E40D93">
              <w:rPr>
                <w:noProof/>
                <w:kern w:val="2"/>
                <w:sz w:val="24"/>
                <w:szCs w:val="24"/>
                <w14:ligatures w14:val="standardContextual"/>
              </w:rPr>
              <w:tab/>
            </w:r>
            <w:r w:rsidR="00E40D93" w:rsidRPr="007D2A26">
              <w:rPr>
                <w:rStyle w:val="Hyperlink"/>
                <w:rFonts w:ascii="Arial" w:hAnsi="Arial" w:cs="Arial"/>
                <w:noProof/>
              </w:rPr>
              <w:t>International and Ethical Considerations</w:t>
            </w:r>
            <w:r w:rsidR="00E40D93">
              <w:rPr>
                <w:noProof/>
                <w:webHidden/>
              </w:rPr>
              <w:tab/>
            </w:r>
            <w:r w:rsidR="00E40D93">
              <w:rPr>
                <w:noProof/>
                <w:webHidden/>
              </w:rPr>
              <w:fldChar w:fldCharType="begin"/>
            </w:r>
            <w:r w:rsidR="00E40D93">
              <w:rPr>
                <w:noProof/>
                <w:webHidden/>
              </w:rPr>
              <w:instrText xml:space="preserve"> PAGEREF _Toc235687070 \h </w:instrText>
            </w:r>
            <w:r w:rsidR="00E40D93">
              <w:rPr>
                <w:noProof/>
                <w:webHidden/>
              </w:rPr>
            </w:r>
            <w:r w:rsidR="00E40D93">
              <w:rPr>
                <w:noProof/>
                <w:webHidden/>
              </w:rPr>
              <w:fldChar w:fldCharType="separate"/>
            </w:r>
            <w:r w:rsidR="00E40D93">
              <w:rPr>
                <w:noProof/>
                <w:webHidden/>
              </w:rPr>
              <w:t>12</w:t>
            </w:r>
            <w:r w:rsidR="00E40D93">
              <w:rPr>
                <w:noProof/>
                <w:webHidden/>
              </w:rPr>
              <w:fldChar w:fldCharType="end"/>
            </w:r>
          </w:hyperlink>
        </w:p>
        <w:p w14:paraId="5B6590A2" w14:textId="69D17859" w:rsidR="00E40D93" w:rsidRDefault="00042DAE">
          <w:pPr>
            <w:pStyle w:val="TOC1"/>
            <w:tabs>
              <w:tab w:val="left" w:pos="480"/>
              <w:tab w:val="right" w:leader="dot" w:pos="9016"/>
            </w:tabs>
            <w:rPr>
              <w:noProof/>
              <w:kern w:val="2"/>
              <w:sz w:val="24"/>
              <w:szCs w:val="24"/>
              <w14:ligatures w14:val="standardContextual"/>
            </w:rPr>
          </w:pPr>
          <w:hyperlink w:anchor="_Toc235687071" w:history="1">
            <w:r w:rsidR="00E40D93" w:rsidRPr="007D2A26">
              <w:rPr>
                <w:rStyle w:val="Hyperlink"/>
                <w:rFonts w:ascii="Arial" w:hAnsi="Arial" w:cs="Arial"/>
                <w:noProof/>
              </w:rPr>
              <w:t>4</w:t>
            </w:r>
            <w:r w:rsidR="00E40D93">
              <w:rPr>
                <w:noProof/>
                <w:kern w:val="2"/>
                <w:sz w:val="24"/>
                <w:szCs w:val="24"/>
                <w14:ligatures w14:val="standardContextual"/>
              </w:rPr>
              <w:tab/>
            </w:r>
            <w:r w:rsidR="00E40D93" w:rsidRPr="007D2A26">
              <w:rPr>
                <w:rStyle w:val="Hyperlink"/>
                <w:rFonts w:ascii="Arial" w:hAnsi="Arial" w:cs="Arial"/>
                <w:noProof/>
              </w:rPr>
              <w:t>Investment Appraisal and Capital Budgeting</w:t>
            </w:r>
            <w:r w:rsidR="00E40D93">
              <w:rPr>
                <w:noProof/>
                <w:webHidden/>
              </w:rPr>
              <w:tab/>
            </w:r>
            <w:r w:rsidR="00E40D93">
              <w:rPr>
                <w:noProof/>
                <w:webHidden/>
              </w:rPr>
              <w:fldChar w:fldCharType="begin"/>
            </w:r>
            <w:r w:rsidR="00E40D93">
              <w:rPr>
                <w:noProof/>
                <w:webHidden/>
              </w:rPr>
              <w:instrText xml:space="preserve"> PAGEREF _Toc235687071 \h </w:instrText>
            </w:r>
            <w:r w:rsidR="00E40D93">
              <w:rPr>
                <w:noProof/>
                <w:webHidden/>
              </w:rPr>
            </w:r>
            <w:r w:rsidR="00E40D93">
              <w:rPr>
                <w:noProof/>
                <w:webHidden/>
              </w:rPr>
              <w:fldChar w:fldCharType="separate"/>
            </w:r>
            <w:r w:rsidR="00E40D93">
              <w:rPr>
                <w:noProof/>
                <w:webHidden/>
              </w:rPr>
              <w:t>13</w:t>
            </w:r>
            <w:r w:rsidR="00E40D93">
              <w:rPr>
                <w:noProof/>
                <w:webHidden/>
              </w:rPr>
              <w:fldChar w:fldCharType="end"/>
            </w:r>
          </w:hyperlink>
        </w:p>
        <w:p w14:paraId="626A714A" w14:textId="1B63FF09" w:rsidR="00E40D93" w:rsidRDefault="00042DAE">
          <w:pPr>
            <w:pStyle w:val="TOC2"/>
            <w:tabs>
              <w:tab w:val="left" w:pos="960"/>
              <w:tab w:val="right" w:leader="dot" w:pos="9016"/>
            </w:tabs>
            <w:rPr>
              <w:noProof/>
              <w:kern w:val="2"/>
              <w:sz w:val="24"/>
              <w:szCs w:val="24"/>
              <w14:ligatures w14:val="standardContextual"/>
            </w:rPr>
          </w:pPr>
          <w:hyperlink w:anchor="_Toc235687072" w:history="1">
            <w:r w:rsidR="00E40D93" w:rsidRPr="007D2A26">
              <w:rPr>
                <w:rStyle w:val="Hyperlink"/>
                <w:rFonts w:ascii="Arial" w:hAnsi="Arial" w:cs="Arial"/>
                <w:noProof/>
              </w:rPr>
              <w:t>4.1</w:t>
            </w:r>
            <w:r w:rsidR="00E40D93">
              <w:rPr>
                <w:noProof/>
                <w:kern w:val="2"/>
                <w:sz w:val="24"/>
                <w:szCs w:val="24"/>
                <w14:ligatures w14:val="standardContextual"/>
              </w:rPr>
              <w:tab/>
            </w:r>
            <w:r w:rsidR="00E40D93" w:rsidRPr="007D2A26">
              <w:rPr>
                <w:rStyle w:val="Hyperlink"/>
                <w:rFonts w:ascii="Arial" w:hAnsi="Arial" w:cs="Arial"/>
                <w:noProof/>
              </w:rPr>
              <w:t>Appraisal Framework and Assumptions</w:t>
            </w:r>
            <w:r w:rsidR="00E40D93">
              <w:rPr>
                <w:noProof/>
                <w:webHidden/>
              </w:rPr>
              <w:tab/>
            </w:r>
            <w:r w:rsidR="00E40D93">
              <w:rPr>
                <w:noProof/>
                <w:webHidden/>
              </w:rPr>
              <w:fldChar w:fldCharType="begin"/>
            </w:r>
            <w:r w:rsidR="00E40D93">
              <w:rPr>
                <w:noProof/>
                <w:webHidden/>
              </w:rPr>
              <w:instrText xml:space="preserve"> PAGEREF _Toc235687072 \h </w:instrText>
            </w:r>
            <w:r w:rsidR="00E40D93">
              <w:rPr>
                <w:noProof/>
                <w:webHidden/>
              </w:rPr>
            </w:r>
            <w:r w:rsidR="00E40D93">
              <w:rPr>
                <w:noProof/>
                <w:webHidden/>
              </w:rPr>
              <w:fldChar w:fldCharType="separate"/>
            </w:r>
            <w:r w:rsidR="00E40D93">
              <w:rPr>
                <w:noProof/>
                <w:webHidden/>
              </w:rPr>
              <w:t>13</w:t>
            </w:r>
            <w:r w:rsidR="00E40D93">
              <w:rPr>
                <w:noProof/>
                <w:webHidden/>
              </w:rPr>
              <w:fldChar w:fldCharType="end"/>
            </w:r>
          </w:hyperlink>
        </w:p>
        <w:p w14:paraId="288906F1" w14:textId="1DCEA1A9" w:rsidR="00E40D93" w:rsidRDefault="00042DAE">
          <w:pPr>
            <w:pStyle w:val="TOC2"/>
            <w:tabs>
              <w:tab w:val="left" w:pos="960"/>
              <w:tab w:val="right" w:leader="dot" w:pos="9016"/>
            </w:tabs>
            <w:rPr>
              <w:noProof/>
              <w:kern w:val="2"/>
              <w:sz w:val="24"/>
              <w:szCs w:val="24"/>
              <w14:ligatures w14:val="standardContextual"/>
            </w:rPr>
          </w:pPr>
          <w:hyperlink w:anchor="_Toc235687073" w:history="1">
            <w:r w:rsidR="00E40D93" w:rsidRPr="007D2A26">
              <w:rPr>
                <w:rStyle w:val="Hyperlink"/>
                <w:rFonts w:ascii="Arial" w:hAnsi="Arial" w:cs="Arial"/>
                <w:noProof/>
              </w:rPr>
              <w:t>4.2</w:t>
            </w:r>
            <w:r w:rsidR="00E40D93">
              <w:rPr>
                <w:noProof/>
                <w:kern w:val="2"/>
                <w:sz w:val="24"/>
                <w:szCs w:val="24"/>
                <w14:ligatures w14:val="standardContextual"/>
              </w:rPr>
              <w:tab/>
            </w:r>
            <w:r w:rsidR="00E40D93" w:rsidRPr="007D2A26">
              <w:rPr>
                <w:rStyle w:val="Hyperlink"/>
                <w:rFonts w:ascii="Arial" w:hAnsi="Arial" w:cs="Arial"/>
                <w:noProof/>
              </w:rPr>
              <w:t>Project A Assessment</w:t>
            </w:r>
            <w:r w:rsidR="00E40D93">
              <w:rPr>
                <w:noProof/>
                <w:webHidden/>
              </w:rPr>
              <w:tab/>
            </w:r>
            <w:r w:rsidR="00E40D93">
              <w:rPr>
                <w:noProof/>
                <w:webHidden/>
              </w:rPr>
              <w:fldChar w:fldCharType="begin"/>
            </w:r>
            <w:r w:rsidR="00E40D93">
              <w:rPr>
                <w:noProof/>
                <w:webHidden/>
              </w:rPr>
              <w:instrText xml:space="preserve"> PAGEREF _Toc235687073 \h </w:instrText>
            </w:r>
            <w:r w:rsidR="00E40D93">
              <w:rPr>
                <w:noProof/>
                <w:webHidden/>
              </w:rPr>
            </w:r>
            <w:r w:rsidR="00E40D93">
              <w:rPr>
                <w:noProof/>
                <w:webHidden/>
              </w:rPr>
              <w:fldChar w:fldCharType="separate"/>
            </w:r>
            <w:r w:rsidR="00E40D93">
              <w:rPr>
                <w:noProof/>
                <w:webHidden/>
              </w:rPr>
              <w:t>13</w:t>
            </w:r>
            <w:r w:rsidR="00E40D93">
              <w:rPr>
                <w:noProof/>
                <w:webHidden/>
              </w:rPr>
              <w:fldChar w:fldCharType="end"/>
            </w:r>
          </w:hyperlink>
        </w:p>
        <w:p w14:paraId="2BDC03F9" w14:textId="325D3845" w:rsidR="00E40D93" w:rsidRDefault="00042DAE">
          <w:pPr>
            <w:pStyle w:val="TOC2"/>
            <w:tabs>
              <w:tab w:val="left" w:pos="960"/>
              <w:tab w:val="right" w:leader="dot" w:pos="9016"/>
            </w:tabs>
            <w:rPr>
              <w:noProof/>
              <w:kern w:val="2"/>
              <w:sz w:val="24"/>
              <w:szCs w:val="24"/>
              <w14:ligatures w14:val="standardContextual"/>
            </w:rPr>
          </w:pPr>
          <w:hyperlink w:anchor="_Toc235687074" w:history="1">
            <w:r w:rsidR="00E40D93" w:rsidRPr="007D2A26">
              <w:rPr>
                <w:rStyle w:val="Hyperlink"/>
                <w:rFonts w:ascii="Arial" w:hAnsi="Arial" w:cs="Arial"/>
                <w:noProof/>
              </w:rPr>
              <w:t>4.3</w:t>
            </w:r>
            <w:r w:rsidR="00E40D93">
              <w:rPr>
                <w:noProof/>
                <w:kern w:val="2"/>
                <w:sz w:val="24"/>
                <w:szCs w:val="24"/>
                <w14:ligatures w14:val="standardContextual"/>
              </w:rPr>
              <w:tab/>
            </w:r>
            <w:r w:rsidR="00E40D93" w:rsidRPr="007D2A26">
              <w:rPr>
                <w:rStyle w:val="Hyperlink"/>
                <w:rFonts w:ascii="Arial" w:hAnsi="Arial" w:cs="Arial"/>
                <w:noProof/>
              </w:rPr>
              <w:t>Project B Assessment</w:t>
            </w:r>
            <w:r w:rsidR="00E40D93">
              <w:rPr>
                <w:noProof/>
                <w:webHidden/>
              </w:rPr>
              <w:tab/>
            </w:r>
            <w:r w:rsidR="00E40D93">
              <w:rPr>
                <w:noProof/>
                <w:webHidden/>
              </w:rPr>
              <w:fldChar w:fldCharType="begin"/>
            </w:r>
            <w:r w:rsidR="00E40D93">
              <w:rPr>
                <w:noProof/>
                <w:webHidden/>
              </w:rPr>
              <w:instrText xml:space="preserve"> PAGEREF _Toc235687074 \h </w:instrText>
            </w:r>
            <w:r w:rsidR="00E40D93">
              <w:rPr>
                <w:noProof/>
                <w:webHidden/>
              </w:rPr>
            </w:r>
            <w:r w:rsidR="00E40D93">
              <w:rPr>
                <w:noProof/>
                <w:webHidden/>
              </w:rPr>
              <w:fldChar w:fldCharType="separate"/>
            </w:r>
            <w:r w:rsidR="00E40D93">
              <w:rPr>
                <w:noProof/>
                <w:webHidden/>
              </w:rPr>
              <w:t>14</w:t>
            </w:r>
            <w:r w:rsidR="00E40D93">
              <w:rPr>
                <w:noProof/>
                <w:webHidden/>
              </w:rPr>
              <w:fldChar w:fldCharType="end"/>
            </w:r>
          </w:hyperlink>
        </w:p>
        <w:p w14:paraId="329138AE" w14:textId="04C171F2" w:rsidR="00E40D93" w:rsidRDefault="00042DAE">
          <w:pPr>
            <w:pStyle w:val="TOC2"/>
            <w:tabs>
              <w:tab w:val="left" w:pos="960"/>
              <w:tab w:val="right" w:leader="dot" w:pos="9016"/>
            </w:tabs>
            <w:rPr>
              <w:noProof/>
              <w:kern w:val="2"/>
              <w:sz w:val="24"/>
              <w:szCs w:val="24"/>
              <w14:ligatures w14:val="standardContextual"/>
            </w:rPr>
          </w:pPr>
          <w:hyperlink w:anchor="_Toc235687075" w:history="1">
            <w:r w:rsidR="00E40D93" w:rsidRPr="007D2A26">
              <w:rPr>
                <w:rStyle w:val="Hyperlink"/>
                <w:rFonts w:ascii="Arial" w:hAnsi="Arial" w:cs="Arial"/>
                <w:noProof/>
              </w:rPr>
              <w:t>4.4</w:t>
            </w:r>
            <w:r w:rsidR="00E40D93">
              <w:rPr>
                <w:noProof/>
                <w:kern w:val="2"/>
                <w:sz w:val="24"/>
                <w:szCs w:val="24"/>
                <w14:ligatures w14:val="standardContextual"/>
              </w:rPr>
              <w:tab/>
            </w:r>
            <w:r w:rsidR="00E40D93" w:rsidRPr="007D2A26">
              <w:rPr>
                <w:rStyle w:val="Hyperlink"/>
                <w:rFonts w:ascii="Arial" w:hAnsi="Arial" w:cs="Arial"/>
                <w:noProof/>
              </w:rPr>
              <w:t>Project C Assessment and Project Selection</w:t>
            </w:r>
            <w:r w:rsidR="00E40D93">
              <w:rPr>
                <w:noProof/>
                <w:webHidden/>
              </w:rPr>
              <w:tab/>
            </w:r>
            <w:r w:rsidR="00E40D93">
              <w:rPr>
                <w:noProof/>
                <w:webHidden/>
              </w:rPr>
              <w:fldChar w:fldCharType="begin"/>
            </w:r>
            <w:r w:rsidR="00E40D93">
              <w:rPr>
                <w:noProof/>
                <w:webHidden/>
              </w:rPr>
              <w:instrText xml:space="preserve"> PAGEREF _Toc235687075 \h </w:instrText>
            </w:r>
            <w:r w:rsidR="00E40D93">
              <w:rPr>
                <w:noProof/>
                <w:webHidden/>
              </w:rPr>
            </w:r>
            <w:r w:rsidR="00E40D93">
              <w:rPr>
                <w:noProof/>
                <w:webHidden/>
              </w:rPr>
              <w:fldChar w:fldCharType="separate"/>
            </w:r>
            <w:r w:rsidR="00E40D93">
              <w:rPr>
                <w:noProof/>
                <w:webHidden/>
              </w:rPr>
              <w:t>14</w:t>
            </w:r>
            <w:r w:rsidR="00E40D93">
              <w:rPr>
                <w:noProof/>
                <w:webHidden/>
              </w:rPr>
              <w:fldChar w:fldCharType="end"/>
            </w:r>
          </w:hyperlink>
        </w:p>
        <w:p w14:paraId="08384128" w14:textId="1CDB369F" w:rsidR="00E40D93" w:rsidRDefault="00042DAE">
          <w:pPr>
            <w:pStyle w:val="TOC2"/>
            <w:tabs>
              <w:tab w:val="left" w:pos="960"/>
              <w:tab w:val="right" w:leader="dot" w:pos="9016"/>
            </w:tabs>
            <w:rPr>
              <w:noProof/>
              <w:kern w:val="2"/>
              <w:sz w:val="24"/>
              <w:szCs w:val="24"/>
              <w14:ligatures w14:val="standardContextual"/>
            </w:rPr>
          </w:pPr>
          <w:hyperlink w:anchor="_Toc235687076" w:history="1">
            <w:r w:rsidR="00E40D93" w:rsidRPr="007D2A26">
              <w:rPr>
                <w:rStyle w:val="Hyperlink"/>
                <w:rFonts w:ascii="Arial" w:hAnsi="Arial" w:cs="Arial"/>
                <w:noProof/>
              </w:rPr>
              <w:t>4.5</w:t>
            </w:r>
            <w:r w:rsidR="00E40D93">
              <w:rPr>
                <w:noProof/>
                <w:kern w:val="2"/>
                <w:sz w:val="24"/>
                <w:szCs w:val="24"/>
                <w14:ligatures w14:val="standardContextual"/>
              </w:rPr>
              <w:tab/>
            </w:r>
            <w:r w:rsidR="00E40D93" w:rsidRPr="007D2A26">
              <w:rPr>
                <w:rStyle w:val="Hyperlink"/>
                <w:rFonts w:ascii="Arial" w:hAnsi="Arial" w:cs="Arial"/>
                <w:noProof/>
              </w:rPr>
              <w:t>Fit with Marriott Financial Performance and Strategic Risk</w:t>
            </w:r>
            <w:r w:rsidR="00E40D93">
              <w:rPr>
                <w:noProof/>
                <w:webHidden/>
              </w:rPr>
              <w:tab/>
            </w:r>
            <w:r w:rsidR="00E40D93">
              <w:rPr>
                <w:noProof/>
                <w:webHidden/>
              </w:rPr>
              <w:fldChar w:fldCharType="begin"/>
            </w:r>
            <w:r w:rsidR="00E40D93">
              <w:rPr>
                <w:noProof/>
                <w:webHidden/>
              </w:rPr>
              <w:instrText xml:space="preserve"> PAGEREF _Toc235687076 \h </w:instrText>
            </w:r>
            <w:r w:rsidR="00E40D93">
              <w:rPr>
                <w:noProof/>
                <w:webHidden/>
              </w:rPr>
            </w:r>
            <w:r w:rsidR="00E40D93">
              <w:rPr>
                <w:noProof/>
                <w:webHidden/>
              </w:rPr>
              <w:fldChar w:fldCharType="separate"/>
            </w:r>
            <w:r w:rsidR="00E40D93">
              <w:rPr>
                <w:noProof/>
                <w:webHidden/>
              </w:rPr>
              <w:t>15</w:t>
            </w:r>
            <w:r w:rsidR="00E40D93">
              <w:rPr>
                <w:noProof/>
                <w:webHidden/>
              </w:rPr>
              <w:fldChar w:fldCharType="end"/>
            </w:r>
          </w:hyperlink>
        </w:p>
        <w:p w14:paraId="71285C1E" w14:textId="2F740366" w:rsidR="00E40D93" w:rsidRDefault="00042DAE">
          <w:pPr>
            <w:pStyle w:val="TOC2"/>
            <w:tabs>
              <w:tab w:val="left" w:pos="960"/>
              <w:tab w:val="right" w:leader="dot" w:pos="9016"/>
            </w:tabs>
            <w:rPr>
              <w:noProof/>
              <w:kern w:val="2"/>
              <w:sz w:val="24"/>
              <w:szCs w:val="24"/>
              <w14:ligatures w14:val="standardContextual"/>
            </w:rPr>
          </w:pPr>
          <w:hyperlink w:anchor="_Toc235687077" w:history="1">
            <w:r w:rsidR="00E40D93" w:rsidRPr="007D2A26">
              <w:rPr>
                <w:rStyle w:val="Hyperlink"/>
                <w:rFonts w:ascii="Arial" w:hAnsi="Arial" w:cs="Arial"/>
                <w:noProof/>
              </w:rPr>
              <w:t>4.6</w:t>
            </w:r>
            <w:r w:rsidR="00E40D93">
              <w:rPr>
                <w:noProof/>
                <w:kern w:val="2"/>
                <w:sz w:val="24"/>
                <w:szCs w:val="24"/>
                <w14:ligatures w14:val="standardContextual"/>
              </w:rPr>
              <w:tab/>
            </w:r>
            <w:r w:rsidR="00E40D93" w:rsidRPr="007D2A26">
              <w:rPr>
                <w:rStyle w:val="Hyperlink"/>
                <w:rFonts w:ascii="Arial" w:hAnsi="Arial" w:cs="Arial"/>
                <w:noProof/>
              </w:rPr>
              <w:t>Capital Rationing under the £100 Million Limit</w:t>
            </w:r>
            <w:r w:rsidR="00E40D93">
              <w:rPr>
                <w:noProof/>
                <w:webHidden/>
              </w:rPr>
              <w:tab/>
            </w:r>
            <w:r w:rsidR="00E40D93">
              <w:rPr>
                <w:noProof/>
                <w:webHidden/>
              </w:rPr>
              <w:fldChar w:fldCharType="begin"/>
            </w:r>
            <w:r w:rsidR="00E40D93">
              <w:rPr>
                <w:noProof/>
                <w:webHidden/>
              </w:rPr>
              <w:instrText xml:space="preserve"> PAGEREF _Toc235687077 \h </w:instrText>
            </w:r>
            <w:r w:rsidR="00E40D93">
              <w:rPr>
                <w:noProof/>
                <w:webHidden/>
              </w:rPr>
            </w:r>
            <w:r w:rsidR="00E40D93">
              <w:rPr>
                <w:noProof/>
                <w:webHidden/>
              </w:rPr>
              <w:fldChar w:fldCharType="separate"/>
            </w:r>
            <w:r w:rsidR="00E40D93">
              <w:rPr>
                <w:noProof/>
                <w:webHidden/>
              </w:rPr>
              <w:t>15</w:t>
            </w:r>
            <w:r w:rsidR="00E40D93">
              <w:rPr>
                <w:noProof/>
                <w:webHidden/>
              </w:rPr>
              <w:fldChar w:fldCharType="end"/>
            </w:r>
          </w:hyperlink>
        </w:p>
        <w:p w14:paraId="3462DAC4" w14:textId="4431755A" w:rsidR="00E40D93" w:rsidRDefault="00042DAE">
          <w:pPr>
            <w:pStyle w:val="TOC2"/>
            <w:tabs>
              <w:tab w:val="left" w:pos="960"/>
              <w:tab w:val="right" w:leader="dot" w:pos="9016"/>
            </w:tabs>
            <w:rPr>
              <w:noProof/>
              <w:kern w:val="2"/>
              <w:sz w:val="24"/>
              <w:szCs w:val="24"/>
              <w14:ligatures w14:val="standardContextual"/>
            </w:rPr>
          </w:pPr>
          <w:hyperlink w:anchor="_Toc235687078" w:history="1">
            <w:r w:rsidR="00E40D93" w:rsidRPr="007D2A26">
              <w:rPr>
                <w:rStyle w:val="Hyperlink"/>
                <w:rFonts w:ascii="Arial" w:hAnsi="Arial" w:cs="Arial"/>
                <w:noProof/>
              </w:rPr>
              <w:t>4.7</w:t>
            </w:r>
            <w:r w:rsidR="00E40D93">
              <w:rPr>
                <w:noProof/>
                <w:kern w:val="2"/>
                <w:sz w:val="24"/>
                <w:szCs w:val="24"/>
                <w14:ligatures w14:val="standardContextual"/>
              </w:rPr>
              <w:tab/>
            </w:r>
            <w:r w:rsidR="00E40D93" w:rsidRPr="007D2A26">
              <w:rPr>
                <w:rStyle w:val="Hyperlink"/>
                <w:rFonts w:ascii="Arial" w:hAnsi="Arial" w:cs="Arial"/>
                <w:noProof/>
              </w:rPr>
              <w:t>Conclusion and Implementation Controls</w:t>
            </w:r>
            <w:r w:rsidR="00E40D93">
              <w:rPr>
                <w:noProof/>
                <w:webHidden/>
              </w:rPr>
              <w:tab/>
            </w:r>
            <w:r w:rsidR="00E40D93">
              <w:rPr>
                <w:noProof/>
                <w:webHidden/>
              </w:rPr>
              <w:fldChar w:fldCharType="begin"/>
            </w:r>
            <w:r w:rsidR="00E40D93">
              <w:rPr>
                <w:noProof/>
                <w:webHidden/>
              </w:rPr>
              <w:instrText xml:space="preserve"> PAGEREF _Toc235687078 \h </w:instrText>
            </w:r>
            <w:r w:rsidR="00E40D93">
              <w:rPr>
                <w:noProof/>
                <w:webHidden/>
              </w:rPr>
            </w:r>
            <w:r w:rsidR="00E40D93">
              <w:rPr>
                <w:noProof/>
                <w:webHidden/>
              </w:rPr>
              <w:fldChar w:fldCharType="separate"/>
            </w:r>
            <w:r w:rsidR="00E40D93">
              <w:rPr>
                <w:noProof/>
                <w:webHidden/>
              </w:rPr>
              <w:t>16</w:t>
            </w:r>
            <w:r w:rsidR="00E40D93">
              <w:rPr>
                <w:noProof/>
                <w:webHidden/>
              </w:rPr>
              <w:fldChar w:fldCharType="end"/>
            </w:r>
          </w:hyperlink>
        </w:p>
        <w:p w14:paraId="4F6F7262" w14:textId="32AFD6D8" w:rsidR="00E40D93" w:rsidRDefault="00042DAE">
          <w:pPr>
            <w:pStyle w:val="TOC1"/>
            <w:tabs>
              <w:tab w:val="left" w:pos="480"/>
              <w:tab w:val="right" w:leader="dot" w:pos="9016"/>
            </w:tabs>
            <w:rPr>
              <w:noProof/>
              <w:kern w:val="2"/>
              <w:sz w:val="24"/>
              <w:szCs w:val="24"/>
              <w14:ligatures w14:val="standardContextual"/>
            </w:rPr>
          </w:pPr>
          <w:hyperlink w:anchor="_Toc235687079" w:history="1">
            <w:r w:rsidR="00E40D93" w:rsidRPr="007D2A26">
              <w:rPr>
                <w:rStyle w:val="Hyperlink"/>
                <w:rFonts w:ascii="Arial" w:hAnsi="Arial" w:cs="Arial"/>
                <w:noProof/>
              </w:rPr>
              <w:t>5</w:t>
            </w:r>
            <w:r w:rsidR="00E40D93">
              <w:rPr>
                <w:noProof/>
                <w:kern w:val="2"/>
                <w:sz w:val="24"/>
                <w:szCs w:val="24"/>
                <w14:ligatures w14:val="standardContextual"/>
              </w:rPr>
              <w:tab/>
            </w:r>
            <w:r w:rsidR="00E40D93" w:rsidRPr="007D2A26">
              <w:rPr>
                <w:rStyle w:val="Hyperlink"/>
                <w:rFonts w:ascii="Arial" w:hAnsi="Arial" w:cs="Arial"/>
                <w:noProof/>
              </w:rPr>
              <w:t>Critical Reflection on AI Usage</w:t>
            </w:r>
            <w:r w:rsidR="00E40D93">
              <w:rPr>
                <w:noProof/>
                <w:webHidden/>
              </w:rPr>
              <w:tab/>
            </w:r>
            <w:r w:rsidR="00E40D93">
              <w:rPr>
                <w:noProof/>
                <w:webHidden/>
              </w:rPr>
              <w:fldChar w:fldCharType="begin"/>
            </w:r>
            <w:r w:rsidR="00E40D93">
              <w:rPr>
                <w:noProof/>
                <w:webHidden/>
              </w:rPr>
              <w:instrText xml:space="preserve"> PAGEREF _Toc235687079 \h </w:instrText>
            </w:r>
            <w:r w:rsidR="00E40D93">
              <w:rPr>
                <w:noProof/>
                <w:webHidden/>
              </w:rPr>
            </w:r>
            <w:r w:rsidR="00E40D93">
              <w:rPr>
                <w:noProof/>
                <w:webHidden/>
              </w:rPr>
              <w:fldChar w:fldCharType="separate"/>
            </w:r>
            <w:r w:rsidR="00E40D93">
              <w:rPr>
                <w:noProof/>
                <w:webHidden/>
              </w:rPr>
              <w:t>16</w:t>
            </w:r>
            <w:r w:rsidR="00E40D93">
              <w:rPr>
                <w:noProof/>
                <w:webHidden/>
              </w:rPr>
              <w:fldChar w:fldCharType="end"/>
            </w:r>
          </w:hyperlink>
        </w:p>
        <w:p w14:paraId="01840A00" w14:textId="755F2356" w:rsidR="00E40D93" w:rsidRDefault="00042DAE">
          <w:pPr>
            <w:pStyle w:val="TOC2"/>
            <w:tabs>
              <w:tab w:val="left" w:pos="960"/>
              <w:tab w:val="right" w:leader="dot" w:pos="9016"/>
            </w:tabs>
            <w:rPr>
              <w:noProof/>
              <w:kern w:val="2"/>
              <w:sz w:val="24"/>
              <w:szCs w:val="24"/>
              <w14:ligatures w14:val="standardContextual"/>
            </w:rPr>
          </w:pPr>
          <w:hyperlink w:anchor="_Toc235687080" w:history="1">
            <w:r w:rsidR="00E40D93" w:rsidRPr="007D2A26">
              <w:rPr>
                <w:rStyle w:val="Hyperlink"/>
                <w:rFonts w:ascii="Arial" w:hAnsi="Arial" w:cs="Arial"/>
                <w:noProof/>
              </w:rPr>
              <w:t>5.1</w:t>
            </w:r>
            <w:r w:rsidR="00E40D93">
              <w:rPr>
                <w:noProof/>
                <w:kern w:val="2"/>
                <w:sz w:val="24"/>
                <w:szCs w:val="24"/>
                <w14:ligatures w14:val="standardContextual"/>
              </w:rPr>
              <w:tab/>
            </w:r>
            <w:r w:rsidR="00E40D93" w:rsidRPr="007D2A26">
              <w:rPr>
                <w:rStyle w:val="Hyperlink"/>
                <w:rFonts w:ascii="Arial" w:hAnsi="Arial" w:cs="Arial"/>
                <w:noProof/>
              </w:rPr>
              <w:t>Tool Disclosure and Purpose</w:t>
            </w:r>
            <w:r w:rsidR="00E40D93">
              <w:rPr>
                <w:noProof/>
                <w:webHidden/>
              </w:rPr>
              <w:tab/>
            </w:r>
            <w:r w:rsidR="00E40D93">
              <w:rPr>
                <w:noProof/>
                <w:webHidden/>
              </w:rPr>
              <w:fldChar w:fldCharType="begin"/>
            </w:r>
            <w:r w:rsidR="00E40D93">
              <w:rPr>
                <w:noProof/>
                <w:webHidden/>
              </w:rPr>
              <w:instrText xml:space="preserve"> PAGEREF _Toc235687080 \h </w:instrText>
            </w:r>
            <w:r w:rsidR="00E40D93">
              <w:rPr>
                <w:noProof/>
                <w:webHidden/>
              </w:rPr>
            </w:r>
            <w:r w:rsidR="00E40D93">
              <w:rPr>
                <w:noProof/>
                <w:webHidden/>
              </w:rPr>
              <w:fldChar w:fldCharType="separate"/>
            </w:r>
            <w:r w:rsidR="00E40D93">
              <w:rPr>
                <w:noProof/>
                <w:webHidden/>
              </w:rPr>
              <w:t>16</w:t>
            </w:r>
            <w:r w:rsidR="00E40D93">
              <w:rPr>
                <w:noProof/>
                <w:webHidden/>
              </w:rPr>
              <w:fldChar w:fldCharType="end"/>
            </w:r>
          </w:hyperlink>
        </w:p>
        <w:p w14:paraId="418040CC" w14:textId="4D0B95CC" w:rsidR="00E40D93" w:rsidRDefault="00042DAE">
          <w:pPr>
            <w:pStyle w:val="TOC2"/>
            <w:tabs>
              <w:tab w:val="left" w:pos="960"/>
              <w:tab w:val="right" w:leader="dot" w:pos="9016"/>
            </w:tabs>
            <w:rPr>
              <w:noProof/>
              <w:kern w:val="2"/>
              <w:sz w:val="24"/>
              <w:szCs w:val="24"/>
              <w14:ligatures w14:val="standardContextual"/>
            </w:rPr>
          </w:pPr>
          <w:hyperlink w:anchor="_Toc235687081" w:history="1">
            <w:r w:rsidR="00E40D93" w:rsidRPr="007D2A26">
              <w:rPr>
                <w:rStyle w:val="Hyperlink"/>
                <w:rFonts w:ascii="Arial" w:hAnsi="Arial" w:cs="Arial"/>
                <w:noProof/>
              </w:rPr>
              <w:t>5.2</w:t>
            </w:r>
            <w:r w:rsidR="00E40D93">
              <w:rPr>
                <w:noProof/>
                <w:kern w:val="2"/>
                <w:sz w:val="24"/>
                <w:szCs w:val="24"/>
                <w14:ligatures w14:val="standardContextual"/>
              </w:rPr>
              <w:tab/>
            </w:r>
            <w:r w:rsidR="00E40D93" w:rsidRPr="007D2A26">
              <w:rPr>
                <w:rStyle w:val="Hyperlink"/>
                <w:rFonts w:ascii="Arial" w:hAnsi="Arial" w:cs="Arial"/>
                <w:noProof/>
              </w:rPr>
              <w:t>Critical Evaluation and Verification of AI Output</w:t>
            </w:r>
            <w:r w:rsidR="00E40D93">
              <w:rPr>
                <w:noProof/>
                <w:webHidden/>
              </w:rPr>
              <w:tab/>
            </w:r>
            <w:r w:rsidR="00E40D93">
              <w:rPr>
                <w:noProof/>
                <w:webHidden/>
              </w:rPr>
              <w:fldChar w:fldCharType="begin"/>
            </w:r>
            <w:r w:rsidR="00E40D93">
              <w:rPr>
                <w:noProof/>
                <w:webHidden/>
              </w:rPr>
              <w:instrText xml:space="preserve"> PAGEREF _Toc235687081 \h </w:instrText>
            </w:r>
            <w:r w:rsidR="00E40D93">
              <w:rPr>
                <w:noProof/>
                <w:webHidden/>
              </w:rPr>
            </w:r>
            <w:r w:rsidR="00E40D93">
              <w:rPr>
                <w:noProof/>
                <w:webHidden/>
              </w:rPr>
              <w:fldChar w:fldCharType="separate"/>
            </w:r>
            <w:r w:rsidR="00E40D93">
              <w:rPr>
                <w:noProof/>
                <w:webHidden/>
              </w:rPr>
              <w:t>17</w:t>
            </w:r>
            <w:r w:rsidR="00E40D93">
              <w:rPr>
                <w:noProof/>
                <w:webHidden/>
              </w:rPr>
              <w:fldChar w:fldCharType="end"/>
            </w:r>
          </w:hyperlink>
        </w:p>
        <w:p w14:paraId="70429EAF" w14:textId="241CDEFE" w:rsidR="00E40D93" w:rsidRDefault="00042DAE">
          <w:pPr>
            <w:pStyle w:val="TOC2"/>
            <w:tabs>
              <w:tab w:val="left" w:pos="960"/>
              <w:tab w:val="right" w:leader="dot" w:pos="9016"/>
            </w:tabs>
            <w:rPr>
              <w:noProof/>
              <w:kern w:val="2"/>
              <w:sz w:val="24"/>
              <w:szCs w:val="24"/>
              <w14:ligatures w14:val="standardContextual"/>
            </w:rPr>
          </w:pPr>
          <w:hyperlink w:anchor="_Toc235687082" w:history="1">
            <w:r w:rsidR="00E40D93" w:rsidRPr="007D2A26">
              <w:rPr>
                <w:rStyle w:val="Hyperlink"/>
                <w:rFonts w:ascii="Arial" w:hAnsi="Arial" w:cs="Arial"/>
                <w:noProof/>
              </w:rPr>
              <w:t>5.3</w:t>
            </w:r>
            <w:r w:rsidR="00E40D93">
              <w:rPr>
                <w:noProof/>
                <w:kern w:val="2"/>
                <w:sz w:val="24"/>
                <w:szCs w:val="24"/>
                <w14:ligatures w14:val="standardContextual"/>
              </w:rPr>
              <w:tab/>
            </w:r>
            <w:r w:rsidR="00E40D93" w:rsidRPr="007D2A26">
              <w:rPr>
                <w:rStyle w:val="Hyperlink"/>
                <w:rFonts w:ascii="Arial" w:hAnsi="Arial" w:cs="Arial"/>
                <w:noProof/>
              </w:rPr>
              <w:t>AI Contribution and My Original Analysis</w:t>
            </w:r>
            <w:r w:rsidR="00E40D93">
              <w:rPr>
                <w:noProof/>
                <w:webHidden/>
              </w:rPr>
              <w:tab/>
            </w:r>
            <w:r w:rsidR="00E40D93">
              <w:rPr>
                <w:noProof/>
                <w:webHidden/>
              </w:rPr>
              <w:fldChar w:fldCharType="begin"/>
            </w:r>
            <w:r w:rsidR="00E40D93">
              <w:rPr>
                <w:noProof/>
                <w:webHidden/>
              </w:rPr>
              <w:instrText xml:space="preserve"> PAGEREF _Toc235687082 \h </w:instrText>
            </w:r>
            <w:r w:rsidR="00E40D93">
              <w:rPr>
                <w:noProof/>
                <w:webHidden/>
              </w:rPr>
            </w:r>
            <w:r w:rsidR="00E40D93">
              <w:rPr>
                <w:noProof/>
                <w:webHidden/>
              </w:rPr>
              <w:fldChar w:fldCharType="separate"/>
            </w:r>
            <w:r w:rsidR="00E40D93">
              <w:rPr>
                <w:noProof/>
                <w:webHidden/>
              </w:rPr>
              <w:t>17</w:t>
            </w:r>
            <w:r w:rsidR="00E40D93">
              <w:rPr>
                <w:noProof/>
                <w:webHidden/>
              </w:rPr>
              <w:fldChar w:fldCharType="end"/>
            </w:r>
          </w:hyperlink>
        </w:p>
        <w:p w14:paraId="46CE9D4E" w14:textId="53954B7B" w:rsidR="00E40D93" w:rsidRDefault="00042DAE">
          <w:pPr>
            <w:pStyle w:val="TOC2"/>
            <w:tabs>
              <w:tab w:val="left" w:pos="960"/>
              <w:tab w:val="right" w:leader="dot" w:pos="9016"/>
            </w:tabs>
            <w:rPr>
              <w:noProof/>
              <w:kern w:val="2"/>
              <w:sz w:val="24"/>
              <w:szCs w:val="24"/>
              <w14:ligatures w14:val="standardContextual"/>
            </w:rPr>
          </w:pPr>
          <w:hyperlink w:anchor="_Toc235687083" w:history="1">
            <w:r w:rsidR="00E40D93" w:rsidRPr="007D2A26">
              <w:rPr>
                <w:rStyle w:val="Hyperlink"/>
                <w:rFonts w:ascii="Arial" w:hAnsi="Arial" w:cs="Arial"/>
                <w:noProof/>
              </w:rPr>
              <w:t>5.4</w:t>
            </w:r>
            <w:r w:rsidR="00E40D93">
              <w:rPr>
                <w:noProof/>
                <w:kern w:val="2"/>
                <w:sz w:val="24"/>
                <w:szCs w:val="24"/>
                <w14:ligatures w14:val="standardContextual"/>
              </w:rPr>
              <w:tab/>
            </w:r>
            <w:r w:rsidR="00E40D93" w:rsidRPr="007D2A26">
              <w:rPr>
                <w:rStyle w:val="Hyperlink"/>
                <w:rFonts w:ascii="Arial" w:hAnsi="Arial" w:cs="Arial"/>
                <w:noProof/>
              </w:rPr>
              <w:t>Ethical and Professional Reflection</w:t>
            </w:r>
            <w:r w:rsidR="00E40D93">
              <w:rPr>
                <w:noProof/>
                <w:webHidden/>
              </w:rPr>
              <w:tab/>
            </w:r>
            <w:r w:rsidR="00E40D93">
              <w:rPr>
                <w:noProof/>
                <w:webHidden/>
              </w:rPr>
              <w:fldChar w:fldCharType="begin"/>
            </w:r>
            <w:r w:rsidR="00E40D93">
              <w:rPr>
                <w:noProof/>
                <w:webHidden/>
              </w:rPr>
              <w:instrText xml:space="preserve"> PAGEREF _Toc235687083 \h </w:instrText>
            </w:r>
            <w:r w:rsidR="00E40D93">
              <w:rPr>
                <w:noProof/>
                <w:webHidden/>
              </w:rPr>
            </w:r>
            <w:r w:rsidR="00E40D93">
              <w:rPr>
                <w:noProof/>
                <w:webHidden/>
              </w:rPr>
              <w:fldChar w:fldCharType="separate"/>
            </w:r>
            <w:r w:rsidR="00E40D93">
              <w:rPr>
                <w:noProof/>
                <w:webHidden/>
              </w:rPr>
              <w:t>18</w:t>
            </w:r>
            <w:r w:rsidR="00E40D93">
              <w:rPr>
                <w:noProof/>
                <w:webHidden/>
              </w:rPr>
              <w:fldChar w:fldCharType="end"/>
            </w:r>
          </w:hyperlink>
        </w:p>
        <w:p w14:paraId="7F758B61" w14:textId="67496DEA" w:rsidR="00E40D93" w:rsidRDefault="00042DAE">
          <w:pPr>
            <w:pStyle w:val="TOC1"/>
            <w:tabs>
              <w:tab w:val="left" w:pos="480"/>
              <w:tab w:val="right" w:leader="dot" w:pos="9016"/>
            </w:tabs>
            <w:rPr>
              <w:noProof/>
              <w:kern w:val="2"/>
              <w:sz w:val="24"/>
              <w:szCs w:val="24"/>
              <w14:ligatures w14:val="standardContextual"/>
            </w:rPr>
          </w:pPr>
          <w:hyperlink w:anchor="_Toc235687084" w:history="1">
            <w:r w:rsidR="00E40D93" w:rsidRPr="007D2A26">
              <w:rPr>
                <w:rStyle w:val="Hyperlink"/>
                <w:rFonts w:ascii="Arial" w:hAnsi="Arial" w:cs="Arial"/>
                <w:noProof/>
              </w:rPr>
              <w:t>6</w:t>
            </w:r>
            <w:r w:rsidR="00E40D93">
              <w:rPr>
                <w:noProof/>
                <w:kern w:val="2"/>
                <w:sz w:val="24"/>
                <w:szCs w:val="24"/>
                <w14:ligatures w14:val="standardContextual"/>
              </w:rPr>
              <w:tab/>
            </w:r>
            <w:r w:rsidR="00E40D93" w:rsidRPr="007D2A26">
              <w:rPr>
                <w:rStyle w:val="Hyperlink"/>
                <w:rFonts w:ascii="Arial" w:hAnsi="Arial" w:cs="Arial"/>
                <w:noProof/>
              </w:rPr>
              <w:t>References</w:t>
            </w:r>
            <w:r w:rsidR="00E40D93">
              <w:rPr>
                <w:noProof/>
                <w:webHidden/>
              </w:rPr>
              <w:tab/>
            </w:r>
            <w:r w:rsidR="00E40D93">
              <w:rPr>
                <w:noProof/>
                <w:webHidden/>
              </w:rPr>
              <w:fldChar w:fldCharType="begin"/>
            </w:r>
            <w:r w:rsidR="00E40D93">
              <w:rPr>
                <w:noProof/>
                <w:webHidden/>
              </w:rPr>
              <w:instrText xml:space="preserve"> PAGEREF _Toc235687084 \h </w:instrText>
            </w:r>
            <w:r w:rsidR="00E40D93">
              <w:rPr>
                <w:noProof/>
                <w:webHidden/>
              </w:rPr>
            </w:r>
            <w:r w:rsidR="00E40D93">
              <w:rPr>
                <w:noProof/>
                <w:webHidden/>
              </w:rPr>
              <w:fldChar w:fldCharType="separate"/>
            </w:r>
            <w:r w:rsidR="00E40D93">
              <w:rPr>
                <w:noProof/>
                <w:webHidden/>
              </w:rPr>
              <w:t>19</w:t>
            </w:r>
            <w:r w:rsidR="00E40D93">
              <w:rPr>
                <w:noProof/>
                <w:webHidden/>
              </w:rPr>
              <w:fldChar w:fldCharType="end"/>
            </w:r>
          </w:hyperlink>
        </w:p>
        <w:p w14:paraId="5B710478" w14:textId="3B9314EF" w:rsidR="00E40D93" w:rsidRDefault="00042DAE">
          <w:pPr>
            <w:pStyle w:val="TOC1"/>
            <w:tabs>
              <w:tab w:val="left" w:pos="480"/>
              <w:tab w:val="right" w:leader="dot" w:pos="9016"/>
            </w:tabs>
            <w:rPr>
              <w:noProof/>
              <w:kern w:val="2"/>
              <w:sz w:val="24"/>
              <w:szCs w:val="24"/>
              <w14:ligatures w14:val="standardContextual"/>
            </w:rPr>
          </w:pPr>
          <w:hyperlink w:anchor="_Toc235687085" w:history="1">
            <w:r w:rsidR="00E40D93" w:rsidRPr="007D2A26">
              <w:rPr>
                <w:rStyle w:val="Hyperlink"/>
                <w:rFonts w:ascii="Arial" w:hAnsi="Arial" w:cs="Arial"/>
                <w:noProof/>
              </w:rPr>
              <w:t>7</w:t>
            </w:r>
            <w:r w:rsidR="00E40D93">
              <w:rPr>
                <w:noProof/>
                <w:kern w:val="2"/>
                <w:sz w:val="24"/>
                <w:szCs w:val="24"/>
                <w14:ligatures w14:val="standardContextual"/>
              </w:rPr>
              <w:tab/>
            </w:r>
            <w:r w:rsidR="00E40D93" w:rsidRPr="007D2A26">
              <w:rPr>
                <w:rStyle w:val="Hyperlink"/>
                <w:rFonts w:ascii="Arial" w:hAnsi="Arial" w:cs="Arial"/>
                <w:noProof/>
              </w:rPr>
              <w:t>Appendices</w:t>
            </w:r>
            <w:r w:rsidR="00E40D93">
              <w:rPr>
                <w:noProof/>
                <w:webHidden/>
              </w:rPr>
              <w:tab/>
            </w:r>
            <w:r w:rsidR="00E40D93">
              <w:rPr>
                <w:noProof/>
                <w:webHidden/>
              </w:rPr>
              <w:fldChar w:fldCharType="begin"/>
            </w:r>
            <w:r w:rsidR="00E40D93">
              <w:rPr>
                <w:noProof/>
                <w:webHidden/>
              </w:rPr>
              <w:instrText xml:space="preserve"> PAGEREF _Toc235687085 \h </w:instrText>
            </w:r>
            <w:r w:rsidR="00E40D93">
              <w:rPr>
                <w:noProof/>
                <w:webHidden/>
              </w:rPr>
            </w:r>
            <w:r w:rsidR="00E40D93">
              <w:rPr>
                <w:noProof/>
                <w:webHidden/>
              </w:rPr>
              <w:fldChar w:fldCharType="separate"/>
            </w:r>
            <w:r w:rsidR="00E40D93">
              <w:rPr>
                <w:noProof/>
                <w:webHidden/>
              </w:rPr>
              <w:t>23</w:t>
            </w:r>
            <w:r w:rsidR="00E40D93">
              <w:rPr>
                <w:noProof/>
                <w:webHidden/>
              </w:rPr>
              <w:fldChar w:fldCharType="end"/>
            </w:r>
          </w:hyperlink>
        </w:p>
        <w:p w14:paraId="19C54FBB" w14:textId="7AE1DD5C" w:rsidR="00E40D93" w:rsidRDefault="00042DAE">
          <w:pPr>
            <w:pStyle w:val="TOC2"/>
            <w:tabs>
              <w:tab w:val="left" w:pos="960"/>
              <w:tab w:val="right" w:leader="dot" w:pos="9016"/>
            </w:tabs>
            <w:rPr>
              <w:noProof/>
              <w:kern w:val="2"/>
              <w:sz w:val="24"/>
              <w:szCs w:val="24"/>
              <w14:ligatures w14:val="standardContextual"/>
            </w:rPr>
          </w:pPr>
          <w:hyperlink w:anchor="_Toc235687086" w:history="1">
            <w:r w:rsidR="00E40D93" w:rsidRPr="007D2A26">
              <w:rPr>
                <w:rStyle w:val="Hyperlink"/>
                <w:rFonts w:ascii="Arial" w:hAnsi="Arial" w:cs="Arial"/>
                <w:noProof/>
              </w:rPr>
              <w:t>7.1</w:t>
            </w:r>
            <w:r w:rsidR="00E40D93">
              <w:rPr>
                <w:noProof/>
                <w:kern w:val="2"/>
                <w:sz w:val="24"/>
                <w:szCs w:val="24"/>
                <w14:ligatures w14:val="standardContextual"/>
              </w:rPr>
              <w:tab/>
            </w:r>
            <w:r w:rsidR="00E40D93" w:rsidRPr="007D2A26">
              <w:rPr>
                <w:rStyle w:val="Hyperlink"/>
                <w:rFonts w:ascii="Arial" w:hAnsi="Arial" w:cs="Arial"/>
                <w:noProof/>
              </w:rPr>
              <w:t>Appendix A: Five-Year Financial and Ratio Summary</w:t>
            </w:r>
            <w:r w:rsidR="00E40D93">
              <w:rPr>
                <w:noProof/>
                <w:webHidden/>
              </w:rPr>
              <w:tab/>
            </w:r>
            <w:r w:rsidR="00E40D93">
              <w:rPr>
                <w:noProof/>
                <w:webHidden/>
              </w:rPr>
              <w:fldChar w:fldCharType="begin"/>
            </w:r>
            <w:r w:rsidR="00E40D93">
              <w:rPr>
                <w:noProof/>
                <w:webHidden/>
              </w:rPr>
              <w:instrText xml:space="preserve"> PAGEREF _Toc235687086 \h </w:instrText>
            </w:r>
            <w:r w:rsidR="00E40D93">
              <w:rPr>
                <w:noProof/>
                <w:webHidden/>
              </w:rPr>
            </w:r>
            <w:r w:rsidR="00E40D93">
              <w:rPr>
                <w:noProof/>
                <w:webHidden/>
              </w:rPr>
              <w:fldChar w:fldCharType="separate"/>
            </w:r>
            <w:r w:rsidR="00E40D93">
              <w:rPr>
                <w:noProof/>
                <w:webHidden/>
              </w:rPr>
              <w:t>23</w:t>
            </w:r>
            <w:r w:rsidR="00E40D93">
              <w:rPr>
                <w:noProof/>
                <w:webHidden/>
              </w:rPr>
              <w:fldChar w:fldCharType="end"/>
            </w:r>
          </w:hyperlink>
        </w:p>
        <w:p w14:paraId="41906E22" w14:textId="0D4F0934" w:rsidR="00E40D93" w:rsidRDefault="00042DAE">
          <w:pPr>
            <w:pStyle w:val="TOC2"/>
            <w:tabs>
              <w:tab w:val="left" w:pos="960"/>
              <w:tab w:val="right" w:leader="dot" w:pos="9016"/>
            </w:tabs>
            <w:rPr>
              <w:noProof/>
              <w:kern w:val="2"/>
              <w:sz w:val="24"/>
              <w:szCs w:val="24"/>
              <w14:ligatures w14:val="standardContextual"/>
            </w:rPr>
          </w:pPr>
          <w:hyperlink w:anchor="_Toc235687087" w:history="1">
            <w:r w:rsidR="00E40D93" w:rsidRPr="007D2A26">
              <w:rPr>
                <w:rStyle w:val="Hyperlink"/>
                <w:rFonts w:ascii="Arial" w:hAnsi="Arial" w:cs="Arial"/>
                <w:noProof/>
              </w:rPr>
              <w:t>7.2</w:t>
            </w:r>
            <w:r w:rsidR="00E40D93">
              <w:rPr>
                <w:noProof/>
                <w:kern w:val="2"/>
                <w:sz w:val="24"/>
                <w:szCs w:val="24"/>
                <w14:ligatures w14:val="standardContextual"/>
              </w:rPr>
              <w:tab/>
            </w:r>
            <w:r w:rsidR="00E40D93" w:rsidRPr="007D2A26">
              <w:rPr>
                <w:rStyle w:val="Hyperlink"/>
                <w:rFonts w:ascii="Arial" w:hAnsi="Arial" w:cs="Arial"/>
                <w:noProof/>
              </w:rPr>
              <w:t>Appendix B: Liquidity Comparison with Industry Benchmarks</w:t>
            </w:r>
            <w:r w:rsidR="00E40D93">
              <w:rPr>
                <w:noProof/>
                <w:webHidden/>
              </w:rPr>
              <w:tab/>
            </w:r>
            <w:r w:rsidR="00E40D93">
              <w:rPr>
                <w:noProof/>
                <w:webHidden/>
              </w:rPr>
              <w:fldChar w:fldCharType="begin"/>
            </w:r>
            <w:r w:rsidR="00E40D93">
              <w:rPr>
                <w:noProof/>
                <w:webHidden/>
              </w:rPr>
              <w:instrText xml:space="preserve"> PAGEREF _Toc235687087 \h </w:instrText>
            </w:r>
            <w:r w:rsidR="00E40D93">
              <w:rPr>
                <w:noProof/>
                <w:webHidden/>
              </w:rPr>
            </w:r>
            <w:r w:rsidR="00E40D93">
              <w:rPr>
                <w:noProof/>
                <w:webHidden/>
              </w:rPr>
              <w:fldChar w:fldCharType="separate"/>
            </w:r>
            <w:r w:rsidR="00E40D93">
              <w:rPr>
                <w:noProof/>
                <w:webHidden/>
              </w:rPr>
              <w:t>24</w:t>
            </w:r>
            <w:r w:rsidR="00E40D93">
              <w:rPr>
                <w:noProof/>
                <w:webHidden/>
              </w:rPr>
              <w:fldChar w:fldCharType="end"/>
            </w:r>
          </w:hyperlink>
        </w:p>
        <w:p w14:paraId="5CDDE6D7" w14:textId="7DE5B67C" w:rsidR="00E40D93" w:rsidRDefault="00042DAE">
          <w:pPr>
            <w:pStyle w:val="TOC2"/>
            <w:tabs>
              <w:tab w:val="left" w:pos="960"/>
              <w:tab w:val="right" w:leader="dot" w:pos="9016"/>
            </w:tabs>
            <w:rPr>
              <w:noProof/>
              <w:kern w:val="2"/>
              <w:sz w:val="24"/>
              <w:szCs w:val="24"/>
              <w14:ligatures w14:val="standardContextual"/>
            </w:rPr>
          </w:pPr>
          <w:hyperlink w:anchor="_Toc235687088" w:history="1">
            <w:r w:rsidR="00E40D93" w:rsidRPr="007D2A26">
              <w:rPr>
                <w:rStyle w:val="Hyperlink"/>
                <w:rFonts w:ascii="Arial" w:hAnsi="Arial" w:cs="Arial"/>
                <w:noProof/>
              </w:rPr>
              <w:t>7.3</w:t>
            </w:r>
            <w:r w:rsidR="00E40D93">
              <w:rPr>
                <w:noProof/>
                <w:kern w:val="2"/>
                <w:sz w:val="24"/>
                <w:szCs w:val="24"/>
                <w14:ligatures w14:val="standardContextual"/>
              </w:rPr>
              <w:tab/>
            </w:r>
            <w:r w:rsidR="00E40D93" w:rsidRPr="007D2A26">
              <w:rPr>
                <w:rStyle w:val="Hyperlink"/>
                <w:rFonts w:ascii="Arial" w:hAnsi="Arial" w:cs="Arial"/>
                <w:noProof/>
              </w:rPr>
              <w:t>Appendix C: Principal Ratio Formulae</w:t>
            </w:r>
            <w:r w:rsidR="00E40D93">
              <w:rPr>
                <w:noProof/>
                <w:webHidden/>
              </w:rPr>
              <w:tab/>
            </w:r>
            <w:r w:rsidR="00E40D93">
              <w:rPr>
                <w:noProof/>
                <w:webHidden/>
              </w:rPr>
              <w:fldChar w:fldCharType="begin"/>
            </w:r>
            <w:r w:rsidR="00E40D93">
              <w:rPr>
                <w:noProof/>
                <w:webHidden/>
              </w:rPr>
              <w:instrText xml:space="preserve"> PAGEREF _Toc235687088 \h </w:instrText>
            </w:r>
            <w:r w:rsidR="00E40D93">
              <w:rPr>
                <w:noProof/>
                <w:webHidden/>
              </w:rPr>
            </w:r>
            <w:r w:rsidR="00E40D93">
              <w:rPr>
                <w:noProof/>
                <w:webHidden/>
              </w:rPr>
              <w:fldChar w:fldCharType="separate"/>
            </w:r>
            <w:r w:rsidR="00E40D93">
              <w:rPr>
                <w:noProof/>
                <w:webHidden/>
              </w:rPr>
              <w:t>24</w:t>
            </w:r>
            <w:r w:rsidR="00E40D93">
              <w:rPr>
                <w:noProof/>
                <w:webHidden/>
              </w:rPr>
              <w:fldChar w:fldCharType="end"/>
            </w:r>
          </w:hyperlink>
        </w:p>
        <w:p w14:paraId="47EDB3CD" w14:textId="5E5F277A" w:rsidR="00E40D93" w:rsidRDefault="00042DAE">
          <w:pPr>
            <w:pStyle w:val="TOC2"/>
            <w:tabs>
              <w:tab w:val="left" w:pos="960"/>
              <w:tab w:val="right" w:leader="dot" w:pos="9016"/>
            </w:tabs>
            <w:rPr>
              <w:noProof/>
              <w:kern w:val="2"/>
              <w:sz w:val="24"/>
              <w:szCs w:val="24"/>
              <w14:ligatures w14:val="standardContextual"/>
            </w:rPr>
          </w:pPr>
          <w:hyperlink w:anchor="_Toc235687089" w:history="1">
            <w:r w:rsidR="00E40D93" w:rsidRPr="007D2A26">
              <w:rPr>
                <w:rStyle w:val="Hyperlink"/>
                <w:rFonts w:ascii="Arial" w:hAnsi="Arial" w:cs="Arial"/>
                <w:noProof/>
              </w:rPr>
              <w:t>7.4</w:t>
            </w:r>
            <w:r w:rsidR="00E40D93">
              <w:rPr>
                <w:noProof/>
                <w:kern w:val="2"/>
                <w:sz w:val="24"/>
                <w:szCs w:val="24"/>
                <w14:ligatures w14:val="standardContextual"/>
              </w:rPr>
              <w:tab/>
            </w:r>
            <w:r w:rsidR="00E40D93" w:rsidRPr="007D2A26">
              <w:rPr>
                <w:rStyle w:val="Hyperlink"/>
                <w:rFonts w:ascii="Arial" w:hAnsi="Arial" w:cs="Arial"/>
                <w:noProof/>
              </w:rPr>
              <w:t>Appendix D: GRAPHS</w:t>
            </w:r>
            <w:r w:rsidR="00E40D93">
              <w:rPr>
                <w:noProof/>
                <w:webHidden/>
              </w:rPr>
              <w:tab/>
            </w:r>
            <w:r w:rsidR="00E40D93">
              <w:rPr>
                <w:noProof/>
                <w:webHidden/>
              </w:rPr>
              <w:fldChar w:fldCharType="begin"/>
            </w:r>
            <w:r w:rsidR="00E40D93">
              <w:rPr>
                <w:noProof/>
                <w:webHidden/>
              </w:rPr>
              <w:instrText xml:space="preserve"> PAGEREF _Toc235687089 \h </w:instrText>
            </w:r>
            <w:r w:rsidR="00E40D93">
              <w:rPr>
                <w:noProof/>
                <w:webHidden/>
              </w:rPr>
            </w:r>
            <w:r w:rsidR="00E40D93">
              <w:rPr>
                <w:noProof/>
                <w:webHidden/>
              </w:rPr>
              <w:fldChar w:fldCharType="separate"/>
            </w:r>
            <w:r w:rsidR="00E40D93">
              <w:rPr>
                <w:noProof/>
                <w:webHidden/>
              </w:rPr>
              <w:t>25</w:t>
            </w:r>
            <w:r w:rsidR="00E40D93">
              <w:rPr>
                <w:noProof/>
                <w:webHidden/>
              </w:rPr>
              <w:fldChar w:fldCharType="end"/>
            </w:r>
          </w:hyperlink>
        </w:p>
        <w:p w14:paraId="05179652" w14:textId="0A83BACE" w:rsidR="00E40D93" w:rsidRDefault="00042DAE">
          <w:pPr>
            <w:pStyle w:val="TOC2"/>
            <w:tabs>
              <w:tab w:val="left" w:pos="960"/>
              <w:tab w:val="right" w:leader="dot" w:pos="9016"/>
            </w:tabs>
            <w:rPr>
              <w:noProof/>
              <w:kern w:val="2"/>
              <w:sz w:val="24"/>
              <w:szCs w:val="24"/>
              <w14:ligatures w14:val="standardContextual"/>
            </w:rPr>
          </w:pPr>
          <w:hyperlink w:anchor="_Toc235687090" w:history="1">
            <w:r w:rsidR="00E40D93" w:rsidRPr="007D2A26">
              <w:rPr>
                <w:rStyle w:val="Hyperlink"/>
                <w:rFonts w:ascii="Arial" w:hAnsi="Arial" w:cs="Arial"/>
                <w:noProof/>
              </w:rPr>
              <w:t>7.5</w:t>
            </w:r>
            <w:r w:rsidR="00E40D93">
              <w:rPr>
                <w:noProof/>
                <w:kern w:val="2"/>
                <w:sz w:val="24"/>
                <w:szCs w:val="24"/>
                <w14:ligatures w14:val="standardContextual"/>
              </w:rPr>
              <w:tab/>
            </w:r>
            <w:r w:rsidR="00E40D93" w:rsidRPr="007D2A26">
              <w:rPr>
                <w:rStyle w:val="Hyperlink"/>
                <w:rFonts w:ascii="Arial" w:hAnsi="Arial" w:cs="Arial"/>
                <w:noProof/>
              </w:rPr>
              <w:t>Appendix E: Comparative Investment Appraisal Results</w:t>
            </w:r>
            <w:r w:rsidR="00E40D93">
              <w:rPr>
                <w:noProof/>
                <w:webHidden/>
              </w:rPr>
              <w:tab/>
            </w:r>
            <w:r w:rsidR="00E40D93">
              <w:rPr>
                <w:noProof/>
                <w:webHidden/>
              </w:rPr>
              <w:fldChar w:fldCharType="begin"/>
            </w:r>
            <w:r w:rsidR="00E40D93">
              <w:rPr>
                <w:noProof/>
                <w:webHidden/>
              </w:rPr>
              <w:instrText xml:space="preserve"> PAGEREF _Toc235687090 \h </w:instrText>
            </w:r>
            <w:r w:rsidR="00E40D93">
              <w:rPr>
                <w:noProof/>
                <w:webHidden/>
              </w:rPr>
            </w:r>
            <w:r w:rsidR="00E40D93">
              <w:rPr>
                <w:noProof/>
                <w:webHidden/>
              </w:rPr>
              <w:fldChar w:fldCharType="separate"/>
            </w:r>
            <w:r w:rsidR="00E40D93">
              <w:rPr>
                <w:noProof/>
                <w:webHidden/>
              </w:rPr>
              <w:t>29</w:t>
            </w:r>
            <w:r w:rsidR="00E40D93">
              <w:rPr>
                <w:noProof/>
                <w:webHidden/>
              </w:rPr>
              <w:fldChar w:fldCharType="end"/>
            </w:r>
          </w:hyperlink>
        </w:p>
        <w:p w14:paraId="74EE68E8" w14:textId="3A439821" w:rsidR="00E40D93" w:rsidRDefault="00042DAE">
          <w:pPr>
            <w:pStyle w:val="TOC2"/>
            <w:tabs>
              <w:tab w:val="left" w:pos="960"/>
              <w:tab w:val="right" w:leader="dot" w:pos="9016"/>
            </w:tabs>
            <w:rPr>
              <w:noProof/>
              <w:kern w:val="2"/>
              <w:sz w:val="24"/>
              <w:szCs w:val="24"/>
              <w14:ligatures w14:val="standardContextual"/>
            </w:rPr>
          </w:pPr>
          <w:hyperlink w:anchor="_Toc235687091" w:history="1">
            <w:r w:rsidR="00E40D93" w:rsidRPr="007D2A26">
              <w:rPr>
                <w:rStyle w:val="Hyperlink"/>
                <w:rFonts w:ascii="Arial" w:hAnsi="Arial" w:cs="Arial"/>
                <w:noProof/>
              </w:rPr>
              <w:t>7.6</w:t>
            </w:r>
            <w:r w:rsidR="00E40D93">
              <w:rPr>
                <w:noProof/>
                <w:kern w:val="2"/>
                <w:sz w:val="24"/>
                <w:szCs w:val="24"/>
                <w14:ligatures w14:val="standardContextual"/>
              </w:rPr>
              <w:tab/>
            </w:r>
            <w:r w:rsidR="00E40D93" w:rsidRPr="007D2A26">
              <w:rPr>
                <w:rStyle w:val="Hyperlink"/>
                <w:rFonts w:ascii="Arial" w:hAnsi="Arial" w:cs="Arial"/>
                <w:noProof/>
              </w:rPr>
              <w:t>Appendix F: Discounted Cash Flow at 8 Per Cent</w:t>
            </w:r>
            <w:r w:rsidR="00E40D93">
              <w:rPr>
                <w:noProof/>
                <w:webHidden/>
              </w:rPr>
              <w:tab/>
            </w:r>
            <w:r w:rsidR="00E40D93">
              <w:rPr>
                <w:noProof/>
                <w:webHidden/>
              </w:rPr>
              <w:fldChar w:fldCharType="begin"/>
            </w:r>
            <w:r w:rsidR="00E40D93">
              <w:rPr>
                <w:noProof/>
                <w:webHidden/>
              </w:rPr>
              <w:instrText xml:space="preserve"> PAGEREF _Toc235687091 \h </w:instrText>
            </w:r>
            <w:r w:rsidR="00E40D93">
              <w:rPr>
                <w:noProof/>
                <w:webHidden/>
              </w:rPr>
            </w:r>
            <w:r w:rsidR="00E40D93">
              <w:rPr>
                <w:noProof/>
                <w:webHidden/>
              </w:rPr>
              <w:fldChar w:fldCharType="separate"/>
            </w:r>
            <w:r w:rsidR="00E40D93">
              <w:rPr>
                <w:noProof/>
                <w:webHidden/>
              </w:rPr>
              <w:t>30</w:t>
            </w:r>
            <w:r w:rsidR="00E40D93">
              <w:rPr>
                <w:noProof/>
                <w:webHidden/>
              </w:rPr>
              <w:fldChar w:fldCharType="end"/>
            </w:r>
          </w:hyperlink>
        </w:p>
        <w:p w14:paraId="793B710F" w14:textId="241821CB" w:rsidR="00E40D93" w:rsidRDefault="00042DAE">
          <w:pPr>
            <w:pStyle w:val="TOC2"/>
            <w:tabs>
              <w:tab w:val="left" w:pos="960"/>
              <w:tab w:val="right" w:leader="dot" w:pos="9016"/>
            </w:tabs>
            <w:rPr>
              <w:noProof/>
              <w:kern w:val="2"/>
              <w:sz w:val="24"/>
              <w:szCs w:val="24"/>
              <w14:ligatures w14:val="standardContextual"/>
            </w:rPr>
          </w:pPr>
          <w:hyperlink w:anchor="_Toc235687092" w:history="1">
            <w:r w:rsidR="00E40D93" w:rsidRPr="007D2A26">
              <w:rPr>
                <w:rStyle w:val="Hyperlink"/>
                <w:rFonts w:ascii="Arial" w:hAnsi="Arial" w:cs="Arial"/>
                <w:noProof/>
              </w:rPr>
              <w:t>7.7</w:t>
            </w:r>
            <w:r w:rsidR="00E40D93">
              <w:rPr>
                <w:noProof/>
                <w:kern w:val="2"/>
                <w:sz w:val="24"/>
                <w:szCs w:val="24"/>
                <w14:ligatures w14:val="standardContextual"/>
              </w:rPr>
              <w:tab/>
            </w:r>
            <w:r w:rsidR="00E40D93" w:rsidRPr="007D2A26">
              <w:rPr>
                <w:rStyle w:val="Hyperlink"/>
                <w:rFonts w:ascii="Arial" w:hAnsi="Arial" w:cs="Arial"/>
                <w:noProof/>
              </w:rPr>
              <w:t>Appendix G: Capital Rationing Portfolio Analysis</w:t>
            </w:r>
            <w:r w:rsidR="00E40D93">
              <w:rPr>
                <w:noProof/>
                <w:webHidden/>
              </w:rPr>
              <w:tab/>
            </w:r>
            <w:r w:rsidR="00E40D93">
              <w:rPr>
                <w:noProof/>
                <w:webHidden/>
              </w:rPr>
              <w:fldChar w:fldCharType="begin"/>
            </w:r>
            <w:r w:rsidR="00E40D93">
              <w:rPr>
                <w:noProof/>
                <w:webHidden/>
              </w:rPr>
              <w:instrText xml:space="preserve"> PAGEREF _Toc235687092 \h </w:instrText>
            </w:r>
            <w:r w:rsidR="00E40D93">
              <w:rPr>
                <w:noProof/>
                <w:webHidden/>
              </w:rPr>
            </w:r>
            <w:r w:rsidR="00E40D93">
              <w:rPr>
                <w:noProof/>
                <w:webHidden/>
              </w:rPr>
              <w:fldChar w:fldCharType="separate"/>
            </w:r>
            <w:r w:rsidR="00E40D93">
              <w:rPr>
                <w:noProof/>
                <w:webHidden/>
              </w:rPr>
              <w:t>30</w:t>
            </w:r>
            <w:r w:rsidR="00E40D93">
              <w:rPr>
                <w:noProof/>
                <w:webHidden/>
              </w:rPr>
              <w:fldChar w:fldCharType="end"/>
            </w:r>
          </w:hyperlink>
        </w:p>
        <w:p w14:paraId="786D3220" w14:textId="2743C166" w:rsidR="00E40D93" w:rsidRDefault="00042DAE">
          <w:pPr>
            <w:pStyle w:val="TOC2"/>
            <w:tabs>
              <w:tab w:val="left" w:pos="960"/>
              <w:tab w:val="right" w:leader="dot" w:pos="9016"/>
            </w:tabs>
            <w:rPr>
              <w:noProof/>
              <w:kern w:val="2"/>
              <w:sz w:val="24"/>
              <w:szCs w:val="24"/>
              <w14:ligatures w14:val="standardContextual"/>
            </w:rPr>
          </w:pPr>
          <w:hyperlink w:anchor="_Toc235687093" w:history="1">
            <w:r w:rsidR="00E40D93" w:rsidRPr="007D2A26">
              <w:rPr>
                <w:rStyle w:val="Hyperlink"/>
                <w:rFonts w:ascii="Arial" w:hAnsi="Arial" w:cs="Arial"/>
                <w:noProof/>
              </w:rPr>
              <w:t>7.8</w:t>
            </w:r>
            <w:r w:rsidR="00E40D93">
              <w:rPr>
                <w:noProof/>
                <w:kern w:val="2"/>
                <w:sz w:val="24"/>
                <w:szCs w:val="24"/>
                <w14:ligatures w14:val="standardContextual"/>
              </w:rPr>
              <w:tab/>
            </w:r>
            <w:r w:rsidR="00E40D93" w:rsidRPr="007D2A26">
              <w:rPr>
                <w:rStyle w:val="Hyperlink"/>
                <w:rFonts w:ascii="Arial" w:hAnsi="Arial" w:cs="Arial"/>
                <w:noProof/>
              </w:rPr>
              <w:t>Appendix H: NPV Sensitivity Analysis</w:t>
            </w:r>
            <w:r w:rsidR="00E40D93">
              <w:rPr>
                <w:noProof/>
                <w:webHidden/>
              </w:rPr>
              <w:tab/>
            </w:r>
            <w:r w:rsidR="00E40D93">
              <w:rPr>
                <w:noProof/>
                <w:webHidden/>
              </w:rPr>
              <w:fldChar w:fldCharType="begin"/>
            </w:r>
            <w:r w:rsidR="00E40D93">
              <w:rPr>
                <w:noProof/>
                <w:webHidden/>
              </w:rPr>
              <w:instrText xml:space="preserve"> PAGEREF _Toc235687093 \h </w:instrText>
            </w:r>
            <w:r w:rsidR="00E40D93">
              <w:rPr>
                <w:noProof/>
                <w:webHidden/>
              </w:rPr>
            </w:r>
            <w:r w:rsidR="00E40D93">
              <w:rPr>
                <w:noProof/>
                <w:webHidden/>
              </w:rPr>
              <w:fldChar w:fldCharType="separate"/>
            </w:r>
            <w:r w:rsidR="00E40D93">
              <w:rPr>
                <w:noProof/>
                <w:webHidden/>
              </w:rPr>
              <w:t>31</w:t>
            </w:r>
            <w:r w:rsidR="00E40D93">
              <w:rPr>
                <w:noProof/>
                <w:webHidden/>
              </w:rPr>
              <w:fldChar w:fldCharType="end"/>
            </w:r>
          </w:hyperlink>
        </w:p>
        <w:p w14:paraId="1028E233" w14:textId="75773BA9" w:rsidR="00E40D93" w:rsidRDefault="00042DAE">
          <w:pPr>
            <w:pStyle w:val="TOC2"/>
            <w:tabs>
              <w:tab w:val="left" w:pos="960"/>
              <w:tab w:val="right" w:leader="dot" w:pos="9016"/>
            </w:tabs>
            <w:rPr>
              <w:noProof/>
              <w:kern w:val="2"/>
              <w:sz w:val="24"/>
              <w:szCs w:val="24"/>
              <w14:ligatures w14:val="standardContextual"/>
            </w:rPr>
          </w:pPr>
          <w:hyperlink w:anchor="_Toc235687094" w:history="1">
            <w:r w:rsidR="00E40D93" w:rsidRPr="007D2A26">
              <w:rPr>
                <w:rStyle w:val="Hyperlink"/>
                <w:rFonts w:ascii="Arial" w:hAnsi="Arial" w:cs="Arial"/>
                <w:noProof/>
              </w:rPr>
              <w:t>7.9</w:t>
            </w:r>
            <w:r w:rsidR="00E40D93">
              <w:rPr>
                <w:noProof/>
                <w:kern w:val="2"/>
                <w:sz w:val="24"/>
                <w:szCs w:val="24"/>
                <w14:ligatures w14:val="standardContextual"/>
              </w:rPr>
              <w:tab/>
            </w:r>
            <w:r w:rsidR="00E40D93" w:rsidRPr="007D2A26">
              <w:rPr>
                <w:rStyle w:val="Hyperlink"/>
                <w:rFonts w:ascii="Arial" w:hAnsi="Arial" w:cs="Arial"/>
                <w:noProof/>
              </w:rPr>
              <w:t>Appendix I: Graphical Analysis</w:t>
            </w:r>
            <w:r w:rsidR="00E40D93">
              <w:rPr>
                <w:noProof/>
                <w:webHidden/>
              </w:rPr>
              <w:tab/>
            </w:r>
            <w:r w:rsidR="00E40D93">
              <w:rPr>
                <w:noProof/>
                <w:webHidden/>
              </w:rPr>
              <w:fldChar w:fldCharType="begin"/>
            </w:r>
            <w:r w:rsidR="00E40D93">
              <w:rPr>
                <w:noProof/>
                <w:webHidden/>
              </w:rPr>
              <w:instrText xml:space="preserve"> PAGEREF _Toc235687094 \h </w:instrText>
            </w:r>
            <w:r w:rsidR="00E40D93">
              <w:rPr>
                <w:noProof/>
                <w:webHidden/>
              </w:rPr>
            </w:r>
            <w:r w:rsidR="00E40D93">
              <w:rPr>
                <w:noProof/>
                <w:webHidden/>
              </w:rPr>
              <w:fldChar w:fldCharType="separate"/>
            </w:r>
            <w:r w:rsidR="00E40D93">
              <w:rPr>
                <w:noProof/>
                <w:webHidden/>
              </w:rPr>
              <w:t>31</w:t>
            </w:r>
            <w:r w:rsidR="00E40D93">
              <w:rPr>
                <w:noProof/>
                <w:webHidden/>
              </w:rPr>
              <w:fldChar w:fldCharType="end"/>
            </w:r>
          </w:hyperlink>
        </w:p>
        <w:p w14:paraId="78763574" w14:textId="0B7A79A6" w:rsidR="00C464AE" w:rsidRPr="00F837E2" w:rsidRDefault="00C464AE">
          <w:pPr>
            <w:rPr>
              <w:rFonts w:ascii="Arial" w:hAnsi="Arial" w:cs="Arial"/>
              <w:sz w:val="24"/>
              <w:szCs w:val="24"/>
            </w:rPr>
          </w:pPr>
          <w:r w:rsidRPr="00F837E2">
            <w:rPr>
              <w:rFonts w:ascii="Arial" w:hAnsi="Arial" w:cs="Arial"/>
              <w:b/>
              <w:bCs/>
              <w:noProof/>
              <w:sz w:val="24"/>
              <w:szCs w:val="24"/>
            </w:rPr>
            <w:fldChar w:fldCharType="end"/>
          </w:r>
        </w:p>
      </w:sdtContent>
    </w:sdt>
    <w:p w14:paraId="15523C35" w14:textId="77777777" w:rsidR="001476AF" w:rsidRPr="00F837E2" w:rsidRDefault="001476AF">
      <w:pPr>
        <w:rPr>
          <w:rFonts w:ascii="Arial" w:hAnsi="Arial" w:cs="Arial"/>
          <w:sz w:val="24"/>
          <w:szCs w:val="24"/>
        </w:rPr>
      </w:pPr>
    </w:p>
    <w:p w14:paraId="38707808" w14:textId="77777777" w:rsidR="001476AF" w:rsidRPr="00F837E2" w:rsidRDefault="001476AF">
      <w:pPr>
        <w:rPr>
          <w:rFonts w:ascii="Arial" w:hAnsi="Arial" w:cs="Arial"/>
          <w:sz w:val="24"/>
          <w:szCs w:val="24"/>
        </w:rPr>
      </w:pPr>
    </w:p>
    <w:p w14:paraId="63D2BD80" w14:textId="77777777" w:rsidR="001476AF" w:rsidRPr="00F837E2" w:rsidRDefault="001476AF">
      <w:pPr>
        <w:rPr>
          <w:rFonts w:ascii="Arial" w:hAnsi="Arial" w:cs="Arial"/>
          <w:sz w:val="24"/>
          <w:szCs w:val="24"/>
        </w:rPr>
      </w:pPr>
    </w:p>
    <w:p w14:paraId="31987502" w14:textId="1C78D3C8" w:rsidR="001476AF" w:rsidRPr="00F837E2" w:rsidRDefault="00CB5928">
      <w:pPr>
        <w:rPr>
          <w:rFonts w:ascii="Arial" w:hAnsi="Arial" w:cs="Arial"/>
          <w:sz w:val="24"/>
          <w:szCs w:val="24"/>
        </w:rPr>
      </w:pPr>
      <w:r>
        <w:rPr>
          <w:rFonts w:ascii="Arial" w:hAnsi="Arial" w:cs="Arial"/>
          <w:sz w:val="24"/>
          <w:szCs w:val="24"/>
        </w:rPr>
        <w:t xml:space="preserve"> </w:t>
      </w:r>
    </w:p>
    <w:p w14:paraId="2C885883" w14:textId="77777777" w:rsidR="001476AF" w:rsidRPr="00F837E2" w:rsidRDefault="001476AF">
      <w:pPr>
        <w:rPr>
          <w:rFonts w:ascii="Arial" w:hAnsi="Arial" w:cs="Arial"/>
          <w:sz w:val="24"/>
          <w:szCs w:val="24"/>
        </w:rPr>
      </w:pPr>
    </w:p>
    <w:p w14:paraId="0FEEF79C" w14:textId="77777777" w:rsidR="001476AF" w:rsidRDefault="001476AF">
      <w:pPr>
        <w:rPr>
          <w:rFonts w:ascii="Arial" w:hAnsi="Arial" w:cs="Arial"/>
          <w:sz w:val="24"/>
          <w:szCs w:val="24"/>
        </w:rPr>
      </w:pPr>
    </w:p>
    <w:p w14:paraId="6E06B963" w14:textId="77777777" w:rsidR="00F837E2" w:rsidRDefault="00F837E2">
      <w:pPr>
        <w:rPr>
          <w:rFonts w:ascii="Arial" w:hAnsi="Arial" w:cs="Arial"/>
          <w:sz w:val="24"/>
          <w:szCs w:val="24"/>
        </w:rPr>
      </w:pPr>
    </w:p>
    <w:p w14:paraId="735AEA33" w14:textId="77777777" w:rsidR="00F837E2" w:rsidRDefault="00F837E2">
      <w:pPr>
        <w:rPr>
          <w:rFonts w:ascii="Arial" w:hAnsi="Arial" w:cs="Arial"/>
          <w:sz w:val="24"/>
          <w:szCs w:val="24"/>
        </w:rPr>
      </w:pPr>
    </w:p>
    <w:p w14:paraId="44DCF707" w14:textId="77777777" w:rsidR="00F837E2" w:rsidRDefault="00F837E2">
      <w:pPr>
        <w:rPr>
          <w:rFonts w:ascii="Arial" w:hAnsi="Arial" w:cs="Arial"/>
          <w:sz w:val="24"/>
          <w:szCs w:val="24"/>
        </w:rPr>
      </w:pPr>
    </w:p>
    <w:p w14:paraId="7DC022C8" w14:textId="77777777" w:rsidR="00F837E2" w:rsidRDefault="00F837E2">
      <w:pPr>
        <w:rPr>
          <w:rFonts w:ascii="Arial" w:hAnsi="Arial" w:cs="Arial"/>
          <w:sz w:val="24"/>
          <w:szCs w:val="24"/>
        </w:rPr>
      </w:pPr>
    </w:p>
    <w:p w14:paraId="4A0DBC05" w14:textId="77777777" w:rsidR="00F837E2" w:rsidRDefault="00F837E2">
      <w:pPr>
        <w:rPr>
          <w:rFonts w:ascii="Arial" w:hAnsi="Arial" w:cs="Arial"/>
          <w:sz w:val="24"/>
          <w:szCs w:val="24"/>
        </w:rPr>
      </w:pPr>
    </w:p>
    <w:p w14:paraId="7E926485" w14:textId="77777777" w:rsidR="00F837E2" w:rsidRDefault="00F837E2">
      <w:pPr>
        <w:rPr>
          <w:rFonts w:ascii="Arial" w:hAnsi="Arial" w:cs="Arial"/>
          <w:sz w:val="24"/>
          <w:szCs w:val="24"/>
        </w:rPr>
      </w:pPr>
    </w:p>
    <w:p w14:paraId="6BD0873C" w14:textId="77777777" w:rsidR="00F837E2" w:rsidRDefault="00F837E2">
      <w:pPr>
        <w:rPr>
          <w:rFonts w:ascii="Arial" w:hAnsi="Arial" w:cs="Arial"/>
          <w:sz w:val="24"/>
          <w:szCs w:val="24"/>
        </w:rPr>
      </w:pPr>
    </w:p>
    <w:p w14:paraId="05C1DDC1" w14:textId="77777777" w:rsidR="00F837E2" w:rsidRDefault="00F837E2">
      <w:pPr>
        <w:rPr>
          <w:rFonts w:ascii="Arial" w:hAnsi="Arial" w:cs="Arial"/>
          <w:sz w:val="24"/>
          <w:szCs w:val="24"/>
        </w:rPr>
      </w:pPr>
    </w:p>
    <w:p w14:paraId="2D6CEF5A" w14:textId="77777777" w:rsidR="00F837E2" w:rsidRDefault="00F837E2">
      <w:pPr>
        <w:rPr>
          <w:rFonts w:ascii="Arial" w:hAnsi="Arial" w:cs="Arial"/>
          <w:sz w:val="24"/>
          <w:szCs w:val="24"/>
        </w:rPr>
      </w:pPr>
    </w:p>
    <w:p w14:paraId="40552DC6" w14:textId="77777777" w:rsidR="00F837E2" w:rsidRDefault="00F837E2">
      <w:pPr>
        <w:rPr>
          <w:rFonts w:ascii="Arial" w:hAnsi="Arial" w:cs="Arial"/>
          <w:sz w:val="24"/>
          <w:szCs w:val="24"/>
        </w:rPr>
      </w:pPr>
    </w:p>
    <w:p w14:paraId="43346910" w14:textId="77777777" w:rsidR="00F837E2" w:rsidRDefault="00F837E2">
      <w:pPr>
        <w:rPr>
          <w:rFonts w:ascii="Arial" w:hAnsi="Arial" w:cs="Arial"/>
          <w:sz w:val="24"/>
          <w:szCs w:val="24"/>
        </w:rPr>
      </w:pPr>
    </w:p>
    <w:p w14:paraId="01085D15" w14:textId="77777777" w:rsidR="00F837E2" w:rsidRDefault="00F837E2">
      <w:pPr>
        <w:rPr>
          <w:rFonts w:ascii="Arial" w:hAnsi="Arial" w:cs="Arial"/>
          <w:sz w:val="24"/>
          <w:szCs w:val="24"/>
        </w:rPr>
      </w:pPr>
    </w:p>
    <w:p w14:paraId="2B0EA2CB" w14:textId="77777777" w:rsidR="00F837E2" w:rsidRDefault="00F837E2">
      <w:pPr>
        <w:rPr>
          <w:rFonts w:ascii="Arial" w:hAnsi="Arial" w:cs="Arial"/>
          <w:sz w:val="24"/>
          <w:szCs w:val="24"/>
        </w:rPr>
      </w:pPr>
    </w:p>
    <w:p w14:paraId="5B036AC8" w14:textId="77777777" w:rsidR="00F837E2" w:rsidRDefault="00F837E2">
      <w:pPr>
        <w:rPr>
          <w:rFonts w:ascii="Arial" w:hAnsi="Arial" w:cs="Arial"/>
          <w:sz w:val="24"/>
          <w:szCs w:val="24"/>
        </w:rPr>
      </w:pPr>
    </w:p>
    <w:p w14:paraId="68BB7BEC" w14:textId="77777777" w:rsidR="00F837E2" w:rsidRDefault="00F837E2">
      <w:pPr>
        <w:rPr>
          <w:rFonts w:ascii="Arial" w:hAnsi="Arial" w:cs="Arial"/>
          <w:sz w:val="24"/>
          <w:szCs w:val="24"/>
        </w:rPr>
      </w:pPr>
    </w:p>
    <w:p w14:paraId="12AD2F35" w14:textId="77777777" w:rsidR="00F837E2" w:rsidRDefault="00F837E2">
      <w:pPr>
        <w:rPr>
          <w:rFonts w:ascii="Arial" w:hAnsi="Arial" w:cs="Arial"/>
          <w:sz w:val="24"/>
          <w:szCs w:val="24"/>
        </w:rPr>
      </w:pPr>
    </w:p>
    <w:p w14:paraId="1C0BABCF" w14:textId="77777777" w:rsidR="00F837E2" w:rsidRPr="00F837E2" w:rsidRDefault="00F837E2">
      <w:pPr>
        <w:rPr>
          <w:rFonts w:ascii="Arial" w:hAnsi="Arial" w:cs="Arial"/>
          <w:sz w:val="24"/>
          <w:szCs w:val="24"/>
        </w:rPr>
      </w:pPr>
    </w:p>
    <w:p w14:paraId="0CC43817" w14:textId="77777777" w:rsidR="001476AF" w:rsidRPr="00F837E2" w:rsidRDefault="001476AF">
      <w:pPr>
        <w:rPr>
          <w:rFonts w:ascii="Arial" w:hAnsi="Arial" w:cs="Arial"/>
          <w:sz w:val="24"/>
          <w:szCs w:val="24"/>
        </w:rPr>
      </w:pPr>
    </w:p>
    <w:p w14:paraId="55BB3258" w14:textId="77777777" w:rsidR="001476AF" w:rsidRPr="00F837E2" w:rsidRDefault="001476AF" w:rsidP="00393D01">
      <w:pPr>
        <w:spacing w:line="360" w:lineRule="auto"/>
        <w:rPr>
          <w:rFonts w:ascii="Arial" w:hAnsi="Arial" w:cs="Arial"/>
          <w:sz w:val="24"/>
          <w:szCs w:val="24"/>
        </w:rPr>
      </w:pPr>
    </w:p>
    <w:p w14:paraId="763A8B8E" w14:textId="77777777" w:rsidR="001476AF" w:rsidRPr="00F837E2" w:rsidRDefault="001476AF" w:rsidP="00B94E9D">
      <w:pPr>
        <w:pStyle w:val="Heading1"/>
        <w:spacing w:line="360" w:lineRule="auto"/>
        <w:rPr>
          <w:rFonts w:ascii="Arial" w:hAnsi="Arial" w:cs="Arial"/>
          <w:sz w:val="24"/>
          <w:szCs w:val="24"/>
        </w:rPr>
      </w:pPr>
      <w:bookmarkStart w:id="1" w:name="_Toc235687056"/>
      <w:r w:rsidRPr="00F837E2">
        <w:rPr>
          <w:rFonts w:ascii="Arial" w:hAnsi="Arial" w:cs="Arial"/>
          <w:sz w:val="24"/>
          <w:szCs w:val="24"/>
        </w:rPr>
        <w:lastRenderedPageBreak/>
        <w:t>Financial Health Check</w:t>
      </w:r>
      <w:bookmarkEnd w:id="1"/>
      <w:r w:rsidRPr="00F837E2">
        <w:rPr>
          <w:rFonts w:ascii="Arial" w:hAnsi="Arial" w:cs="Arial"/>
          <w:sz w:val="24"/>
          <w:szCs w:val="24"/>
        </w:rPr>
        <w:t xml:space="preserve"> </w:t>
      </w:r>
    </w:p>
    <w:p w14:paraId="37421A08" w14:textId="77777777" w:rsidR="00393D01" w:rsidRDefault="00393D01" w:rsidP="00B94E9D">
      <w:pPr>
        <w:pStyle w:val="Heading2"/>
        <w:numPr>
          <w:ilvl w:val="1"/>
          <w:numId w:val="1"/>
        </w:numPr>
        <w:spacing w:line="360" w:lineRule="auto"/>
        <w:rPr>
          <w:rFonts w:ascii="Arial" w:hAnsi="Arial" w:cs="Arial"/>
          <w:sz w:val="24"/>
          <w:szCs w:val="24"/>
        </w:rPr>
      </w:pPr>
      <w:bookmarkStart w:id="2" w:name="_Toc235687057"/>
      <w:r w:rsidRPr="00F837E2">
        <w:rPr>
          <w:rFonts w:ascii="Arial" w:hAnsi="Arial" w:cs="Arial"/>
          <w:sz w:val="24"/>
          <w:szCs w:val="24"/>
        </w:rPr>
        <w:t>Scope and analytical approach</w:t>
      </w:r>
      <w:bookmarkEnd w:id="2"/>
    </w:p>
    <w:p w14:paraId="6410BEFC" w14:textId="500395A9" w:rsidR="00E7595D" w:rsidRDefault="00E7595D" w:rsidP="00E7595D">
      <w:pPr>
        <w:jc w:val="center"/>
      </w:pPr>
      <w:r>
        <w:rPr>
          <w:noProof/>
        </w:rPr>
        <w:drawing>
          <wp:inline distT="0" distB="0" distL="0" distR="0" wp14:anchorId="04D7E564" wp14:editId="7C01CE27">
            <wp:extent cx="5120640" cy="2287035"/>
            <wp:effectExtent l="0" t="0" r="3810" b="0"/>
            <wp:docPr id="841056035" name="Picture 1" descr="Marriott International Logo Vector Files Download | Logowi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rriott International Logo Vector Files Download | Logowik"/>
                    <pic:cNvPicPr>
                      <a:picLocks noChangeAspect="1" noChangeArrowheads="1"/>
                    </pic:cNvPicPr>
                  </pic:nvPicPr>
                  <pic:blipFill rotWithShape="1">
                    <a:blip r:embed="rId9">
                      <a:extLst>
                        <a:ext uri="{28A0092B-C50C-407E-A947-70E740481C1C}">
                          <a14:useLocalDpi xmlns:a14="http://schemas.microsoft.com/office/drawing/2010/main" val="0"/>
                        </a:ext>
                      </a:extLst>
                    </a:blip>
                    <a:srcRect t="22115" b="18637"/>
                    <a:stretch>
                      <a:fillRect/>
                    </a:stretch>
                  </pic:blipFill>
                  <pic:spPr bwMode="auto">
                    <a:xfrm>
                      <a:off x="0" y="0"/>
                      <a:ext cx="5145298" cy="2298048"/>
                    </a:xfrm>
                    <a:prstGeom prst="rect">
                      <a:avLst/>
                    </a:prstGeom>
                    <a:noFill/>
                    <a:ln>
                      <a:noFill/>
                    </a:ln>
                    <a:extLst>
                      <a:ext uri="{53640926-AAD7-44D8-BBD7-CCE9431645EC}">
                        <a14:shadowObscured xmlns:a14="http://schemas.microsoft.com/office/drawing/2010/main"/>
                      </a:ext>
                    </a:extLst>
                  </pic:spPr>
                </pic:pic>
              </a:graphicData>
            </a:graphic>
          </wp:inline>
        </w:drawing>
      </w:r>
    </w:p>
    <w:p w14:paraId="77F0FC4E" w14:textId="0E141A8C" w:rsidR="003445EC" w:rsidRPr="009C753C" w:rsidRDefault="003445EC" w:rsidP="00D73CD1">
      <w:pPr>
        <w:spacing w:line="360" w:lineRule="auto"/>
        <w:jc w:val="center"/>
        <w:rPr>
          <w:rFonts w:ascii="Arial" w:hAnsi="Arial" w:cs="Arial"/>
          <w:b/>
          <w:bCs/>
          <w:sz w:val="24"/>
          <w:szCs w:val="24"/>
          <w:u w:val="single"/>
        </w:rPr>
      </w:pPr>
      <w:r w:rsidRPr="009C753C">
        <w:rPr>
          <w:rFonts w:ascii="Arial" w:hAnsi="Arial" w:cs="Arial"/>
          <w:b/>
          <w:bCs/>
          <w:sz w:val="24"/>
          <w:szCs w:val="24"/>
          <w:u w:val="single"/>
        </w:rPr>
        <w:t>Source: (Marriott International, 2026).</w:t>
      </w:r>
    </w:p>
    <w:p w14:paraId="4FBDA6F9" w14:textId="166F8023" w:rsidR="0066158C" w:rsidRPr="00F837E2" w:rsidRDefault="0013776F" w:rsidP="00B94E9D">
      <w:pPr>
        <w:spacing w:line="360" w:lineRule="auto"/>
        <w:jc w:val="both"/>
        <w:rPr>
          <w:rFonts w:ascii="Arial" w:hAnsi="Arial" w:cs="Arial"/>
          <w:sz w:val="24"/>
          <w:szCs w:val="24"/>
        </w:rPr>
      </w:pPr>
      <w:r w:rsidRPr="0013776F">
        <w:rPr>
          <w:rFonts w:ascii="Arial" w:hAnsi="Arial" w:cs="Arial"/>
          <w:sz w:val="24"/>
          <w:szCs w:val="24"/>
        </w:rPr>
        <w:t xml:space="preserve">This report provides an evaluation of Marriott International's audited consolidated financial statements for the 2021-2025 period. Profitability and liquidity, efficiency and gearing and investment and cash-flow measures have been applied with detailed calculations shown in the Excel workbook and </w:t>
      </w:r>
      <w:proofErr w:type="spellStart"/>
      <w:r w:rsidRPr="0013776F">
        <w:rPr>
          <w:rFonts w:ascii="Arial" w:hAnsi="Arial" w:cs="Arial"/>
          <w:sz w:val="24"/>
          <w:szCs w:val="24"/>
        </w:rPr>
        <w:t>summarised</w:t>
      </w:r>
      <w:proofErr w:type="spellEnd"/>
      <w:r w:rsidRPr="0013776F">
        <w:rPr>
          <w:rFonts w:ascii="Arial" w:hAnsi="Arial" w:cs="Arial"/>
          <w:sz w:val="24"/>
          <w:szCs w:val="24"/>
        </w:rPr>
        <w:t xml:space="preserve"> in Appendix A. Figures are in US$ million unless indicated otherwise. The five-year series was assembled from Marriott's official Form 10-K filings, with 2020 balance-sheet data being used only to calculate the average balances in the ratios for 2021. </w:t>
      </w:r>
      <w:r w:rsidR="005569B5" w:rsidRPr="0013776F">
        <w:rPr>
          <w:rFonts w:ascii="Arial" w:hAnsi="Arial" w:cs="Arial"/>
          <w:sz w:val="24"/>
          <w:szCs w:val="24"/>
        </w:rPr>
        <w:t>This</w:t>
      </w:r>
      <w:r w:rsidRPr="0013776F">
        <w:rPr>
          <w:rFonts w:ascii="Arial" w:hAnsi="Arial" w:cs="Arial"/>
          <w:sz w:val="24"/>
          <w:szCs w:val="24"/>
        </w:rPr>
        <w:t xml:space="preserve"> method enables to carry out trend analysis and critical evaluation instead of just accounting figures. The financial statements were given an unqualified audit opinion, providing a robust evidence base for the analysis (Marriott International, 2022; 2023; 2026).</w:t>
      </w:r>
    </w:p>
    <w:p w14:paraId="1B8E9247" w14:textId="77777777" w:rsidR="00393D01" w:rsidRPr="00F837E2" w:rsidRDefault="00393D01" w:rsidP="00B94E9D">
      <w:pPr>
        <w:pStyle w:val="Heading2"/>
        <w:numPr>
          <w:ilvl w:val="1"/>
          <w:numId w:val="1"/>
        </w:numPr>
        <w:spacing w:line="360" w:lineRule="auto"/>
        <w:rPr>
          <w:rFonts w:ascii="Arial" w:hAnsi="Arial" w:cs="Arial"/>
          <w:sz w:val="24"/>
          <w:szCs w:val="24"/>
        </w:rPr>
      </w:pPr>
      <w:bookmarkStart w:id="3" w:name="_Toc235687058"/>
      <w:r w:rsidRPr="00F837E2">
        <w:rPr>
          <w:rFonts w:ascii="Arial" w:hAnsi="Arial" w:cs="Arial"/>
          <w:sz w:val="24"/>
          <w:szCs w:val="24"/>
        </w:rPr>
        <w:t>Financial-statement performance</w:t>
      </w:r>
      <w:bookmarkEnd w:id="3"/>
    </w:p>
    <w:p w14:paraId="6D4890D8" w14:textId="77777777" w:rsidR="008E3363" w:rsidRPr="008E3363" w:rsidRDefault="008E3363" w:rsidP="008E3363">
      <w:pPr>
        <w:spacing w:line="360" w:lineRule="auto"/>
        <w:jc w:val="both"/>
        <w:rPr>
          <w:rFonts w:ascii="Arial" w:hAnsi="Arial" w:cs="Arial"/>
          <w:sz w:val="24"/>
          <w:szCs w:val="24"/>
        </w:rPr>
      </w:pPr>
      <w:r w:rsidRPr="008E3363">
        <w:rPr>
          <w:rFonts w:ascii="Arial" w:hAnsi="Arial" w:cs="Arial"/>
          <w:sz w:val="24"/>
          <w:szCs w:val="24"/>
        </w:rPr>
        <w:t xml:space="preserve">In 2021, Marriott reported revenues of $13.857 billion, rising to $26.186 billion in 2025, with cumulative growth of 89.0% and a compound annual growth rate of 17.2%. However, the pattern seen over the year is more telling than the published increase. Revenue grew by 49.9% in 2022 and 14.2% in 2023 as international travel recovered, but growth slowed to 5.8% in 2024 and 4.3% in 2025. As a result, Marriott has shifted from recovery growth mode to a more sophisticated one where room growth, pricing, franchise fees, and demand from abroad need to drive incremental revenue gains. Gross fee revenues rose 5% in 2025, bolstered by growth in rooms, a modest rise in </w:t>
      </w:r>
      <w:r w:rsidRPr="008E3363">
        <w:rPr>
          <w:rFonts w:ascii="Arial" w:hAnsi="Arial" w:cs="Arial"/>
          <w:sz w:val="24"/>
          <w:szCs w:val="24"/>
        </w:rPr>
        <w:lastRenderedPageBreak/>
        <w:t xml:space="preserve">RevPAR and growing credit-card-related fees, while worldwide RevPAR grew by just 2.0% which again indicated moderation in underlying growth (Marriott International, 2026). </w:t>
      </w:r>
    </w:p>
    <w:p w14:paraId="5A0BF12C" w14:textId="13E99CB1" w:rsidR="008E4480" w:rsidRPr="00F837E2" w:rsidRDefault="008E3363" w:rsidP="008E3363">
      <w:pPr>
        <w:spacing w:line="360" w:lineRule="auto"/>
        <w:jc w:val="both"/>
        <w:rPr>
          <w:rFonts w:ascii="Arial" w:hAnsi="Arial" w:cs="Arial"/>
          <w:sz w:val="24"/>
          <w:szCs w:val="24"/>
        </w:rPr>
      </w:pPr>
      <w:r w:rsidRPr="008E3363">
        <w:rPr>
          <w:rFonts w:ascii="Arial" w:hAnsi="Arial" w:cs="Arial"/>
          <w:sz w:val="24"/>
          <w:szCs w:val="24"/>
        </w:rPr>
        <w:t>Over the same time frame, operating income grew from $1.750 billion to $4.141 billion. The operating margin improved from 12.6% in 2021 to 16.7% in 2022, before easing to 16.3% in 2023 and 15.0% in 2024; it recovered to 15.8% in 2025. Net margin was more volatile, rising from 7.9% in 2021 to a high of 13.0% in 2023, dropping to 9.5% in 2024 and improving slightly to 9.9% in 2025. Net income declined by 23% for 2024 and increased 9.5% in 2025, but 2025 was still lower than 2023. Return on assets improved from 4.4% to 9.7%, with a peak of 12.2% in 2023. Marriott is highly profitable, but its earnings are not linear after recovery (Marriott International, 2023; 2026).</w:t>
      </w:r>
    </w:p>
    <w:p w14:paraId="001D2C2E" w14:textId="77777777" w:rsidR="00393D01" w:rsidRPr="00F837E2" w:rsidRDefault="00393D01" w:rsidP="00B94E9D">
      <w:pPr>
        <w:pStyle w:val="Heading2"/>
        <w:numPr>
          <w:ilvl w:val="1"/>
          <w:numId w:val="1"/>
        </w:numPr>
        <w:spacing w:line="360" w:lineRule="auto"/>
        <w:rPr>
          <w:rFonts w:ascii="Arial" w:hAnsi="Arial" w:cs="Arial"/>
          <w:sz w:val="24"/>
          <w:szCs w:val="24"/>
        </w:rPr>
      </w:pPr>
      <w:bookmarkStart w:id="4" w:name="_Toc235687059"/>
      <w:r w:rsidRPr="00F837E2">
        <w:rPr>
          <w:rFonts w:ascii="Arial" w:hAnsi="Arial" w:cs="Arial"/>
          <w:sz w:val="24"/>
          <w:szCs w:val="24"/>
        </w:rPr>
        <w:t>Efficiency and operational strengths</w:t>
      </w:r>
      <w:bookmarkEnd w:id="4"/>
    </w:p>
    <w:p w14:paraId="18757BF8" w14:textId="77777777" w:rsidR="00821EB4" w:rsidRPr="00821EB4" w:rsidRDefault="00821EB4" w:rsidP="00821EB4">
      <w:pPr>
        <w:spacing w:line="360" w:lineRule="auto"/>
        <w:jc w:val="both"/>
        <w:rPr>
          <w:rFonts w:ascii="Arial" w:hAnsi="Arial" w:cs="Arial"/>
          <w:sz w:val="24"/>
          <w:szCs w:val="24"/>
        </w:rPr>
      </w:pPr>
      <w:r w:rsidRPr="00821EB4">
        <w:rPr>
          <w:rFonts w:ascii="Arial" w:hAnsi="Arial" w:cs="Arial"/>
          <w:sz w:val="24"/>
          <w:szCs w:val="24"/>
        </w:rPr>
        <w:t>Efficiency ratios show a clear structural strength. Its asset turnover also grew, from 0.55 times in 2021 to 0.97 times in 2025, and its fixed-asset turnover jumped from 9.19 to 13.83 times. Receivables turnover increased from 7.39 to 9.18 times and days sales outstanding (DSO) reduced from 49.4 to 39.8 days. These movements refer to improved revenue generation from Marriott's assets and receivables base.</w:t>
      </w:r>
    </w:p>
    <w:p w14:paraId="4A974808" w14:textId="6DFD7810" w:rsidR="008E3363" w:rsidRPr="00F837E2" w:rsidRDefault="00821EB4" w:rsidP="00821EB4">
      <w:pPr>
        <w:spacing w:line="360" w:lineRule="auto"/>
        <w:jc w:val="both"/>
        <w:rPr>
          <w:rFonts w:ascii="Arial" w:hAnsi="Arial" w:cs="Arial"/>
          <w:sz w:val="24"/>
          <w:szCs w:val="24"/>
        </w:rPr>
      </w:pPr>
      <w:r w:rsidRPr="00821EB4">
        <w:rPr>
          <w:rFonts w:ascii="Arial" w:hAnsi="Arial" w:cs="Arial"/>
          <w:sz w:val="24"/>
          <w:szCs w:val="24"/>
        </w:rPr>
        <w:t>The results are in line with Marriott's asset-light strategy which aims to reduce direct invested capital by disposing of property, while continuing to hold long-term agreements or management contracts. By the end of 2025, Marriott's regional operating numbers encompass over 9,000 properties and nearly 1.78 million rooms, without Marriott having ownership of most of the underlying hotel assets. However, in 2025, accounts receivable stood at $2.909 billion, making disciplined collection from owners, franchisees and other counterparties significant for working-capital control (Marriott International, 2026).</w:t>
      </w:r>
    </w:p>
    <w:p w14:paraId="10B2D399" w14:textId="77777777" w:rsidR="00393D01" w:rsidRPr="00F837E2" w:rsidRDefault="00393D01" w:rsidP="00B94E9D">
      <w:pPr>
        <w:pStyle w:val="Heading2"/>
        <w:numPr>
          <w:ilvl w:val="1"/>
          <w:numId w:val="1"/>
        </w:numPr>
        <w:spacing w:line="360" w:lineRule="auto"/>
        <w:rPr>
          <w:rFonts w:ascii="Arial" w:hAnsi="Arial" w:cs="Arial"/>
          <w:sz w:val="24"/>
          <w:szCs w:val="24"/>
        </w:rPr>
      </w:pPr>
      <w:bookmarkStart w:id="5" w:name="_Toc235687060"/>
      <w:r w:rsidRPr="00F837E2">
        <w:rPr>
          <w:rFonts w:ascii="Arial" w:hAnsi="Arial" w:cs="Arial"/>
          <w:sz w:val="24"/>
          <w:szCs w:val="24"/>
        </w:rPr>
        <w:t>Liquidity and industry comparison</w:t>
      </w:r>
      <w:bookmarkEnd w:id="5"/>
    </w:p>
    <w:p w14:paraId="67DEA228" w14:textId="77777777" w:rsidR="00821EB4" w:rsidRPr="00821EB4" w:rsidRDefault="00821EB4" w:rsidP="00821EB4">
      <w:pPr>
        <w:spacing w:line="360" w:lineRule="auto"/>
        <w:jc w:val="both"/>
        <w:rPr>
          <w:rFonts w:ascii="Arial" w:hAnsi="Arial" w:cs="Arial"/>
          <w:sz w:val="24"/>
          <w:szCs w:val="24"/>
        </w:rPr>
      </w:pPr>
      <w:r w:rsidRPr="00821EB4">
        <w:rPr>
          <w:rFonts w:ascii="Arial" w:hAnsi="Arial" w:cs="Arial"/>
          <w:sz w:val="24"/>
          <w:szCs w:val="24"/>
        </w:rPr>
        <w:t>Liquidity is Marriott’s most immediate financial weakness. It also saw a current ratio drop from 0.57 in 2021 to 0.43 in 2025 and was less than 1.0 across the five years. The quick ratio went down from 0.53 to 0.39, and the cash ratio dropped significantly from 0.22 to 0.04. Net working capital turned negative from minus $2.781 billion in 2023 to minus $4.814 billion in 2024.</w:t>
      </w:r>
    </w:p>
    <w:p w14:paraId="62FFB5F7" w14:textId="77777777" w:rsidR="00821EB4" w:rsidRPr="00821EB4" w:rsidRDefault="00821EB4" w:rsidP="00821EB4">
      <w:pPr>
        <w:spacing w:line="360" w:lineRule="auto"/>
        <w:jc w:val="both"/>
        <w:rPr>
          <w:rFonts w:ascii="Arial" w:hAnsi="Arial" w:cs="Arial"/>
          <w:sz w:val="24"/>
          <w:szCs w:val="24"/>
        </w:rPr>
      </w:pPr>
      <w:r w:rsidRPr="00821EB4">
        <w:rPr>
          <w:rFonts w:ascii="Arial" w:hAnsi="Arial" w:cs="Arial"/>
          <w:sz w:val="24"/>
          <w:szCs w:val="24"/>
        </w:rPr>
        <w:lastRenderedPageBreak/>
        <w:t xml:space="preserve">The current ratio for Marriott was around 0.4 for 2024 and 2025. The operating cash-flow ratio is reassuring as it rose from 0.18 to 0.38, indicating that the cash generated from operations is a greater proportion of current liabilities than the balance-sheet ratios suggest. However, the company has a short-term financial buffer if its cash receipts slow down or its short-term obligations rise unexpectedly (Marriott International, 2026). </w:t>
      </w:r>
    </w:p>
    <w:p w14:paraId="06F4BD72" w14:textId="07186622" w:rsidR="00821EB4" w:rsidRPr="00821EB4" w:rsidRDefault="00821EB4" w:rsidP="00821EB4">
      <w:pPr>
        <w:spacing w:line="360" w:lineRule="auto"/>
        <w:jc w:val="both"/>
        <w:rPr>
          <w:rFonts w:ascii="Arial" w:hAnsi="Arial" w:cs="Arial"/>
          <w:sz w:val="24"/>
          <w:szCs w:val="24"/>
        </w:rPr>
      </w:pPr>
      <w:r w:rsidRPr="00821EB4">
        <w:rPr>
          <w:rFonts w:ascii="Arial" w:hAnsi="Arial" w:cs="Arial"/>
          <w:sz w:val="24"/>
          <w:szCs w:val="24"/>
        </w:rPr>
        <w:t xml:space="preserve">This concern is reinforced in the </w:t>
      </w:r>
      <w:r w:rsidR="00AB54E0" w:rsidRPr="00821EB4">
        <w:rPr>
          <w:rFonts w:ascii="Arial" w:hAnsi="Arial" w:cs="Arial"/>
          <w:sz w:val="24"/>
          <w:szCs w:val="24"/>
        </w:rPr>
        <w:t>industry</w:t>
      </w:r>
      <w:r w:rsidRPr="00821EB4">
        <w:rPr>
          <w:rFonts w:ascii="Arial" w:hAnsi="Arial" w:cs="Arial"/>
          <w:sz w:val="24"/>
          <w:szCs w:val="24"/>
        </w:rPr>
        <w:t xml:space="preserve"> comparison in Appendix B. Current ratio was lower for Marriott than the Hotels and Motels industry average (0.82) during 2025. Quick ratio is 0.39, lower than the industry average of 0.69, and cash ratio is 0.04, much lower than the industry average of 0.50. Marriott was consistently below each of the three corresponding benchmarks for each year of analysis (</w:t>
      </w:r>
      <w:proofErr w:type="spellStart"/>
      <w:r w:rsidRPr="00821EB4">
        <w:rPr>
          <w:rFonts w:ascii="Arial" w:hAnsi="Arial" w:cs="Arial"/>
          <w:sz w:val="24"/>
          <w:szCs w:val="24"/>
        </w:rPr>
        <w:t>ReadyRatios</w:t>
      </w:r>
      <w:proofErr w:type="spellEnd"/>
      <w:r w:rsidRPr="00821EB4">
        <w:rPr>
          <w:rFonts w:ascii="Arial" w:hAnsi="Arial" w:cs="Arial"/>
          <w:sz w:val="24"/>
          <w:szCs w:val="24"/>
        </w:rPr>
        <w:t xml:space="preserve">, 2026). </w:t>
      </w:r>
    </w:p>
    <w:p w14:paraId="30670FD7" w14:textId="7614636D" w:rsidR="00DF732C" w:rsidRPr="00F837E2" w:rsidRDefault="00821EB4" w:rsidP="00821EB4">
      <w:pPr>
        <w:spacing w:line="360" w:lineRule="auto"/>
        <w:jc w:val="both"/>
        <w:rPr>
          <w:rFonts w:ascii="Arial" w:hAnsi="Arial" w:cs="Arial"/>
          <w:sz w:val="24"/>
          <w:szCs w:val="24"/>
        </w:rPr>
      </w:pPr>
      <w:r w:rsidRPr="00821EB4">
        <w:rPr>
          <w:rFonts w:ascii="Arial" w:hAnsi="Arial" w:cs="Arial"/>
          <w:sz w:val="24"/>
          <w:szCs w:val="24"/>
        </w:rPr>
        <w:t>The differences are not to be interpreted mechanically, however. The benchmark includes hotel owners, operators and mixed business models, while Marriott is mainly fee-based and asset-light. Marriott also has a $4.5 billion multicurrency revolving credit facility, and its operating cash generation, borrowing capacity and access to capital markets are sufficient to meet expected future liquidity needs, according to its reports. Nevertheless, reliance on external credit can grow more hazardous during heavy travel disruption, volatile capital market conditions, or unforeseen owner and loyalty cash needs. Low liquidity is therefore structurally understandable but remains financially material (Marriott International, 2026).</w:t>
      </w:r>
    </w:p>
    <w:p w14:paraId="3F08E834" w14:textId="77777777" w:rsidR="00393D01" w:rsidRPr="00F837E2" w:rsidRDefault="00393D01" w:rsidP="00B94E9D">
      <w:pPr>
        <w:pStyle w:val="Heading2"/>
        <w:numPr>
          <w:ilvl w:val="1"/>
          <w:numId w:val="1"/>
        </w:numPr>
        <w:spacing w:line="360" w:lineRule="auto"/>
        <w:rPr>
          <w:rFonts w:ascii="Arial" w:hAnsi="Arial" w:cs="Arial"/>
          <w:sz w:val="24"/>
          <w:szCs w:val="24"/>
        </w:rPr>
      </w:pPr>
      <w:bookmarkStart w:id="6" w:name="_Toc235687061"/>
      <w:r w:rsidRPr="00F837E2">
        <w:rPr>
          <w:rFonts w:ascii="Arial" w:hAnsi="Arial" w:cs="Arial"/>
          <w:sz w:val="24"/>
          <w:szCs w:val="24"/>
        </w:rPr>
        <w:t>Gearing, investment and cash flow</w:t>
      </w:r>
      <w:bookmarkEnd w:id="6"/>
    </w:p>
    <w:p w14:paraId="38FA082E" w14:textId="77777777" w:rsidR="00DF732C" w:rsidRPr="00DF732C" w:rsidRDefault="00DF732C" w:rsidP="00DF732C">
      <w:pPr>
        <w:spacing w:line="360" w:lineRule="auto"/>
        <w:jc w:val="both"/>
        <w:rPr>
          <w:rFonts w:ascii="Arial" w:hAnsi="Arial" w:cs="Arial"/>
          <w:sz w:val="24"/>
          <w:szCs w:val="24"/>
        </w:rPr>
      </w:pPr>
      <w:r w:rsidRPr="00DF732C">
        <w:rPr>
          <w:rFonts w:ascii="Arial" w:hAnsi="Arial" w:cs="Arial"/>
          <w:sz w:val="24"/>
          <w:szCs w:val="24"/>
        </w:rPr>
        <w:t>Leverage increased significantly. Total debt increased by 59.8% from $10.138 billion in 2021 to $16.204 billion in 2025, and interest expense almost doubled, from $420 million to $809 million. Debt to assets rose from 39.7% to 58.8% and net debt to assets climbed to 57.5%. The interest coverage ratio increased from 4.17 times in 2021 to 8.59 times in 2022 but dropped to 5.12 times in 2025. This is still adequate, but the decline indicates that interest charges are taking up an increasing share of operating profit.</w:t>
      </w:r>
    </w:p>
    <w:p w14:paraId="6B18AA85" w14:textId="77777777" w:rsidR="00DF732C" w:rsidRPr="00DF732C" w:rsidRDefault="00DF732C" w:rsidP="00DF732C">
      <w:pPr>
        <w:spacing w:line="360" w:lineRule="auto"/>
        <w:jc w:val="both"/>
        <w:rPr>
          <w:rFonts w:ascii="Arial" w:hAnsi="Arial" w:cs="Arial"/>
          <w:sz w:val="24"/>
          <w:szCs w:val="24"/>
        </w:rPr>
      </w:pPr>
      <w:r w:rsidRPr="00DF732C">
        <w:rPr>
          <w:rFonts w:ascii="Arial" w:hAnsi="Arial" w:cs="Arial"/>
          <w:sz w:val="24"/>
          <w:szCs w:val="24"/>
        </w:rPr>
        <w:t xml:space="preserve">In 2023, equity turned negative and in 2025 grew to a $3.771 billion deficit, mainly due to the growth of treasury stock resulting from purchases. Debt to equity is therefore a misleading ratio and the ratio of debt to assets along with the net debt to assets and interest coverage ratios make more sense. Marriott's debt grew by $1.757 billion in </w:t>
      </w:r>
      <w:r w:rsidRPr="00DF732C">
        <w:rPr>
          <w:rFonts w:ascii="Arial" w:hAnsi="Arial" w:cs="Arial"/>
          <w:sz w:val="24"/>
          <w:szCs w:val="24"/>
        </w:rPr>
        <w:lastRenderedPageBreak/>
        <w:t xml:space="preserve">2025, and the weighted average interest rate on the long-term debt was 4.5%, with an average maturity of around 5.4 years (Marriott International, 2026). </w:t>
      </w:r>
    </w:p>
    <w:p w14:paraId="2C529A0B" w14:textId="369E1435" w:rsidR="00DF732C" w:rsidRPr="00DF732C" w:rsidRDefault="00DF732C" w:rsidP="00DF732C">
      <w:pPr>
        <w:spacing w:line="360" w:lineRule="auto"/>
        <w:jc w:val="both"/>
        <w:rPr>
          <w:rFonts w:ascii="Arial" w:hAnsi="Arial" w:cs="Arial"/>
          <w:sz w:val="24"/>
          <w:szCs w:val="24"/>
        </w:rPr>
      </w:pPr>
      <w:r w:rsidRPr="00DF732C">
        <w:rPr>
          <w:rFonts w:ascii="Arial" w:hAnsi="Arial" w:cs="Arial"/>
          <w:sz w:val="24"/>
          <w:szCs w:val="24"/>
        </w:rPr>
        <w:t>Investment sentiment is positive at a per share basis but lends some doubt to capital allocation. Diluted EPS growth from $3.34 in 2021 to $9.51 in 2025, with dividends restarted and climbing to $2.64 per share. This dividend payout ratio of 27.8% offered a dividend cover of 3.60 times in 2025. But shareholder distributions were much smaller due to share repurchases</w:t>
      </w:r>
      <w:r w:rsidR="00AB54E0">
        <w:rPr>
          <w:rFonts w:ascii="Arial" w:hAnsi="Arial" w:cs="Arial"/>
          <w:sz w:val="24"/>
          <w:szCs w:val="24"/>
        </w:rPr>
        <w:t xml:space="preserve"> </w:t>
      </w:r>
      <w:r w:rsidR="00AB54E0" w:rsidRPr="00DF732C">
        <w:rPr>
          <w:rFonts w:ascii="Arial" w:hAnsi="Arial" w:cs="Arial"/>
          <w:sz w:val="24"/>
          <w:szCs w:val="24"/>
        </w:rPr>
        <w:t>(Marriott International, 2026).</w:t>
      </w:r>
    </w:p>
    <w:p w14:paraId="77EC56DC" w14:textId="77777777" w:rsidR="00DF732C" w:rsidRPr="00DF732C" w:rsidRDefault="00DF732C" w:rsidP="00DF732C">
      <w:pPr>
        <w:spacing w:line="360" w:lineRule="auto"/>
        <w:jc w:val="both"/>
        <w:rPr>
          <w:rFonts w:ascii="Arial" w:hAnsi="Arial" w:cs="Arial"/>
          <w:sz w:val="24"/>
          <w:szCs w:val="24"/>
        </w:rPr>
      </w:pPr>
      <w:r w:rsidRPr="00DF732C">
        <w:rPr>
          <w:rFonts w:ascii="Arial" w:hAnsi="Arial" w:cs="Arial"/>
          <w:sz w:val="24"/>
          <w:szCs w:val="24"/>
        </w:rPr>
        <w:t xml:space="preserve">The company's free cash flow totaled $10.350 billion over the five-year period. The funding gap widened between 2022 and 2025, as dividends and share </w:t>
      </w:r>
      <w:proofErr w:type="gramStart"/>
      <w:r w:rsidRPr="00DF732C">
        <w:rPr>
          <w:rFonts w:ascii="Arial" w:hAnsi="Arial" w:cs="Arial"/>
          <w:sz w:val="24"/>
          <w:szCs w:val="24"/>
        </w:rPr>
        <w:t>repurchases</w:t>
      </w:r>
      <w:proofErr w:type="gramEnd"/>
      <w:r w:rsidRPr="00DF732C">
        <w:rPr>
          <w:rFonts w:ascii="Arial" w:hAnsi="Arial" w:cs="Arial"/>
          <w:sz w:val="24"/>
          <w:szCs w:val="24"/>
        </w:rPr>
        <w:t xml:space="preserve"> amounted to $15.889 billion while free cash flow was $9.356 billion. Free cash flow in 2025 was $2.608 billion, while distributions to shareholders were $4.018 billion, giving coverage of only 0.65 times. This trend is one of the reasons for rising debt and negative equity, though acquisitions and other investments also played a role (Marriott International, 2026). </w:t>
      </w:r>
    </w:p>
    <w:p w14:paraId="40DC3B31" w14:textId="40CD1EF9" w:rsidR="00860F3C" w:rsidRPr="00F837E2" w:rsidRDefault="00DF732C" w:rsidP="00DF732C">
      <w:pPr>
        <w:spacing w:line="360" w:lineRule="auto"/>
        <w:jc w:val="both"/>
        <w:rPr>
          <w:rFonts w:ascii="Arial" w:hAnsi="Arial" w:cs="Arial"/>
          <w:sz w:val="24"/>
          <w:szCs w:val="24"/>
        </w:rPr>
      </w:pPr>
      <w:r w:rsidRPr="00DF732C">
        <w:rPr>
          <w:rFonts w:ascii="Arial" w:hAnsi="Arial" w:cs="Arial"/>
          <w:sz w:val="24"/>
          <w:szCs w:val="24"/>
        </w:rPr>
        <w:t>However, cash flow quality improved. Operating cash flow rose from $1.177 billion in 2021 to $3.212 billion in 2025 and cash conversion improved from 1.07 to 1.23 times. Free-cash-flow margin advanced from 7.2% to 10.0%, although it peaked at 11.5% in 2023. Capital expenditure rose to $750 million in 2025, bringing capital-expenditure coverage above five times after dropping to 3.67 times in 2024. The cut in 2025 to $604 million helped restore free cash flow, but the continued investment in technology and growth suggests that current cash flow can't always be assumed to be fully distributable (Marriott International, 2026).</w:t>
      </w:r>
    </w:p>
    <w:p w14:paraId="533C02FF" w14:textId="77777777" w:rsidR="00393D01" w:rsidRPr="00F837E2" w:rsidRDefault="00393D01" w:rsidP="00B94E9D">
      <w:pPr>
        <w:pStyle w:val="Heading2"/>
        <w:numPr>
          <w:ilvl w:val="1"/>
          <w:numId w:val="1"/>
        </w:numPr>
        <w:spacing w:line="360" w:lineRule="auto"/>
        <w:rPr>
          <w:rFonts w:ascii="Arial" w:hAnsi="Arial" w:cs="Arial"/>
          <w:sz w:val="24"/>
          <w:szCs w:val="24"/>
        </w:rPr>
      </w:pPr>
      <w:bookmarkStart w:id="7" w:name="_Toc235687062"/>
      <w:r w:rsidRPr="00F837E2">
        <w:rPr>
          <w:rFonts w:ascii="Arial" w:hAnsi="Arial" w:cs="Arial"/>
          <w:sz w:val="24"/>
          <w:szCs w:val="24"/>
        </w:rPr>
        <w:t>Overall assessment</w:t>
      </w:r>
      <w:bookmarkEnd w:id="7"/>
    </w:p>
    <w:p w14:paraId="388EBACA" w14:textId="77777777" w:rsidR="00DF732C" w:rsidRPr="00DF732C" w:rsidRDefault="00DF732C" w:rsidP="00DF732C">
      <w:pPr>
        <w:spacing w:line="360" w:lineRule="auto"/>
        <w:jc w:val="both"/>
        <w:rPr>
          <w:rFonts w:ascii="Arial" w:hAnsi="Arial" w:cs="Arial"/>
          <w:sz w:val="24"/>
          <w:szCs w:val="24"/>
        </w:rPr>
      </w:pPr>
      <w:r w:rsidRPr="00DF732C">
        <w:rPr>
          <w:rFonts w:ascii="Arial" w:hAnsi="Arial" w:cs="Arial"/>
          <w:sz w:val="24"/>
          <w:szCs w:val="24"/>
        </w:rPr>
        <w:t xml:space="preserve">Marriot's key strengths are the international scale, the asset-light business model, improving asset </w:t>
      </w:r>
      <w:proofErr w:type="spellStart"/>
      <w:r w:rsidRPr="00DF732C">
        <w:rPr>
          <w:rFonts w:ascii="Arial" w:hAnsi="Arial" w:cs="Arial"/>
          <w:sz w:val="24"/>
          <w:szCs w:val="24"/>
        </w:rPr>
        <w:t>utilisation</w:t>
      </w:r>
      <w:proofErr w:type="spellEnd"/>
      <w:r w:rsidRPr="00DF732C">
        <w:rPr>
          <w:rFonts w:ascii="Arial" w:hAnsi="Arial" w:cs="Arial"/>
          <w:sz w:val="24"/>
          <w:szCs w:val="24"/>
        </w:rPr>
        <w:t>, positive free cash flow in each year, robust EPS recovery and still very good interest coverage. The main risks are slow revenue growth, ongoing liquidity shortfalls compared with the industry, increasing debt and interest costs, negative equity, and paying dividends significantly higher than internally generated free cash flow.</w:t>
      </w:r>
    </w:p>
    <w:p w14:paraId="60B9D5D8" w14:textId="7A719352" w:rsidR="00845408" w:rsidRPr="00F837E2" w:rsidRDefault="00DF732C" w:rsidP="00DF732C">
      <w:pPr>
        <w:spacing w:line="360" w:lineRule="auto"/>
        <w:jc w:val="both"/>
        <w:rPr>
          <w:rFonts w:ascii="Arial" w:hAnsi="Arial" w:cs="Arial"/>
          <w:sz w:val="24"/>
          <w:szCs w:val="24"/>
        </w:rPr>
      </w:pPr>
      <w:r w:rsidRPr="00DF732C">
        <w:rPr>
          <w:rFonts w:ascii="Arial" w:hAnsi="Arial" w:cs="Arial"/>
          <w:sz w:val="24"/>
          <w:szCs w:val="24"/>
        </w:rPr>
        <w:t xml:space="preserve">The CFO focus should therefore be on maintaining the scalable fee-based model with share repurchases as a liquidity and leverage measure. Total distributions should be </w:t>
      </w:r>
      <w:r w:rsidRPr="00DF732C">
        <w:rPr>
          <w:rFonts w:ascii="Arial" w:hAnsi="Arial" w:cs="Arial"/>
          <w:sz w:val="24"/>
          <w:szCs w:val="24"/>
        </w:rPr>
        <w:lastRenderedPageBreak/>
        <w:t>based on sustainable free cash flow, and excess cash should be used to pay down debt and provide a proper liquidity cushion. Only acquisitions, property investments or technology projects should be approved after NPV, IRR, payback and downside-sensitivity testing. It would preserve investment capacity while maintaining the vitality of employees, franchisees, hotel owners, and service quality without indiscriminate cost cutting. In summary, Marriott's business is strong and cash generative, but its capital-allocation discipline needs to be strengthened to sustain future growth financially and ethically</w:t>
      </w:r>
      <w:r w:rsidR="000372EC">
        <w:rPr>
          <w:rFonts w:ascii="Arial" w:hAnsi="Arial" w:cs="Arial"/>
          <w:sz w:val="24"/>
          <w:szCs w:val="24"/>
        </w:rPr>
        <w:t xml:space="preserve"> </w:t>
      </w:r>
      <w:r w:rsidR="000372EC" w:rsidRPr="00185C1F">
        <w:rPr>
          <w:rFonts w:ascii="Arial" w:hAnsi="Arial" w:cs="Arial"/>
        </w:rPr>
        <w:t>(Sarfraz et al., 2023</w:t>
      </w:r>
      <w:r w:rsidR="000372EC">
        <w:rPr>
          <w:rFonts w:ascii="Arial" w:hAnsi="Arial" w:cs="Arial"/>
        </w:rPr>
        <w:t>).</w:t>
      </w:r>
      <w:r w:rsidR="000372EC" w:rsidRPr="00185C1F">
        <w:rPr>
          <w:rFonts w:ascii="Arial" w:hAnsi="Arial" w:cs="Arial"/>
        </w:rPr>
        <w:t xml:space="preserve"> </w:t>
      </w:r>
    </w:p>
    <w:p w14:paraId="1109EA1E" w14:textId="25094F74" w:rsidR="00C464AE" w:rsidRPr="00F837E2" w:rsidRDefault="00C464AE" w:rsidP="00B94E9D">
      <w:pPr>
        <w:pStyle w:val="Heading1"/>
        <w:numPr>
          <w:ilvl w:val="0"/>
          <w:numId w:val="1"/>
        </w:numPr>
        <w:spacing w:line="360" w:lineRule="auto"/>
        <w:rPr>
          <w:rFonts w:ascii="Arial" w:hAnsi="Arial" w:cs="Arial"/>
          <w:sz w:val="24"/>
          <w:szCs w:val="24"/>
        </w:rPr>
      </w:pPr>
      <w:bookmarkStart w:id="8" w:name="_Toc235687063"/>
      <w:r w:rsidRPr="00F837E2">
        <w:rPr>
          <w:rFonts w:ascii="Arial" w:hAnsi="Arial" w:cs="Arial"/>
          <w:sz w:val="24"/>
          <w:szCs w:val="24"/>
        </w:rPr>
        <w:t>Working Capital Management Analysis</w:t>
      </w:r>
      <w:bookmarkEnd w:id="8"/>
    </w:p>
    <w:p w14:paraId="44674DED" w14:textId="77777777" w:rsidR="00C464AE" w:rsidRPr="00F837E2" w:rsidRDefault="00C464AE" w:rsidP="00B94E9D">
      <w:pPr>
        <w:pStyle w:val="Heading2"/>
        <w:numPr>
          <w:ilvl w:val="1"/>
          <w:numId w:val="1"/>
        </w:numPr>
        <w:spacing w:line="360" w:lineRule="auto"/>
        <w:rPr>
          <w:rFonts w:ascii="Arial" w:hAnsi="Arial" w:cs="Arial"/>
          <w:sz w:val="24"/>
          <w:szCs w:val="24"/>
        </w:rPr>
      </w:pPr>
      <w:bookmarkStart w:id="9" w:name="_Toc235687064"/>
      <w:r w:rsidRPr="00F837E2">
        <w:rPr>
          <w:rFonts w:ascii="Arial" w:hAnsi="Arial" w:cs="Arial"/>
          <w:sz w:val="24"/>
          <w:szCs w:val="24"/>
        </w:rPr>
        <w:t>Assessment of the Cash Operating Cycle</w:t>
      </w:r>
      <w:bookmarkEnd w:id="9"/>
    </w:p>
    <w:p w14:paraId="295BEBAF" w14:textId="08F0D073" w:rsidR="00DE2D3D" w:rsidRPr="00F837E2" w:rsidRDefault="00845408" w:rsidP="00B94E9D">
      <w:pPr>
        <w:spacing w:line="360" w:lineRule="auto"/>
        <w:jc w:val="both"/>
        <w:rPr>
          <w:rFonts w:ascii="Arial" w:hAnsi="Arial" w:cs="Arial"/>
          <w:sz w:val="24"/>
          <w:szCs w:val="24"/>
        </w:rPr>
      </w:pPr>
      <w:r w:rsidRPr="00845408">
        <w:rPr>
          <w:rFonts w:ascii="Arial" w:hAnsi="Arial" w:cs="Arial"/>
          <w:sz w:val="24"/>
          <w:szCs w:val="24"/>
        </w:rPr>
        <w:t>It is important to note that Marriott's working-capital position should be viewed in the context of its asset-light, fee-based business model. The company does not provide a material inventory balance or a conventional cost-of-sales figure, so the standard cash conversion cycle (CII) cannot be measured with certainty (CII = inventory days + receivable days - payable days). A modified operating-cycle assessment is consequently more appropriate.</w:t>
      </w:r>
    </w:p>
    <w:p w14:paraId="525CFCE8" w14:textId="1AF33463" w:rsidR="00C464AE" w:rsidRPr="00F837E2" w:rsidRDefault="00C464AE" w:rsidP="00B94E9D">
      <w:pPr>
        <w:spacing w:line="360" w:lineRule="auto"/>
        <w:jc w:val="center"/>
        <w:rPr>
          <w:rFonts w:ascii="Arial" w:hAnsi="Arial" w:cs="Arial"/>
          <w:sz w:val="24"/>
          <w:szCs w:val="24"/>
        </w:rPr>
      </w:pPr>
      <w:r w:rsidRPr="00F837E2">
        <w:rPr>
          <w:rFonts w:ascii="Arial" w:hAnsi="Arial" w:cs="Arial"/>
          <w:noProof/>
          <w:sz w:val="24"/>
          <w:szCs w:val="24"/>
        </w:rPr>
        <w:drawing>
          <wp:inline distT="0" distB="0" distL="0" distR="0" wp14:anchorId="337F2DB4" wp14:editId="1AF3EDB7">
            <wp:extent cx="3657600" cy="2614134"/>
            <wp:effectExtent l="0" t="0" r="0" b="0"/>
            <wp:docPr id="3839910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3991065" name=""/>
                    <pic:cNvPicPr/>
                  </pic:nvPicPr>
                  <pic:blipFill>
                    <a:blip r:embed="rId10"/>
                    <a:stretch>
                      <a:fillRect/>
                    </a:stretch>
                  </pic:blipFill>
                  <pic:spPr>
                    <a:xfrm>
                      <a:off x="0" y="0"/>
                      <a:ext cx="3657600" cy="2614134"/>
                    </a:xfrm>
                    <a:prstGeom prst="rect">
                      <a:avLst/>
                    </a:prstGeom>
                  </pic:spPr>
                </pic:pic>
              </a:graphicData>
            </a:graphic>
          </wp:inline>
        </w:drawing>
      </w:r>
    </w:p>
    <w:p w14:paraId="3F221586" w14:textId="73C42B14" w:rsidR="00E219C7" w:rsidRPr="00F837E2" w:rsidRDefault="00E219C7" w:rsidP="00B94E9D">
      <w:pPr>
        <w:spacing w:line="360" w:lineRule="auto"/>
        <w:jc w:val="center"/>
        <w:rPr>
          <w:rFonts w:ascii="Arial" w:hAnsi="Arial" w:cs="Arial"/>
          <w:b/>
          <w:bCs/>
          <w:sz w:val="24"/>
          <w:szCs w:val="24"/>
          <w:u w:val="single"/>
        </w:rPr>
      </w:pPr>
      <w:r w:rsidRPr="00F837E2">
        <w:rPr>
          <w:rFonts w:ascii="Arial" w:hAnsi="Arial" w:cs="Arial"/>
          <w:b/>
          <w:bCs/>
          <w:sz w:val="24"/>
          <w:szCs w:val="24"/>
          <w:u w:val="single"/>
        </w:rPr>
        <w:t>Source: (Statista 2025).</w:t>
      </w:r>
    </w:p>
    <w:p w14:paraId="2F7DA327" w14:textId="4FB54D51" w:rsidR="0007038F" w:rsidRPr="00F837E2" w:rsidRDefault="00BC5346" w:rsidP="00B94E9D">
      <w:pPr>
        <w:spacing w:line="360" w:lineRule="auto"/>
        <w:jc w:val="both"/>
        <w:rPr>
          <w:rFonts w:ascii="Arial" w:hAnsi="Arial" w:cs="Arial"/>
          <w:sz w:val="24"/>
          <w:szCs w:val="24"/>
        </w:rPr>
      </w:pPr>
      <w:r w:rsidRPr="00BC5346">
        <w:rPr>
          <w:rFonts w:ascii="Arial" w:hAnsi="Arial" w:cs="Arial"/>
          <w:sz w:val="24"/>
          <w:szCs w:val="24"/>
        </w:rPr>
        <w:t xml:space="preserve">The receivables turnover ratio at Marriott has risen from 7.39 in 2021 to 9.18 in 2025, bringing sales outstanding down from ~49.4 days to 39.8 days. In 2025, the operating profit of Marriott International, headquartered in the United States, was 4.14 billion </w:t>
      </w:r>
      <w:r w:rsidRPr="00BC5346">
        <w:rPr>
          <w:rFonts w:ascii="Arial" w:hAnsi="Arial" w:cs="Arial"/>
          <w:sz w:val="24"/>
          <w:szCs w:val="24"/>
        </w:rPr>
        <w:lastRenderedPageBreak/>
        <w:t xml:space="preserve">U.S. dollars. The fiscal year ends December 31 (Statista 2025). This means that there is a higher chance of the recovery of amounts, mainly from hotel owners, such as the reimbursable amounts. Average accounts payable plus total operating cost is used as an approximation of 2025 payable days, which came out to around 13 days, giving an adjusted cash operating cycle of around 27 days. This was manageable, but a </w:t>
      </w:r>
      <w:r w:rsidR="00DA07B8" w:rsidRPr="00BC5346">
        <w:rPr>
          <w:rFonts w:ascii="Arial" w:hAnsi="Arial" w:cs="Arial"/>
          <w:sz w:val="24"/>
          <w:szCs w:val="24"/>
        </w:rPr>
        <w:t>receivable</w:t>
      </w:r>
      <w:r w:rsidRPr="00BC5346">
        <w:rPr>
          <w:rFonts w:ascii="Arial" w:hAnsi="Arial" w:cs="Arial"/>
          <w:sz w:val="24"/>
          <w:szCs w:val="24"/>
        </w:rPr>
        <w:t xml:space="preserve"> of $2.909 billion remained significant. Furthermore, cash position was only $358 million versus current liabilities of $8.398 billion and a current ratio was around 0.4:1. Operating cash flow came in at $3.212 billion, which is good, but for Marriott, negative working capital suggests that it relies heavily on reliable income from collections, contributions via loyalty programs and continued access to financing (Marriott International, 2026).</w:t>
      </w:r>
    </w:p>
    <w:p w14:paraId="13F298F8" w14:textId="6ACFA0DE" w:rsidR="00C464AE" w:rsidRPr="00F837E2" w:rsidRDefault="00C464AE" w:rsidP="00B94E9D">
      <w:pPr>
        <w:pStyle w:val="Heading2"/>
        <w:numPr>
          <w:ilvl w:val="1"/>
          <w:numId w:val="1"/>
        </w:numPr>
        <w:spacing w:line="360" w:lineRule="auto"/>
        <w:rPr>
          <w:rFonts w:ascii="Arial" w:hAnsi="Arial" w:cs="Arial"/>
          <w:sz w:val="24"/>
          <w:szCs w:val="24"/>
        </w:rPr>
      </w:pPr>
      <w:bookmarkStart w:id="10" w:name="_Toc235687065"/>
      <w:r w:rsidRPr="00F837E2">
        <w:rPr>
          <w:rFonts w:ascii="Arial" w:hAnsi="Arial" w:cs="Arial"/>
          <w:sz w:val="24"/>
          <w:szCs w:val="24"/>
        </w:rPr>
        <w:t>WORKING CAPITAL Reforms to Improve Liquidity</w:t>
      </w:r>
      <w:bookmarkEnd w:id="10"/>
    </w:p>
    <w:p w14:paraId="7A70BA58" w14:textId="0A156C45" w:rsidR="00BC5346" w:rsidRPr="00F837E2" w:rsidRDefault="00211746" w:rsidP="00B94E9D">
      <w:pPr>
        <w:spacing w:line="360" w:lineRule="auto"/>
        <w:jc w:val="both"/>
        <w:rPr>
          <w:rFonts w:ascii="Arial" w:hAnsi="Arial" w:cs="Arial"/>
          <w:sz w:val="24"/>
          <w:szCs w:val="24"/>
        </w:rPr>
      </w:pPr>
      <w:r w:rsidRPr="00211746">
        <w:rPr>
          <w:rFonts w:ascii="Arial" w:hAnsi="Arial" w:cs="Arial"/>
          <w:sz w:val="24"/>
          <w:szCs w:val="24"/>
        </w:rPr>
        <w:t xml:space="preserve">The first reform should be a centralized program for receivables control, that includes owners, franchisees, credit cards partners and reimbursables spend. Marriott's automated invoice </w:t>
      </w:r>
      <w:r w:rsidR="00D963E5" w:rsidRPr="00211746">
        <w:rPr>
          <w:rFonts w:ascii="Arial" w:hAnsi="Arial" w:cs="Arial"/>
          <w:sz w:val="24"/>
          <w:szCs w:val="24"/>
        </w:rPr>
        <w:t>matching,</w:t>
      </w:r>
      <w:r w:rsidRPr="00211746">
        <w:rPr>
          <w:rFonts w:ascii="Arial" w:hAnsi="Arial" w:cs="Arial"/>
          <w:sz w:val="24"/>
          <w:szCs w:val="24"/>
        </w:rPr>
        <w:t xml:space="preserve"> along with real-time ageing dashboards, risk-based credit limits and escalation workflows for overdue balances that are not covered by agreed terms would be beneficial. For 2025 revenues, cutting days sales outstanding by five days would </w:t>
      </w:r>
      <w:r w:rsidR="00D963E5" w:rsidRPr="00211746">
        <w:rPr>
          <w:rFonts w:ascii="Arial" w:hAnsi="Arial" w:cs="Arial"/>
          <w:sz w:val="24"/>
          <w:szCs w:val="24"/>
        </w:rPr>
        <w:t>free up</w:t>
      </w:r>
      <w:r w:rsidRPr="00211746">
        <w:rPr>
          <w:rFonts w:ascii="Arial" w:hAnsi="Arial" w:cs="Arial"/>
          <w:sz w:val="24"/>
          <w:szCs w:val="24"/>
        </w:rPr>
        <w:t xml:space="preserve"> about $359 million. Second, Marriott should negotiate the terms of its suppliers, focusing on extending the terms for big, strategic suppliers, but doing so in an ethical manner, not simply passing the financial burden onto smaller businesses. Dynamic discounting should only be applied when the premium for early payment is greater than Marriott's funding cost for the short term. Thirdly, management should set minimum liquidity thresholds based on cash, operating cash-flow coverage and revolver availability. Also, the quarterly stress testing should incorporate scenarios for global travel disruptions, late owner payments, foreign exchange volatility and loyalty redemptions to make sure committed facilities always have enough capacity under realistic downside scenarios. </w:t>
      </w:r>
      <w:r w:rsidR="00D963E5" w:rsidRPr="00211746">
        <w:rPr>
          <w:rFonts w:ascii="Arial" w:hAnsi="Arial" w:cs="Arial"/>
          <w:sz w:val="24"/>
          <w:szCs w:val="24"/>
        </w:rPr>
        <w:t>Liquidity</w:t>
      </w:r>
      <w:r w:rsidRPr="00211746">
        <w:rPr>
          <w:rFonts w:ascii="Arial" w:hAnsi="Arial" w:cs="Arial"/>
          <w:sz w:val="24"/>
          <w:szCs w:val="24"/>
        </w:rPr>
        <w:t xml:space="preserve"> should be kept above these thresholds as share repurchases should be reduced when the liquidity drops. Finally, Marriott needs to provide better cash pooling by currency, better forecasts for the rolling thirteen weeks, and early reimbursement for hotel owners and ring-fencing of adequate cash to pay loyalty obligations. Efficient cash-cycle management generally improves liquidity, reduces external financing requirements and supports profitability (</w:t>
      </w:r>
      <w:proofErr w:type="spellStart"/>
      <w:r w:rsidRPr="00211746">
        <w:rPr>
          <w:rFonts w:ascii="Arial" w:hAnsi="Arial" w:cs="Arial"/>
          <w:sz w:val="24"/>
          <w:szCs w:val="24"/>
        </w:rPr>
        <w:t>Ebben</w:t>
      </w:r>
      <w:proofErr w:type="spellEnd"/>
      <w:r w:rsidRPr="00211746">
        <w:rPr>
          <w:rFonts w:ascii="Arial" w:hAnsi="Arial" w:cs="Arial"/>
          <w:sz w:val="24"/>
          <w:szCs w:val="24"/>
        </w:rPr>
        <w:t xml:space="preserve"> and Johnson, 2011).</w:t>
      </w:r>
    </w:p>
    <w:p w14:paraId="0EE791E7" w14:textId="77777777" w:rsidR="00C464AE" w:rsidRPr="00F837E2" w:rsidRDefault="00C464AE" w:rsidP="00B94E9D">
      <w:pPr>
        <w:pStyle w:val="Heading2"/>
        <w:numPr>
          <w:ilvl w:val="1"/>
          <w:numId w:val="1"/>
        </w:numPr>
        <w:spacing w:line="360" w:lineRule="auto"/>
        <w:rPr>
          <w:rFonts w:ascii="Arial" w:hAnsi="Arial" w:cs="Arial"/>
          <w:sz w:val="24"/>
          <w:szCs w:val="24"/>
        </w:rPr>
      </w:pPr>
      <w:bookmarkStart w:id="11" w:name="_Toc235687066"/>
      <w:r w:rsidRPr="00F837E2">
        <w:rPr>
          <w:rFonts w:ascii="Arial" w:hAnsi="Arial" w:cs="Arial"/>
          <w:sz w:val="24"/>
          <w:szCs w:val="24"/>
        </w:rPr>
        <w:lastRenderedPageBreak/>
        <w:t>Short-Term versus Long-Term Financing</w:t>
      </w:r>
      <w:bookmarkEnd w:id="11"/>
    </w:p>
    <w:p w14:paraId="002EC8E1" w14:textId="56881421" w:rsidR="00211746" w:rsidRPr="00211746" w:rsidRDefault="00211746" w:rsidP="00211746">
      <w:pPr>
        <w:spacing w:line="360" w:lineRule="auto"/>
        <w:jc w:val="both"/>
        <w:rPr>
          <w:rFonts w:ascii="Arial" w:hAnsi="Arial" w:cs="Arial"/>
          <w:sz w:val="24"/>
          <w:szCs w:val="24"/>
        </w:rPr>
      </w:pPr>
      <w:r w:rsidRPr="00211746">
        <w:rPr>
          <w:rFonts w:ascii="Arial" w:hAnsi="Arial" w:cs="Arial"/>
          <w:sz w:val="24"/>
          <w:szCs w:val="24"/>
        </w:rPr>
        <w:t>Short term financing is suitable for short-term or temporary working capital shortages. Marriott can use commercial paper, which generally has maturities of 45 days or less, and its $4.5 billion multicurrency revolving credit facility. These are flexible, easy to access and only charge interest on money drawn. Commercial paper, however, is negatively leveraged with refinancing risk, market-demand risk, and interest-rate risk. The revolver is scheduled to expire in December 2027 and includes leverage covenants. It should therefore not become a funding partner, but a liquidity backstop</w:t>
      </w:r>
      <w:r w:rsidR="00EF1C07">
        <w:rPr>
          <w:rFonts w:ascii="Arial" w:hAnsi="Arial" w:cs="Arial"/>
          <w:sz w:val="24"/>
          <w:szCs w:val="24"/>
        </w:rPr>
        <w:t xml:space="preserve"> </w:t>
      </w:r>
      <w:r w:rsidR="00EF1C07" w:rsidRPr="00185C1F">
        <w:rPr>
          <w:rFonts w:ascii="Arial" w:hAnsi="Arial" w:cs="Arial"/>
        </w:rPr>
        <w:t>(Sarfraz et al., 2023</w:t>
      </w:r>
      <w:r w:rsidR="00EF1C07">
        <w:rPr>
          <w:rFonts w:ascii="Arial" w:hAnsi="Arial" w:cs="Arial"/>
        </w:rPr>
        <w:t>).</w:t>
      </w:r>
      <w:r w:rsidR="00EF1C07" w:rsidRPr="00185C1F">
        <w:rPr>
          <w:rFonts w:ascii="Arial" w:hAnsi="Arial" w:cs="Arial"/>
        </w:rPr>
        <w:t xml:space="preserve"> </w:t>
      </w:r>
    </w:p>
    <w:p w14:paraId="137C456F" w14:textId="27AE140F" w:rsidR="00782DA9" w:rsidRPr="00F837E2" w:rsidRDefault="00211746" w:rsidP="00211746">
      <w:pPr>
        <w:spacing w:line="360" w:lineRule="auto"/>
        <w:jc w:val="both"/>
        <w:rPr>
          <w:rFonts w:ascii="Arial" w:hAnsi="Arial" w:cs="Arial"/>
          <w:sz w:val="24"/>
          <w:szCs w:val="24"/>
        </w:rPr>
      </w:pPr>
      <w:r w:rsidRPr="00211746">
        <w:rPr>
          <w:rFonts w:ascii="Arial" w:hAnsi="Arial" w:cs="Arial"/>
          <w:sz w:val="24"/>
          <w:szCs w:val="24"/>
        </w:rPr>
        <w:t xml:space="preserve">The permanent part of working capital, the technology transformation, acquisitions, and the support of hotel development, </w:t>
      </w:r>
      <w:r w:rsidR="00995CB0" w:rsidRPr="00211746">
        <w:rPr>
          <w:rFonts w:ascii="Arial" w:hAnsi="Arial" w:cs="Arial"/>
          <w:sz w:val="24"/>
          <w:szCs w:val="24"/>
        </w:rPr>
        <w:t>is</w:t>
      </w:r>
      <w:r w:rsidRPr="00211746">
        <w:rPr>
          <w:rFonts w:ascii="Arial" w:hAnsi="Arial" w:cs="Arial"/>
          <w:sz w:val="24"/>
          <w:szCs w:val="24"/>
        </w:rPr>
        <w:t xml:space="preserve"> more applicable to long term financing. Marriott’s long-term debt had a weighted-average interest rate of 4.5%, an average maturity of 5.4 years and a high fixed-rate proportion at year-end 2025. Long term notes provide less roll over uncertainty and more funding </w:t>
      </w:r>
      <w:proofErr w:type="gramStart"/>
      <w:r w:rsidRPr="00211746">
        <w:rPr>
          <w:rFonts w:ascii="Arial" w:hAnsi="Arial" w:cs="Arial"/>
          <w:sz w:val="24"/>
          <w:szCs w:val="24"/>
        </w:rPr>
        <w:t>stability,</w:t>
      </w:r>
      <w:proofErr w:type="gramEnd"/>
      <w:r w:rsidRPr="00211746">
        <w:rPr>
          <w:rFonts w:ascii="Arial" w:hAnsi="Arial" w:cs="Arial"/>
          <w:sz w:val="24"/>
          <w:szCs w:val="24"/>
        </w:rPr>
        <w:t xml:space="preserve"> however, they carry higher committed interest costs and leverage and the risk of financing short-lived assets with costly capital. Marriott should therefore implement "maturity matching": commercial paper for temporary mismatches, operating cash flow for regular needs, and fixed-rate debt scheduled in a staggered manner for permanent requirements. A balanced policy would not compromise liquidity and would not lead to excess refinancing dependence or unnecessary long-term borrowing (Marriott International, 2026).</w:t>
      </w:r>
    </w:p>
    <w:p w14:paraId="38A6608E" w14:textId="214B856B" w:rsidR="001476AF" w:rsidRPr="00F837E2" w:rsidRDefault="00B94E9D" w:rsidP="00B94E9D">
      <w:pPr>
        <w:pStyle w:val="Heading1"/>
        <w:spacing w:line="360" w:lineRule="auto"/>
        <w:rPr>
          <w:rFonts w:ascii="Arial" w:hAnsi="Arial" w:cs="Arial"/>
          <w:sz w:val="24"/>
          <w:szCs w:val="24"/>
        </w:rPr>
      </w:pPr>
      <w:bookmarkStart w:id="12" w:name="_Toc235687067"/>
      <w:r w:rsidRPr="00F837E2">
        <w:rPr>
          <w:rFonts w:ascii="Arial" w:hAnsi="Arial" w:cs="Arial"/>
          <w:sz w:val="24"/>
          <w:szCs w:val="24"/>
        </w:rPr>
        <w:t>Strategic Financial Restructuring Plan</w:t>
      </w:r>
      <w:bookmarkEnd w:id="12"/>
    </w:p>
    <w:p w14:paraId="2DEBABDD" w14:textId="77777777" w:rsidR="004127A5" w:rsidRPr="00F837E2" w:rsidRDefault="004127A5" w:rsidP="00B94E9D">
      <w:pPr>
        <w:pStyle w:val="Heading2"/>
        <w:numPr>
          <w:ilvl w:val="1"/>
          <w:numId w:val="1"/>
        </w:numPr>
        <w:spacing w:line="360" w:lineRule="auto"/>
        <w:rPr>
          <w:rFonts w:ascii="Arial" w:hAnsi="Arial" w:cs="Arial"/>
          <w:sz w:val="24"/>
          <w:szCs w:val="24"/>
        </w:rPr>
      </w:pPr>
      <w:bookmarkStart w:id="13" w:name="_Toc235687068"/>
      <w:r w:rsidRPr="00F837E2">
        <w:rPr>
          <w:rFonts w:ascii="Arial" w:hAnsi="Arial" w:cs="Arial"/>
          <w:sz w:val="24"/>
          <w:szCs w:val="24"/>
        </w:rPr>
        <w:t>Recommended Restructuring Options</w:t>
      </w:r>
      <w:bookmarkEnd w:id="13"/>
    </w:p>
    <w:p w14:paraId="5A5B9468" w14:textId="226584CA" w:rsidR="00423E10" w:rsidRPr="00423E10" w:rsidRDefault="00423E10" w:rsidP="00423E10">
      <w:pPr>
        <w:spacing w:line="360" w:lineRule="auto"/>
        <w:jc w:val="both"/>
        <w:rPr>
          <w:rFonts w:ascii="Arial" w:hAnsi="Arial" w:cs="Arial"/>
          <w:sz w:val="24"/>
          <w:szCs w:val="24"/>
        </w:rPr>
      </w:pPr>
      <w:r w:rsidRPr="00423E10">
        <w:rPr>
          <w:rFonts w:ascii="Arial" w:hAnsi="Arial" w:cs="Arial"/>
          <w:sz w:val="24"/>
          <w:szCs w:val="24"/>
        </w:rPr>
        <w:t xml:space="preserve">Marriott should implement a restructuring </w:t>
      </w:r>
      <w:proofErr w:type="spellStart"/>
      <w:r w:rsidRPr="00423E10">
        <w:rPr>
          <w:rFonts w:ascii="Arial" w:hAnsi="Arial" w:cs="Arial"/>
          <w:sz w:val="24"/>
          <w:szCs w:val="24"/>
        </w:rPr>
        <w:t>programme</w:t>
      </w:r>
      <w:proofErr w:type="spellEnd"/>
      <w:r w:rsidRPr="00423E10">
        <w:rPr>
          <w:rFonts w:ascii="Arial" w:hAnsi="Arial" w:cs="Arial"/>
          <w:sz w:val="24"/>
          <w:szCs w:val="24"/>
        </w:rPr>
        <w:t xml:space="preserve"> based on deleveraging, asset-light divestment and disciplined investment, not a transformational merger. Total debt at year-end 2025 was $16.204 billion, with $1.896 billion of debt due and interest payments of $3.3 billion due within a year. The initial step should thus be to suspend repurchases until the interest coverage ratio is above 6.0 times, and until the net debt to total assets ratio drops below 50%. The objective is to use free cash flow for scheduled maturities </w:t>
      </w:r>
      <w:r w:rsidR="003C5CE6" w:rsidRPr="00423E10">
        <w:rPr>
          <w:rFonts w:ascii="Arial" w:hAnsi="Arial" w:cs="Arial"/>
          <w:sz w:val="24"/>
          <w:szCs w:val="24"/>
        </w:rPr>
        <w:t>and</w:t>
      </w:r>
      <w:r w:rsidRPr="00423E10">
        <w:rPr>
          <w:rFonts w:ascii="Arial" w:hAnsi="Arial" w:cs="Arial"/>
          <w:sz w:val="24"/>
          <w:szCs w:val="24"/>
        </w:rPr>
        <w:t xml:space="preserve"> then for growth projects with high returns (Marriott International, 2026).</w:t>
      </w:r>
    </w:p>
    <w:p w14:paraId="0659320D" w14:textId="5E051AD4" w:rsidR="00423E10" w:rsidRPr="00423E10" w:rsidRDefault="00423E10" w:rsidP="00423E10">
      <w:pPr>
        <w:spacing w:line="360" w:lineRule="auto"/>
        <w:jc w:val="both"/>
        <w:rPr>
          <w:rFonts w:ascii="Arial" w:hAnsi="Arial" w:cs="Arial"/>
          <w:sz w:val="24"/>
          <w:szCs w:val="24"/>
        </w:rPr>
      </w:pPr>
      <w:r w:rsidRPr="00423E10">
        <w:rPr>
          <w:rFonts w:ascii="Arial" w:hAnsi="Arial" w:cs="Arial"/>
          <w:sz w:val="24"/>
          <w:szCs w:val="24"/>
        </w:rPr>
        <w:lastRenderedPageBreak/>
        <w:t xml:space="preserve">Second, Marriott should reassess its list of 51 properties that it owns or </w:t>
      </w:r>
      <w:r w:rsidR="001D3C9C" w:rsidRPr="00423E10">
        <w:rPr>
          <w:rFonts w:ascii="Arial" w:hAnsi="Arial" w:cs="Arial"/>
          <w:sz w:val="24"/>
          <w:szCs w:val="24"/>
        </w:rPr>
        <w:t>leases and</w:t>
      </w:r>
      <w:r w:rsidRPr="00423E10">
        <w:rPr>
          <w:rFonts w:ascii="Arial" w:hAnsi="Arial" w:cs="Arial"/>
          <w:sz w:val="24"/>
          <w:szCs w:val="24"/>
        </w:rPr>
        <w:t xml:space="preserve"> dispose of those that are mature and non-strategic, with valuations that make sense.</w:t>
      </w:r>
      <w:r w:rsidR="00427566">
        <w:rPr>
          <w:rFonts w:ascii="Arial" w:hAnsi="Arial" w:cs="Arial"/>
          <w:sz w:val="24"/>
          <w:szCs w:val="24"/>
        </w:rPr>
        <w:t xml:space="preserve"> </w:t>
      </w:r>
      <w:r w:rsidRPr="00423E10">
        <w:rPr>
          <w:rFonts w:ascii="Arial" w:hAnsi="Arial" w:cs="Arial"/>
          <w:sz w:val="24"/>
          <w:szCs w:val="24"/>
        </w:rPr>
        <w:t>Second, Marriott should re-evaluate its portfolio of 51 owned or leased properties and sell those properties that are no longer strategic, but mature and have an attractive valuation</w:t>
      </w:r>
      <w:r w:rsidR="00427566">
        <w:rPr>
          <w:rFonts w:ascii="Arial" w:hAnsi="Arial" w:cs="Arial"/>
          <w:sz w:val="24"/>
          <w:szCs w:val="24"/>
        </w:rPr>
        <w:t xml:space="preserve"> </w:t>
      </w:r>
      <w:r w:rsidR="00427566" w:rsidRPr="00185C1F">
        <w:rPr>
          <w:rFonts w:ascii="Arial" w:hAnsi="Arial" w:cs="Arial"/>
        </w:rPr>
        <w:t>(Sarfraz et al., 2023</w:t>
      </w:r>
      <w:r w:rsidR="00427566">
        <w:rPr>
          <w:rFonts w:ascii="Arial" w:hAnsi="Arial" w:cs="Arial"/>
        </w:rPr>
        <w:t>).</w:t>
      </w:r>
      <w:r w:rsidR="00427566" w:rsidRPr="00185C1F">
        <w:rPr>
          <w:rFonts w:ascii="Arial" w:hAnsi="Arial" w:cs="Arial"/>
        </w:rPr>
        <w:t xml:space="preserve"> </w:t>
      </w:r>
      <w:r w:rsidRPr="00423E10">
        <w:rPr>
          <w:rFonts w:ascii="Arial" w:hAnsi="Arial" w:cs="Arial"/>
          <w:sz w:val="24"/>
          <w:szCs w:val="24"/>
        </w:rPr>
        <w:t xml:space="preserve">This will free up capital, lower lease and operating risk and maintain a steady cash flow stream. The </w:t>
      </w:r>
      <w:proofErr w:type="spellStart"/>
      <w:r w:rsidRPr="00423E10">
        <w:rPr>
          <w:rFonts w:ascii="Arial" w:hAnsi="Arial" w:cs="Arial"/>
          <w:sz w:val="24"/>
          <w:szCs w:val="24"/>
        </w:rPr>
        <w:t>citizenM</w:t>
      </w:r>
      <w:proofErr w:type="spellEnd"/>
      <w:r w:rsidRPr="00423E10">
        <w:rPr>
          <w:rFonts w:ascii="Arial" w:hAnsi="Arial" w:cs="Arial"/>
          <w:sz w:val="24"/>
          <w:szCs w:val="24"/>
        </w:rPr>
        <w:t xml:space="preserve"> transaction is an acquisition model: Marriott paid $355 million for the brand and intellectual property, the seller retains ownership of the hotel, and </w:t>
      </w:r>
      <w:proofErr w:type="spellStart"/>
      <w:r w:rsidRPr="00423E10">
        <w:rPr>
          <w:rFonts w:ascii="Arial" w:hAnsi="Arial" w:cs="Arial"/>
          <w:sz w:val="24"/>
          <w:szCs w:val="24"/>
        </w:rPr>
        <w:t>stabilised</w:t>
      </w:r>
      <w:proofErr w:type="spellEnd"/>
      <w:r w:rsidRPr="00423E10">
        <w:rPr>
          <w:rFonts w:ascii="Arial" w:hAnsi="Arial" w:cs="Arial"/>
          <w:sz w:val="24"/>
          <w:szCs w:val="24"/>
        </w:rPr>
        <w:t xml:space="preserve"> annual fees are estimated at around $30 million, with performance-based earn-outs of up to $110 million (Marriott International, 2025).</w:t>
      </w:r>
    </w:p>
    <w:p w14:paraId="5018EBBB" w14:textId="4EB7FF3E" w:rsidR="00C91604" w:rsidRPr="00F837E2" w:rsidRDefault="00423E10" w:rsidP="00423E10">
      <w:pPr>
        <w:spacing w:line="360" w:lineRule="auto"/>
        <w:jc w:val="both"/>
        <w:rPr>
          <w:rFonts w:ascii="Arial" w:hAnsi="Arial" w:cs="Arial"/>
          <w:sz w:val="24"/>
          <w:szCs w:val="24"/>
        </w:rPr>
      </w:pPr>
      <w:r w:rsidRPr="00423E10">
        <w:rPr>
          <w:rFonts w:ascii="Arial" w:hAnsi="Arial" w:cs="Arial"/>
          <w:sz w:val="24"/>
          <w:szCs w:val="24"/>
        </w:rPr>
        <w:t>Third, Marriott should stagger near-term maturities and selectively retire high-cost debt when it's profitable. The goal is not to issue equity to the broad market, as Marriott is a profitable business and such a move would water down existing stockholders. Also, capital-intensive or riskier markets need to be expanded with project-level equity injections, joint ventures, and minority partnerships. Unless recognized synergies outweigh the acquisition premium, integration cost and regulatory risks, a major merger should be avoided</w:t>
      </w:r>
      <w:r w:rsidR="00B54F80">
        <w:rPr>
          <w:rFonts w:ascii="Arial" w:hAnsi="Arial" w:cs="Arial"/>
          <w:sz w:val="24"/>
          <w:szCs w:val="24"/>
        </w:rPr>
        <w:t xml:space="preserve"> </w:t>
      </w:r>
      <w:r w:rsidR="00B54F80" w:rsidRPr="00185C1F">
        <w:rPr>
          <w:rFonts w:ascii="Arial" w:hAnsi="Arial" w:cs="Arial"/>
        </w:rPr>
        <w:t>(</w:t>
      </w:r>
      <w:proofErr w:type="spellStart"/>
      <w:r w:rsidR="00B54F80" w:rsidRPr="00185C1F">
        <w:rPr>
          <w:rFonts w:ascii="Arial" w:hAnsi="Arial" w:cs="Arial"/>
        </w:rPr>
        <w:t>Eschenbrenner</w:t>
      </w:r>
      <w:proofErr w:type="spellEnd"/>
      <w:r w:rsidR="00B54F80" w:rsidRPr="00185C1F">
        <w:rPr>
          <w:rFonts w:ascii="Arial" w:hAnsi="Arial" w:cs="Arial"/>
        </w:rPr>
        <w:t xml:space="preserve"> et al., 2023</w:t>
      </w:r>
      <w:r w:rsidR="00B54F80">
        <w:rPr>
          <w:rFonts w:ascii="Arial" w:hAnsi="Arial" w:cs="Arial"/>
        </w:rPr>
        <w:t>).</w:t>
      </w:r>
      <w:r w:rsidR="00B54F80" w:rsidRPr="00185C1F">
        <w:rPr>
          <w:rFonts w:ascii="Arial" w:hAnsi="Arial" w:cs="Arial"/>
        </w:rPr>
        <w:t xml:space="preserve"> </w:t>
      </w:r>
    </w:p>
    <w:p w14:paraId="2B989A40" w14:textId="77777777" w:rsidR="004127A5" w:rsidRPr="00F837E2" w:rsidRDefault="004127A5" w:rsidP="00B94E9D">
      <w:pPr>
        <w:pStyle w:val="Heading2"/>
        <w:numPr>
          <w:ilvl w:val="1"/>
          <w:numId w:val="1"/>
        </w:numPr>
        <w:spacing w:line="360" w:lineRule="auto"/>
        <w:rPr>
          <w:rFonts w:ascii="Arial" w:hAnsi="Arial" w:cs="Arial"/>
          <w:sz w:val="24"/>
          <w:szCs w:val="24"/>
        </w:rPr>
      </w:pPr>
      <w:bookmarkStart w:id="14" w:name="_Toc235687069"/>
      <w:r w:rsidRPr="00F837E2">
        <w:rPr>
          <w:rFonts w:ascii="Arial" w:hAnsi="Arial" w:cs="Arial"/>
          <w:sz w:val="24"/>
          <w:szCs w:val="24"/>
        </w:rPr>
        <w:t>Effects on Shareholder Value, Debt and Flexibility</w:t>
      </w:r>
      <w:bookmarkEnd w:id="14"/>
    </w:p>
    <w:p w14:paraId="7EB932FC" w14:textId="77777777" w:rsidR="00CE2875" w:rsidRPr="00CE2875" w:rsidRDefault="00CE2875" w:rsidP="00CE2875">
      <w:pPr>
        <w:spacing w:line="360" w:lineRule="auto"/>
        <w:jc w:val="both"/>
        <w:rPr>
          <w:rFonts w:ascii="Arial" w:hAnsi="Arial" w:cs="Arial"/>
          <w:sz w:val="24"/>
          <w:szCs w:val="24"/>
        </w:rPr>
      </w:pPr>
      <w:r w:rsidRPr="00CE2875">
        <w:rPr>
          <w:rFonts w:ascii="Arial" w:hAnsi="Arial" w:cs="Arial"/>
          <w:sz w:val="24"/>
          <w:szCs w:val="24"/>
        </w:rPr>
        <w:t>The short-term impact on earnings per share will be reduced, but the long-term impact on shareholder value will be positive as the risk of refinancing is reduced, the cost of debt is lower and there is a reduced risk of financial distress. The long-term debt rate for Marriott was 4.5%, and its weighted average maturity was 5.4 years with 90% of fixed rates in 2025. A fixed-rate mix would ensure a smooth cash flow and a staggered mix would reduce over-dependence on refinancing in a given year (Marriott International, 2026).</w:t>
      </w:r>
    </w:p>
    <w:p w14:paraId="6109E172" w14:textId="3B7EFD88" w:rsidR="00423E10" w:rsidRPr="00A30966" w:rsidRDefault="00CE2875" w:rsidP="00CE2875">
      <w:pPr>
        <w:spacing w:line="360" w:lineRule="auto"/>
        <w:jc w:val="both"/>
        <w:rPr>
          <w:rFonts w:ascii="Arial" w:hAnsi="Arial" w:cs="Arial"/>
        </w:rPr>
      </w:pPr>
      <w:r w:rsidRPr="00CE2875">
        <w:rPr>
          <w:rFonts w:ascii="Arial" w:hAnsi="Arial" w:cs="Arial"/>
          <w:sz w:val="24"/>
          <w:szCs w:val="24"/>
        </w:rPr>
        <w:t xml:space="preserve">Also, a return on invested capital should improve after asset sales as the brand and operating fees would continue to generate income without requiring property capital to be invested in </w:t>
      </w:r>
      <w:proofErr w:type="spellStart"/>
      <w:r w:rsidRPr="00CE2875">
        <w:rPr>
          <w:rFonts w:ascii="Arial" w:hAnsi="Arial" w:cs="Arial"/>
          <w:sz w:val="24"/>
          <w:szCs w:val="24"/>
        </w:rPr>
        <w:t>Marriott.Additionally</w:t>
      </w:r>
      <w:proofErr w:type="spellEnd"/>
      <w:r w:rsidRPr="00CE2875">
        <w:rPr>
          <w:rFonts w:ascii="Arial" w:hAnsi="Arial" w:cs="Arial"/>
          <w:sz w:val="24"/>
          <w:szCs w:val="24"/>
        </w:rPr>
        <w:t xml:space="preserve">, a return on invested capital should improve following the sale of assets as the brand and operating fees would be generating income without requiring property capital to be invested in Marriott. However, over-divestment may compromise control of property standards and strip away valuable real-estate appreciation. Therefore, the sales decision ought to be weighed against </w:t>
      </w:r>
      <w:r w:rsidRPr="00CE2875">
        <w:rPr>
          <w:rFonts w:ascii="Arial" w:hAnsi="Arial" w:cs="Arial"/>
          <w:sz w:val="24"/>
          <w:szCs w:val="24"/>
        </w:rPr>
        <w:lastRenderedPageBreak/>
        <w:t>the lost hotel cash flow, tax, contract durability and brand importance. Project-level partnerships would preserve Marriott’s operational flexibility and enable faster international expansion, although shared ownership may slow decisions and divide returns. The restructuring should consequently use measurable limits for leverage, liquidity, repurchases and acquisition spending</w:t>
      </w:r>
      <w:r w:rsidR="00A30966">
        <w:rPr>
          <w:rFonts w:ascii="Arial" w:hAnsi="Arial" w:cs="Arial"/>
          <w:sz w:val="24"/>
          <w:szCs w:val="24"/>
        </w:rPr>
        <w:t xml:space="preserve"> </w:t>
      </w:r>
      <w:r w:rsidR="00A30966" w:rsidRPr="00185C1F">
        <w:rPr>
          <w:rFonts w:ascii="Arial" w:hAnsi="Arial" w:cs="Arial"/>
        </w:rPr>
        <w:t>(Sarfraz et al., 2023</w:t>
      </w:r>
      <w:r w:rsidR="00A30966">
        <w:rPr>
          <w:rFonts w:ascii="Arial" w:hAnsi="Arial" w:cs="Arial"/>
        </w:rPr>
        <w:t>).</w:t>
      </w:r>
      <w:r w:rsidR="00A30966" w:rsidRPr="00185C1F">
        <w:rPr>
          <w:rFonts w:ascii="Arial" w:hAnsi="Arial" w:cs="Arial"/>
        </w:rPr>
        <w:t xml:space="preserve"> </w:t>
      </w:r>
    </w:p>
    <w:p w14:paraId="0D5122EB" w14:textId="77777777" w:rsidR="004127A5" w:rsidRPr="00F837E2" w:rsidRDefault="004127A5" w:rsidP="00B94E9D">
      <w:pPr>
        <w:pStyle w:val="Heading2"/>
        <w:numPr>
          <w:ilvl w:val="1"/>
          <w:numId w:val="1"/>
        </w:numPr>
        <w:spacing w:line="360" w:lineRule="auto"/>
        <w:rPr>
          <w:rFonts w:ascii="Arial" w:hAnsi="Arial" w:cs="Arial"/>
          <w:sz w:val="24"/>
          <w:szCs w:val="24"/>
        </w:rPr>
      </w:pPr>
      <w:bookmarkStart w:id="15" w:name="_Toc235687070"/>
      <w:r w:rsidRPr="00F837E2">
        <w:rPr>
          <w:rFonts w:ascii="Arial" w:hAnsi="Arial" w:cs="Arial"/>
          <w:sz w:val="24"/>
          <w:szCs w:val="24"/>
        </w:rPr>
        <w:t>International and Ethical Considerations</w:t>
      </w:r>
      <w:bookmarkEnd w:id="15"/>
    </w:p>
    <w:p w14:paraId="0F0CF31B" w14:textId="2F2ECCC8" w:rsidR="00860AFE" w:rsidRPr="00860AFE" w:rsidRDefault="00860AFE" w:rsidP="00860AFE">
      <w:pPr>
        <w:spacing w:line="360" w:lineRule="auto"/>
        <w:jc w:val="both"/>
        <w:rPr>
          <w:rFonts w:ascii="Arial" w:hAnsi="Arial" w:cs="Arial"/>
          <w:sz w:val="24"/>
          <w:szCs w:val="24"/>
        </w:rPr>
      </w:pPr>
      <w:r w:rsidRPr="00860AFE">
        <w:rPr>
          <w:rFonts w:ascii="Arial" w:hAnsi="Arial" w:cs="Arial"/>
          <w:sz w:val="24"/>
          <w:szCs w:val="24"/>
        </w:rPr>
        <w:t xml:space="preserve">International restructuring should take account of taxes, currency transfers, inflation and ESG requirements. Marriott is subject to taxes in many tax jurisdictions and has a 23.4% effective tax rate and paid $1.070 billion of cash taxes in 2025. Restructuring should be done through transparent transfer pricing, substance-based legal entities and through full country-level compliance, not </w:t>
      </w:r>
      <w:r w:rsidR="007B569C" w:rsidRPr="00860AFE">
        <w:rPr>
          <w:rFonts w:ascii="Arial" w:hAnsi="Arial" w:cs="Arial"/>
          <w:sz w:val="24"/>
          <w:szCs w:val="24"/>
        </w:rPr>
        <w:t>aggressive</w:t>
      </w:r>
      <w:r w:rsidRPr="00860AFE">
        <w:rPr>
          <w:rFonts w:ascii="Arial" w:hAnsi="Arial" w:cs="Arial"/>
          <w:sz w:val="24"/>
          <w:szCs w:val="24"/>
        </w:rPr>
        <w:t xml:space="preserve"> shifting, as tax disputes may affect cash flow and corporate legitimacy (Marriott International, 2026).</w:t>
      </w:r>
    </w:p>
    <w:p w14:paraId="7ED715DE" w14:textId="77777777" w:rsidR="00860AFE" w:rsidRPr="00860AFE" w:rsidRDefault="00860AFE" w:rsidP="00860AFE">
      <w:pPr>
        <w:spacing w:line="360" w:lineRule="auto"/>
        <w:jc w:val="both"/>
        <w:rPr>
          <w:rFonts w:ascii="Arial" w:hAnsi="Arial" w:cs="Arial"/>
          <w:sz w:val="24"/>
          <w:szCs w:val="24"/>
        </w:rPr>
      </w:pPr>
      <w:r w:rsidRPr="00860AFE">
        <w:rPr>
          <w:rFonts w:ascii="Arial" w:hAnsi="Arial" w:cs="Arial"/>
          <w:sz w:val="24"/>
          <w:szCs w:val="24"/>
        </w:rPr>
        <w:t>Foreign revenues and costs also create transaction and translation risk for Marriott. Natural hedging should balance local-currency fee income with local costs and debt, with forwards and/or swaps provided to cover material net exposures. Central treasury should conduct counterparty limits and stress test currencies, interest rates and inflation. Supplier contracts should be linked to inflation and incorporate productivity and reopening clauses, and franchise support should ensure weaker owners are not burdened with unmanageable costs without shifting those to employees or smaller suppliers.</w:t>
      </w:r>
    </w:p>
    <w:p w14:paraId="46A1469F" w14:textId="1C6ED54B" w:rsidR="00C55ECE" w:rsidRPr="00F837E2" w:rsidRDefault="00860AFE" w:rsidP="00860AFE">
      <w:pPr>
        <w:spacing w:line="360" w:lineRule="auto"/>
        <w:jc w:val="both"/>
        <w:rPr>
          <w:rFonts w:ascii="Arial" w:hAnsi="Arial" w:cs="Arial"/>
          <w:sz w:val="24"/>
          <w:szCs w:val="24"/>
        </w:rPr>
      </w:pPr>
      <w:r w:rsidRPr="00860AFE">
        <w:rPr>
          <w:rFonts w:ascii="Arial" w:hAnsi="Arial" w:cs="Arial"/>
          <w:sz w:val="24"/>
          <w:szCs w:val="24"/>
        </w:rPr>
        <w:t>Last but not least, restructuring needs to align with Serve 360 – responsible operations, opportunity, communities and human rights. Fair consultation, redeployment support, responsible sourcing and climate-resilience assessment and binding brand standards should accompany divestitures and efficiency reforms. Only targets on emissions, water, waste and workforce outcomes which have been independently assured should be used in sustainability-linked financing to prevent greenwashing. This comprehensive strategy would enhance Marriott's financial standing without compromising service quality, trust among stakeholders, or the potential for worldwide expansion (Marriott International, 2025; 2026).</w:t>
      </w:r>
    </w:p>
    <w:p w14:paraId="33FF59F5" w14:textId="484ADAEB" w:rsidR="004127A5" w:rsidRPr="00F837E2" w:rsidRDefault="00B94E9D" w:rsidP="00B94E9D">
      <w:pPr>
        <w:pStyle w:val="Heading1"/>
        <w:spacing w:line="360" w:lineRule="auto"/>
        <w:rPr>
          <w:rFonts w:ascii="Arial" w:hAnsi="Arial" w:cs="Arial"/>
          <w:sz w:val="24"/>
          <w:szCs w:val="24"/>
        </w:rPr>
      </w:pPr>
      <w:bookmarkStart w:id="16" w:name="_Toc235687071"/>
      <w:r w:rsidRPr="00F837E2">
        <w:rPr>
          <w:rFonts w:ascii="Arial" w:hAnsi="Arial" w:cs="Arial"/>
          <w:sz w:val="24"/>
          <w:szCs w:val="24"/>
        </w:rPr>
        <w:lastRenderedPageBreak/>
        <w:t>Investment Appraisal and Capital Budgeting</w:t>
      </w:r>
      <w:bookmarkEnd w:id="16"/>
    </w:p>
    <w:p w14:paraId="05B4E17F" w14:textId="77777777" w:rsidR="00B75F10" w:rsidRPr="00F837E2" w:rsidRDefault="00B75F10" w:rsidP="00B75F10">
      <w:pPr>
        <w:pStyle w:val="Heading2"/>
        <w:numPr>
          <w:ilvl w:val="1"/>
          <w:numId w:val="1"/>
        </w:numPr>
        <w:spacing w:after="100" w:line="360" w:lineRule="auto"/>
        <w:rPr>
          <w:rFonts w:ascii="Arial" w:hAnsi="Arial" w:cs="Arial"/>
          <w:sz w:val="24"/>
          <w:szCs w:val="24"/>
        </w:rPr>
      </w:pPr>
      <w:bookmarkStart w:id="17" w:name="_Toc235687072"/>
      <w:r w:rsidRPr="00F837E2">
        <w:rPr>
          <w:rFonts w:ascii="Arial" w:hAnsi="Arial" w:cs="Arial"/>
          <w:sz w:val="24"/>
          <w:szCs w:val="24"/>
        </w:rPr>
        <w:t>Appraisal Framework and Assumptions</w:t>
      </w:r>
      <w:bookmarkEnd w:id="17"/>
    </w:p>
    <w:p w14:paraId="57C99C2E" w14:textId="508D8156" w:rsidR="00AC5FCB" w:rsidRPr="00F837E2" w:rsidRDefault="003446E9" w:rsidP="00B75F10">
      <w:pPr>
        <w:spacing w:line="360" w:lineRule="auto"/>
        <w:jc w:val="both"/>
        <w:rPr>
          <w:rFonts w:ascii="Arial" w:hAnsi="Arial" w:cs="Arial"/>
          <w:sz w:val="24"/>
          <w:szCs w:val="24"/>
        </w:rPr>
      </w:pPr>
      <w:r w:rsidRPr="003446E9">
        <w:rPr>
          <w:rFonts w:ascii="Arial" w:hAnsi="Arial" w:cs="Arial"/>
          <w:sz w:val="24"/>
          <w:szCs w:val="24"/>
        </w:rPr>
        <w:t xml:space="preserve">Three investment proposals of £50 million each are assessed in this report. There are five annual cash inflows in each project, no residual value, and an 8 per cent discount rate. The </w:t>
      </w:r>
      <w:r w:rsidR="00705532" w:rsidRPr="003446E9">
        <w:rPr>
          <w:rFonts w:ascii="Arial" w:hAnsi="Arial" w:cs="Arial"/>
          <w:sz w:val="24"/>
          <w:szCs w:val="24"/>
        </w:rPr>
        <w:t>straight-line</w:t>
      </w:r>
      <w:r w:rsidRPr="003446E9">
        <w:rPr>
          <w:rFonts w:ascii="Arial" w:hAnsi="Arial" w:cs="Arial"/>
          <w:sz w:val="24"/>
          <w:szCs w:val="24"/>
        </w:rPr>
        <w:t xml:space="preserve"> depreciation is then £10 million per </w:t>
      </w:r>
      <w:r w:rsidR="00DB7428" w:rsidRPr="003446E9">
        <w:rPr>
          <w:rFonts w:ascii="Arial" w:hAnsi="Arial" w:cs="Arial"/>
          <w:sz w:val="24"/>
          <w:szCs w:val="24"/>
        </w:rPr>
        <w:t>annum,</w:t>
      </w:r>
      <w:r w:rsidRPr="003446E9">
        <w:rPr>
          <w:rFonts w:ascii="Arial" w:hAnsi="Arial" w:cs="Arial"/>
          <w:sz w:val="24"/>
          <w:szCs w:val="24"/>
        </w:rPr>
        <w:t xml:space="preserve"> and the average investment is £25 million. The five methods used are the payback period, accounting rate of return, </w:t>
      </w:r>
      <w:r w:rsidR="009C6082" w:rsidRPr="003446E9">
        <w:rPr>
          <w:rFonts w:ascii="Arial" w:hAnsi="Arial" w:cs="Arial"/>
          <w:sz w:val="24"/>
          <w:szCs w:val="24"/>
        </w:rPr>
        <w:t>present net</w:t>
      </w:r>
      <w:r w:rsidRPr="003446E9">
        <w:rPr>
          <w:rFonts w:ascii="Arial" w:hAnsi="Arial" w:cs="Arial"/>
          <w:sz w:val="24"/>
          <w:szCs w:val="24"/>
        </w:rPr>
        <w:t xml:space="preserve"> value, profitability index and the internal rate of return. The Payback is the period of time required to make up the outlay. Accounting rate of return is a ratio of average accounting profit to average investment. But both approaches are incomplete when it comes to the timing and risk of cash flow. The final decision should be made using NPV because it discounts all the cash flows relevant to the decision and directly measures the increase in shareholder wealth. The difference between IRR and PV is that the first shows the project return as a percentage, whereas the latter shows the present value generated per pound invested, which is used for capital rationing (Arnold and Lewis, 2019; Brealey et al., 2023). Detailed calculations are provided in Appendices G through I and the spreadsheets attached.</w:t>
      </w:r>
    </w:p>
    <w:p w14:paraId="0DC02588" w14:textId="77777777" w:rsidR="00B75F10" w:rsidRPr="00F837E2" w:rsidRDefault="00B75F10" w:rsidP="00B75F10">
      <w:pPr>
        <w:pStyle w:val="Heading2"/>
        <w:numPr>
          <w:ilvl w:val="1"/>
          <w:numId w:val="1"/>
        </w:numPr>
        <w:spacing w:after="100" w:line="360" w:lineRule="auto"/>
        <w:rPr>
          <w:rFonts w:ascii="Arial" w:hAnsi="Arial" w:cs="Arial"/>
          <w:sz w:val="24"/>
          <w:szCs w:val="24"/>
        </w:rPr>
      </w:pPr>
      <w:bookmarkStart w:id="18" w:name="_Toc235687073"/>
      <w:r w:rsidRPr="00F837E2">
        <w:rPr>
          <w:rFonts w:ascii="Arial" w:hAnsi="Arial" w:cs="Arial"/>
          <w:sz w:val="24"/>
          <w:szCs w:val="24"/>
        </w:rPr>
        <w:t xml:space="preserve">Project </w:t>
      </w:r>
      <w:proofErr w:type="gramStart"/>
      <w:r w:rsidRPr="00F837E2">
        <w:rPr>
          <w:rFonts w:ascii="Arial" w:hAnsi="Arial" w:cs="Arial"/>
          <w:sz w:val="24"/>
          <w:szCs w:val="24"/>
        </w:rPr>
        <w:t>A</w:t>
      </w:r>
      <w:proofErr w:type="gramEnd"/>
      <w:r w:rsidRPr="00F837E2">
        <w:rPr>
          <w:rFonts w:ascii="Arial" w:hAnsi="Arial" w:cs="Arial"/>
          <w:sz w:val="24"/>
          <w:szCs w:val="24"/>
        </w:rPr>
        <w:t xml:space="preserve"> Assessment</w:t>
      </w:r>
      <w:bookmarkEnd w:id="18"/>
    </w:p>
    <w:p w14:paraId="067BD5F3" w14:textId="156AA5DC" w:rsidR="00A623DB" w:rsidRPr="00A623DB" w:rsidRDefault="00A623DB" w:rsidP="00A623DB">
      <w:pPr>
        <w:spacing w:line="360" w:lineRule="auto"/>
        <w:jc w:val="both"/>
        <w:rPr>
          <w:rFonts w:ascii="Arial" w:hAnsi="Arial" w:cs="Arial"/>
          <w:sz w:val="24"/>
          <w:szCs w:val="24"/>
        </w:rPr>
      </w:pPr>
      <w:r w:rsidRPr="00A623DB">
        <w:rPr>
          <w:rFonts w:ascii="Arial" w:hAnsi="Arial" w:cs="Arial"/>
          <w:sz w:val="24"/>
          <w:szCs w:val="24"/>
        </w:rPr>
        <w:t xml:space="preserve">Project A has cash inflows of £10m, £12m, £14m, £10m and £8m, giving an </w:t>
      </w:r>
      <w:r w:rsidR="00DB4F17" w:rsidRPr="00A623DB">
        <w:rPr>
          <w:rFonts w:ascii="Arial" w:hAnsi="Arial" w:cs="Arial"/>
          <w:sz w:val="24"/>
          <w:szCs w:val="24"/>
        </w:rPr>
        <w:t>undiscounted total cash inflow</w:t>
      </w:r>
      <w:r w:rsidRPr="00A623DB">
        <w:rPr>
          <w:rFonts w:ascii="Arial" w:hAnsi="Arial" w:cs="Arial"/>
          <w:sz w:val="24"/>
          <w:szCs w:val="24"/>
        </w:rPr>
        <w:t xml:space="preserve"> of £54m. After Year 4, the cumulative balance is £4 million and after Year 5 is £4 million. Thus, the payback period is 4.50 years. The accounting profit from the business in each year is £2 million, £2 million, £2 million, zero, and negative £2 million, respectively. The average profit is £0.8m and the ARR is 3.20 per cent</w:t>
      </w:r>
      <w:r w:rsidR="00743C83">
        <w:rPr>
          <w:rFonts w:ascii="Arial" w:hAnsi="Arial" w:cs="Arial"/>
          <w:sz w:val="24"/>
          <w:szCs w:val="24"/>
        </w:rPr>
        <w:t xml:space="preserve"> </w:t>
      </w:r>
      <w:r w:rsidR="00743C83" w:rsidRPr="00185C1F">
        <w:rPr>
          <w:rFonts w:ascii="Arial" w:hAnsi="Arial" w:cs="Arial"/>
        </w:rPr>
        <w:t>(How and Lee, 2020</w:t>
      </w:r>
      <w:r w:rsidR="00743C83">
        <w:rPr>
          <w:rFonts w:ascii="Arial" w:hAnsi="Arial" w:cs="Arial"/>
        </w:rPr>
        <w:t>).</w:t>
      </w:r>
      <w:r w:rsidR="00743C83" w:rsidRPr="00185C1F">
        <w:rPr>
          <w:rFonts w:ascii="Arial" w:hAnsi="Arial" w:cs="Arial"/>
        </w:rPr>
        <w:t xml:space="preserve"> </w:t>
      </w:r>
    </w:p>
    <w:p w14:paraId="1E5DA5C2" w14:textId="5F07166A" w:rsidR="001C7F24" w:rsidRPr="00F837E2" w:rsidRDefault="00A623DB" w:rsidP="00A623DB">
      <w:pPr>
        <w:spacing w:line="360" w:lineRule="auto"/>
        <w:jc w:val="both"/>
        <w:rPr>
          <w:rFonts w:ascii="Arial" w:hAnsi="Arial" w:cs="Arial"/>
          <w:sz w:val="24"/>
          <w:szCs w:val="24"/>
        </w:rPr>
      </w:pPr>
      <w:r w:rsidRPr="00A623DB">
        <w:rPr>
          <w:rFonts w:ascii="Arial" w:hAnsi="Arial" w:cs="Arial"/>
          <w:sz w:val="24"/>
          <w:szCs w:val="24"/>
        </w:rPr>
        <w:t xml:space="preserve">The present value of the inflows of Project A is £43.456 million at 8%. After accounting for the £50 million investment, this gives a negative NPV of -£6.544m and a PI of 0.869. The IRR is 2.72 per </w:t>
      </w:r>
      <w:r w:rsidR="006408D4" w:rsidRPr="00A623DB">
        <w:rPr>
          <w:rFonts w:ascii="Arial" w:hAnsi="Arial" w:cs="Arial"/>
          <w:sz w:val="24"/>
          <w:szCs w:val="24"/>
        </w:rPr>
        <w:t>cent,</w:t>
      </w:r>
      <w:r w:rsidRPr="00A623DB">
        <w:rPr>
          <w:rFonts w:ascii="Arial" w:hAnsi="Arial" w:cs="Arial"/>
          <w:sz w:val="24"/>
          <w:szCs w:val="24"/>
        </w:rPr>
        <w:t xml:space="preserve"> which is less than the required return. The project is cost effective, but it does not pass any of the </w:t>
      </w:r>
      <w:r w:rsidR="000076B2" w:rsidRPr="00A623DB">
        <w:rPr>
          <w:rFonts w:ascii="Arial" w:hAnsi="Arial" w:cs="Arial"/>
          <w:sz w:val="24"/>
          <w:szCs w:val="24"/>
        </w:rPr>
        <w:t>value-based</w:t>
      </w:r>
      <w:r w:rsidRPr="00A623DB">
        <w:rPr>
          <w:rFonts w:ascii="Arial" w:hAnsi="Arial" w:cs="Arial"/>
          <w:sz w:val="24"/>
          <w:szCs w:val="24"/>
        </w:rPr>
        <w:t xml:space="preserve"> tests. With cash </w:t>
      </w:r>
      <w:r w:rsidR="000E4A99" w:rsidRPr="00A623DB">
        <w:rPr>
          <w:rFonts w:ascii="Arial" w:hAnsi="Arial" w:cs="Arial"/>
          <w:sz w:val="24"/>
          <w:szCs w:val="24"/>
        </w:rPr>
        <w:t>flow</w:t>
      </w:r>
      <w:r w:rsidRPr="00A623DB">
        <w:rPr>
          <w:rFonts w:ascii="Arial" w:hAnsi="Arial" w:cs="Arial"/>
          <w:sz w:val="24"/>
          <w:szCs w:val="24"/>
        </w:rPr>
        <w:t xml:space="preserve"> decreasing after Year 3, exposure worsens if predictions are not met. Project A should be rejected because accepting will result in a loss of shareholder value and divert money that could be used for liquidity, debt repayment or better investments</w:t>
      </w:r>
      <w:r w:rsidR="00EF2E4C">
        <w:rPr>
          <w:rFonts w:ascii="Arial" w:hAnsi="Arial" w:cs="Arial"/>
          <w:sz w:val="24"/>
          <w:szCs w:val="24"/>
        </w:rPr>
        <w:t xml:space="preserve"> </w:t>
      </w:r>
      <w:r w:rsidR="00EF2E4C" w:rsidRPr="00185C1F">
        <w:rPr>
          <w:rFonts w:ascii="Arial" w:hAnsi="Arial" w:cs="Arial"/>
        </w:rPr>
        <w:t xml:space="preserve">(Whelan, </w:t>
      </w:r>
      <w:proofErr w:type="spellStart"/>
      <w:r w:rsidR="00EF2E4C" w:rsidRPr="00185C1F">
        <w:rPr>
          <w:rFonts w:ascii="Arial" w:hAnsi="Arial" w:cs="Arial"/>
        </w:rPr>
        <w:t>Atz</w:t>
      </w:r>
      <w:proofErr w:type="spellEnd"/>
      <w:r w:rsidR="00EF2E4C" w:rsidRPr="00185C1F">
        <w:rPr>
          <w:rFonts w:ascii="Arial" w:hAnsi="Arial" w:cs="Arial"/>
        </w:rPr>
        <w:t xml:space="preserve"> and Clark, 2021</w:t>
      </w:r>
      <w:r w:rsidR="00EF2E4C">
        <w:rPr>
          <w:rFonts w:ascii="Arial" w:hAnsi="Arial" w:cs="Arial"/>
        </w:rPr>
        <w:t>).</w:t>
      </w:r>
      <w:r w:rsidR="00EF2E4C" w:rsidRPr="00185C1F">
        <w:rPr>
          <w:rFonts w:ascii="Arial" w:hAnsi="Arial" w:cs="Arial"/>
        </w:rPr>
        <w:t xml:space="preserve"> </w:t>
      </w:r>
    </w:p>
    <w:p w14:paraId="64617F77" w14:textId="77777777" w:rsidR="00B75F10" w:rsidRPr="00F837E2" w:rsidRDefault="00B75F10" w:rsidP="00B75F10">
      <w:pPr>
        <w:pStyle w:val="Heading2"/>
        <w:numPr>
          <w:ilvl w:val="1"/>
          <w:numId w:val="1"/>
        </w:numPr>
        <w:spacing w:after="100" w:line="360" w:lineRule="auto"/>
        <w:rPr>
          <w:rFonts w:ascii="Arial" w:hAnsi="Arial" w:cs="Arial"/>
          <w:sz w:val="24"/>
          <w:szCs w:val="24"/>
        </w:rPr>
      </w:pPr>
      <w:bookmarkStart w:id="19" w:name="_Toc235687074"/>
      <w:r w:rsidRPr="00F837E2">
        <w:rPr>
          <w:rFonts w:ascii="Arial" w:hAnsi="Arial" w:cs="Arial"/>
          <w:sz w:val="24"/>
          <w:szCs w:val="24"/>
        </w:rPr>
        <w:lastRenderedPageBreak/>
        <w:t>Project B Assessment</w:t>
      </w:r>
      <w:bookmarkEnd w:id="19"/>
    </w:p>
    <w:p w14:paraId="05FD1579" w14:textId="3115C5BE" w:rsidR="00E97DE7" w:rsidRPr="00E97DE7" w:rsidRDefault="00E97DE7" w:rsidP="00E97DE7">
      <w:pPr>
        <w:spacing w:line="360" w:lineRule="auto"/>
        <w:jc w:val="both"/>
        <w:rPr>
          <w:rFonts w:ascii="Arial" w:hAnsi="Arial" w:cs="Arial"/>
          <w:sz w:val="24"/>
          <w:szCs w:val="24"/>
        </w:rPr>
      </w:pPr>
      <w:r w:rsidRPr="00E97DE7">
        <w:rPr>
          <w:rFonts w:ascii="Arial" w:hAnsi="Arial" w:cs="Arial"/>
          <w:sz w:val="24"/>
          <w:szCs w:val="24"/>
        </w:rPr>
        <w:t xml:space="preserve">Project B provides £11 million of equal annual receipts over five years, with a </w:t>
      </w:r>
      <w:r w:rsidR="00AB5220" w:rsidRPr="00E97DE7">
        <w:rPr>
          <w:rFonts w:ascii="Arial" w:hAnsi="Arial" w:cs="Arial"/>
          <w:sz w:val="24"/>
          <w:szCs w:val="24"/>
        </w:rPr>
        <w:t>total receipt</w:t>
      </w:r>
      <w:r w:rsidRPr="00E97DE7">
        <w:rPr>
          <w:rFonts w:ascii="Arial" w:hAnsi="Arial" w:cs="Arial"/>
          <w:sz w:val="24"/>
          <w:szCs w:val="24"/>
        </w:rPr>
        <w:t xml:space="preserve"> of £55 million without discounting. This is a more stable pattern that can be more easily predicted. </w:t>
      </w:r>
      <w:r w:rsidR="00CE70FE" w:rsidRPr="00E97DE7">
        <w:rPr>
          <w:rFonts w:ascii="Arial" w:hAnsi="Arial" w:cs="Arial"/>
          <w:sz w:val="24"/>
          <w:szCs w:val="24"/>
        </w:rPr>
        <w:t>However,</w:t>
      </w:r>
      <w:r w:rsidRPr="00E97DE7">
        <w:rPr>
          <w:rFonts w:ascii="Arial" w:hAnsi="Arial" w:cs="Arial"/>
          <w:sz w:val="24"/>
          <w:szCs w:val="24"/>
        </w:rPr>
        <w:t xml:space="preserve"> this total is still negative £6 million after Year 4, and the investment is paid back 0.545 times by Year 5. The payback period is about 4.55 years, which is the longest of any of the alternatives. The accounting profit for one year is £1 million (after depreciation) therefore the mean accounting profit is £1 </w:t>
      </w:r>
      <w:r w:rsidR="000C7D62" w:rsidRPr="00E97DE7">
        <w:rPr>
          <w:rFonts w:ascii="Arial" w:hAnsi="Arial" w:cs="Arial"/>
          <w:sz w:val="24"/>
          <w:szCs w:val="24"/>
        </w:rPr>
        <w:t>million,</w:t>
      </w:r>
      <w:r w:rsidRPr="00E97DE7">
        <w:rPr>
          <w:rFonts w:ascii="Arial" w:hAnsi="Arial" w:cs="Arial"/>
          <w:sz w:val="24"/>
          <w:szCs w:val="24"/>
        </w:rPr>
        <w:t xml:space="preserve"> and ARR is 4.00 per cent</w:t>
      </w:r>
      <w:r w:rsidR="00EF2E4C">
        <w:rPr>
          <w:rFonts w:ascii="Arial" w:hAnsi="Arial" w:cs="Arial"/>
          <w:sz w:val="24"/>
          <w:szCs w:val="24"/>
        </w:rPr>
        <w:t xml:space="preserve"> </w:t>
      </w:r>
      <w:r w:rsidR="00EF2E4C" w:rsidRPr="00185C1F">
        <w:rPr>
          <w:rFonts w:ascii="Arial" w:hAnsi="Arial" w:cs="Arial"/>
        </w:rPr>
        <w:t>(Sarfraz et al., 2023</w:t>
      </w:r>
      <w:r w:rsidR="00EF2E4C">
        <w:rPr>
          <w:rFonts w:ascii="Arial" w:hAnsi="Arial" w:cs="Arial"/>
        </w:rPr>
        <w:t>).</w:t>
      </w:r>
      <w:r w:rsidR="00EF2E4C" w:rsidRPr="00185C1F">
        <w:rPr>
          <w:rFonts w:ascii="Arial" w:hAnsi="Arial" w:cs="Arial"/>
        </w:rPr>
        <w:t xml:space="preserve"> </w:t>
      </w:r>
    </w:p>
    <w:p w14:paraId="4E10898E" w14:textId="5F948912" w:rsidR="00A623DB" w:rsidRPr="00F837E2" w:rsidRDefault="00E97DE7" w:rsidP="00E97DE7">
      <w:pPr>
        <w:spacing w:line="360" w:lineRule="auto"/>
        <w:jc w:val="both"/>
        <w:rPr>
          <w:rFonts w:ascii="Arial" w:hAnsi="Arial" w:cs="Arial"/>
          <w:sz w:val="24"/>
          <w:szCs w:val="24"/>
        </w:rPr>
      </w:pPr>
      <w:r w:rsidRPr="00E97DE7">
        <w:rPr>
          <w:rFonts w:ascii="Arial" w:hAnsi="Arial" w:cs="Arial"/>
          <w:sz w:val="24"/>
          <w:szCs w:val="24"/>
        </w:rPr>
        <w:t>Discounted inflows are valued at £43.920 million, with an NPV of – £6.080 million and a PI of 0.878. It has an IRR of 3.26 per cent, which is far from the planned 8 per cent. Project B is slightly better than Project A with respect to NPV, PI, ARR and IRR; however, there is no acceptable project that is superior. No amount of predictability can overcome inadequate return. The project should then be rejected unless its price is renegotiated, cash inflows are increased in significant amounts, or cash inflows can be estimated and adjusted in updated forecasts to reflect strategic value</w:t>
      </w:r>
      <w:r w:rsidR="003465E9">
        <w:rPr>
          <w:rFonts w:ascii="Arial" w:hAnsi="Arial" w:cs="Arial"/>
          <w:sz w:val="24"/>
          <w:szCs w:val="24"/>
        </w:rPr>
        <w:t xml:space="preserve"> </w:t>
      </w:r>
      <w:r w:rsidR="003465E9" w:rsidRPr="00185C1F">
        <w:rPr>
          <w:rFonts w:ascii="Arial" w:hAnsi="Arial" w:cs="Arial"/>
        </w:rPr>
        <w:t>(Sarfraz et al., 2023</w:t>
      </w:r>
      <w:r w:rsidR="003465E9">
        <w:rPr>
          <w:rFonts w:ascii="Arial" w:hAnsi="Arial" w:cs="Arial"/>
        </w:rPr>
        <w:t>).</w:t>
      </w:r>
      <w:r w:rsidR="003465E9" w:rsidRPr="00185C1F">
        <w:rPr>
          <w:rFonts w:ascii="Arial" w:hAnsi="Arial" w:cs="Arial"/>
        </w:rPr>
        <w:t xml:space="preserve"> </w:t>
      </w:r>
    </w:p>
    <w:p w14:paraId="0AADC4AB" w14:textId="77777777" w:rsidR="00B75F10" w:rsidRPr="00F837E2" w:rsidRDefault="00B75F10" w:rsidP="00B75F10">
      <w:pPr>
        <w:pStyle w:val="Heading2"/>
        <w:numPr>
          <w:ilvl w:val="1"/>
          <w:numId w:val="1"/>
        </w:numPr>
        <w:spacing w:after="100" w:line="360" w:lineRule="auto"/>
        <w:rPr>
          <w:rFonts w:ascii="Arial" w:hAnsi="Arial" w:cs="Arial"/>
          <w:sz w:val="24"/>
          <w:szCs w:val="24"/>
        </w:rPr>
      </w:pPr>
      <w:bookmarkStart w:id="20" w:name="_Toc235687075"/>
      <w:r w:rsidRPr="00F837E2">
        <w:rPr>
          <w:rFonts w:ascii="Arial" w:hAnsi="Arial" w:cs="Arial"/>
          <w:sz w:val="24"/>
          <w:szCs w:val="24"/>
        </w:rPr>
        <w:t>Project C Assessment and Project Selection</w:t>
      </w:r>
      <w:bookmarkEnd w:id="20"/>
    </w:p>
    <w:p w14:paraId="55441624" w14:textId="77777777" w:rsidR="00F145B6" w:rsidRPr="00F145B6" w:rsidRDefault="00F145B6" w:rsidP="00F145B6">
      <w:pPr>
        <w:spacing w:line="360" w:lineRule="auto"/>
        <w:jc w:val="both"/>
        <w:rPr>
          <w:rFonts w:ascii="Arial" w:hAnsi="Arial" w:cs="Arial"/>
          <w:sz w:val="24"/>
          <w:szCs w:val="24"/>
        </w:rPr>
      </w:pPr>
      <w:r w:rsidRPr="00F145B6">
        <w:rPr>
          <w:rFonts w:ascii="Arial" w:hAnsi="Arial" w:cs="Arial"/>
          <w:sz w:val="24"/>
          <w:szCs w:val="24"/>
        </w:rPr>
        <w:t>Project C generates inflows of £5 million, £10 million, £20 million, £25 million and £5 million. Total undiscounted receipts are £65 million, but value is skewed towards Years 3 and 4. Payback is calculated as 3.60 years, as the cumulative deficit is £15 million after Year 3 and Year 4 provides £25 million. Accounting profits are negatively £5 million, zero, £10 million, £15 million, and negative £5 million. The average annual profit is £3 million, and ARR is 12.00 per cent.</w:t>
      </w:r>
    </w:p>
    <w:p w14:paraId="597E9641" w14:textId="4924D0A6" w:rsidR="00D116C0" w:rsidRPr="00F837E2" w:rsidRDefault="00F145B6" w:rsidP="00F145B6">
      <w:pPr>
        <w:spacing w:line="360" w:lineRule="auto"/>
        <w:jc w:val="both"/>
        <w:rPr>
          <w:rFonts w:ascii="Arial" w:hAnsi="Arial" w:cs="Arial"/>
          <w:sz w:val="24"/>
          <w:szCs w:val="24"/>
        </w:rPr>
      </w:pPr>
      <w:r w:rsidRPr="00F145B6">
        <w:rPr>
          <w:rFonts w:ascii="Arial" w:hAnsi="Arial" w:cs="Arial"/>
          <w:sz w:val="24"/>
          <w:szCs w:val="24"/>
        </w:rPr>
        <w:t>Discounted inflows at 8 per cent are £50.858 million. NPV is positive £0.858 million, PI is 1.017, and IRR is 8.59 per cent. Project C is the only proposal meeting the acceptance conditions: NPV above zero, PI above one, and IRR above the required return. It also has the lowest Payback and highest ARR. As a result; Project C should be chosen. The value margin is, however, limited since the IRR is only 0.59 percentage points above the hurdle rate. The sensitivity analysis indicates that its NPV turns negative when the discount rate is increased to 10 per cent. Therefore, before significant funding is made available, strict cost controls, milestone reviews, and revised forecasts should accompany the approval</w:t>
      </w:r>
      <w:r w:rsidR="00FB6A37">
        <w:rPr>
          <w:rFonts w:ascii="Arial" w:hAnsi="Arial" w:cs="Arial"/>
          <w:sz w:val="24"/>
          <w:szCs w:val="24"/>
        </w:rPr>
        <w:t xml:space="preserve"> </w:t>
      </w:r>
      <w:r w:rsidR="00FB6A37" w:rsidRPr="00185C1F">
        <w:rPr>
          <w:rFonts w:ascii="Arial" w:hAnsi="Arial" w:cs="Arial"/>
        </w:rPr>
        <w:t>(Sarfraz et al., 2023</w:t>
      </w:r>
      <w:r w:rsidR="00FB6A37">
        <w:rPr>
          <w:rFonts w:ascii="Arial" w:hAnsi="Arial" w:cs="Arial"/>
        </w:rPr>
        <w:t>).</w:t>
      </w:r>
      <w:r w:rsidR="00FB6A37" w:rsidRPr="00185C1F">
        <w:rPr>
          <w:rFonts w:ascii="Arial" w:hAnsi="Arial" w:cs="Arial"/>
        </w:rPr>
        <w:t xml:space="preserve"> </w:t>
      </w:r>
    </w:p>
    <w:p w14:paraId="7871D03D" w14:textId="77777777" w:rsidR="00B75F10" w:rsidRPr="00F837E2" w:rsidRDefault="00B75F10" w:rsidP="00B75F10">
      <w:pPr>
        <w:pStyle w:val="Heading2"/>
        <w:numPr>
          <w:ilvl w:val="1"/>
          <w:numId w:val="1"/>
        </w:numPr>
        <w:spacing w:after="100" w:line="360" w:lineRule="auto"/>
        <w:rPr>
          <w:rFonts w:ascii="Arial" w:hAnsi="Arial" w:cs="Arial"/>
          <w:sz w:val="24"/>
          <w:szCs w:val="24"/>
        </w:rPr>
      </w:pPr>
      <w:bookmarkStart w:id="21" w:name="_Toc235687076"/>
      <w:r w:rsidRPr="00F837E2">
        <w:rPr>
          <w:rFonts w:ascii="Arial" w:hAnsi="Arial" w:cs="Arial"/>
          <w:sz w:val="24"/>
          <w:szCs w:val="24"/>
        </w:rPr>
        <w:lastRenderedPageBreak/>
        <w:t>Fit with Marriott Financial Performance and Strategic Risk</w:t>
      </w:r>
      <w:bookmarkEnd w:id="21"/>
    </w:p>
    <w:p w14:paraId="70D49E53" w14:textId="1802D692" w:rsidR="001941E5" w:rsidRPr="001941E5" w:rsidRDefault="001941E5" w:rsidP="001941E5">
      <w:pPr>
        <w:spacing w:line="360" w:lineRule="auto"/>
        <w:jc w:val="both"/>
        <w:rPr>
          <w:rFonts w:ascii="Arial" w:hAnsi="Arial" w:cs="Arial"/>
          <w:sz w:val="24"/>
          <w:szCs w:val="24"/>
        </w:rPr>
      </w:pPr>
      <w:r w:rsidRPr="001941E5">
        <w:rPr>
          <w:rFonts w:ascii="Arial" w:hAnsi="Arial" w:cs="Arial"/>
          <w:sz w:val="24"/>
          <w:szCs w:val="24"/>
        </w:rPr>
        <w:t xml:space="preserve">The recommendation should </w:t>
      </w:r>
      <w:r w:rsidR="009D2F9D" w:rsidRPr="001941E5">
        <w:rPr>
          <w:rFonts w:ascii="Arial" w:hAnsi="Arial" w:cs="Arial"/>
          <w:sz w:val="24"/>
          <w:szCs w:val="24"/>
        </w:rPr>
        <w:t>reflect</w:t>
      </w:r>
      <w:r w:rsidRPr="001941E5">
        <w:rPr>
          <w:rFonts w:ascii="Arial" w:hAnsi="Arial" w:cs="Arial"/>
          <w:sz w:val="24"/>
          <w:szCs w:val="24"/>
        </w:rPr>
        <w:t xml:space="preserve"> Marriott's stance. In 2025, Marriott generated cash and profits, and had total debt of approximately $16.2 billion, cash and equivalents of approximately $0.4 billion, and continued a situation of low short-term liquidity. The current ratio from the previous ratio analysis was around 0.43, and the working capital had been </w:t>
      </w:r>
      <w:proofErr w:type="spellStart"/>
      <w:r w:rsidR="000C7D62" w:rsidRPr="001941E5">
        <w:rPr>
          <w:rFonts w:ascii="Arial" w:hAnsi="Arial" w:cs="Arial"/>
          <w:sz w:val="24"/>
          <w:szCs w:val="24"/>
        </w:rPr>
        <w:t>negativing</w:t>
      </w:r>
      <w:proofErr w:type="spellEnd"/>
      <w:r w:rsidRPr="001941E5">
        <w:rPr>
          <w:rFonts w:ascii="Arial" w:hAnsi="Arial" w:cs="Arial"/>
          <w:sz w:val="24"/>
          <w:szCs w:val="24"/>
        </w:rPr>
        <w:t xml:space="preserve"> throughout. In addition, Marriott distributed over $4.0 billion to shareholders in 2025. These conditions allow for negative NPV projects to be rejected, even if they have a nominal payback (Marriott International, 2026a; Marriott International, 2026).</w:t>
      </w:r>
    </w:p>
    <w:p w14:paraId="27CAD349" w14:textId="5AB05B24" w:rsidR="001941E5" w:rsidRPr="001941E5" w:rsidRDefault="001941E5" w:rsidP="001941E5">
      <w:pPr>
        <w:spacing w:line="360" w:lineRule="auto"/>
        <w:jc w:val="both"/>
        <w:rPr>
          <w:rFonts w:ascii="Arial" w:hAnsi="Arial" w:cs="Arial"/>
          <w:sz w:val="24"/>
          <w:szCs w:val="24"/>
        </w:rPr>
      </w:pPr>
      <w:r w:rsidRPr="001941E5">
        <w:rPr>
          <w:rFonts w:ascii="Arial" w:hAnsi="Arial" w:cs="Arial"/>
          <w:sz w:val="24"/>
          <w:szCs w:val="24"/>
        </w:rPr>
        <w:t xml:space="preserve">Project C is better as it generates value and </w:t>
      </w:r>
      <w:proofErr w:type="spellStart"/>
      <w:r w:rsidRPr="001941E5">
        <w:rPr>
          <w:rFonts w:ascii="Arial" w:hAnsi="Arial" w:cs="Arial"/>
          <w:sz w:val="24"/>
          <w:szCs w:val="24"/>
        </w:rPr>
        <w:t>utilises</w:t>
      </w:r>
      <w:proofErr w:type="spellEnd"/>
      <w:r w:rsidRPr="001941E5">
        <w:rPr>
          <w:rFonts w:ascii="Arial" w:hAnsi="Arial" w:cs="Arial"/>
          <w:sz w:val="24"/>
          <w:szCs w:val="24"/>
        </w:rPr>
        <w:t xml:space="preserve"> half of the </w:t>
      </w:r>
      <w:r w:rsidR="00670982" w:rsidRPr="001941E5">
        <w:rPr>
          <w:rFonts w:ascii="Arial" w:hAnsi="Arial" w:cs="Arial"/>
          <w:sz w:val="24"/>
          <w:szCs w:val="24"/>
        </w:rPr>
        <w:t>available budget</w:t>
      </w:r>
      <w:r w:rsidRPr="001941E5">
        <w:rPr>
          <w:rFonts w:ascii="Arial" w:hAnsi="Arial" w:cs="Arial"/>
          <w:sz w:val="24"/>
          <w:szCs w:val="24"/>
        </w:rPr>
        <w:t>, £100 million. It is cash poor, execution risk, political risk, currency risk and demand risk. Later inflows may be delayed or diminished by development abroad, whereby regulatory approvals, tourism policy, taxation, exchange rates or local inflation may affect it. The use of pounds also creates potential currency mismatch with Marriott's mainly dollar denominated reporting. Treasury should be aware of the currencies of costs and benefits, be willing to hedge where it makes sense and selectively use forward contracts</w:t>
      </w:r>
      <w:r w:rsidR="003C1D83">
        <w:rPr>
          <w:rFonts w:ascii="Arial" w:hAnsi="Arial" w:cs="Arial"/>
          <w:sz w:val="24"/>
          <w:szCs w:val="24"/>
        </w:rPr>
        <w:t xml:space="preserve"> </w:t>
      </w:r>
      <w:r w:rsidR="003C1D83" w:rsidRPr="00185C1F">
        <w:rPr>
          <w:rFonts w:ascii="Arial" w:hAnsi="Arial" w:cs="Arial"/>
        </w:rPr>
        <w:t>(ICAEW, 2026</w:t>
      </w:r>
      <w:r w:rsidR="003C1D83">
        <w:rPr>
          <w:rFonts w:ascii="Arial" w:hAnsi="Arial" w:cs="Arial"/>
        </w:rPr>
        <w:t>).</w:t>
      </w:r>
      <w:r w:rsidR="003C1D83" w:rsidRPr="00185C1F">
        <w:rPr>
          <w:rFonts w:ascii="Arial" w:hAnsi="Arial" w:cs="Arial"/>
        </w:rPr>
        <w:t xml:space="preserve"> </w:t>
      </w:r>
    </w:p>
    <w:p w14:paraId="46092719" w14:textId="2B18582F" w:rsidR="00415AA8" w:rsidRPr="00F837E2" w:rsidRDefault="001941E5" w:rsidP="001941E5">
      <w:pPr>
        <w:spacing w:line="360" w:lineRule="auto"/>
        <w:jc w:val="both"/>
        <w:rPr>
          <w:rFonts w:ascii="Arial" w:hAnsi="Arial" w:cs="Arial"/>
          <w:sz w:val="24"/>
          <w:szCs w:val="24"/>
        </w:rPr>
      </w:pPr>
      <w:r w:rsidRPr="001941E5">
        <w:rPr>
          <w:rFonts w:ascii="Arial" w:hAnsi="Arial" w:cs="Arial"/>
          <w:sz w:val="24"/>
          <w:szCs w:val="24"/>
        </w:rPr>
        <w:t xml:space="preserve">Customer loyalty is another important consideration. At yearend 2025, Marriott </w:t>
      </w:r>
      <w:proofErr w:type="spellStart"/>
      <w:r w:rsidRPr="001941E5">
        <w:rPr>
          <w:rFonts w:ascii="Arial" w:hAnsi="Arial" w:cs="Arial"/>
          <w:sz w:val="24"/>
          <w:szCs w:val="24"/>
        </w:rPr>
        <w:t>Bonvoy</w:t>
      </w:r>
      <w:proofErr w:type="spellEnd"/>
      <w:r w:rsidRPr="001941E5">
        <w:rPr>
          <w:rFonts w:ascii="Arial" w:hAnsi="Arial" w:cs="Arial"/>
          <w:sz w:val="24"/>
          <w:szCs w:val="24"/>
        </w:rPr>
        <w:t xml:space="preserve"> had almost 271 million members, and member stays accounted for a significant portion of room nights. An improvement in digital service, property quality, or loyalty engagement could boost recurring fee income while disruption, weak data security, or mixed franchise execution could hurt trust (Marriott International, 2026b). Energy, emissions, water, waste, accessibility, </w:t>
      </w:r>
      <w:proofErr w:type="spellStart"/>
      <w:r w:rsidRPr="001941E5">
        <w:rPr>
          <w:rFonts w:ascii="Arial" w:hAnsi="Arial" w:cs="Arial"/>
          <w:sz w:val="24"/>
          <w:szCs w:val="24"/>
        </w:rPr>
        <w:t>labour</w:t>
      </w:r>
      <w:proofErr w:type="spellEnd"/>
      <w:r w:rsidRPr="001941E5">
        <w:rPr>
          <w:rFonts w:ascii="Arial" w:hAnsi="Arial" w:cs="Arial"/>
          <w:sz w:val="24"/>
          <w:szCs w:val="24"/>
        </w:rPr>
        <w:t xml:space="preserve"> standards, human rights, and community impacts should all be considered during the ESG screening process. Marriott's Serve 360 framework allows for these issues to be embedded in investment governance, not as peripheral concerns (Marriott International, 2025).</w:t>
      </w:r>
    </w:p>
    <w:p w14:paraId="26EF54EE" w14:textId="77777777" w:rsidR="00B75F10" w:rsidRPr="00F837E2" w:rsidRDefault="00B75F10" w:rsidP="00B75F10">
      <w:pPr>
        <w:pStyle w:val="Heading2"/>
        <w:numPr>
          <w:ilvl w:val="1"/>
          <w:numId w:val="1"/>
        </w:numPr>
        <w:spacing w:after="100" w:line="360" w:lineRule="auto"/>
        <w:rPr>
          <w:rFonts w:ascii="Arial" w:hAnsi="Arial" w:cs="Arial"/>
          <w:sz w:val="24"/>
          <w:szCs w:val="24"/>
        </w:rPr>
      </w:pPr>
      <w:bookmarkStart w:id="22" w:name="_Toc235687077"/>
      <w:r w:rsidRPr="00F837E2">
        <w:rPr>
          <w:rFonts w:ascii="Arial" w:hAnsi="Arial" w:cs="Arial"/>
          <w:sz w:val="24"/>
          <w:szCs w:val="24"/>
        </w:rPr>
        <w:t>Capital Rationing under the £100 Million Limit</w:t>
      </w:r>
      <w:bookmarkEnd w:id="22"/>
    </w:p>
    <w:p w14:paraId="3531CDCA" w14:textId="77777777" w:rsidR="00927222" w:rsidRPr="00927222" w:rsidRDefault="00927222" w:rsidP="00927222">
      <w:pPr>
        <w:spacing w:line="360" w:lineRule="auto"/>
        <w:jc w:val="both"/>
        <w:rPr>
          <w:rFonts w:ascii="Arial" w:hAnsi="Arial" w:cs="Arial"/>
          <w:sz w:val="24"/>
          <w:szCs w:val="24"/>
        </w:rPr>
      </w:pPr>
    </w:p>
    <w:p w14:paraId="52B09FDD" w14:textId="34EDA072" w:rsidR="00927222" w:rsidRPr="00927222" w:rsidRDefault="00927222" w:rsidP="00927222">
      <w:pPr>
        <w:spacing w:line="360" w:lineRule="auto"/>
        <w:jc w:val="both"/>
        <w:rPr>
          <w:rFonts w:ascii="Arial" w:hAnsi="Arial" w:cs="Arial"/>
          <w:sz w:val="24"/>
          <w:szCs w:val="24"/>
        </w:rPr>
      </w:pPr>
      <w:r w:rsidRPr="00927222">
        <w:rPr>
          <w:rFonts w:ascii="Arial" w:hAnsi="Arial" w:cs="Arial"/>
          <w:sz w:val="24"/>
          <w:szCs w:val="24"/>
        </w:rPr>
        <w:t xml:space="preserve">When the portfolio has a fixed amount of £100m, it is a capital rationing problem, and the portfolio that yields the greatest total NPV must be selected. Individual projects or pairs are affordable, as each project costs £50 million. The combined NPV of Project </w:t>
      </w:r>
      <w:r w:rsidRPr="00927222">
        <w:rPr>
          <w:rFonts w:ascii="Arial" w:hAnsi="Arial" w:cs="Arial"/>
          <w:sz w:val="24"/>
          <w:szCs w:val="24"/>
        </w:rPr>
        <w:lastRenderedPageBreak/>
        <w:t>A and Project B is negative £12.624 million. The net benefit of Project A combined with Project C is negative £5.686 million, and the net benefit of Project B combined with Project C is negative £5.222 million. The three project portfolio costs £150 million, is over budget and has a negative NPV of £11.766 million</w:t>
      </w:r>
      <w:r w:rsidR="00EF2E4C">
        <w:rPr>
          <w:rFonts w:ascii="Arial" w:hAnsi="Arial" w:cs="Arial"/>
          <w:sz w:val="24"/>
          <w:szCs w:val="24"/>
        </w:rPr>
        <w:t xml:space="preserve"> </w:t>
      </w:r>
      <w:r w:rsidR="00EF2E4C" w:rsidRPr="00185C1F">
        <w:rPr>
          <w:rFonts w:ascii="Arial" w:hAnsi="Arial" w:cs="Arial"/>
        </w:rPr>
        <w:t xml:space="preserve">(Whelan, </w:t>
      </w:r>
      <w:proofErr w:type="spellStart"/>
      <w:r w:rsidR="00EF2E4C" w:rsidRPr="00185C1F">
        <w:rPr>
          <w:rFonts w:ascii="Arial" w:hAnsi="Arial" w:cs="Arial"/>
        </w:rPr>
        <w:t>Atz</w:t>
      </w:r>
      <w:proofErr w:type="spellEnd"/>
      <w:r w:rsidR="00EF2E4C" w:rsidRPr="00185C1F">
        <w:rPr>
          <w:rFonts w:ascii="Arial" w:hAnsi="Arial" w:cs="Arial"/>
        </w:rPr>
        <w:t xml:space="preserve"> and Clark, 2021</w:t>
      </w:r>
      <w:r w:rsidR="00EF2E4C">
        <w:rPr>
          <w:rFonts w:ascii="Arial" w:hAnsi="Arial" w:cs="Arial"/>
        </w:rPr>
        <w:t>).</w:t>
      </w:r>
      <w:r w:rsidR="00EF2E4C" w:rsidRPr="00185C1F">
        <w:rPr>
          <w:rFonts w:ascii="Arial" w:hAnsi="Arial" w:cs="Arial"/>
        </w:rPr>
        <w:t xml:space="preserve"> </w:t>
      </w:r>
    </w:p>
    <w:p w14:paraId="5AEF7ED8" w14:textId="5CF1C730" w:rsidR="001941E5" w:rsidRPr="00F837E2" w:rsidRDefault="00927222" w:rsidP="00927222">
      <w:pPr>
        <w:spacing w:line="360" w:lineRule="auto"/>
        <w:jc w:val="both"/>
        <w:rPr>
          <w:rFonts w:ascii="Arial" w:hAnsi="Arial" w:cs="Arial"/>
          <w:sz w:val="24"/>
          <w:szCs w:val="24"/>
        </w:rPr>
      </w:pPr>
      <w:r w:rsidRPr="00927222">
        <w:rPr>
          <w:rFonts w:ascii="Arial" w:hAnsi="Arial" w:cs="Arial"/>
          <w:sz w:val="24"/>
          <w:szCs w:val="24"/>
        </w:rPr>
        <w:t>Project C by itself is the optimum portfolio. It will need £50m and generate about £0.858m in value, leaving £50m uncommitted. Capital rationing does not mandate that the entire capital be used, only that it be used at its maximum. The addition of A or B would turn a positive portfolio into one that is negatively impacting value. If management had to spend exactly £100 million then B + C would have the lowest negative NPV, but that would be irrational. Unused capacity should be kept for debt reduction, liquidity protection, or subsequent positive NPV opportunity. PI comes to the same result due to the highest value per pound invested with C at 1.017.</w:t>
      </w:r>
    </w:p>
    <w:p w14:paraId="706B7978" w14:textId="77777777" w:rsidR="00B75F10" w:rsidRPr="00F837E2" w:rsidRDefault="00B75F10" w:rsidP="00B75F10">
      <w:pPr>
        <w:pStyle w:val="Heading2"/>
        <w:numPr>
          <w:ilvl w:val="1"/>
          <w:numId w:val="1"/>
        </w:numPr>
        <w:spacing w:after="100" w:line="360" w:lineRule="auto"/>
        <w:rPr>
          <w:rFonts w:ascii="Arial" w:hAnsi="Arial" w:cs="Arial"/>
          <w:sz w:val="24"/>
          <w:szCs w:val="24"/>
        </w:rPr>
      </w:pPr>
      <w:bookmarkStart w:id="23" w:name="_Toc235687078"/>
      <w:r w:rsidRPr="00F837E2">
        <w:rPr>
          <w:rFonts w:ascii="Arial" w:hAnsi="Arial" w:cs="Arial"/>
          <w:sz w:val="24"/>
          <w:szCs w:val="24"/>
        </w:rPr>
        <w:t>Conclusion and Implementation Controls</w:t>
      </w:r>
      <w:bookmarkEnd w:id="23"/>
    </w:p>
    <w:p w14:paraId="65829653" w14:textId="75BC7E1F" w:rsidR="00C057A0" w:rsidRPr="00F837E2" w:rsidRDefault="00D1439D" w:rsidP="003F51DD">
      <w:pPr>
        <w:spacing w:line="360" w:lineRule="auto"/>
        <w:jc w:val="both"/>
        <w:rPr>
          <w:rFonts w:ascii="Arial" w:hAnsi="Arial" w:cs="Arial"/>
          <w:sz w:val="24"/>
          <w:szCs w:val="24"/>
        </w:rPr>
      </w:pPr>
      <w:r w:rsidRPr="00D1439D">
        <w:rPr>
          <w:rFonts w:ascii="Arial" w:hAnsi="Arial" w:cs="Arial"/>
          <w:sz w:val="24"/>
          <w:szCs w:val="24"/>
        </w:rPr>
        <w:t xml:space="preserve">Project C should be approved conditionally, while Projects A and B should be rejected. NPV consistently backed up by PI, IRR, ARR and Payback is </w:t>
      </w:r>
      <w:r w:rsidR="00CC43CA" w:rsidRPr="00D1439D">
        <w:rPr>
          <w:rFonts w:ascii="Arial" w:hAnsi="Arial" w:cs="Arial"/>
          <w:sz w:val="24"/>
          <w:szCs w:val="24"/>
        </w:rPr>
        <w:t>decisive evidence</w:t>
      </w:r>
      <w:r w:rsidRPr="00D1439D">
        <w:rPr>
          <w:rFonts w:ascii="Arial" w:hAnsi="Arial" w:cs="Arial"/>
          <w:sz w:val="24"/>
          <w:szCs w:val="24"/>
        </w:rPr>
        <w:t xml:space="preserve">. Prior to commitment, management must confirm cash flow projections, designate project owners, carry out political and ESG due diligence and implement stage gates based on cost, schedule, demand and customer outcome. Actual and </w:t>
      </w:r>
      <w:r w:rsidR="00CC43CA" w:rsidRPr="00D1439D">
        <w:rPr>
          <w:rFonts w:ascii="Arial" w:hAnsi="Arial" w:cs="Arial"/>
          <w:sz w:val="24"/>
          <w:szCs w:val="24"/>
        </w:rPr>
        <w:t>forecast</w:t>
      </w:r>
      <w:r w:rsidRPr="00D1439D">
        <w:rPr>
          <w:rFonts w:ascii="Arial" w:hAnsi="Arial" w:cs="Arial"/>
          <w:sz w:val="24"/>
          <w:szCs w:val="24"/>
        </w:rPr>
        <w:t xml:space="preserve"> cash flows should be compared in quarterly review and a formal post investment audit should surface forecasting bias and lessons for future decisions. This approach maintains Marriott's liquidity, safeguards shareholder value and prevents a situation where existing capital is confused for an investment mandate</w:t>
      </w:r>
      <w:r w:rsidR="00EF2E4C">
        <w:rPr>
          <w:rFonts w:ascii="Arial" w:hAnsi="Arial" w:cs="Arial"/>
          <w:sz w:val="24"/>
          <w:szCs w:val="24"/>
        </w:rPr>
        <w:t xml:space="preserve"> </w:t>
      </w:r>
      <w:r w:rsidR="00EF2E4C" w:rsidRPr="00185C1F">
        <w:rPr>
          <w:rFonts w:ascii="Arial" w:hAnsi="Arial" w:cs="Arial"/>
        </w:rPr>
        <w:t>(</w:t>
      </w:r>
      <w:proofErr w:type="spellStart"/>
      <w:r w:rsidR="00EF2E4C" w:rsidRPr="00185C1F">
        <w:rPr>
          <w:rFonts w:ascii="Arial" w:hAnsi="Arial" w:cs="Arial"/>
        </w:rPr>
        <w:t>Lassala</w:t>
      </w:r>
      <w:proofErr w:type="spellEnd"/>
      <w:r w:rsidR="00EF2E4C" w:rsidRPr="00185C1F">
        <w:rPr>
          <w:rFonts w:ascii="Arial" w:hAnsi="Arial" w:cs="Arial"/>
        </w:rPr>
        <w:t>, Blat and Navarrete, 2021</w:t>
      </w:r>
      <w:r w:rsidR="00EF2E4C">
        <w:rPr>
          <w:rFonts w:ascii="Arial" w:hAnsi="Arial" w:cs="Arial"/>
        </w:rPr>
        <w:t>).</w:t>
      </w:r>
      <w:r w:rsidR="00EF2E4C" w:rsidRPr="00185C1F">
        <w:rPr>
          <w:rFonts w:ascii="Arial" w:hAnsi="Arial" w:cs="Arial"/>
        </w:rPr>
        <w:t xml:space="preserve"> </w:t>
      </w:r>
    </w:p>
    <w:p w14:paraId="67A96991" w14:textId="77777777" w:rsidR="00B71A9B" w:rsidRPr="00DC0420" w:rsidRDefault="00B71A9B" w:rsidP="00B71A9B">
      <w:pPr>
        <w:pStyle w:val="Heading1"/>
        <w:numPr>
          <w:ilvl w:val="0"/>
          <w:numId w:val="1"/>
        </w:numPr>
        <w:spacing w:line="360" w:lineRule="auto"/>
        <w:rPr>
          <w:rFonts w:ascii="Arial" w:hAnsi="Arial" w:cs="Arial"/>
          <w:sz w:val="24"/>
          <w:szCs w:val="24"/>
        </w:rPr>
      </w:pPr>
      <w:bookmarkStart w:id="24" w:name="_Toc235687079"/>
      <w:r w:rsidRPr="00DC0420">
        <w:rPr>
          <w:rFonts w:ascii="Arial" w:hAnsi="Arial" w:cs="Arial"/>
          <w:sz w:val="24"/>
          <w:szCs w:val="24"/>
        </w:rPr>
        <w:t>Critical Reflection on AI Usage</w:t>
      </w:r>
      <w:bookmarkEnd w:id="24"/>
    </w:p>
    <w:p w14:paraId="6943CA99" w14:textId="77777777" w:rsidR="00B71A9B" w:rsidRPr="00DC0420" w:rsidRDefault="00B71A9B" w:rsidP="00B71A9B">
      <w:pPr>
        <w:pStyle w:val="Heading2"/>
        <w:numPr>
          <w:ilvl w:val="1"/>
          <w:numId w:val="1"/>
        </w:numPr>
        <w:spacing w:line="360" w:lineRule="auto"/>
        <w:rPr>
          <w:rFonts w:ascii="Arial" w:hAnsi="Arial" w:cs="Arial"/>
          <w:sz w:val="24"/>
          <w:szCs w:val="24"/>
        </w:rPr>
      </w:pPr>
      <w:bookmarkStart w:id="25" w:name="_Toc235687080"/>
      <w:r w:rsidRPr="00DC0420">
        <w:rPr>
          <w:rFonts w:ascii="Arial" w:hAnsi="Arial" w:cs="Arial"/>
          <w:sz w:val="24"/>
          <w:szCs w:val="24"/>
        </w:rPr>
        <w:t>Tool Disclosure and Purpose</w:t>
      </w:r>
      <w:bookmarkEnd w:id="25"/>
    </w:p>
    <w:p w14:paraId="743A166F" w14:textId="470122A0" w:rsidR="00FE110B" w:rsidRPr="00DC0420" w:rsidRDefault="008D6264" w:rsidP="00B71A9B">
      <w:pPr>
        <w:spacing w:line="360" w:lineRule="auto"/>
        <w:jc w:val="both"/>
        <w:rPr>
          <w:rFonts w:ascii="Arial" w:hAnsi="Arial" w:cs="Arial"/>
          <w:sz w:val="24"/>
          <w:szCs w:val="24"/>
        </w:rPr>
      </w:pPr>
      <w:r w:rsidRPr="008D6264">
        <w:rPr>
          <w:rFonts w:ascii="Arial" w:hAnsi="Arial" w:cs="Arial"/>
          <w:sz w:val="24"/>
          <w:szCs w:val="24"/>
        </w:rPr>
        <w:t xml:space="preserve">I used </w:t>
      </w:r>
      <w:proofErr w:type="spellStart"/>
      <w:r w:rsidRPr="008D6264">
        <w:rPr>
          <w:rFonts w:ascii="Arial" w:hAnsi="Arial" w:cs="Arial"/>
          <w:sz w:val="24"/>
          <w:szCs w:val="24"/>
        </w:rPr>
        <w:t>ChatGPT</w:t>
      </w:r>
      <w:proofErr w:type="spellEnd"/>
      <w:r w:rsidRPr="008D6264">
        <w:rPr>
          <w:rFonts w:ascii="Arial" w:hAnsi="Arial" w:cs="Arial"/>
          <w:sz w:val="24"/>
          <w:szCs w:val="24"/>
        </w:rPr>
        <w:t xml:space="preserve"> as a limited academic support tool in the creation of this report, as indicated in the AI-use acknowledgement. It was expected to facilitate the report organization, enhance the clarity of expression, establish the need for further discussion of various parts of the report and propose preliminary interpretations of the financial ratios, working-capital policies, restructuring possibilities and capital-</w:t>
      </w:r>
      <w:r w:rsidRPr="008D6264">
        <w:rPr>
          <w:rFonts w:ascii="Arial" w:hAnsi="Arial" w:cs="Arial"/>
          <w:sz w:val="24"/>
          <w:szCs w:val="24"/>
        </w:rPr>
        <w:lastRenderedPageBreak/>
        <w:t>budgeting results. AI was not used to create financial evidence; nor was it used to replace independent financial judgement. The financial data, ratio calculations, investment-appraisal results and strategic recommendations were produced from the annual reports of Marriott International, the accompanying spreadsheet and my own calculations. Transparency matters because it allows readers to differentiate between technological support and actual authorship and analytical accountability (OECD, 2024).</w:t>
      </w:r>
    </w:p>
    <w:p w14:paraId="3029F896" w14:textId="77777777" w:rsidR="00B71A9B" w:rsidRPr="00DC0420" w:rsidRDefault="00B71A9B" w:rsidP="00B71A9B">
      <w:pPr>
        <w:pStyle w:val="Heading2"/>
        <w:numPr>
          <w:ilvl w:val="1"/>
          <w:numId w:val="1"/>
        </w:numPr>
        <w:spacing w:line="360" w:lineRule="auto"/>
        <w:rPr>
          <w:rFonts w:ascii="Arial" w:hAnsi="Arial" w:cs="Arial"/>
          <w:sz w:val="24"/>
          <w:szCs w:val="24"/>
        </w:rPr>
      </w:pPr>
      <w:bookmarkStart w:id="26" w:name="_Toc235687081"/>
      <w:r w:rsidRPr="00DC0420">
        <w:rPr>
          <w:rFonts w:ascii="Arial" w:hAnsi="Arial" w:cs="Arial"/>
          <w:sz w:val="24"/>
          <w:szCs w:val="24"/>
        </w:rPr>
        <w:t>Critical Evaluation and Verification of AI Output</w:t>
      </w:r>
      <w:bookmarkEnd w:id="26"/>
    </w:p>
    <w:p w14:paraId="37CECF0F" w14:textId="6D3DB385" w:rsidR="00907DBB" w:rsidRPr="00DC0420" w:rsidRDefault="009C7AE3" w:rsidP="00B71A9B">
      <w:pPr>
        <w:spacing w:line="360" w:lineRule="auto"/>
        <w:jc w:val="both"/>
        <w:rPr>
          <w:rFonts w:ascii="Arial" w:hAnsi="Arial" w:cs="Arial"/>
          <w:sz w:val="24"/>
          <w:szCs w:val="24"/>
        </w:rPr>
      </w:pPr>
      <w:r w:rsidRPr="009C7AE3">
        <w:rPr>
          <w:rFonts w:ascii="Arial" w:hAnsi="Arial" w:cs="Arial"/>
          <w:sz w:val="24"/>
          <w:szCs w:val="24"/>
        </w:rPr>
        <w:t xml:space="preserve">Systematically, AI-generated content was reviewed to account for the potential to generate convincing, but </w:t>
      </w:r>
      <w:r w:rsidR="00B34A77" w:rsidRPr="009C7AE3">
        <w:rPr>
          <w:rFonts w:ascii="Arial" w:hAnsi="Arial" w:cs="Arial"/>
          <w:sz w:val="24"/>
          <w:szCs w:val="24"/>
        </w:rPr>
        <w:t>incorrect</w:t>
      </w:r>
      <w:r w:rsidRPr="009C7AE3">
        <w:rPr>
          <w:rFonts w:ascii="Arial" w:hAnsi="Arial" w:cs="Arial"/>
          <w:sz w:val="24"/>
          <w:szCs w:val="24"/>
        </w:rPr>
        <w:t xml:space="preserve"> statements, unsupported interpretations, invented information, and logical inconsistencies. I cross checked all of the financial data with the Form 10-K filings by Marriott and cross checked the calculations with the supporting Excel workbook. Revenue growth, profitability margins, turnover ratios, liquidity measures, interest coverage, free cash flow, NPV, IRR, ARR, profitability index and payback were re-calculated individually. I also included an evaluation of whether each interpretation was logical from the evidence. For instance, if a hotel like Marriott has negative equity, debt-to-equity is not appropriate, instead debt-to-assets and interest coverage are preferred. I corrected the output where AI made causality errors, </w:t>
      </w:r>
      <w:proofErr w:type="spellStart"/>
      <w:r w:rsidRPr="009C7AE3">
        <w:rPr>
          <w:rFonts w:ascii="Arial" w:hAnsi="Arial" w:cs="Arial"/>
          <w:sz w:val="24"/>
          <w:szCs w:val="24"/>
        </w:rPr>
        <w:t>misreaded</w:t>
      </w:r>
      <w:proofErr w:type="spellEnd"/>
      <w:r w:rsidRPr="009C7AE3">
        <w:rPr>
          <w:rFonts w:ascii="Arial" w:hAnsi="Arial" w:cs="Arial"/>
          <w:sz w:val="24"/>
          <w:szCs w:val="24"/>
        </w:rPr>
        <w:t xml:space="preserve"> currencies, rounded figures inconsistently or where it suggested that all available capital should be invested, using verified evidence and finance theory. This process accounts for the importance of identifying, quantifying, manage and </w:t>
      </w:r>
      <w:r w:rsidR="00CC43CA" w:rsidRPr="009C7AE3">
        <w:rPr>
          <w:rFonts w:ascii="Arial" w:hAnsi="Arial" w:cs="Arial"/>
          <w:sz w:val="24"/>
          <w:szCs w:val="24"/>
        </w:rPr>
        <w:t>monitoring</w:t>
      </w:r>
      <w:r w:rsidRPr="009C7AE3">
        <w:rPr>
          <w:rFonts w:ascii="Arial" w:hAnsi="Arial" w:cs="Arial"/>
          <w:sz w:val="24"/>
          <w:szCs w:val="24"/>
        </w:rPr>
        <w:t xml:space="preserve"> AI-related risks (NIST, 2023). I have also assessed the consistency between sections, tested against accounting principles, challenged assumptions (particularly the optimistic ones), and applied the recommendations against the company's liquidity constraints, overall objectives, and responsibilities to its broader stakeholder groups.</w:t>
      </w:r>
    </w:p>
    <w:p w14:paraId="0A02AF99" w14:textId="77777777" w:rsidR="00B71A9B" w:rsidRPr="00DC0420" w:rsidRDefault="00B71A9B" w:rsidP="00B71A9B">
      <w:pPr>
        <w:pStyle w:val="Heading2"/>
        <w:numPr>
          <w:ilvl w:val="1"/>
          <w:numId w:val="1"/>
        </w:numPr>
        <w:spacing w:line="360" w:lineRule="auto"/>
        <w:rPr>
          <w:rFonts w:ascii="Arial" w:hAnsi="Arial" w:cs="Arial"/>
          <w:sz w:val="24"/>
          <w:szCs w:val="24"/>
        </w:rPr>
      </w:pPr>
      <w:bookmarkStart w:id="27" w:name="_Toc235687082"/>
      <w:r w:rsidRPr="00DC0420">
        <w:rPr>
          <w:rFonts w:ascii="Arial" w:hAnsi="Arial" w:cs="Arial"/>
          <w:sz w:val="24"/>
          <w:szCs w:val="24"/>
        </w:rPr>
        <w:t>AI Contribution and My Original Analysis</w:t>
      </w:r>
      <w:bookmarkEnd w:id="27"/>
    </w:p>
    <w:p w14:paraId="07C357E0" w14:textId="1816B1EE" w:rsidR="009C7AE3" w:rsidRPr="00DC0420" w:rsidRDefault="00B45188" w:rsidP="00B71A9B">
      <w:pPr>
        <w:spacing w:line="360" w:lineRule="auto"/>
        <w:jc w:val="both"/>
        <w:rPr>
          <w:rFonts w:ascii="Arial" w:hAnsi="Arial" w:cs="Arial"/>
          <w:sz w:val="24"/>
          <w:szCs w:val="24"/>
        </w:rPr>
      </w:pPr>
      <w:r w:rsidRPr="00B45188">
        <w:rPr>
          <w:rFonts w:ascii="Arial" w:hAnsi="Arial" w:cs="Arial"/>
          <w:sz w:val="24"/>
          <w:szCs w:val="24"/>
        </w:rPr>
        <w:t xml:space="preserve">The overall contribution of AI was primarily in the areas of </w:t>
      </w:r>
      <w:proofErr w:type="spellStart"/>
      <w:r w:rsidRPr="00B45188">
        <w:rPr>
          <w:rFonts w:ascii="Arial" w:hAnsi="Arial" w:cs="Arial"/>
          <w:sz w:val="24"/>
          <w:szCs w:val="24"/>
        </w:rPr>
        <w:t>organisation</w:t>
      </w:r>
      <w:proofErr w:type="spellEnd"/>
      <w:r w:rsidRPr="00B45188">
        <w:rPr>
          <w:rFonts w:ascii="Arial" w:hAnsi="Arial" w:cs="Arial"/>
          <w:sz w:val="24"/>
          <w:szCs w:val="24"/>
        </w:rPr>
        <w:t xml:space="preserve">, drafting support, and language refinement. It helped to </w:t>
      </w:r>
      <w:proofErr w:type="spellStart"/>
      <w:r w:rsidRPr="00B45188">
        <w:rPr>
          <w:rFonts w:ascii="Arial" w:hAnsi="Arial" w:cs="Arial"/>
          <w:sz w:val="24"/>
          <w:szCs w:val="24"/>
        </w:rPr>
        <w:t>minimise</w:t>
      </w:r>
      <w:proofErr w:type="spellEnd"/>
      <w:r w:rsidRPr="00B45188">
        <w:rPr>
          <w:rFonts w:ascii="Arial" w:hAnsi="Arial" w:cs="Arial"/>
          <w:sz w:val="24"/>
          <w:szCs w:val="24"/>
        </w:rPr>
        <w:t xml:space="preserve"> repetition, improve transitions and identify potential counter arguments. The original analysis work, however, was still my work. I chose the appropriate financial ratios, explained the nature of Marriott's asset-light business model, analyzed the company's liquidity challenges, determined </w:t>
      </w:r>
      <w:r w:rsidRPr="00B45188">
        <w:rPr>
          <w:rFonts w:ascii="Arial" w:hAnsi="Arial" w:cs="Arial"/>
          <w:sz w:val="24"/>
          <w:szCs w:val="24"/>
        </w:rPr>
        <w:lastRenderedPageBreak/>
        <w:t>how much shareholder distributions were correlated with free cash flow and how much negative equity and debt load were a concern. I also developed the restructuring priorities, working-capital reforms, financing recommendations, project-selection decision and implementation controls. My strategic conclusion was that “Marriott should continue to be operationally sound, but focus on liquidity, deleveraging and positive-NPV investment before repurchases” was drawn from the financial evidence and consequences and risk to Marriott's stakeholders.</w:t>
      </w:r>
    </w:p>
    <w:p w14:paraId="2A3A895B" w14:textId="77777777" w:rsidR="00B71A9B" w:rsidRPr="00DC0420" w:rsidRDefault="00B71A9B" w:rsidP="00B71A9B">
      <w:pPr>
        <w:pStyle w:val="Heading2"/>
        <w:numPr>
          <w:ilvl w:val="1"/>
          <w:numId w:val="1"/>
        </w:numPr>
        <w:spacing w:line="360" w:lineRule="auto"/>
        <w:rPr>
          <w:rFonts w:ascii="Arial" w:hAnsi="Arial" w:cs="Arial"/>
          <w:sz w:val="24"/>
          <w:szCs w:val="24"/>
        </w:rPr>
      </w:pPr>
      <w:bookmarkStart w:id="28" w:name="_Toc235687083"/>
      <w:r w:rsidRPr="00DC0420">
        <w:rPr>
          <w:rFonts w:ascii="Arial" w:hAnsi="Arial" w:cs="Arial"/>
          <w:sz w:val="24"/>
          <w:szCs w:val="24"/>
        </w:rPr>
        <w:t>Ethical and Professional Reflection</w:t>
      </w:r>
      <w:bookmarkEnd w:id="28"/>
    </w:p>
    <w:p w14:paraId="73CA7A58" w14:textId="46B0B12B" w:rsidR="00B71A9B" w:rsidRPr="00DC0420" w:rsidRDefault="00B45188" w:rsidP="00B71A9B">
      <w:pPr>
        <w:spacing w:line="360" w:lineRule="auto"/>
        <w:jc w:val="both"/>
        <w:rPr>
          <w:rFonts w:ascii="Arial" w:hAnsi="Arial" w:cs="Arial"/>
          <w:sz w:val="24"/>
          <w:szCs w:val="24"/>
        </w:rPr>
      </w:pPr>
      <w:r w:rsidRPr="00B45188">
        <w:rPr>
          <w:rFonts w:ascii="Arial" w:hAnsi="Arial" w:cs="Arial"/>
          <w:sz w:val="24"/>
          <w:szCs w:val="24"/>
        </w:rPr>
        <w:t xml:space="preserve">AI's impact on financial tasks introduces significant moral obligations. Its use must be disclosed by finance professionals, there must be an audit trail and finance professionals must remain accountable for decisions. Financial, employee or customer information must not be input into public AI systems without permission and proper data-governance measures. Over-reliance can diminish professional </w:t>
      </w:r>
      <w:proofErr w:type="spellStart"/>
      <w:r w:rsidRPr="00B45188">
        <w:rPr>
          <w:rFonts w:ascii="Arial" w:hAnsi="Arial" w:cs="Arial"/>
          <w:sz w:val="24"/>
          <w:szCs w:val="24"/>
        </w:rPr>
        <w:t>scepticism</w:t>
      </w:r>
      <w:proofErr w:type="spellEnd"/>
      <w:r w:rsidRPr="00B45188">
        <w:rPr>
          <w:rFonts w:ascii="Arial" w:hAnsi="Arial" w:cs="Arial"/>
          <w:sz w:val="24"/>
          <w:szCs w:val="24"/>
        </w:rPr>
        <w:t xml:space="preserve">, magnify bias and lead executives to accept confident recommendations without questioning assumptions. The principles of integrity, objectivity, professional competence, confidentiality and professional </w:t>
      </w:r>
      <w:proofErr w:type="spellStart"/>
      <w:r w:rsidRPr="00B45188">
        <w:rPr>
          <w:rFonts w:ascii="Arial" w:hAnsi="Arial" w:cs="Arial"/>
          <w:sz w:val="24"/>
          <w:szCs w:val="24"/>
        </w:rPr>
        <w:t>behaviour</w:t>
      </w:r>
      <w:proofErr w:type="spellEnd"/>
      <w:r w:rsidRPr="00B45188">
        <w:rPr>
          <w:rFonts w:ascii="Arial" w:hAnsi="Arial" w:cs="Arial"/>
          <w:sz w:val="24"/>
          <w:szCs w:val="24"/>
        </w:rPr>
        <w:t xml:space="preserve"> continue to apply, when they use AI (ICAEW, 2025). So, while AI can help with productivity and critical thinking, it should never be used in place of verified evidence, independent judgement, ethical scrutiny or accountable human approval for executive financial decisions.</w:t>
      </w:r>
    </w:p>
    <w:p w14:paraId="2BD31F1A" w14:textId="77777777" w:rsidR="001476AF" w:rsidRPr="00F837E2" w:rsidRDefault="001476AF" w:rsidP="00B94E9D">
      <w:pPr>
        <w:spacing w:line="360" w:lineRule="auto"/>
        <w:rPr>
          <w:rFonts w:ascii="Arial" w:hAnsi="Arial" w:cs="Arial"/>
          <w:sz w:val="24"/>
          <w:szCs w:val="24"/>
        </w:rPr>
      </w:pPr>
    </w:p>
    <w:p w14:paraId="2FE56DAC" w14:textId="77777777" w:rsidR="00303A11" w:rsidRPr="00F837E2" w:rsidRDefault="00303A11" w:rsidP="00B94E9D">
      <w:pPr>
        <w:spacing w:line="360" w:lineRule="auto"/>
        <w:rPr>
          <w:rFonts w:ascii="Arial" w:hAnsi="Arial" w:cs="Arial"/>
          <w:sz w:val="24"/>
          <w:szCs w:val="24"/>
        </w:rPr>
      </w:pPr>
    </w:p>
    <w:p w14:paraId="7EDCAC1A" w14:textId="77777777" w:rsidR="00303A11" w:rsidRPr="00F837E2" w:rsidRDefault="00303A11" w:rsidP="00B94E9D">
      <w:pPr>
        <w:spacing w:line="360" w:lineRule="auto"/>
        <w:rPr>
          <w:rFonts w:ascii="Arial" w:hAnsi="Arial" w:cs="Arial"/>
          <w:sz w:val="24"/>
          <w:szCs w:val="24"/>
        </w:rPr>
      </w:pPr>
    </w:p>
    <w:p w14:paraId="4DF01EC2" w14:textId="77777777" w:rsidR="00303A11" w:rsidRPr="00F837E2" w:rsidRDefault="00303A11" w:rsidP="00393D01">
      <w:pPr>
        <w:spacing w:line="360" w:lineRule="auto"/>
        <w:rPr>
          <w:rFonts w:ascii="Arial" w:hAnsi="Arial" w:cs="Arial"/>
          <w:sz w:val="24"/>
          <w:szCs w:val="24"/>
        </w:rPr>
      </w:pPr>
    </w:p>
    <w:p w14:paraId="09F29728" w14:textId="77777777" w:rsidR="00303A11" w:rsidRPr="00F837E2" w:rsidRDefault="00303A11" w:rsidP="00393D01">
      <w:pPr>
        <w:spacing w:line="360" w:lineRule="auto"/>
        <w:rPr>
          <w:rFonts w:ascii="Arial" w:hAnsi="Arial" w:cs="Arial"/>
          <w:sz w:val="24"/>
          <w:szCs w:val="24"/>
        </w:rPr>
      </w:pPr>
    </w:p>
    <w:p w14:paraId="49095978" w14:textId="77777777" w:rsidR="00303A11" w:rsidRPr="00F837E2" w:rsidRDefault="00303A11" w:rsidP="00393D01">
      <w:pPr>
        <w:spacing w:line="360" w:lineRule="auto"/>
        <w:rPr>
          <w:rFonts w:ascii="Arial" w:hAnsi="Arial" w:cs="Arial"/>
          <w:sz w:val="24"/>
          <w:szCs w:val="24"/>
        </w:rPr>
      </w:pPr>
    </w:p>
    <w:p w14:paraId="4AE8A7E1" w14:textId="77777777" w:rsidR="005F4509" w:rsidRPr="00F837E2" w:rsidRDefault="005F4509" w:rsidP="00393D01">
      <w:pPr>
        <w:spacing w:line="360" w:lineRule="auto"/>
        <w:rPr>
          <w:rFonts w:ascii="Arial" w:hAnsi="Arial" w:cs="Arial"/>
          <w:sz w:val="24"/>
          <w:szCs w:val="24"/>
        </w:rPr>
      </w:pPr>
    </w:p>
    <w:p w14:paraId="6FE36E64" w14:textId="77777777" w:rsidR="00303A11" w:rsidRPr="00F837E2" w:rsidRDefault="00303A11" w:rsidP="00393D01">
      <w:pPr>
        <w:spacing w:line="360" w:lineRule="auto"/>
        <w:rPr>
          <w:rFonts w:ascii="Arial" w:hAnsi="Arial" w:cs="Arial"/>
          <w:sz w:val="24"/>
          <w:szCs w:val="24"/>
        </w:rPr>
      </w:pPr>
    </w:p>
    <w:p w14:paraId="0C1F72CC" w14:textId="77777777" w:rsidR="00574516" w:rsidRPr="00F837E2" w:rsidRDefault="00574516" w:rsidP="00393D01">
      <w:pPr>
        <w:spacing w:line="360" w:lineRule="auto"/>
        <w:rPr>
          <w:rFonts w:ascii="Arial" w:hAnsi="Arial" w:cs="Arial"/>
          <w:sz w:val="24"/>
          <w:szCs w:val="24"/>
        </w:rPr>
      </w:pPr>
    </w:p>
    <w:p w14:paraId="78DD7094" w14:textId="6ACB0971" w:rsidR="001476AF" w:rsidRPr="00F837E2" w:rsidRDefault="001476AF" w:rsidP="00393D01">
      <w:pPr>
        <w:pStyle w:val="Heading1"/>
        <w:spacing w:line="360" w:lineRule="auto"/>
        <w:rPr>
          <w:rFonts w:ascii="Arial" w:hAnsi="Arial" w:cs="Arial"/>
          <w:sz w:val="24"/>
          <w:szCs w:val="24"/>
        </w:rPr>
      </w:pPr>
      <w:bookmarkStart w:id="29" w:name="_Toc235687084"/>
      <w:r w:rsidRPr="00F837E2">
        <w:rPr>
          <w:rFonts w:ascii="Arial" w:hAnsi="Arial" w:cs="Arial"/>
          <w:sz w:val="24"/>
          <w:szCs w:val="24"/>
        </w:rPr>
        <w:lastRenderedPageBreak/>
        <w:t>References</w:t>
      </w:r>
      <w:bookmarkEnd w:id="29"/>
    </w:p>
    <w:p w14:paraId="6D7F3CCE" w14:textId="77777777" w:rsidR="006B58AC" w:rsidRPr="00296112" w:rsidRDefault="006B58AC" w:rsidP="00B37AD2">
      <w:pPr>
        <w:spacing w:line="360" w:lineRule="auto"/>
        <w:jc w:val="both"/>
        <w:rPr>
          <w:rFonts w:ascii="Arial" w:hAnsi="Arial" w:cs="Arial"/>
          <w:sz w:val="24"/>
          <w:szCs w:val="24"/>
        </w:rPr>
      </w:pPr>
      <w:proofErr w:type="spellStart"/>
      <w:r w:rsidRPr="00296112">
        <w:rPr>
          <w:rFonts w:ascii="Arial" w:hAnsi="Arial" w:cs="Arial"/>
          <w:sz w:val="24"/>
          <w:szCs w:val="24"/>
        </w:rPr>
        <w:t>Abou</w:t>
      </w:r>
      <w:proofErr w:type="spellEnd"/>
      <w:r w:rsidRPr="00296112">
        <w:rPr>
          <w:rFonts w:ascii="Arial" w:hAnsi="Arial" w:cs="Arial"/>
          <w:sz w:val="24"/>
          <w:szCs w:val="24"/>
        </w:rPr>
        <w:t xml:space="preserve">-foul, M., Ruiz-Alba, J.L. and Soares, A. (2020). The impact of digitalization and </w:t>
      </w:r>
      <w:proofErr w:type="spellStart"/>
      <w:r w:rsidRPr="00296112">
        <w:rPr>
          <w:rFonts w:ascii="Arial" w:hAnsi="Arial" w:cs="Arial"/>
          <w:sz w:val="24"/>
          <w:szCs w:val="24"/>
        </w:rPr>
        <w:t>servitization</w:t>
      </w:r>
      <w:proofErr w:type="spellEnd"/>
      <w:r w:rsidRPr="00296112">
        <w:rPr>
          <w:rFonts w:ascii="Arial" w:hAnsi="Arial" w:cs="Arial"/>
          <w:sz w:val="24"/>
          <w:szCs w:val="24"/>
        </w:rPr>
        <w:t xml:space="preserve"> on the financial performance of a firm: an empirical analysis. Production Planning &amp; Control, 32(12), pp.1–15. doi:10.1080/09537287.2020.1780508.</w:t>
      </w:r>
    </w:p>
    <w:p w14:paraId="454C95AF" w14:textId="77777777" w:rsidR="006B58AC" w:rsidRPr="00296112" w:rsidRDefault="006B58AC" w:rsidP="00B37AD2">
      <w:pPr>
        <w:spacing w:line="360" w:lineRule="auto"/>
        <w:jc w:val="both"/>
        <w:rPr>
          <w:rFonts w:ascii="Arial" w:hAnsi="Arial" w:cs="Arial"/>
          <w:sz w:val="24"/>
          <w:szCs w:val="24"/>
        </w:rPr>
      </w:pPr>
      <w:r w:rsidRPr="00296112">
        <w:rPr>
          <w:rFonts w:ascii="Arial" w:hAnsi="Arial" w:cs="Arial"/>
          <w:sz w:val="24"/>
          <w:szCs w:val="24"/>
        </w:rPr>
        <w:t>Alexandre, R. (2025). Marriott International, Inc. – a home run to excellence. [online] Run.unl.pt. Available at: https://run.unl.pt/entities/publication/190821e9-840c-4076-8295-eed3d962a5ab [Accessed 23 July 2026].</w:t>
      </w:r>
    </w:p>
    <w:p w14:paraId="26173550" w14:textId="77777777" w:rsidR="006B58AC" w:rsidRPr="00296112" w:rsidRDefault="006B58AC" w:rsidP="00B37AD2">
      <w:pPr>
        <w:spacing w:line="360" w:lineRule="auto"/>
        <w:jc w:val="both"/>
        <w:rPr>
          <w:rFonts w:ascii="Arial" w:hAnsi="Arial" w:cs="Arial"/>
          <w:sz w:val="24"/>
          <w:szCs w:val="24"/>
        </w:rPr>
      </w:pPr>
      <w:r w:rsidRPr="00296112">
        <w:rPr>
          <w:rFonts w:ascii="Arial" w:hAnsi="Arial" w:cs="Arial"/>
          <w:sz w:val="24"/>
          <w:szCs w:val="24"/>
        </w:rPr>
        <w:t>Arnold, G. and Lewis, D. (2019) Corporate Financial Management: 9781292140445: Lewis, Deborah, Arnold, Glen: Books. (2025). [online] Amazon.com. Available at: https://www.amazon.com/Corporate-Financial-Management-6th-Edition/dp/1292140445 [Accessed 12 July 2026].</w:t>
      </w:r>
    </w:p>
    <w:p w14:paraId="636516A0" w14:textId="77777777" w:rsidR="006B58AC" w:rsidRPr="00296112" w:rsidRDefault="006B58AC" w:rsidP="00B37AD2">
      <w:pPr>
        <w:spacing w:line="360" w:lineRule="auto"/>
        <w:jc w:val="both"/>
        <w:rPr>
          <w:rFonts w:ascii="Arial" w:hAnsi="Arial" w:cs="Arial"/>
          <w:sz w:val="24"/>
          <w:szCs w:val="24"/>
        </w:rPr>
      </w:pPr>
      <w:proofErr w:type="spellStart"/>
      <w:r w:rsidRPr="00296112">
        <w:rPr>
          <w:rFonts w:ascii="Arial" w:hAnsi="Arial" w:cs="Arial"/>
          <w:sz w:val="24"/>
          <w:szCs w:val="24"/>
        </w:rPr>
        <w:t>Barauskaite</w:t>
      </w:r>
      <w:proofErr w:type="spellEnd"/>
      <w:r w:rsidRPr="00296112">
        <w:rPr>
          <w:rFonts w:ascii="Arial" w:hAnsi="Arial" w:cs="Arial"/>
          <w:sz w:val="24"/>
          <w:szCs w:val="24"/>
        </w:rPr>
        <w:t xml:space="preserve">, G. and </w:t>
      </w:r>
      <w:proofErr w:type="spellStart"/>
      <w:r w:rsidRPr="00296112">
        <w:rPr>
          <w:rFonts w:ascii="Arial" w:hAnsi="Arial" w:cs="Arial"/>
          <w:sz w:val="24"/>
          <w:szCs w:val="24"/>
        </w:rPr>
        <w:t>Streimikiene</w:t>
      </w:r>
      <w:proofErr w:type="spellEnd"/>
      <w:r w:rsidRPr="00296112">
        <w:rPr>
          <w:rFonts w:ascii="Arial" w:hAnsi="Arial" w:cs="Arial"/>
          <w:sz w:val="24"/>
          <w:szCs w:val="24"/>
        </w:rPr>
        <w:t xml:space="preserve">, D. (2021). Corporate Social Responsibility and Financial Performance of companies: </w:t>
      </w:r>
      <w:proofErr w:type="gramStart"/>
      <w:r w:rsidRPr="00296112">
        <w:rPr>
          <w:rFonts w:ascii="Arial" w:hAnsi="Arial" w:cs="Arial"/>
          <w:sz w:val="24"/>
          <w:szCs w:val="24"/>
        </w:rPr>
        <w:t>the</w:t>
      </w:r>
      <w:proofErr w:type="gramEnd"/>
      <w:r w:rsidRPr="00296112">
        <w:rPr>
          <w:rFonts w:ascii="Arial" w:hAnsi="Arial" w:cs="Arial"/>
          <w:sz w:val="24"/>
          <w:szCs w:val="24"/>
        </w:rPr>
        <w:t xml:space="preserve"> Puzzle of concepts, Definitions and Assessment Methods. Corporate Social Responsibility and Environmental Management, 28(1), pp.278–287. </w:t>
      </w:r>
      <w:proofErr w:type="spellStart"/>
      <w:proofErr w:type="gramStart"/>
      <w:r w:rsidRPr="00296112">
        <w:rPr>
          <w:rFonts w:ascii="Arial" w:hAnsi="Arial" w:cs="Arial"/>
          <w:sz w:val="24"/>
          <w:szCs w:val="24"/>
        </w:rPr>
        <w:t>doi:https</w:t>
      </w:r>
      <w:proofErr w:type="spellEnd"/>
      <w:r w:rsidRPr="00296112">
        <w:rPr>
          <w:rFonts w:ascii="Arial" w:hAnsi="Arial" w:cs="Arial"/>
          <w:sz w:val="24"/>
          <w:szCs w:val="24"/>
        </w:rPr>
        <w:t>://doi.org/10.1002/csr.2048</w:t>
      </w:r>
      <w:proofErr w:type="gramEnd"/>
      <w:r w:rsidRPr="00296112">
        <w:rPr>
          <w:rFonts w:ascii="Arial" w:hAnsi="Arial" w:cs="Arial"/>
          <w:sz w:val="24"/>
          <w:szCs w:val="24"/>
        </w:rPr>
        <w:t>.</w:t>
      </w:r>
    </w:p>
    <w:p w14:paraId="3821ECCA" w14:textId="77777777" w:rsidR="006B58AC" w:rsidRPr="00296112" w:rsidRDefault="006B58AC" w:rsidP="00B37AD2">
      <w:pPr>
        <w:spacing w:line="360" w:lineRule="auto"/>
        <w:jc w:val="both"/>
        <w:rPr>
          <w:rFonts w:ascii="Arial" w:hAnsi="Arial" w:cs="Arial"/>
          <w:sz w:val="24"/>
          <w:szCs w:val="24"/>
        </w:rPr>
      </w:pPr>
      <w:r w:rsidRPr="00296112">
        <w:rPr>
          <w:rFonts w:ascii="Arial" w:hAnsi="Arial" w:cs="Arial"/>
          <w:sz w:val="24"/>
          <w:szCs w:val="24"/>
        </w:rPr>
        <w:t xml:space="preserve">Brealey, R.A., Myers, S.C., Allen, F. and Edmans, A. (2023) Principles of Corporate Finance. 14th </w:t>
      </w:r>
      <w:proofErr w:type="spellStart"/>
      <w:r w:rsidRPr="00296112">
        <w:rPr>
          <w:rFonts w:ascii="Arial" w:hAnsi="Arial" w:cs="Arial"/>
          <w:sz w:val="24"/>
          <w:szCs w:val="24"/>
        </w:rPr>
        <w:t>edn</w:t>
      </w:r>
      <w:proofErr w:type="spellEnd"/>
      <w:r w:rsidRPr="00296112">
        <w:rPr>
          <w:rFonts w:ascii="Arial" w:hAnsi="Arial" w:cs="Arial"/>
          <w:sz w:val="24"/>
          <w:szCs w:val="24"/>
        </w:rPr>
        <w:t xml:space="preserve">. New York: McGraw Hill. </w:t>
      </w:r>
    </w:p>
    <w:p w14:paraId="0885D41B" w14:textId="77777777" w:rsidR="006B58AC" w:rsidRPr="00296112" w:rsidRDefault="006B58AC" w:rsidP="00B37AD2">
      <w:pPr>
        <w:spacing w:line="360" w:lineRule="auto"/>
        <w:jc w:val="both"/>
        <w:rPr>
          <w:rFonts w:ascii="Arial" w:hAnsi="Arial" w:cs="Arial"/>
          <w:sz w:val="24"/>
          <w:szCs w:val="24"/>
        </w:rPr>
      </w:pPr>
      <w:r w:rsidRPr="00296112">
        <w:rPr>
          <w:rFonts w:ascii="Arial" w:hAnsi="Arial" w:cs="Arial"/>
          <w:sz w:val="24"/>
          <w:szCs w:val="24"/>
        </w:rPr>
        <w:t>Costa, J. and Fonseca, J.P. (2022). The Impact of Corporate Social Responsibility and Innovative Strategies on Financial Performance. Risks, [online] 10(5), p.103. doi:10.3390/risks10050103.</w:t>
      </w:r>
    </w:p>
    <w:p w14:paraId="1126D7AB" w14:textId="77777777" w:rsidR="006B58AC" w:rsidRPr="00296112" w:rsidRDefault="006B58AC" w:rsidP="00B37AD2">
      <w:pPr>
        <w:spacing w:line="360" w:lineRule="auto"/>
        <w:jc w:val="both"/>
        <w:rPr>
          <w:rFonts w:ascii="Arial" w:hAnsi="Arial" w:cs="Arial"/>
          <w:sz w:val="24"/>
          <w:szCs w:val="24"/>
        </w:rPr>
      </w:pPr>
      <w:r w:rsidRPr="00296112">
        <w:rPr>
          <w:rFonts w:ascii="Arial" w:hAnsi="Arial" w:cs="Arial"/>
          <w:sz w:val="24"/>
          <w:szCs w:val="24"/>
        </w:rPr>
        <w:t>Costa, J. and Fonseca, J.P. (2022). The Impact of Corporate Social Responsibility and Innovative Strategies on Financial Performance. Risks, [online] 10(5), p.103. doi:10.3390/risks10050103.</w:t>
      </w:r>
    </w:p>
    <w:p w14:paraId="1A2C7604" w14:textId="77777777" w:rsidR="006B58AC" w:rsidRPr="00296112" w:rsidRDefault="006B58AC" w:rsidP="00B37AD2">
      <w:pPr>
        <w:spacing w:line="360" w:lineRule="auto"/>
        <w:jc w:val="both"/>
        <w:rPr>
          <w:rFonts w:ascii="Arial" w:hAnsi="Arial" w:cs="Arial"/>
          <w:sz w:val="24"/>
          <w:szCs w:val="24"/>
        </w:rPr>
      </w:pPr>
      <w:proofErr w:type="spellStart"/>
      <w:r w:rsidRPr="00296112">
        <w:rPr>
          <w:rFonts w:ascii="Arial" w:hAnsi="Arial" w:cs="Arial"/>
          <w:sz w:val="24"/>
          <w:szCs w:val="24"/>
        </w:rPr>
        <w:t>Ebben</w:t>
      </w:r>
      <w:proofErr w:type="spellEnd"/>
      <w:r w:rsidRPr="00296112">
        <w:rPr>
          <w:rFonts w:ascii="Arial" w:hAnsi="Arial" w:cs="Arial"/>
          <w:sz w:val="24"/>
          <w:szCs w:val="24"/>
        </w:rPr>
        <w:t>, J.J. and Johnson, A.C. (2011). Cash Conversion Cycle Management in Small Firms: Relationships with Liquidity, Invested Capital, and Firm Performance. Journal of Small Business &amp; Entrepreneurship, 24(3), pp.381–396. doi:10.1080/08276331.2011.10593545.</w:t>
      </w:r>
    </w:p>
    <w:p w14:paraId="36B84874" w14:textId="77777777" w:rsidR="006B58AC" w:rsidRPr="00296112" w:rsidRDefault="006B58AC" w:rsidP="00B37AD2">
      <w:pPr>
        <w:spacing w:line="360" w:lineRule="auto"/>
        <w:jc w:val="both"/>
        <w:rPr>
          <w:rFonts w:ascii="Arial" w:hAnsi="Arial" w:cs="Arial"/>
          <w:sz w:val="24"/>
          <w:szCs w:val="24"/>
        </w:rPr>
      </w:pPr>
      <w:r w:rsidRPr="00296112">
        <w:rPr>
          <w:rFonts w:ascii="Arial" w:hAnsi="Arial" w:cs="Arial"/>
          <w:sz w:val="24"/>
          <w:szCs w:val="24"/>
        </w:rPr>
        <w:t xml:space="preserve">El Khoury, R., Nasrallah, N. and </w:t>
      </w:r>
      <w:proofErr w:type="spellStart"/>
      <w:r w:rsidRPr="00296112">
        <w:rPr>
          <w:rFonts w:ascii="Arial" w:hAnsi="Arial" w:cs="Arial"/>
          <w:sz w:val="24"/>
          <w:szCs w:val="24"/>
        </w:rPr>
        <w:t>Alareeni</w:t>
      </w:r>
      <w:proofErr w:type="spellEnd"/>
      <w:r w:rsidRPr="00296112">
        <w:rPr>
          <w:rFonts w:ascii="Arial" w:hAnsi="Arial" w:cs="Arial"/>
          <w:sz w:val="24"/>
          <w:szCs w:val="24"/>
        </w:rPr>
        <w:t>, B. (2021). ESG and Financial Performance of Banks in the MENAT region: Concavity–convexity Patterns. Journal of Sustainable Finance &amp; Investment, 13(1), pp.1–25. doi:10.1080/20430795.2021.1929807.</w:t>
      </w:r>
    </w:p>
    <w:p w14:paraId="56C04B2D" w14:textId="77777777" w:rsidR="006B58AC" w:rsidRPr="00296112" w:rsidRDefault="006B58AC" w:rsidP="00B37AD2">
      <w:pPr>
        <w:spacing w:line="360" w:lineRule="auto"/>
        <w:jc w:val="both"/>
        <w:rPr>
          <w:rFonts w:ascii="Arial" w:hAnsi="Arial" w:cs="Arial"/>
          <w:sz w:val="24"/>
          <w:szCs w:val="24"/>
        </w:rPr>
      </w:pPr>
      <w:proofErr w:type="spellStart"/>
      <w:r w:rsidRPr="00296112">
        <w:rPr>
          <w:rFonts w:ascii="Arial" w:hAnsi="Arial" w:cs="Arial"/>
          <w:sz w:val="24"/>
          <w:szCs w:val="24"/>
        </w:rPr>
        <w:lastRenderedPageBreak/>
        <w:t>Eschenbrenner</w:t>
      </w:r>
      <w:proofErr w:type="spellEnd"/>
      <w:r w:rsidRPr="00296112">
        <w:rPr>
          <w:rFonts w:ascii="Arial" w:hAnsi="Arial" w:cs="Arial"/>
          <w:sz w:val="24"/>
          <w:szCs w:val="24"/>
        </w:rPr>
        <w:t xml:space="preserve">, B., </w:t>
      </w:r>
      <w:proofErr w:type="spellStart"/>
      <w:r w:rsidRPr="00296112">
        <w:rPr>
          <w:rFonts w:ascii="Arial" w:hAnsi="Arial" w:cs="Arial"/>
          <w:sz w:val="24"/>
          <w:szCs w:val="24"/>
        </w:rPr>
        <w:t>Zlatic</w:t>
      </w:r>
      <w:proofErr w:type="spellEnd"/>
      <w:r w:rsidRPr="00296112">
        <w:rPr>
          <w:rFonts w:ascii="Arial" w:hAnsi="Arial" w:cs="Arial"/>
          <w:sz w:val="24"/>
          <w:szCs w:val="24"/>
        </w:rPr>
        <w:t xml:space="preserve">, A., Bechtel, M., Collins, B., </w:t>
      </w:r>
      <w:proofErr w:type="spellStart"/>
      <w:r w:rsidRPr="00296112">
        <w:rPr>
          <w:rFonts w:ascii="Arial" w:hAnsi="Arial" w:cs="Arial"/>
          <w:sz w:val="24"/>
          <w:szCs w:val="24"/>
        </w:rPr>
        <w:t>Straley</w:t>
      </w:r>
      <w:proofErr w:type="spellEnd"/>
      <w:r w:rsidRPr="00296112">
        <w:rPr>
          <w:rFonts w:ascii="Arial" w:hAnsi="Arial" w:cs="Arial"/>
          <w:sz w:val="24"/>
          <w:szCs w:val="24"/>
        </w:rPr>
        <w:t xml:space="preserve">, C. and </w:t>
      </w:r>
      <w:proofErr w:type="spellStart"/>
      <w:r w:rsidRPr="00296112">
        <w:rPr>
          <w:rFonts w:ascii="Arial" w:hAnsi="Arial" w:cs="Arial"/>
          <w:sz w:val="24"/>
          <w:szCs w:val="24"/>
        </w:rPr>
        <w:t>Gubbels</w:t>
      </w:r>
      <w:proofErr w:type="spellEnd"/>
      <w:r w:rsidRPr="00296112">
        <w:rPr>
          <w:rFonts w:ascii="Arial" w:hAnsi="Arial" w:cs="Arial"/>
          <w:sz w:val="24"/>
          <w:szCs w:val="24"/>
        </w:rPr>
        <w:t>, G. (2023). Marriott International: A Managerial Strategic Audit. Honors Theses, University of Nebraska-Lincoln.</w:t>
      </w:r>
    </w:p>
    <w:p w14:paraId="2A10F0AA" w14:textId="77777777" w:rsidR="006B58AC" w:rsidRPr="00296112" w:rsidRDefault="006B58AC" w:rsidP="00B37AD2">
      <w:pPr>
        <w:spacing w:line="360" w:lineRule="auto"/>
        <w:jc w:val="both"/>
        <w:rPr>
          <w:rFonts w:ascii="Arial" w:hAnsi="Arial" w:cs="Arial"/>
          <w:sz w:val="24"/>
          <w:szCs w:val="24"/>
        </w:rPr>
      </w:pPr>
      <w:proofErr w:type="spellStart"/>
      <w:r w:rsidRPr="00296112">
        <w:rPr>
          <w:rFonts w:ascii="Arial" w:hAnsi="Arial" w:cs="Arial"/>
          <w:sz w:val="24"/>
          <w:szCs w:val="24"/>
        </w:rPr>
        <w:t>Farza</w:t>
      </w:r>
      <w:proofErr w:type="spellEnd"/>
      <w:r w:rsidRPr="00296112">
        <w:rPr>
          <w:rFonts w:ascii="Arial" w:hAnsi="Arial" w:cs="Arial"/>
          <w:sz w:val="24"/>
          <w:szCs w:val="24"/>
        </w:rPr>
        <w:t xml:space="preserve">, K., </w:t>
      </w:r>
      <w:proofErr w:type="spellStart"/>
      <w:r w:rsidRPr="00296112">
        <w:rPr>
          <w:rFonts w:ascii="Arial" w:hAnsi="Arial" w:cs="Arial"/>
          <w:sz w:val="24"/>
          <w:szCs w:val="24"/>
        </w:rPr>
        <w:t>Ftiti</w:t>
      </w:r>
      <w:proofErr w:type="spellEnd"/>
      <w:r w:rsidRPr="00296112">
        <w:rPr>
          <w:rFonts w:ascii="Arial" w:hAnsi="Arial" w:cs="Arial"/>
          <w:sz w:val="24"/>
          <w:szCs w:val="24"/>
        </w:rPr>
        <w:t xml:space="preserve">, Z., </w:t>
      </w:r>
      <w:proofErr w:type="spellStart"/>
      <w:r w:rsidRPr="00296112">
        <w:rPr>
          <w:rFonts w:ascii="Arial" w:hAnsi="Arial" w:cs="Arial"/>
          <w:sz w:val="24"/>
          <w:szCs w:val="24"/>
        </w:rPr>
        <w:t>Hlioui</w:t>
      </w:r>
      <w:proofErr w:type="spellEnd"/>
      <w:r w:rsidRPr="00296112">
        <w:rPr>
          <w:rFonts w:ascii="Arial" w:hAnsi="Arial" w:cs="Arial"/>
          <w:sz w:val="24"/>
          <w:szCs w:val="24"/>
        </w:rPr>
        <w:t xml:space="preserve">, Z., </w:t>
      </w:r>
      <w:proofErr w:type="spellStart"/>
      <w:r w:rsidRPr="00296112">
        <w:rPr>
          <w:rFonts w:ascii="Arial" w:hAnsi="Arial" w:cs="Arial"/>
          <w:sz w:val="24"/>
          <w:szCs w:val="24"/>
        </w:rPr>
        <w:t>Louhichi</w:t>
      </w:r>
      <w:proofErr w:type="spellEnd"/>
      <w:r w:rsidRPr="00296112">
        <w:rPr>
          <w:rFonts w:ascii="Arial" w:hAnsi="Arial" w:cs="Arial"/>
          <w:sz w:val="24"/>
          <w:szCs w:val="24"/>
        </w:rPr>
        <w:t xml:space="preserve">, W. and </w:t>
      </w:r>
      <w:proofErr w:type="spellStart"/>
      <w:r w:rsidRPr="00296112">
        <w:rPr>
          <w:rFonts w:ascii="Arial" w:hAnsi="Arial" w:cs="Arial"/>
          <w:sz w:val="24"/>
          <w:szCs w:val="24"/>
        </w:rPr>
        <w:t>Omri</w:t>
      </w:r>
      <w:proofErr w:type="spellEnd"/>
      <w:r w:rsidRPr="00296112">
        <w:rPr>
          <w:rFonts w:ascii="Arial" w:hAnsi="Arial" w:cs="Arial"/>
          <w:sz w:val="24"/>
          <w:szCs w:val="24"/>
        </w:rPr>
        <w:t xml:space="preserve">, A. (2021). Does it pay to go green? The environmental innovation effect on corporate financial performance. Journal of Environmental Management, 300, p.113695. </w:t>
      </w:r>
      <w:proofErr w:type="gramStart"/>
      <w:r w:rsidRPr="00296112">
        <w:rPr>
          <w:rFonts w:ascii="Arial" w:hAnsi="Arial" w:cs="Arial"/>
          <w:sz w:val="24"/>
          <w:szCs w:val="24"/>
        </w:rPr>
        <w:t>doi:10.1016/j.jenvman</w:t>
      </w:r>
      <w:proofErr w:type="gramEnd"/>
      <w:r w:rsidRPr="00296112">
        <w:rPr>
          <w:rFonts w:ascii="Arial" w:hAnsi="Arial" w:cs="Arial"/>
          <w:sz w:val="24"/>
          <w:szCs w:val="24"/>
        </w:rPr>
        <w:t>.2021.113695.</w:t>
      </w:r>
    </w:p>
    <w:p w14:paraId="66ED7223" w14:textId="77777777" w:rsidR="006B58AC" w:rsidRPr="00296112" w:rsidRDefault="006B58AC" w:rsidP="00B37AD2">
      <w:pPr>
        <w:spacing w:line="360" w:lineRule="auto"/>
        <w:jc w:val="both"/>
        <w:rPr>
          <w:rFonts w:ascii="Arial" w:hAnsi="Arial" w:cs="Arial"/>
          <w:sz w:val="24"/>
          <w:szCs w:val="24"/>
        </w:rPr>
      </w:pPr>
      <w:proofErr w:type="spellStart"/>
      <w:r w:rsidRPr="00296112">
        <w:rPr>
          <w:rFonts w:ascii="Arial" w:hAnsi="Arial" w:cs="Arial"/>
          <w:sz w:val="24"/>
          <w:szCs w:val="24"/>
        </w:rPr>
        <w:t>Fowowe</w:t>
      </w:r>
      <w:proofErr w:type="spellEnd"/>
      <w:r w:rsidRPr="00296112">
        <w:rPr>
          <w:rFonts w:ascii="Arial" w:hAnsi="Arial" w:cs="Arial"/>
          <w:sz w:val="24"/>
          <w:szCs w:val="24"/>
        </w:rPr>
        <w:t>, Olumide O (2025). Business Performance Analysis Techniques: A Case Study of Marriott. Ssrn.com. [online] doi:10.2139/ssrn.5340588.</w:t>
      </w:r>
    </w:p>
    <w:p w14:paraId="3E409463" w14:textId="77777777" w:rsidR="006B58AC" w:rsidRPr="00296112" w:rsidRDefault="006B58AC" w:rsidP="00B37AD2">
      <w:pPr>
        <w:spacing w:line="360" w:lineRule="auto"/>
        <w:jc w:val="both"/>
        <w:rPr>
          <w:rFonts w:ascii="Arial" w:hAnsi="Arial" w:cs="Arial"/>
          <w:sz w:val="24"/>
          <w:szCs w:val="24"/>
        </w:rPr>
      </w:pPr>
      <w:r w:rsidRPr="00296112">
        <w:rPr>
          <w:rFonts w:ascii="Arial" w:hAnsi="Arial" w:cs="Arial"/>
          <w:sz w:val="24"/>
          <w:szCs w:val="24"/>
        </w:rPr>
        <w:t>How, S.-M. and Lee, C.G. (2020). Customer satisfaction and financial performance-linear or non-linear relationship: a case study of Marriot International. Current Issues in Tourism, pp.1–6. doi:10.1080/13683500.2020.1735319.</w:t>
      </w:r>
    </w:p>
    <w:p w14:paraId="4E89747A" w14:textId="77777777" w:rsidR="006B58AC" w:rsidRPr="00375D9C" w:rsidRDefault="006B58AC" w:rsidP="006B58AC">
      <w:pPr>
        <w:spacing w:line="360" w:lineRule="auto"/>
        <w:jc w:val="both"/>
        <w:rPr>
          <w:rFonts w:ascii="Arial" w:hAnsi="Arial" w:cs="Arial"/>
          <w:sz w:val="24"/>
          <w:szCs w:val="24"/>
        </w:rPr>
      </w:pPr>
      <w:r w:rsidRPr="00375D9C">
        <w:rPr>
          <w:rFonts w:ascii="Arial" w:hAnsi="Arial" w:cs="Arial"/>
          <w:sz w:val="24"/>
          <w:szCs w:val="24"/>
        </w:rPr>
        <w:t xml:space="preserve">ICAEW (2025) ‘ICAEW publishes 2025 update to Code of Ethics’. </w:t>
      </w:r>
      <w:r w:rsidRPr="00375D9C">
        <w:rPr>
          <w:rFonts w:ascii="Arial" w:hAnsi="Arial" w:cs="Arial"/>
          <w:i/>
          <w:iCs/>
          <w:sz w:val="24"/>
          <w:szCs w:val="24"/>
        </w:rPr>
        <w:t>Institute of Chartered Accountants in England and Wales</w:t>
      </w:r>
      <w:r w:rsidRPr="00375D9C">
        <w:rPr>
          <w:rFonts w:ascii="Arial" w:hAnsi="Arial" w:cs="Arial"/>
          <w:sz w:val="24"/>
          <w:szCs w:val="24"/>
        </w:rPr>
        <w:t xml:space="preserve">, 1 April. Available at: </w:t>
      </w:r>
      <w:hyperlink r:id="rId11" w:history="1">
        <w:r w:rsidRPr="00EB6E9C">
          <w:rPr>
            <w:rStyle w:val="Hyperlink"/>
            <w:rFonts w:ascii="Arial" w:hAnsi="Arial" w:cs="Arial"/>
            <w:sz w:val="24"/>
            <w:szCs w:val="24"/>
          </w:rPr>
          <w:t>https://www.icaew.com/insights/viewpoints-on-the-news/2025/apr-2025/icaew-publishes-2025-update-to-code-of-ethics?utm_source</w:t>
        </w:r>
      </w:hyperlink>
      <w:r>
        <w:rPr>
          <w:rFonts w:ascii="Arial" w:hAnsi="Arial" w:cs="Arial"/>
          <w:sz w:val="24"/>
          <w:szCs w:val="24"/>
        </w:rPr>
        <w:t xml:space="preserve"> </w:t>
      </w:r>
      <w:r w:rsidRPr="00375D9C">
        <w:rPr>
          <w:rFonts w:ascii="Arial" w:hAnsi="Arial" w:cs="Arial"/>
          <w:sz w:val="24"/>
          <w:szCs w:val="24"/>
        </w:rPr>
        <w:t xml:space="preserve">(Accessed: 23 July 2026). </w:t>
      </w:r>
    </w:p>
    <w:p w14:paraId="0A465659" w14:textId="77777777" w:rsidR="006B58AC" w:rsidRPr="00296112" w:rsidRDefault="006B58AC" w:rsidP="00B37AD2">
      <w:pPr>
        <w:spacing w:line="360" w:lineRule="auto"/>
        <w:jc w:val="both"/>
        <w:rPr>
          <w:rFonts w:ascii="Arial" w:hAnsi="Arial" w:cs="Arial"/>
          <w:sz w:val="24"/>
          <w:szCs w:val="24"/>
        </w:rPr>
      </w:pPr>
      <w:r w:rsidRPr="00296112">
        <w:rPr>
          <w:rFonts w:ascii="Arial" w:hAnsi="Arial" w:cs="Arial"/>
          <w:sz w:val="24"/>
          <w:szCs w:val="24"/>
        </w:rPr>
        <w:t>Institute of Chartered Accountants in England and Wales (ICAEW) (2026) ‘AI and accountants: the rules and guidance you need to know’. [online] Icaew.com. Available at: https://www.icaew.com/technical/practice-resources/practice-news/ai-and-accountants [Accessed 12 July 2026].</w:t>
      </w:r>
    </w:p>
    <w:p w14:paraId="476B48A2" w14:textId="77777777" w:rsidR="006B58AC" w:rsidRPr="00296112" w:rsidRDefault="006B58AC" w:rsidP="00B37AD2">
      <w:pPr>
        <w:spacing w:line="360" w:lineRule="auto"/>
        <w:jc w:val="both"/>
        <w:rPr>
          <w:rFonts w:ascii="Arial" w:hAnsi="Arial" w:cs="Arial"/>
          <w:sz w:val="24"/>
          <w:szCs w:val="24"/>
        </w:rPr>
      </w:pPr>
      <w:r w:rsidRPr="00296112">
        <w:rPr>
          <w:rFonts w:ascii="Arial" w:hAnsi="Arial" w:cs="Arial"/>
          <w:sz w:val="24"/>
          <w:szCs w:val="24"/>
        </w:rPr>
        <w:t>International Ethics Standards Board for Accountants (IESBA) (2026) IESBA Snapshot: Ethics and Independence Approach to the Use of Technology. [online] Available at: https://www.ethicsboard.org/news-events/2026-06/iesba-snapshot-ethics-and-independence-approach-use-technology [Accessed 12 July 2026].</w:t>
      </w:r>
    </w:p>
    <w:p w14:paraId="79CE4072" w14:textId="77777777" w:rsidR="006B58AC" w:rsidRPr="00296112" w:rsidRDefault="006B58AC" w:rsidP="00B37AD2">
      <w:pPr>
        <w:spacing w:line="360" w:lineRule="auto"/>
        <w:jc w:val="both"/>
        <w:rPr>
          <w:rFonts w:ascii="Arial" w:hAnsi="Arial" w:cs="Arial"/>
          <w:sz w:val="24"/>
          <w:szCs w:val="24"/>
        </w:rPr>
      </w:pPr>
      <w:proofErr w:type="spellStart"/>
      <w:r w:rsidRPr="00296112">
        <w:rPr>
          <w:rFonts w:ascii="Arial" w:hAnsi="Arial" w:cs="Arial"/>
          <w:sz w:val="24"/>
          <w:szCs w:val="24"/>
        </w:rPr>
        <w:t>Lassala</w:t>
      </w:r>
      <w:proofErr w:type="spellEnd"/>
      <w:r w:rsidRPr="00296112">
        <w:rPr>
          <w:rFonts w:ascii="Arial" w:hAnsi="Arial" w:cs="Arial"/>
          <w:sz w:val="24"/>
          <w:szCs w:val="24"/>
        </w:rPr>
        <w:t>, C., Blat, M.O. and Navarrete, S.R. (2021). The financial performance of listed companies in pursuit of the Sustainable Development Goals (SDG). Economic Research-</w:t>
      </w:r>
      <w:proofErr w:type="spellStart"/>
      <w:r w:rsidRPr="00296112">
        <w:rPr>
          <w:rFonts w:ascii="Arial" w:hAnsi="Arial" w:cs="Arial"/>
          <w:sz w:val="24"/>
          <w:szCs w:val="24"/>
        </w:rPr>
        <w:t>Ekonomska</w:t>
      </w:r>
      <w:proofErr w:type="spellEnd"/>
      <w:r w:rsidRPr="00296112">
        <w:rPr>
          <w:rFonts w:ascii="Arial" w:hAnsi="Arial" w:cs="Arial"/>
          <w:sz w:val="24"/>
          <w:szCs w:val="24"/>
        </w:rPr>
        <w:t xml:space="preserve"> </w:t>
      </w:r>
      <w:proofErr w:type="spellStart"/>
      <w:r w:rsidRPr="00296112">
        <w:rPr>
          <w:rFonts w:ascii="Arial" w:hAnsi="Arial" w:cs="Arial"/>
          <w:sz w:val="24"/>
          <w:szCs w:val="24"/>
        </w:rPr>
        <w:t>Istraživanja</w:t>
      </w:r>
      <w:proofErr w:type="spellEnd"/>
      <w:r w:rsidRPr="00296112">
        <w:rPr>
          <w:rFonts w:ascii="Arial" w:hAnsi="Arial" w:cs="Arial"/>
          <w:sz w:val="24"/>
          <w:szCs w:val="24"/>
        </w:rPr>
        <w:t>, [online] 34(1), pp.427–449. doi:10.1080/1331677x.2021.1877167.</w:t>
      </w:r>
    </w:p>
    <w:p w14:paraId="788B4E32" w14:textId="77777777" w:rsidR="006B58AC" w:rsidRPr="00296112" w:rsidRDefault="006B58AC" w:rsidP="00B37AD2">
      <w:pPr>
        <w:spacing w:line="360" w:lineRule="auto"/>
        <w:jc w:val="both"/>
        <w:rPr>
          <w:rFonts w:ascii="Arial" w:hAnsi="Arial" w:cs="Arial"/>
          <w:sz w:val="24"/>
          <w:szCs w:val="24"/>
        </w:rPr>
      </w:pPr>
      <w:r w:rsidRPr="00296112">
        <w:rPr>
          <w:rFonts w:ascii="Arial" w:hAnsi="Arial" w:cs="Arial"/>
          <w:sz w:val="24"/>
          <w:szCs w:val="24"/>
        </w:rPr>
        <w:t>Marriott International (2024). Annual | Marriott International. [online] Marriott International. Available at: https://marriott.gcs-web.com/annual [Accessed 12 July 2026].</w:t>
      </w:r>
    </w:p>
    <w:p w14:paraId="1343CCE0" w14:textId="77777777" w:rsidR="006B58AC" w:rsidRPr="00296112" w:rsidRDefault="006B58AC" w:rsidP="00B37AD2">
      <w:pPr>
        <w:spacing w:line="360" w:lineRule="auto"/>
        <w:jc w:val="both"/>
        <w:rPr>
          <w:rFonts w:ascii="Arial" w:hAnsi="Arial" w:cs="Arial"/>
          <w:sz w:val="24"/>
          <w:szCs w:val="24"/>
        </w:rPr>
      </w:pPr>
      <w:r w:rsidRPr="00296112">
        <w:rPr>
          <w:rFonts w:ascii="Arial" w:hAnsi="Arial" w:cs="Arial"/>
          <w:sz w:val="24"/>
          <w:szCs w:val="24"/>
        </w:rPr>
        <w:lastRenderedPageBreak/>
        <w:t>Marriott International Reports Fourth Quarter and Full Year 2025 Results | Marriott International. (2025). [online] Marriott International. Available at: https://marriott.gcs-web.com/news-releases/news-release-details/marriott-international-reports-fourth-quarter-and-full-year-2025 [Accessed 12 July 2026].</w:t>
      </w:r>
    </w:p>
    <w:p w14:paraId="2B1778D4" w14:textId="77777777" w:rsidR="006B58AC" w:rsidRPr="00296112" w:rsidRDefault="006B58AC" w:rsidP="00B37AD2">
      <w:pPr>
        <w:spacing w:line="360" w:lineRule="auto"/>
        <w:jc w:val="both"/>
        <w:rPr>
          <w:rFonts w:ascii="Arial" w:hAnsi="Arial" w:cs="Arial"/>
          <w:sz w:val="24"/>
          <w:szCs w:val="24"/>
        </w:rPr>
      </w:pPr>
      <w:r w:rsidRPr="00296112">
        <w:rPr>
          <w:rFonts w:ascii="Arial" w:hAnsi="Arial" w:cs="Arial"/>
          <w:sz w:val="24"/>
          <w:szCs w:val="24"/>
        </w:rPr>
        <w:t xml:space="preserve">Marriott International, Inc. (2023) 2022 Annual Report. Bethesda, MD: Marriott International, Inc. Available at: Marriott International Investor Relations (Accessed: 23 July 2026). </w:t>
      </w:r>
    </w:p>
    <w:p w14:paraId="3E83337C" w14:textId="77777777" w:rsidR="006B58AC" w:rsidRPr="00296112" w:rsidRDefault="006B58AC" w:rsidP="00B37AD2">
      <w:pPr>
        <w:spacing w:line="360" w:lineRule="auto"/>
        <w:jc w:val="both"/>
        <w:rPr>
          <w:rFonts w:ascii="Arial" w:hAnsi="Arial" w:cs="Arial"/>
          <w:sz w:val="24"/>
          <w:szCs w:val="24"/>
        </w:rPr>
      </w:pPr>
      <w:r w:rsidRPr="00296112">
        <w:rPr>
          <w:rFonts w:ascii="Arial" w:hAnsi="Arial" w:cs="Arial"/>
          <w:sz w:val="24"/>
          <w:szCs w:val="24"/>
        </w:rPr>
        <w:t>Marriott International, Inc. (2024) 2023 Annual Report. Bethesda, MD: Marriott International, Inc. Available at: Marriott International Investor Relations [online] Available at: https://marriott.gcs-web.com/static-files/a7664c0f-5bd1-4066-9fc9-b05eb6c93772 [Accessed 12 July 2026].</w:t>
      </w:r>
    </w:p>
    <w:p w14:paraId="4A5AE70D" w14:textId="77777777" w:rsidR="006B58AC" w:rsidRPr="00296112" w:rsidRDefault="006B58AC" w:rsidP="00B37AD2">
      <w:pPr>
        <w:spacing w:line="360" w:lineRule="auto"/>
        <w:jc w:val="both"/>
        <w:rPr>
          <w:rFonts w:ascii="Arial" w:hAnsi="Arial" w:cs="Arial"/>
          <w:sz w:val="24"/>
          <w:szCs w:val="24"/>
        </w:rPr>
      </w:pPr>
      <w:r w:rsidRPr="00296112">
        <w:rPr>
          <w:rFonts w:ascii="Arial" w:hAnsi="Arial" w:cs="Arial"/>
          <w:sz w:val="24"/>
          <w:szCs w:val="24"/>
        </w:rPr>
        <w:t xml:space="preserve">Marriott International, Inc. (2025) ‘Marriott International to acquire the </w:t>
      </w:r>
      <w:proofErr w:type="spellStart"/>
      <w:r w:rsidRPr="00296112">
        <w:rPr>
          <w:rFonts w:ascii="Arial" w:hAnsi="Arial" w:cs="Arial"/>
          <w:sz w:val="24"/>
          <w:szCs w:val="24"/>
        </w:rPr>
        <w:t>citizenM</w:t>
      </w:r>
      <w:proofErr w:type="spellEnd"/>
      <w:r w:rsidRPr="00296112">
        <w:rPr>
          <w:rFonts w:ascii="Arial" w:hAnsi="Arial" w:cs="Arial"/>
          <w:sz w:val="24"/>
          <w:szCs w:val="24"/>
        </w:rPr>
        <w:t xml:space="preserve"> brand’, 28 April. Available at: Marriott International Investor Relations (Accessed: 23 July 2026). </w:t>
      </w:r>
    </w:p>
    <w:p w14:paraId="1C5EB0BF" w14:textId="77777777" w:rsidR="006B58AC" w:rsidRPr="00296112" w:rsidRDefault="006B58AC" w:rsidP="00B37AD2">
      <w:pPr>
        <w:spacing w:line="360" w:lineRule="auto"/>
        <w:jc w:val="both"/>
        <w:rPr>
          <w:rFonts w:ascii="Arial" w:hAnsi="Arial" w:cs="Arial"/>
          <w:sz w:val="24"/>
          <w:szCs w:val="24"/>
        </w:rPr>
      </w:pPr>
      <w:r w:rsidRPr="00296112">
        <w:rPr>
          <w:rFonts w:ascii="Arial" w:hAnsi="Arial" w:cs="Arial"/>
          <w:sz w:val="24"/>
          <w:szCs w:val="24"/>
        </w:rPr>
        <w:t xml:space="preserve">Marriott International, Inc. (2025) 2025 Serve 360 Report: Global Progress. Bethesda, MD: Marriott International, Inc. Available at: Marriott International Serve 360 (Accessed: 23 July 2026). </w:t>
      </w:r>
    </w:p>
    <w:p w14:paraId="77AF4CC0" w14:textId="77777777" w:rsidR="006B58AC" w:rsidRPr="00296112" w:rsidRDefault="006B58AC" w:rsidP="00B37AD2">
      <w:pPr>
        <w:spacing w:line="360" w:lineRule="auto"/>
        <w:jc w:val="both"/>
        <w:rPr>
          <w:rFonts w:ascii="Arial" w:hAnsi="Arial" w:cs="Arial"/>
          <w:sz w:val="24"/>
          <w:szCs w:val="24"/>
        </w:rPr>
      </w:pPr>
      <w:r w:rsidRPr="00296112">
        <w:rPr>
          <w:rFonts w:ascii="Arial" w:hAnsi="Arial" w:cs="Arial"/>
          <w:sz w:val="24"/>
          <w:szCs w:val="24"/>
        </w:rPr>
        <w:t xml:space="preserve">Marriott International, Inc. (2026) 2025 Annual Report. Bethesda, MD: Marriott International, Inc. Available at: Marriott International Investor Relations (Accessed: 23 July 2026). </w:t>
      </w:r>
    </w:p>
    <w:p w14:paraId="1B2058E3" w14:textId="77777777" w:rsidR="006B58AC" w:rsidRPr="00375D9C" w:rsidRDefault="006B58AC" w:rsidP="006B58AC">
      <w:pPr>
        <w:spacing w:line="360" w:lineRule="auto"/>
        <w:jc w:val="both"/>
        <w:rPr>
          <w:rFonts w:ascii="Arial" w:hAnsi="Arial" w:cs="Arial"/>
          <w:sz w:val="24"/>
          <w:szCs w:val="24"/>
        </w:rPr>
      </w:pPr>
      <w:r w:rsidRPr="00375D9C">
        <w:rPr>
          <w:rFonts w:ascii="Arial" w:hAnsi="Arial" w:cs="Arial"/>
          <w:sz w:val="24"/>
          <w:szCs w:val="24"/>
        </w:rPr>
        <w:t xml:space="preserve">National Institute of Standards and Technology (NIST) (2023) </w:t>
      </w:r>
      <w:r w:rsidRPr="00375D9C">
        <w:rPr>
          <w:rFonts w:ascii="Arial" w:hAnsi="Arial" w:cs="Arial"/>
          <w:i/>
          <w:iCs/>
          <w:sz w:val="24"/>
          <w:szCs w:val="24"/>
        </w:rPr>
        <w:t>Artificial Intelligence Risk Management Framework (AI RMF 1.0)</w:t>
      </w:r>
      <w:r w:rsidRPr="00375D9C">
        <w:rPr>
          <w:rFonts w:ascii="Arial" w:hAnsi="Arial" w:cs="Arial"/>
          <w:sz w:val="24"/>
          <w:szCs w:val="24"/>
        </w:rPr>
        <w:t xml:space="preserve">. NIST AI 100-1. Gaithersburg, MD: National Institute of Standards and Technology. Available at: </w:t>
      </w:r>
      <w:hyperlink r:id="rId12" w:tgtFrame="_new" w:history="1">
        <w:r w:rsidRPr="00375D9C">
          <w:rPr>
            <w:rStyle w:val="Hyperlink"/>
            <w:rFonts w:ascii="Arial" w:hAnsi="Arial" w:cs="Arial"/>
            <w:sz w:val="24"/>
            <w:szCs w:val="24"/>
          </w:rPr>
          <w:t>https://doi.org/10.6028/NIST.AI.100-1</w:t>
        </w:r>
      </w:hyperlink>
      <w:r w:rsidRPr="00375D9C">
        <w:rPr>
          <w:rFonts w:ascii="Arial" w:hAnsi="Arial" w:cs="Arial"/>
          <w:sz w:val="24"/>
          <w:szCs w:val="24"/>
        </w:rPr>
        <w:t xml:space="preserve"> (Accessed: 23 July 2026). </w:t>
      </w:r>
    </w:p>
    <w:p w14:paraId="42FECF1C" w14:textId="77777777" w:rsidR="006B58AC" w:rsidRPr="00296112" w:rsidRDefault="006B58AC" w:rsidP="00B37AD2">
      <w:pPr>
        <w:spacing w:line="360" w:lineRule="auto"/>
        <w:jc w:val="both"/>
        <w:rPr>
          <w:rFonts w:ascii="Arial" w:hAnsi="Arial" w:cs="Arial"/>
          <w:sz w:val="24"/>
          <w:szCs w:val="24"/>
        </w:rPr>
      </w:pPr>
      <w:r w:rsidRPr="00296112">
        <w:rPr>
          <w:rFonts w:ascii="Arial" w:hAnsi="Arial" w:cs="Arial"/>
          <w:sz w:val="24"/>
          <w:szCs w:val="24"/>
        </w:rPr>
        <w:t xml:space="preserve">Nguyen, T.H.H., </w:t>
      </w:r>
      <w:proofErr w:type="spellStart"/>
      <w:r w:rsidRPr="00296112">
        <w:rPr>
          <w:rFonts w:ascii="Arial" w:hAnsi="Arial" w:cs="Arial"/>
          <w:sz w:val="24"/>
          <w:szCs w:val="24"/>
        </w:rPr>
        <w:t>Elmagrhi</w:t>
      </w:r>
      <w:proofErr w:type="spellEnd"/>
      <w:r w:rsidRPr="00296112">
        <w:rPr>
          <w:rFonts w:ascii="Arial" w:hAnsi="Arial" w:cs="Arial"/>
          <w:sz w:val="24"/>
          <w:szCs w:val="24"/>
        </w:rPr>
        <w:t xml:space="preserve">, M.H., </w:t>
      </w:r>
      <w:proofErr w:type="spellStart"/>
      <w:r w:rsidRPr="00296112">
        <w:rPr>
          <w:rFonts w:ascii="Arial" w:hAnsi="Arial" w:cs="Arial"/>
          <w:sz w:val="24"/>
          <w:szCs w:val="24"/>
        </w:rPr>
        <w:t>Ntim</w:t>
      </w:r>
      <w:proofErr w:type="spellEnd"/>
      <w:r w:rsidRPr="00296112">
        <w:rPr>
          <w:rFonts w:ascii="Arial" w:hAnsi="Arial" w:cs="Arial"/>
          <w:sz w:val="24"/>
          <w:szCs w:val="24"/>
        </w:rPr>
        <w:t>, C.G. and Wu, Y. (2021). Environmental performance, sustainability, governance and financial performance: Evidence from heavily polluting industries in China. Business Strategy and the Environment, [online] 30(5), pp.2313–2331. doi:10.1002/bse.2748.</w:t>
      </w:r>
    </w:p>
    <w:p w14:paraId="445C4C6C" w14:textId="77777777" w:rsidR="006B58AC" w:rsidRPr="00296112" w:rsidRDefault="006B58AC" w:rsidP="00B37AD2">
      <w:pPr>
        <w:spacing w:line="360" w:lineRule="auto"/>
        <w:jc w:val="both"/>
        <w:rPr>
          <w:rFonts w:ascii="Arial" w:hAnsi="Arial" w:cs="Arial"/>
          <w:sz w:val="24"/>
          <w:szCs w:val="24"/>
        </w:rPr>
      </w:pPr>
      <w:proofErr w:type="spellStart"/>
      <w:r w:rsidRPr="00296112">
        <w:rPr>
          <w:rFonts w:ascii="Arial" w:hAnsi="Arial" w:cs="Arial"/>
          <w:sz w:val="24"/>
          <w:szCs w:val="24"/>
        </w:rPr>
        <w:t>OpenAI</w:t>
      </w:r>
      <w:proofErr w:type="spellEnd"/>
      <w:r w:rsidRPr="00296112">
        <w:rPr>
          <w:rFonts w:ascii="Arial" w:hAnsi="Arial" w:cs="Arial"/>
          <w:sz w:val="24"/>
          <w:szCs w:val="24"/>
        </w:rPr>
        <w:t xml:space="preserve"> (2024). Enterprise privacy at </w:t>
      </w:r>
      <w:proofErr w:type="spellStart"/>
      <w:r w:rsidRPr="00296112">
        <w:rPr>
          <w:rFonts w:ascii="Arial" w:hAnsi="Arial" w:cs="Arial"/>
          <w:sz w:val="24"/>
          <w:szCs w:val="24"/>
        </w:rPr>
        <w:t>OpenAI</w:t>
      </w:r>
      <w:proofErr w:type="spellEnd"/>
      <w:r w:rsidRPr="00296112">
        <w:rPr>
          <w:rFonts w:ascii="Arial" w:hAnsi="Arial" w:cs="Arial"/>
          <w:sz w:val="24"/>
          <w:szCs w:val="24"/>
        </w:rPr>
        <w:t>. [online] Openai.com. Available at: https://openai.com/enterprise-privacy/ [Accessed 12 July 2026].</w:t>
      </w:r>
    </w:p>
    <w:p w14:paraId="23ECB09D" w14:textId="77777777" w:rsidR="006B58AC" w:rsidRPr="00375D9C" w:rsidRDefault="006B58AC" w:rsidP="006B58AC">
      <w:pPr>
        <w:spacing w:line="360" w:lineRule="auto"/>
        <w:jc w:val="both"/>
        <w:rPr>
          <w:rFonts w:ascii="Arial" w:hAnsi="Arial" w:cs="Arial"/>
          <w:sz w:val="24"/>
          <w:szCs w:val="24"/>
        </w:rPr>
      </w:pPr>
      <w:proofErr w:type="spellStart"/>
      <w:r w:rsidRPr="00375D9C">
        <w:rPr>
          <w:rFonts w:ascii="Arial" w:hAnsi="Arial" w:cs="Arial"/>
          <w:sz w:val="24"/>
          <w:szCs w:val="24"/>
        </w:rPr>
        <w:lastRenderedPageBreak/>
        <w:t>Organisation</w:t>
      </w:r>
      <w:proofErr w:type="spellEnd"/>
      <w:r w:rsidRPr="00375D9C">
        <w:rPr>
          <w:rFonts w:ascii="Arial" w:hAnsi="Arial" w:cs="Arial"/>
          <w:sz w:val="24"/>
          <w:szCs w:val="24"/>
        </w:rPr>
        <w:t xml:space="preserve"> for Economic Co-operation and Development (OECD) (2024) </w:t>
      </w:r>
      <w:r w:rsidRPr="00375D9C">
        <w:rPr>
          <w:rFonts w:ascii="Arial" w:hAnsi="Arial" w:cs="Arial"/>
          <w:i/>
          <w:iCs/>
          <w:sz w:val="24"/>
          <w:szCs w:val="24"/>
        </w:rPr>
        <w:t>OECD AI Principles</w:t>
      </w:r>
      <w:r w:rsidRPr="00375D9C">
        <w:rPr>
          <w:rFonts w:ascii="Arial" w:hAnsi="Arial" w:cs="Arial"/>
          <w:sz w:val="24"/>
          <w:szCs w:val="24"/>
        </w:rPr>
        <w:t xml:space="preserve">. Paris: OECD. Available at: </w:t>
      </w:r>
      <w:hyperlink r:id="rId13" w:history="1">
        <w:r w:rsidRPr="00EB6E9C">
          <w:rPr>
            <w:rStyle w:val="Hyperlink"/>
            <w:rFonts w:ascii="Arial" w:hAnsi="Arial" w:cs="Arial"/>
            <w:sz w:val="24"/>
            <w:szCs w:val="24"/>
          </w:rPr>
          <w:t>https://www.oecd.org/en/topics/ai-principles.html?utm_source</w:t>
        </w:r>
      </w:hyperlink>
      <w:r>
        <w:rPr>
          <w:rFonts w:ascii="Arial" w:hAnsi="Arial" w:cs="Arial"/>
          <w:sz w:val="24"/>
          <w:szCs w:val="24"/>
        </w:rPr>
        <w:t xml:space="preserve"> </w:t>
      </w:r>
      <w:r w:rsidRPr="00375D9C">
        <w:rPr>
          <w:rFonts w:ascii="Arial" w:hAnsi="Arial" w:cs="Arial"/>
          <w:sz w:val="24"/>
          <w:szCs w:val="24"/>
        </w:rPr>
        <w:t xml:space="preserve">(Accessed: 23 July 2026). </w:t>
      </w:r>
    </w:p>
    <w:p w14:paraId="4A4047A8" w14:textId="77777777" w:rsidR="006B58AC" w:rsidRPr="00296112" w:rsidRDefault="006B58AC" w:rsidP="00B37AD2">
      <w:pPr>
        <w:spacing w:line="360" w:lineRule="auto"/>
        <w:jc w:val="both"/>
        <w:rPr>
          <w:rFonts w:ascii="Arial" w:hAnsi="Arial" w:cs="Arial"/>
          <w:sz w:val="24"/>
          <w:szCs w:val="24"/>
        </w:rPr>
      </w:pPr>
      <w:proofErr w:type="spellStart"/>
      <w:r w:rsidRPr="00296112">
        <w:rPr>
          <w:rFonts w:ascii="Arial" w:hAnsi="Arial" w:cs="Arial"/>
          <w:sz w:val="24"/>
          <w:szCs w:val="24"/>
        </w:rPr>
        <w:t>ReadyRatios</w:t>
      </w:r>
      <w:proofErr w:type="spellEnd"/>
      <w:r w:rsidRPr="00296112">
        <w:rPr>
          <w:rFonts w:ascii="Arial" w:hAnsi="Arial" w:cs="Arial"/>
          <w:sz w:val="24"/>
          <w:szCs w:val="24"/>
        </w:rPr>
        <w:t xml:space="preserve"> (2026) Hotels and Motels: industry financial ratios benchmarking. [online] www.readyratios.com. Available at: https://www.readyratios.com/sec/industry/7011/ [Accessed 12 July 2026].</w:t>
      </w:r>
    </w:p>
    <w:p w14:paraId="1F09E2F5" w14:textId="77777777" w:rsidR="006B58AC" w:rsidRPr="00296112" w:rsidRDefault="006B58AC" w:rsidP="00B37AD2">
      <w:pPr>
        <w:spacing w:line="360" w:lineRule="auto"/>
        <w:jc w:val="both"/>
        <w:rPr>
          <w:rFonts w:ascii="Arial" w:hAnsi="Arial" w:cs="Arial"/>
          <w:sz w:val="24"/>
          <w:szCs w:val="24"/>
        </w:rPr>
      </w:pPr>
      <w:r w:rsidRPr="00296112">
        <w:rPr>
          <w:rFonts w:ascii="Arial" w:hAnsi="Arial" w:cs="Arial"/>
          <w:sz w:val="24"/>
          <w:szCs w:val="24"/>
        </w:rPr>
        <w:t xml:space="preserve">Sarfraz, M., Ozturk, I., </w:t>
      </w:r>
      <w:proofErr w:type="spellStart"/>
      <w:r w:rsidRPr="00296112">
        <w:rPr>
          <w:rFonts w:ascii="Arial" w:hAnsi="Arial" w:cs="Arial"/>
          <w:sz w:val="24"/>
          <w:szCs w:val="24"/>
        </w:rPr>
        <w:t>Yoo</w:t>
      </w:r>
      <w:proofErr w:type="spellEnd"/>
      <w:r w:rsidRPr="00296112">
        <w:rPr>
          <w:rFonts w:ascii="Arial" w:hAnsi="Arial" w:cs="Arial"/>
          <w:sz w:val="24"/>
          <w:szCs w:val="24"/>
        </w:rPr>
        <w:t>, S., Raza, M.A. and Han, H. (2023). Toward a new understanding of environmental and financial performance through corporate social responsibility, green innovation, and sustainable development. Humanities and Social Sciences Communications, [online] 10(1), pp.1–17. doi:10.1057/s41599-023-01799-4.</w:t>
      </w:r>
    </w:p>
    <w:p w14:paraId="59548C32" w14:textId="77777777" w:rsidR="006B58AC" w:rsidRPr="00296112" w:rsidRDefault="006B58AC" w:rsidP="00B37AD2">
      <w:pPr>
        <w:spacing w:line="360" w:lineRule="auto"/>
        <w:jc w:val="both"/>
        <w:rPr>
          <w:rFonts w:ascii="Arial" w:hAnsi="Arial" w:cs="Arial"/>
          <w:sz w:val="24"/>
          <w:szCs w:val="24"/>
        </w:rPr>
      </w:pPr>
      <w:r w:rsidRPr="00296112">
        <w:rPr>
          <w:rFonts w:ascii="Arial" w:hAnsi="Arial" w:cs="Arial"/>
          <w:sz w:val="24"/>
          <w:szCs w:val="24"/>
        </w:rPr>
        <w:t>Statista. (2025). Marriott International operating profit 2021-2025. [online] Available at: https://www.statista.com/statistics/1529312/marriott-international-operating-profit/ [Accessed 12 July 2026].</w:t>
      </w:r>
    </w:p>
    <w:p w14:paraId="1B93470A" w14:textId="77777777" w:rsidR="006B58AC" w:rsidRPr="00296112" w:rsidRDefault="006B58AC" w:rsidP="00B37AD2">
      <w:pPr>
        <w:spacing w:line="360" w:lineRule="auto"/>
        <w:jc w:val="both"/>
        <w:rPr>
          <w:rFonts w:ascii="Arial" w:hAnsi="Arial" w:cs="Arial"/>
          <w:sz w:val="24"/>
          <w:szCs w:val="24"/>
        </w:rPr>
      </w:pPr>
      <w:r w:rsidRPr="00296112">
        <w:rPr>
          <w:rFonts w:ascii="Arial" w:hAnsi="Arial" w:cs="Arial"/>
          <w:sz w:val="24"/>
          <w:szCs w:val="24"/>
        </w:rPr>
        <w:t xml:space="preserve">Whelan, T., </w:t>
      </w:r>
      <w:proofErr w:type="spellStart"/>
      <w:r w:rsidRPr="00296112">
        <w:rPr>
          <w:rFonts w:ascii="Arial" w:hAnsi="Arial" w:cs="Arial"/>
          <w:sz w:val="24"/>
          <w:szCs w:val="24"/>
        </w:rPr>
        <w:t>Atz</w:t>
      </w:r>
      <w:proofErr w:type="spellEnd"/>
      <w:r w:rsidRPr="00296112">
        <w:rPr>
          <w:rFonts w:ascii="Arial" w:hAnsi="Arial" w:cs="Arial"/>
          <w:sz w:val="24"/>
          <w:szCs w:val="24"/>
        </w:rPr>
        <w:t>, U. and Clark, C. (2021). ESG AND FINANCIAL PERFORMANCE: Uncovering the Relationship by Aggregating Evidence from 1,000 Plus Studies. [online] Available at: https://sri360.com/wp-content/uploads/2022/10/NYU-RAM_ESG-Paper_2021-2.pdf [Accessed 23 July 2026].</w:t>
      </w:r>
    </w:p>
    <w:p w14:paraId="7C18FB2F" w14:textId="77777777" w:rsidR="006B58AC" w:rsidRDefault="006B58AC" w:rsidP="00B37AD2">
      <w:pPr>
        <w:spacing w:line="360" w:lineRule="auto"/>
        <w:jc w:val="both"/>
        <w:rPr>
          <w:rFonts w:ascii="Arial" w:hAnsi="Arial" w:cs="Arial"/>
          <w:sz w:val="24"/>
          <w:szCs w:val="24"/>
        </w:rPr>
      </w:pPr>
      <w:r w:rsidRPr="00296112">
        <w:rPr>
          <w:rFonts w:ascii="Arial" w:hAnsi="Arial" w:cs="Arial"/>
          <w:sz w:val="24"/>
          <w:szCs w:val="24"/>
        </w:rPr>
        <w:t xml:space="preserve">Yu, Y., Zhang, J.Z., Cao, Y. and </w:t>
      </w:r>
      <w:proofErr w:type="spellStart"/>
      <w:r w:rsidRPr="00296112">
        <w:rPr>
          <w:rFonts w:ascii="Arial" w:hAnsi="Arial" w:cs="Arial"/>
          <w:sz w:val="24"/>
          <w:szCs w:val="24"/>
        </w:rPr>
        <w:t>Kazancoglu</w:t>
      </w:r>
      <w:proofErr w:type="spellEnd"/>
      <w:r w:rsidRPr="00296112">
        <w:rPr>
          <w:rFonts w:ascii="Arial" w:hAnsi="Arial" w:cs="Arial"/>
          <w:sz w:val="24"/>
          <w:szCs w:val="24"/>
        </w:rPr>
        <w:t xml:space="preserve">, Y. (2021). Intelligent transformation of the manufacturing industry for Industry 4.0: Seizing financial benefits from supply chain relationship capital through enterprise green management. Technological Forecasting and Social Change, 172(1), p.120999. </w:t>
      </w:r>
      <w:proofErr w:type="gramStart"/>
      <w:r w:rsidRPr="00296112">
        <w:rPr>
          <w:rFonts w:ascii="Arial" w:hAnsi="Arial" w:cs="Arial"/>
          <w:sz w:val="24"/>
          <w:szCs w:val="24"/>
        </w:rPr>
        <w:t>doi:10.1016/j.techfore</w:t>
      </w:r>
      <w:proofErr w:type="gramEnd"/>
      <w:r w:rsidRPr="00296112">
        <w:rPr>
          <w:rFonts w:ascii="Arial" w:hAnsi="Arial" w:cs="Arial"/>
          <w:sz w:val="24"/>
          <w:szCs w:val="24"/>
        </w:rPr>
        <w:t>.2021.120999.</w:t>
      </w:r>
    </w:p>
    <w:p w14:paraId="515BFCA7" w14:textId="77777777" w:rsidR="001476AF" w:rsidRPr="00F837E2" w:rsidRDefault="001476AF" w:rsidP="00393D01">
      <w:pPr>
        <w:spacing w:line="360" w:lineRule="auto"/>
        <w:rPr>
          <w:rFonts w:ascii="Arial" w:hAnsi="Arial" w:cs="Arial"/>
          <w:sz w:val="24"/>
          <w:szCs w:val="24"/>
        </w:rPr>
      </w:pPr>
    </w:p>
    <w:p w14:paraId="6CC65C65" w14:textId="77777777" w:rsidR="00303A11" w:rsidRPr="00F837E2" w:rsidRDefault="00303A11" w:rsidP="00393D01">
      <w:pPr>
        <w:spacing w:line="360" w:lineRule="auto"/>
        <w:rPr>
          <w:rFonts w:ascii="Arial" w:hAnsi="Arial" w:cs="Arial"/>
          <w:sz w:val="24"/>
          <w:szCs w:val="24"/>
        </w:rPr>
      </w:pPr>
    </w:p>
    <w:p w14:paraId="1ABFA240" w14:textId="77777777" w:rsidR="00303A11" w:rsidRPr="00F837E2" w:rsidRDefault="00303A11" w:rsidP="00393D01">
      <w:pPr>
        <w:spacing w:line="360" w:lineRule="auto"/>
        <w:rPr>
          <w:rFonts w:ascii="Arial" w:hAnsi="Arial" w:cs="Arial"/>
          <w:sz w:val="24"/>
          <w:szCs w:val="24"/>
        </w:rPr>
      </w:pPr>
    </w:p>
    <w:p w14:paraId="01FA6CCA" w14:textId="77777777" w:rsidR="007F23F1" w:rsidRPr="00F837E2" w:rsidRDefault="007F23F1" w:rsidP="00393D01">
      <w:pPr>
        <w:spacing w:line="360" w:lineRule="auto"/>
        <w:rPr>
          <w:rFonts w:ascii="Arial" w:hAnsi="Arial" w:cs="Arial"/>
          <w:sz w:val="24"/>
          <w:szCs w:val="24"/>
        </w:rPr>
      </w:pPr>
    </w:p>
    <w:p w14:paraId="3B1F0995" w14:textId="77777777" w:rsidR="00303A11" w:rsidRPr="00F837E2" w:rsidRDefault="00303A11" w:rsidP="00393D01">
      <w:pPr>
        <w:spacing w:line="360" w:lineRule="auto"/>
        <w:rPr>
          <w:rFonts w:ascii="Arial" w:hAnsi="Arial" w:cs="Arial"/>
          <w:sz w:val="24"/>
          <w:szCs w:val="24"/>
        </w:rPr>
      </w:pPr>
    </w:p>
    <w:p w14:paraId="7E931643" w14:textId="6F83A2B5" w:rsidR="001476AF" w:rsidRPr="00F837E2" w:rsidRDefault="001476AF" w:rsidP="00393D01">
      <w:pPr>
        <w:pStyle w:val="Heading1"/>
        <w:spacing w:line="360" w:lineRule="auto"/>
        <w:rPr>
          <w:rFonts w:ascii="Arial" w:hAnsi="Arial" w:cs="Arial"/>
          <w:sz w:val="24"/>
          <w:szCs w:val="24"/>
        </w:rPr>
      </w:pPr>
      <w:bookmarkStart w:id="30" w:name="_Toc235687085"/>
      <w:r w:rsidRPr="00F837E2">
        <w:rPr>
          <w:rFonts w:ascii="Arial" w:hAnsi="Arial" w:cs="Arial"/>
          <w:sz w:val="24"/>
          <w:szCs w:val="24"/>
        </w:rPr>
        <w:lastRenderedPageBreak/>
        <w:t>Appendices</w:t>
      </w:r>
      <w:bookmarkEnd w:id="30"/>
    </w:p>
    <w:p w14:paraId="1C853975" w14:textId="77777777" w:rsidR="00393D01" w:rsidRPr="00F837E2" w:rsidRDefault="00393D01" w:rsidP="00393D01">
      <w:pPr>
        <w:pStyle w:val="Heading2"/>
        <w:spacing w:line="360" w:lineRule="auto"/>
        <w:rPr>
          <w:rFonts w:ascii="Arial" w:hAnsi="Arial" w:cs="Arial"/>
          <w:sz w:val="24"/>
          <w:szCs w:val="24"/>
        </w:rPr>
      </w:pPr>
      <w:bookmarkStart w:id="31" w:name="_Toc235687086"/>
      <w:r w:rsidRPr="00F837E2">
        <w:rPr>
          <w:rFonts w:ascii="Arial" w:hAnsi="Arial" w:cs="Arial"/>
          <w:sz w:val="24"/>
          <w:szCs w:val="24"/>
        </w:rPr>
        <w:t>Appendix A: Five-Year Financial and Ratio Summary</w:t>
      </w:r>
      <w:bookmarkEnd w:id="31"/>
    </w:p>
    <w:tbl>
      <w:tblPr>
        <w:tblStyle w:val="GridTable4-Accent4"/>
        <w:tblW w:w="9457" w:type="dxa"/>
        <w:tblLook w:val="04A0" w:firstRow="1" w:lastRow="0" w:firstColumn="1" w:lastColumn="0" w:noHBand="0" w:noVBand="1"/>
      </w:tblPr>
      <w:tblGrid>
        <w:gridCol w:w="3722"/>
        <w:gridCol w:w="1147"/>
        <w:gridCol w:w="1147"/>
        <w:gridCol w:w="1147"/>
        <w:gridCol w:w="1147"/>
        <w:gridCol w:w="1147"/>
      </w:tblGrid>
      <w:tr w:rsidR="00393D01" w:rsidRPr="00F837E2" w14:paraId="5DB13E3B" w14:textId="77777777" w:rsidTr="00393D01">
        <w:trPr>
          <w:cnfStyle w:val="100000000000" w:firstRow="1" w:lastRow="0" w:firstColumn="0" w:lastColumn="0" w:oddVBand="0" w:evenVBand="0" w:oddHBand="0" w:evenHBand="0" w:firstRowFirstColumn="0" w:firstRowLastColumn="0" w:lastRowFirstColumn="0" w:lastRowLastColumn="0"/>
          <w:trHeight w:val="587"/>
        </w:trPr>
        <w:tc>
          <w:tcPr>
            <w:cnfStyle w:val="001000000000" w:firstRow="0" w:lastRow="0" w:firstColumn="1" w:lastColumn="0" w:oddVBand="0" w:evenVBand="0" w:oddHBand="0" w:evenHBand="0" w:firstRowFirstColumn="0" w:firstRowLastColumn="0" w:lastRowFirstColumn="0" w:lastRowLastColumn="0"/>
            <w:tcW w:w="0" w:type="auto"/>
            <w:hideMark/>
          </w:tcPr>
          <w:p w14:paraId="3DFA0ECD" w14:textId="77777777" w:rsidR="00393D01" w:rsidRPr="00F837E2" w:rsidRDefault="00393D01" w:rsidP="00393D01">
            <w:pPr>
              <w:spacing w:after="160" w:line="360" w:lineRule="auto"/>
              <w:jc w:val="both"/>
              <w:rPr>
                <w:rFonts w:ascii="Arial" w:hAnsi="Arial" w:cs="Arial"/>
                <w:sz w:val="24"/>
                <w:szCs w:val="24"/>
              </w:rPr>
            </w:pPr>
            <w:r w:rsidRPr="00F837E2">
              <w:rPr>
                <w:rFonts w:ascii="Arial" w:hAnsi="Arial" w:cs="Arial"/>
                <w:sz w:val="24"/>
                <w:szCs w:val="24"/>
              </w:rPr>
              <w:t>Measure</w:t>
            </w:r>
          </w:p>
        </w:tc>
        <w:tc>
          <w:tcPr>
            <w:tcW w:w="0" w:type="auto"/>
            <w:hideMark/>
          </w:tcPr>
          <w:p w14:paraId="3D16AB62" w14:textId="77777777" w:rsidR="00393D01" w:rsidRPr="00F837E2" w:rsidRDefault="00393D01" w:rsidP="00393D01">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F837E2">
              <w:rPr>
                <w:rFonts w:ascii="Arial" w:hAnsi="Arial" w:cs="Arial"/>
                <w:sz w:val="24"/>
                <w:szCs w:val="24"/>
              </w:rPr>
              <w:t>2021</w:t>
            </w:r>
          </w:p>
        </w:tc>
        <w:tc>
          <w:tcPr>
            <w:tcW w:w="0" w:type="auto"/>
            <w:hideMark/>
          </w:tcPr>
          <w:p w14:paraId="29B9B16F" w14:textId="77777777" w:rsidR="00393D01" w:rsidRPr="00F837E2" w:rsidRDefault="00393D01" w:rsidP="00393D01">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F837E2">
              <w:rPr>
                <w:rFonts w:ascii="Arial" w:hAnsi="Arial" w:cs="Arial"/>
                <w:sz w:val="24"/>
                <w:szCs w:val="24"/>
              </w:rPr>
              <w:t>2022</w:t>
            </w:r>
          </w:p>
        </w:tc>
        <w:tc>
          <w:tcPr>
            <w:tcW w:w="0" w:type="auto"/>
            <w:hideMark/>
          </w:tcPr>
          <w:p w14:paraId="53D8B934" w14:textId="77777777" w:rsidR="00393D01" w:rsidRPr="00F837E2" w:rsidRDefault="00393D01" w:rsidP="00393D01">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F837E2">
              <w:rPr>
                <w:rFonts w:ascii="Arial" w:hAnsi="Arial" w:cs="Arial"/>
                <w:sz w:val="24"/>
                <w:szCs w:val="24"/>
              </w:rPr>
              <w:t>2023</w:t>
            </w:r>
          </w:p>
        </w:tc>
        <w:tc>
          <w:tcPr>
            <w:tcW w:w="0" w:type="auto"/>
            <w:hideMark/>
          </w:tcPr>
          <w:p w14:paraId="3C45DD7A" w14:textId="77777777" w:rsidR="00393D01" w:rsidRPr="00F837E2" w:rsidRDefault="00393D01" w:rsidP="00393D01">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F837E2">
              <w:rPr>
                <w:rFonts w:ascii="Arial" w:hAnsi="Arial" w:cs="Arial"/>
                <w:sz w:val="24"/>
                <w:szCs w:val="24"/>
              </w:rPr>
              <w:t>2024</w:t>
            </w:r>
          </w:p>
        </w:tc>
        <w:tc>
          <w:tcPr>
            <w:tcW w:w="0" w:type="auto"/>
            <w:hideMark/>
          </w:tcPr>
          <w:p w14:paraId="5F4E6623" w14:textId="77777777" w:rsidR="00393D01" w:rsidRPr="00F837E2" w:rsidRDefault="00393D01" w:rsidP="00393D01">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F837E2">
              <w:rPr>
                <w:rFonts w:ascii="Arial" w:hAnsi="Arial" w:cs="Arial"/>
                <w:sz w:val="24"/>
                <w:szCs w:val="24"/>
              </w:rPr>
              <w:t>2025</w:t>
            </w:r>
          </w:p>
        </w:tc>
      </w:tr>
      <w:tr w:rsidR="00393D01" w:rsidRPr="00F837E2" w14:paraId="675B53FE" w14:textId="77777777" w:rsidTr="00393D01">
        <w:trPr>
          <w:cnfStyle w:val="000000100000" w:firstRow="0" w:lastRow="0" w:firstColumn="0" w:lastColumn="0" w:oddVBand="0" w:evenVBand="0" w:oddHBand="1" w:evenHBand="0" w:firstRowFirstColumn="0" w:firstRowLastColumn="0" w:lastRowFirstColumn="0" w:lastRowLastColumn="0"/>
          <w:trHeight w:val="587"/>
        </w:trPr>
        <w:tc>
          <w:tcPr>
            <w:cnfStyle w:val="001000000000" w:firstRow="0" w:lastRow="0" w:firstColumn="1" w:lastColumn="0" w:oddVBand="0" w:evenVBand="0" w:oddHBand="0" w:evenHBand="0" w:firstRowFirstColumn="0" w:firstRowLastColumn="0" w:lastRowFirstColumn="0" w:lastRowLastColumn="0"/>
            <w:tcW w:w="0" w:type="auto"/>
            <w:hideMark/>
          </w:tcPr>
          <w:p w14:paraId="73AD3E63" w14:textId="77777777" w:rsidR="00393D01" w:rsidRPr="00F837E2" w:rsidRDefault="00393D01" w:rsidP="00393D01">
            <w:pPr>
              <w:spacing w:after="160" w:line="360" w:lineRule="auto"/>
              <w:jc w:val="both"/>
              <w:rPr>
                <w:rFonts w:ascii="Arial" w:hAnsi="Arial" w:cs="Arial"/>
                <w:sz w:val="24"/>
                <w:szCs w:val="24"/>
              </w:rPr>
            </w:pPr>
            <w:r w:rsidRPr="00F837E2">
              <w:rPr>
                <w:rFonts w:ascii="Arial" w:hAnsi="Arial" w:cs="Arial"/>
                <w:sz w:val="24"/>
                <w:szCs w:val="24"/>
              </w:rPr>
              <w:t>Revenue ($m)</w:t>
            </w:r>
          </w:p>
        </w:tc>
        <w:tc>
          <w:tcPr>
            <w:tcW w:w="0" w:type="auto"/>
            <w:hideMark/>
          </w:tcPr>
          <w:p w14:paraId="583F5DD0" w14:textId="77777777" w:rsidR="00393D01" w:rsidRPr="00F837E2" w:rsidRDefault="00393D01" w:rsidP="00393D01">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837E2">
              <w:rPr>
                <w:rFonts w:ascii="Arial" w:hAnsi="Arial" w:cs="Arial"/>
                <w:sz w:val="24"/>
                <w:szCs w:val="24"/>
              </w:rPr>
              <w:t>13,857</w:t>
            </w:r>
          </w:p>
        </w:tc>
        <w:tc>
          <w:tcPr>
            <w:tcW w:w="0" w:type="auto"/>
            <w:hideMark/>
          </w:tcPr>
          <w:p w14:paraId="11FEEC87" w14:textId="77777777" w:rsidR="00393D01" w:rsidRPr="00F837E2" w:rsidRDefault="00393D01" w:rsidP="00393D01">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837E2">
              <w:rPr>
                <w:rFonts w:ascii="Arial" w:hAnsi="Arial" w:cs="Arial"/>
                <w:sz w:val="24"/>
                <w:szCs w:val="24"/>
              </w:rPr>
              <w:t>20,773</w:t>
            </w:r>
          </w:p>
        </w:tc>
        <w:tc>
          <w:tcPr>
            <w:tcW w:w="0" w:type="auto"/>
            <w:hideMark/>
          </w:tcPr>
          <w:p w14:paraId="7BC4A319" w14:textId="77777777" w:rsidR="00393D01" w:rsidRPr="00F837E2" w:rsidRDefault="00393D01" w:rsidP="00393D01">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837E2">
              <w:rPr>
                <w:rFonts w:ascii="Arial" w:hAnsi="Arial" w:cs="Arial"/>
                <w:sz w:val="24"/>
                <w:szCs w:val="24"/>
              </w:rPr>
              <w:t>23,713</w:t>
            </w:r>
          </w:p>
        </w:tc>
        <w:tc>
          <w:tcPr>
            <w:tcW w:w="0" w:type="auto"/>
            <w:hideMark/>
          </w:tcPr>
          <w:p w14:paraId="41B1EECB" w14:textId="77777777" w:rsidR="00393D01" w:rsidRPr="00F837E2" w:rsidRDefault="00393D01" w:rsidP="00393D01">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837E2">
              <w:rPr>
                <w:rFonts w:ascii="Arial" w:hAnsi="Arial" w:cs="Arial"/>
                <w:sz w:val="24"/>
                <w:szCs w:val="24"/>
              </w:rPr>
              <w:t>25,100</w:t>
            </w:r>
          </w:p>
        </w:tc>
        <w:tc>
          <w:tcPr>
            <w:tcW w:w="0" w:type="auto"/>
            <w:hideMark/>
          </w:tcPr>
          <w:p w14:paraId="6222AD32" w14:textId="77777777" w:rsidR="00393D01" w:rsidRPr="00F837E2" w:rsidRDefault="00393D01" w:rsidP="00393D01">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837E2">
              <w:rPr>
                <w:rFonts w:ascii="Arial" w:hAnsi="Arial" w:cs="Arial"/>
                <w:sz w:val="24"/>
                <w:szCs w:val="24"/>
              </w:rPr>
              <w:t>26,186</w:t>
            </w:r>
          </w:p>
        </w:tc>
      </w:tr>
      <w:tr w:rsidR="00393D01" w:rsidRPr="00F837E2" w14:paraId="0FA30B95" w14:textId="77777777" w:rsidTr="00393D01">
        <w:trPr>
          <w:trHeight w:val="577"/>
        </w:trPr>
        <w:tc>
          <w:tcPr>
            <w:cnfStyle w:val="001000000000" w:firstRow="0" w:lastRow="0" w:firstColumn="1" w:lastColumn="0" w:oddVBand="0" w:evenVBand="0" w:oddHBand="0" w:evenHBand="0" w:firstRowFirstColumn="0" w:firstRowLastColumn="0" w:lastRowFirstColumn="0" w:lastRowLastColumn="0"/>
            <w:tcW w:w="0" w:type="auto"/>
            <w:hideMark/>
          </w:tcPr>
          <w:p w14:paraId="35B228A4" w14:textId="77777777" w:rsidR="00393D01" w:rsidRPr="00F837E2" w:rsidRDefault="00393D01" w:rsidP="00393D01">
            <w:pPr>
              <w:spacing w:after="160" w:line="360" w:lineRule="auto"/>
              <w:jc w:val="both"/>
              <w:rPr>
                <w:rFonts w:ascii="Arial" w:hAnsi="Arial" w:cs="Arial"/>
                <w:sz w:val="24"/>
                <w:szCs w:val="24"/>
              </w:rPr>
            </w:pPr>
            <w:r w:rsidRPr="00F837E2">
              <w:rPr>
                <w:rFonts w:ascii="Arial" w:hAnsi="Arial" w:cs="Arial"/>
                <w:sz w:val="24"/>
                <w:szCs w:val="24"/>
              </w:rPr>
              <w:t>Operating income ($m)</w:t>
            </w:r>
          </w:p>
        </w:tc>
        <w:tc>
          <w:tcPr>
            <w:tcW w:w="0" w:type="auto"/>
            <w:hideMark/>
          </w:tcPr>
          <w:p w14:paraId="0ECDEE9A" w14:textId="77777777" w:rsidR="00393D01" w:rsidRPr="00F837E2" w:rsidRDefault="00393D01" w:rsidP="00393D01">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837E2">
              <w:rPr>
                <w:rFonts w:ascii="Arial" w:hAnsi="Arial" w:cs="Arial"/>
                <w:sz w:val="24"/>
                <w:szCs w:val="24"/>
              </w:rPr>
              <w:t>1,750</w:t>
            </w:r>
          </w:p>
        </w:tc>
        <w:tc>
          <w:tcPr>
            <w:tcW w:w="0" w:type="auto"/>
            <w:hideMark/>
          </w:tcPr>
          <w:p w14:paraId="0D474751" w14:textId="77777777" w:rsidR="00393D01" w:rsidRPr="00F837E2" w:rsidRDefault="00393D01" w:rsidP="00393D01">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837E2">
              <w:rPr>
                <w:rFonts w:ascii="Arial" w:hAnsi="Arial" w:cs="Arial"/>
                <w:sz w:val="24"/>
                <w:szCs w:val="24"/>
              </w:rPr>
              <w:t>3,462</w:t>
            </w:r>
          </w:p>
        </w:tc>
        <w:tc>
          <w:tcPr>
            <w:tcW w:w="0" w:type="auto"/>
            <w:hideMark/>
          </w:tcPr>
          <w:p w14:paraId="028798D7" w14:textId="77777777" w:rsidR="00393D01" w:rsidRPr="00F837E2" w:rsidRDefault="00393D01" w:rsidP="00393D01">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837E2">
              <w:rPr>
                <w:rFonts w:ascii="Arial" w:hAnsi="Arial" w:cs="Arial"/>
                <w:sz w:val="24"/>
                <w:szCs w:val="24"/>
              </w:rPr>
              <w:t>3,864</w:t>
            </w:r>
          </w:p>
        </w:tc>
        <w:tc>
          <w:tcPr>
            <w:tcW w:w="0" w:type="auto"/>
            <w:hideMark/>
          </w:tcPr>
          <w:p w14:paraId="26FF1C3D" w14:textId="77777777" w:rsidR="00393D01" w:rsidRPr="00F837E2" w:rsidRDefault="00393D01" w:rsidP="00393D01">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837E2">
              <w:rPr>
                <w:rFonts w:ascii="Arial" w:hAnsi="Arial" w:cs="Arial"/>
                <w:sz w:val="24"/>
                <w:szCs w:val="24"/>
              </w:rPr>
              <w:t>3,767</w:t>
            </w:r>
          </w:p>
        </w:tc>
        <w:tc>
          <w:tcPr>
            <w:tcW w:w="0" w:type="auto"/>
            <w:hideMark/>
          </w:tcPr>
          <w:p w14:paraId="23EB297B" w14:textId="77777777" w:rsidR="00393D01" w:rsidRPr="00F837E2" w:rsidRDefault="00393D01" w:rsidP="00393D01">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837E2">
              <w:rPr>
                <w:rFonts w:ascii="Arial" w:hAnsi="Arial" w:cs="Arial"/>
                <w:sz w:val="24"/>
                <w:szCs w:val="24"/>
              </w:rPr>
              <w:t>4,141</w:t>
            </w:r>
          </w:p>
        </w:tc>
      </w:tr>
      <w:tr w:rsidR="00393D01" w:rsidRPr="00F837E2" w14:paraId="63A2453B" w14:textId="77777777" w:rsidTr="00393D01">
        <w:trPr>
          <w:cnfStyle w:val="000000100000" w:firstRow="0" w:lastRow="0" w:firstColumn="0" w:lastColumn="0" w:oddVBand="0" w:evenVBand="0" w:oddHBand="1" w:evenHBand="0" w:firstRowFirstColumn="0" w:firstRowLastColumn="0" w:lastRowFirstColumn="0" w:lastRowLastColumn="0"/>
          <w:trHeight w:val="587"/>
        </w:trPr>
        <w:tc>
          <w:tcPr>
            <w:cnfStyle w:val="001000000000" w:firstRow="0" w:lastRow="0" w:firstColumn="1" w:lastColumn="0" w:oddVBand="0" w:evenVBand="0" w:oddHBand="0" w:evenHBand="0" w:firstRowFirstColumn="0" w:firstRowLastColumn="0" w:lastRowFirstColumn="0" w:lastRowLastColumn="0"/>
            <w:tcW w:w="0" w:type="auto"/>
            <w:hideMark/>
          </w:tcPr>
          <w:p w14:paraId="7D0019EF" w14:textId="77777777" w:rsidR="00393D01" w:rsidRPr="00F837E2" w:rsidRDefault="00393D01" w:rsidP="00393D01">
            <w:pPr>
              <w:spacing w:after="160" w:line="360" w:lineRule="auto"/>
              <w:jc w:val="both"/>
              <w:rPr>
                <w:rFonts w:ascii="Arial" w:hAnsi="Arial" w:cs="Arial"/>
                <w:sz w:val="24"/>
                <w:szCs w:val="24"/>
              </w:rPr>
            </w:pPr>
            <w:r w:rsidRPr="00F837E2">
              <w:rPr>
                <w:rFonts w:ascii="Arial" w:hAnsi="Arial" w:cs="Arial"/>
                <w:sz w:val="24"/>
                <w:szCs w:val="24"/>
              </w:rPr>
              <w:t>Net income ($m)</w:t>
            </w:r>
          </w:p>
        </w:tc>
        <w:tc>
          <w:tcPr>
            <w:tcW w:w="0" w:type="auto"/>
            <w:hideMark/>
          </w:tcPr>
          <w:p w14:paraId="07EFD89E" w14:textId="77777777" w:rsidR="00393D01" w:rsidRPr="00F837E2" w:rsidRDefault="00393D01" w:rsidP="00393D01">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837E2">
              <w:rPr>
                <w:rFonts w:ascii="Arial" w:hAnsi="Arial" w:cs="Arial"/>
                <w:sz w:val="24"/>
                <w:szCs w:val="24"/>
              </w:rPr>
              <w:t>1,099</w:t>
            </w:r>
          </w:p>
        </w:tc>
        <w:tc>
          <w:tcPr>
            <w:tcW w:w="0" w:type="auto"/>
            <w:hideMark/>
          </w:tcPr>
          <w:p w14:paraId="1755E35E" w14:textId="77777777" w:rsidR="00393D01" w:rsidRPr="00F837E2" w:rsidRDefault="00393D01" w:rsidP="00393D01">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837E2">
              <w:rPr>
                <w:rFonts w:ascii="Arial" w:hAnsi="Arial" w:cs="Arial"/>
                <w:sz w:val="24"/>
                <w:szCs w:val="24"/>
              </w:rPr>
              <w:t>2,358</w:t>
            </w:r>
          </w:p>
        </w:tc>
        <w:tc>
          <w:tcPr>
            <w:tcW w:w="0" w:type="auto"/>
            <w:hideMark/>
          </w:tcPr>
          <w:p w14:paraId="550048F1" w14:textId="77777777" w:rsidR="00393D01" w:rsidRPr="00F837E2" w:rsidRDefault="00393D01" w:rsidP="00393D01">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837E2">
              <w:rPr>
                <w:rFonts w:ascii="Arial" w:hAnsi="Arial" w:cs="Arial"/>
                <w:sz w:val="24"/>
                <w:szCs w:val="24"/>
              </w:rPr>
              <w:t>3,083</w:t>
            </w:r>
          </w:p>
        </w:tc>
        <w:tc>
          <w:tcPr>
            <w:tcW w:w="0" w:type="auto"/>
            <w:hideMark/>
          </w:tcPr>
          <w:p w14:paraId="06FB1D72" w14:textId="77777777" w:rsidR="00393D01" w:rsidRPr="00F837E2" w:rsidRDefault="00393D01" w:rsidP="00393D01">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837E2">
              <w:rPr>
                <w:rFonts w:ascii="Arial" w:hAnsi="Arial" w:cs="Arial"/>
                <w:sz w:val="24"/>
                <w:szCs w:val="24"/>
              </w:rPr>
              <w:t>2,375</w:t>
            </w:r>
          </w:p>
        </w:tc>
        <w:tc>
          <w:tcPr>
            <w:tcW w:w="0" w:type="auto"/>
            <w:hideMark/>
          </w:tcPr>
          <w:p w14:paraId="6AA5545C" w14:textId="77777777" w:rsidR="00393D01" w:rsidRPr="00F837E2" w:rsidRDefault="00393D01" w:rsidP="00393D01">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837E2">
              <w:rPr>
                <w:rFonts w:ascii="Arial" w:hAnsi="Arial" w:cs="Arial"/>
                <w:sz w:val="24"/>
                <w:szCs w:val="24"/>
              </w:rPr>
              <w:t>2,601</w:t>
            </w:r>
          </w:p>
        </w:tc>
      </w:tr>
      <w:tr w:rsidR="00393D01" w:rsidRPr="00F837E2" w14:paraId="35594425" w14:textId="77777777" w:rsidTr="00393D01">
        <w:trPr>
          <w:trHeight w:val="587"/>
        </w:trPr>
        <w:tc>
          <w:tcPr>
            <w:cnfStyle w:val="001000000000" w:firstRow="0" w:lastRow="0" w:firstColumn="1" w:lastColumn="0" w:oddVBand="0" w:evenVBand="0" w:oddHBand="0" w:evenHBand="0" w:firstRowFirstColumn="0" w:firstRowLastColumn="0" w:lastRowFirstColumn="0" w:lastRowLastColumn="0"/>
            <w:tcW w:w="0" w:type="auto"/>
            <w:hideMark/>
          </w:tcPr>
          <w:p w14:paraId="6346D348" w14:textId="77777777" w:rsidR="00393D01" w:rsidRPr="00F837E2" w:rsidRDefault="00393D01" w:rsidP="00393D01">
            <w:pPr>
              <w:spacing w:after="160" w:line="360" w:lineRule="auto"/>
              <w:jc w:val="both"/>
              <w:rPr>
                <w:rFonts w:ascii="Arial" w:hAnsi="Arial" w:cs="Arial"/>
                <w:sz w:val="24"/>
                <w:szCs w:val="24"/>
              </w:rPr>
            </w:pPr>
            <w:r w:rsidRPr="00F837E2">
              <w:rPr>
                <w:rFonts w:ascii="Arial" w:hAnsi="Arial" w:cs="Arial"/>
                <w:sz w:val="24"/>
                <w:szCs w:val="24"/>
              </w:rPr>
              <w:t>Operating cash flow ($m)</w:t>
            </w:r>
          </w:p>
        </w:tc>
        <w:tc>
          <w:tcPr>
            <w:tcW w:w="0" w:type="auto"/>
            <w:hideMark/>
          </w:tcPr>
          <w:p w14:paraId="2F244BBF" w14:textId="77777777" w:rsidR="00393D01" w:rsidRPr="00F837E2" w:rsidRDefault="00393D01" w:rsidP="00393D01">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837E2">
              <w:rPr>
                <w:rFonts w:ascii="Arial" w:hAnsi="Arial" w:cs="Arial"/>
                <w:sz w:val="24"/>
                <w:szCs w:val="24"/>
              </w:rPr>
              <w:t>1,177</w:t>
            </w:r>
          </w:p>
        </w:tc>
        <w:tc>
          <w:tcPr>
            <w:tcW w:w="0" w:type="auto"/>
            <w:hideMark/>
          </w:tcPr>
          <w:p w14:paraId="1E7AA905" w14:textId="77777777" w:rsidR="00393D01" w:rsidRPr="00F837E2" w:rsidRDefault="00393D01" w:rsidP="00393D01">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837E2">
              <w:rPr>
                <w:rFonts w:ascii="Arial" w:hAnsi="Arial" w:cs="Arial"/>
                <w:sz w:val="24"/>
                <w:szCs w:val="24"/>
              </w:rPr>
              <w:t>2,363</w:t>
            </w:r>
          </w:p>
        </w:tc>
        <w:tc>
          <w:tcPr>
            <w:tcW w:w="0" w:type="auto"/>
            <w:hideMark/>
          </w:tcPr>
          <w:p w14:paraId="62B2D4FE" w14:textId="77777777" w:rsidR="00393D01" w:rsidRPr="00F837E2" w:rsidRDefault="00393D01" w:rsidP="00393D01">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837E2">
              <w:rPr>
                <w:rFonts w:ascii="Arial" w:hAnsi="Arial" w:cs="Arial"/>
                <w:sz w:val="24"/>
                <w:szCs w:val="24"/>
              </w:rPr>
              <w:t>3,170</w:t>
            </w:r>
          </w:p>
        </w:tc>
        <w:tc>
          <w:tcPr>
            <w:tcW w:w="0" w:type="auto"/>
            <w:hideMark/>
          </w:tcPr>
          <w:p w14:paraId="01A20C9D" w14:textId="77777777" w:rsidR="00393D01" w:rsidRPr="00F837E2" w:rsidRDefault="00393D01" w:rsidP="00393D01">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837E2">
              <w:rPr>
                <w:rFonts w:ascii="Arial" w:hAnsi="Arial" w:cs="Arial"/>
                <w:sz w:val="24"/>
                <w:szCs w:val="24"/>
              </w:rPr>
              <w:t>2,749</w:t>
            </w:r>
          </w:p>
        </w:tc>
        <w:tc>
          <w:tcPr>
            <w:tcW w:w="0" w:type="auto"/>
            <w:hideMark/>
          </w:tcPr>
          <w:p w14:paraId="40CA8B92" w14:textId="77777777" w:rsidR="00393D01" w:rsidRPr="00F837E2" w:rsidRDefault="00393D01" w:rsidP="00393D01">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837E2">
              <w:rPr>
                <w:rFonts w:ascii="Arial" w:hAnsi="Arial" w:cs="Arial"/>
                <w:sz w:val="24"/>
                <w:szCs w:val="24"/>
              </w:rPr>
              <w:t>3,212</w:t>
            </w:r>
          </w:p>
        </w:tc>
      </w:tr>
      <w:tr w:rsidR="00393D01" w:rsidRPr="00F837E2" w14:paraId="7ADB3667" w14:textId="77777777" w:rsidTr="00393D01">
        <w:trPr>
          <w:cnfStyle w:val="000000100000" w:firstRow="0" w:lastRow="0" w:firstColumn="0" w:lastColumn="0" w:oddVBand="0" w:evenVBand="0" w:oddHBand="1" w:evenHBand="0" w:firstRowFirstColumn="0" w:firstRowLastColumn="0" w:lastRowFirstColumn="0" w:lastRowLastColumn="0"/>
          <w:trHeight w:val="587"/>
        </w:trPr>
        <w:tc>
          <w:tcPr>
            <w:cnfStyle w:val="001000000000" w:firstRow="0" w:lastRow="0" w:firstColumn="1" w:lastColumn="0" w:oddVBand="0" w:evenVBand="0" w:oddHBand="0" w:evenHBand="0" w:firstRowFirstColumn="0" w:firstRowLastColumn="0" w:lastRowFirstColumn="0" w:lastRowLastColumn="0"/>
            <w:tcW w:w="0" w:type="auto"/>
            <w:hideMark/>
          </w:tcPr>
          <w:p w14:paraId="3C981828" w14:textId="77777777" w:rsidR="00393D01" w:rsidRPr="00F837E2" w:rsidRDefault="00393D01" w:rsidP="00393D01">
            <w:pPr>
              <w:spacing w:after="160" w:line="360" w:lineRule="auto"/>
              <w:jc w:val="both"/>
              <w:rPr>
                <w:rFonts w:ascii="Arial" w:hAnsi="Arial" w:cs="Arial"/>
                <w:sz w:val="24"/>
                <w:szCs w:val="24"/>
              </w:rPr>
            </w:pPr>
            <w:r w:rsidRPr="00F837E2">
              <w:rPr>
                <w:rFonts w:ascii="Arial" w:hAnsi="Arial" w:cs="Arial"/>
                <w:sz w:val="24"/>
                <w:szCs w:val="24"/>
              </w:rPr>
              <w:t>Free cash flow ($m)</w:t>
            </w:r>
          </w:p>
        </w:tc>
        <w:tc>
          <w:tcPr>
            <w:tcW w:w="0" w:type="auto"/>
            <w:hideMark/>
          </w:tcPr>
          <w:p w14:paraId="31E392C5" w14:textId="77777777" w:rsidR="00393D01" w:rsidRPr="00F837E2" w:rsidRDefault="00393D01" w:rsidP="00393D01">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837E2">
              <w:rPr>
                <w:rFonts w:ascii="Arial" w:hAnsi="Arial" w:cs="Arial"/>
                <w:sz w:val="24"/>
                <w:szCs w:val="24"/>
              </w:rPr>
              <w:t>994</w:t>
            </w:r>
          </w:p>
        </w:tc>
        <w:tc>
          <w:tcPr>
            <w:tcW w:w="0" w:type="auto"/>
            <w:hideMark/>
          </w:tcPr>
          <w:p w14:paraId="02825A0D" w14:textId="77777777" w:rsidR="00393D01" w:rsidRPr="00F837E2" w:rsidRDefault="00393D01" w:rsidP="00393D01">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837E2">
              <w:rPr>
                <w:rFonts w:ascii="Arial" w:hAnsi="Arial" w:cs="Arial"/>
                <w:sz w:val="24"/>
                <w:szCs w:val="24"/>
              </w:rPr>
              <w:t>2,031</w:t>
            </w:r>
          </w:p>
        </w:tc>
        <w:tc>
          <w:tcPr>
            <w:tcW w:w="0" w:type="auto"/>
            <w:hideMark/>
          </w:tcPr>
          <w:p w14:paraId="5DC546F7" w14:textId="77777777" w:rsidR="00393D01" w:rsidRPr="00F837E2" w:rsidRDefault="00393D01" w:rsidP="00393D01">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837E2">
              <w:rPr>
                <w:rFonts w:ascii="Arial" w:hAnsi="Arial" w:cs="Arial"/>
                <w:sz w:val="24"/>
                <w:szCs w:val="24"/>
              </w:rPr>
              <w:t>2,718</w:t>
            </w:r>
          </w:p>
        </w:tc>
        <w:tc>
          <w:tcPr>
            <w:tcW w:w="0" w:type="auto"/>
            <w:hideMark/>
          </w:tcPr>
          <w:p w14:paraId="74404BF2" w14:textId="77777777" w:rsidR="00393D01" w:rsidRPr="00F837E2" w:rsidRDefault="00393D01" w:rsidP="00393D01">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837E2">
              <w:rPr>
                <w:rFonts w:ascii="Arial" w:hAnsi="Arial" w:cs="Arial"/>
                <w:sz w:val="24"/>
                <w:szCs w:val="24"/>
              </w:rPr>
              <w:t>1,999</w:t>
            </w:r>
          </w:p>
        </w:tc>
        <w:tc>
          <w:tcPr>
            <w:tcW w:w="0" w:type="auto"/>
            <w:hideMark/>
          </w:tcPr>
          <w:p w14:paraId="61AE6811" w14:textId="77777777" w:rsidR="00393D01" w:rsidRPr="00F837E2" w:rsidRDefault="00393D01" w:rsidP="00393D01">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837E2">
              <w:rPr>
                <w:rFonts w:ascii="Arial" w:hAnsi="Arial" w:cs="Arial"/>
                <w:sz w:val="24"/>
                <w:szCs w:val="24"/>
              </w:rPr>
              <w:t>2,608</w:t>
            </w:r>
          </w:p>
        </w:tc>
      </w:tr>
      <w:tr w:rsidR="00393D01" w:rsidRPr="00F837E2" w14:paraId="1EC673F1" w14:textId="77777777" w:rsidTr="00393D01">
        <w:trPr>
          <w:trHeight w:val="587"/>
        </w:trPr>
        <w:tc>
          <w:tcPr>
            <w:cnfStyle w:val="001000000000" w:firstRow="0" w:lastRow="0" w:firstColumn="1" w:lastColumn="0" w:oddVBand="0" w:evenVBand="0" w:oddHBand="0" w:evenHBand="0" w:firstRowFirstColumn="0" w:firstRowLastColumn="0" w:lastRowFirstColumn="0" w:lastRowLastColumn="0"/>
            <w:tcW w:w="0" w:type="auto"/>
            <w:hideMark/>
          </w:tcPr>
          <w:p w14:paraId="46C312A4" w14:textId="77777777" w:rsidR="00393D01" w:rsidRPr="00F837E2" w:rsidRDefault="00393D01" w:rsidP="00393D01">
            <w:pPr>
              <w:spacing w:after="160" w:line="360" w:lineRule="auto"/>
              <w:jc w:val="both"/>
              <w:rPr>
                <w:rFonts w:ascii="Arial" w:hAnsi="Arial" w:cs="Arial"/>
                <w:sz w:val="24"/>
                <w:szCs w:val="24"/>
              </w:rPr>
            </w:pPr>
            <w:r w:rsidRPr="00F837E2">
              <w:rPr>
                <w:rFonts w:ascii="Arial" w:hAnsi="Arial" w:cs="Arial"/>
                <w:sz w:val="24"/>
                <w:szCs w:val="24"/>
              </w:rPr>
              <w:t>Total debt ($m)</w:t>
            </w:r>
          </w:p>
        </w:tc>
        <w:tc>
          <w:tcPr>
            <w:tcW w:w="0" w:type="auto"/>
            <w:hideMark/>
          </w:tcPr>
          <w:p w14:paraId="44AEF5EB" w14:textId="77777777" w:rsidR="00393D01" w:rsidRPr="00F837E2" w:rsidRDefault="00393D01" w:rsidP="00393D01">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837E2">
              <w:rPr>
                <w:rFonts w:ascii="Arial" w:hAnsi="Arial" w:cs="Arial"/>
                <w:sz w:val="24"/>
                <w:szCs w:val="24"/>
              </w:rPr>
              <w:t>10,138</w:t>
            </w:r>
          </w:p>
        </w:tc>
        <w:tc>
          <w:tcPr>
            <w:tcW w:w="0" w:type="auto"/>
            <w:hideMark/>
          </w:tcPr>
          <w:p w14:paraId="071D1822" w14:textId="77777777" w:rsidR="00393D01" w:rsidRPr="00F837E2" w:rsidRDefault="00393D01" w:rsidP="00393D01">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837E2">
              <w:rPr>
                <w:rFonts w:ascii="Arial" w:hAnsi="Arial" w:cs="Arial"/>
                <w:sz w:val="24"/>
                <w:szCs w:val="24"/>
              </w:rPr>
              <w:t>10,064</w:t>
            </w:r>
          </w:p>
        </w:tc>
        <w:tc>
          <w:tcPr>
            <w:tcW w:w="0" w:type="auto"/>
            <w:hideMark/>
          </w:tcPr>
          <w:p w14:paraId="02338914" w14:textId="77777777" w:rsidR="00393D01" w:rsidRPr="00F837E2" w:rsidRDefault="00393D01" w:rsidP="00393D01">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837E2">
              <w:rPr>
                <w:rFonts w:ascii="Arial" w:hAnsi="Arial" w:cs="Arial"/>
                <w:sz w:val="24"/>
                <w:szCs w:val="24"/>
              </w:rPr>
              <w:t>11,873</w:t>
            </w:r>
          </w:p>
        </w:tc>
        <w:tc>
          <w:tcPr>
            <w:tcW w:w="0" w:type="auto"/>
            <w:hideMark/>
          </w:tcPr>
          <w:p w14:paraId="0E1E64A3" w14:textId="77777777" w:rsidR="00393D01" w:rsidRPr="00F837E2" w:rsidRDefault="00393D01" w:rsidP="00393D01">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837E2">
              <w:rPr>
                <w:rFonts w:ascii="Arial" w:hAnsi="Arial" w:cs="Arial"/>
                <w:sz w:val="24"/>
                <w:szCs w:val="24"/>
              </w:rPr>
              <w:t>14,447</w:t>
            </w:r>
          </w:p>
        </w:tc>
        <w:tc>
          <w:tcPr>
            <w:tcW w:w="0" w:type="auto"/>
            <w:hideMark/>
          </w:tcPr>
          <w:p w14:paraId="3F0786AD" w14:textId="77777777" w:rsidR="00393D01" w:rsidRPr="00F837E2" w:rsidRDefault="00393D01" w:rsidP="00393D01">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837E2">
              <w:rPr>
                <w:rFonts w:ascii="Arial" w:hAnsi="Arial" w:cs="Arial"/>
                <w:sz w:val="24"/>
                <w:szCs w:val="24"/>
              </w:rPr>
              <w:t>16,204</w:t>
            </w:r>
          </w:p>
        </w:tc>
      </w:tr>
      <w:tr w:rsidR="00393D01" w:rsidRPr="00F837E2" w14:paraId="379D4E9D" w14:textId="77777777" w:rsidTr="00393D01">
        <w:trPr>
          <w:cnfStyle w:val="000000100000" w:firstRow="0" w:lastRow="0" w:firstColumn="0" w:lastColumn="0" w:oddVBand="0" w:evenVBand="0" w:oddHBand="1" w:evenHBand="0" w:firstRowFirstColumn="0" w:firstRowLastColumn="0" w:lastRowFirstColumn="0" w:lastRowLastColumn="0"/>
          <w:trHeight w:val="587"/>
        </w:trPr>
        <w:tc>
          <w:tcPr>
            <w:cnfStyle w:val="001000000000" w:firstRow="0" w:lastRow="0" w:firstColumn="1" w:lastColumn="0" w:oddVBand="0" w:evenVBand="0" w:oddHBand="0" w:evenHBand="0" w:firstRowFirstColumn="0" w:firstRowLastColumn="0" w:lastRowFirstColumn="0" w:lastRowLastColumn="0"/>
            <w:tcW w:w="0" w:type="auto"/>
            <w:hideMark/>
          </w:tcPr>
          <w:p w14:paraId="3E5A96E7" w14:textId="77777777" w:rsidR="00393D01" w:rsidRPr="00F837E2" w:rsidRDefault="00393D01" w:rsidP="00393D01">
            <w:pPr>
              <w:spacing w:after="160" w:line="360" w:lineRule="auto"/>
              <w:jc w:val="both"/>
              <w:rPr>
                <w:rFonts w:ascii="Arial" w:hAnsi="Arial" w:cs="Arial"/>
                <w:sz w:val="24"/>
                <w:szCs w:val="24"/>
              </w:rPr>
            </w:pPr>
            <w:r w:rsidRPr="00F837E2">
              <w:rPr>
                <w:rFonts w:ascii="Arial" w:hAnsi="Arial" w:cs="Arial"/>
                <w:sz w:val="24"/>
                <w:szCs w:val="24"/>
              </w:rPr>
              <w:t>Operating margin</w:t>
            </w:r>
          </w:p>
        </w:tc>
        <w:tc>
          <w:tcPr>
            <w:tcW w:w="0" w:type="auto"/>
            <w:hideMark/>
          </w:tcPr>
          <w:p w14:paraId="345BF828" w14:textId="77777777" w:rsidR="00393D01" w:rsidRPr="00F837E2" w:rsidRDefault="00393D01" w:rsidP="00393D01">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837E2">
              <w:rPr>
                <w:rFonts w:ascii="Arial" w:hAnsi="Arial" w:cs="Arial"/>
                <w:sz w:val="24"/>
                <w:szCs w:val="24"/>
              </w:rPr>
              <w:t>12.6%</w:t>
            </w:r>
          </w:p>
        </w:tc>
        <w:tc>
          <w:tcPr>
            <w:tcW w:w="0" w:type="auto"/>
            <w:hideMark/>
          </w:tcPr>
          <w:p w14:paraId="474BE103" w14:textId="77777777" w:rsidR="00393D01" w:rsidRPr="00F837E2" w:rsidRDefault="00393D01" w:rsidP="00393D01">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837E2">
              <w:rPr>
                <w:rFonts w:ascii="Arial" w:hAnsi="Arial" w:cs="Arial"/>
                <w:sz w:val="24"/>
                <w:szCs w:val="24"/>
              </w:rPr>
              <w:t>16.7%</w:t>
            </w:r>
          </w:p>
        </w:tc>
        <w:tc>
          <w:tcPr>
            <w:tcW w:w="0" w:type="auto"/>
            <w:hideMark/>
          </w:tcPr>
          <w:p w14:paraId="4503F8B2" w14:textId="77777777" w:rsidR="00393D01" w:rsidRPr="00F837E2" w:rsidRDefault="00393D01" w:rsidP="00393D01">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837E2">
              <w:rPr>
                <w:rFonts w:ascii="Arial" w:hAnsi="Arial" w:cs="Arial"/>
                <w:sz w:val="24"/>
                <w:szCs w:val="24"/>
              </w:rPr>
              <w:t>16.3%</w:t>
            </w:r>
          </w:p>
        </w:tc>
        <w:tc>
          <w:tcPr>
            <w:tcW w:w="0" w:type="auto"/>
            <w:hideMark/>
          </w:tcPr>
          <w:p w14:paraId="44689EE1" w14:textId="77777777" w:rsidR="00393D01" w:rsidRPr="00F837E2" w:rsidRDefault="00393D01" w:rsidP="00393D01">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837E2">
              <w:rPr>
                <w:rFonts w:ascii="Arial" w:hAnsi="Arial" w:cs="Arial"/>
                <w:sz w:val="24"/>
                <w:szCs w:val="24"/>
              </w:rPr>
              <w:t>15.0%</w:t>
            </w:r>
          </w:p>
        </w:tc>
        <w:tc>
          <w:tcPr>
            <w:tcW w:w="0" w:type="auto"/>
            <w:hideMark/>
          </w:tcPr>
          <w:p w14:paraId="7CA3EBE3" w14:textId="77777777" w:rsidR="00393D01" w:rsidRPr="00F837E2" w:rsidRDefault="00393D01" w:rsidP="00393D01">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837E2">
              <w:rPr>
                <w:rFonts w:ascii="Arial" w:hAnsi="Arial" w:cs="Arial"/>
                <w:sz w:val="24"/>
                <w:szCs w:val="24"/>
              </w:rPr>
              <w:t>15.8%</w:t>
            </w:r>
          </w:p>
        </w:tc>
      </w:tr>
      <w:tr w:rsidR="00393D01" w:rsidRPr="00F837E2" w14:paraId="4612B038" w14:textId="77777777" w:rsidTr="00393D01">
        <w:trPr>
          <w:trHeight w:val="577"/>
        </w:trPr>
        <w:tc>
          <w:tcPr>
            <w:cnfStyle w:val="001000000000" w:firstRow="0" w:lastRow="0" w:firstColumn="1" w:lastColumn="0" w:oddVBand="0" w:evenVBand="0" w:oddHBand="0" w:evenHBand="0" w:firstRowFirstColumn="0" w:firstRowLastColumn="0" w:lastRowFirstColumn="0" w:lastRowLastColumn="0"/>
            <w:tcW w:w="0" w:type="auto"/>
            <w:hideMark/>
          </w:tcPr>
          <w:p w14:paraId="28DDAD49" w14:textId="77777777" w:rsidR="00393D01" w:rsidRPr="00F837E2" w:rsidRDefault="00393D01" w:rsidP="00393D01">
            <w:pPr>
              <w:spacing w:after="160" w:line="360" w:lineRule="auto"/>
              <w:jc w:val="both"/>
              <w:rPr>
                <w:rFonts w:ascii="Arial" w:hAnsi="Arial" w:cs="Arial"/>
                <w:sz w:val="24"/>
                <w:szCs w:val="24"/>
              </w:rPr>
            </w:pPr>
            <w:r w:rsidRPr="00F837E2">
              <w:rPr>
                <w:rFonts w:ascii="Arial" w:hAnsi="Arial" w:cs="Arial"/>
                <w:sz w:val="24"/>
                <w:szCs w:val="24"/>
              </w:rPr>
              <w:t>Net profit margin</w:t>
            </w:r>
          </w:p>
        </w:tc>
        <w:tc>
          <w:tcPr>
            <w:tcW w:w="0" w:type="auto"/>
            <w:hideMark/>
          </w:tcPr>
          <w:p w14:paraId="5B4D9199" w14:textId="77777777" w:rsidR="00393D01" w:rsidRPr="00F837E2" w:rsidRDefault="00393D01" w:rsidP="00393D01">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837E2">
              <w:rPr>
                <w:rFonts w:ascii="Arial" w:hAnsi="Arial" w:cs="Arial"/>
                <w:sz w:val="24"/>
                <w:szCs w:val="24"/>
              </w:rPr>
              <w:t>7.9%</w:t>
            </w:r>
          </w:p>
        </w:tc>
        <w:tc>
          <w:tcPr>
            <w:tcW w:w="0" w:type="auto"/>
            <w:hideMark/>
          </w:tcPr>
          <w:p w14:paraId="49D790BE" w14:textId="77777777" w:rsidR="00393D01" w:rsidRPr="00F837E2" w:rsidRDefault="00393D01" w:rsidP="00393D01">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837E2">
              <w:rPr>
                <w:rFonts w:ascii="Arial" w:hAnsi="Arial" w:cs="Arial"/>
                <w:sz w:val="24"/>
                <w:szCs w:val="24"/>
              </w:rPr>
              <w:t>11.4%</w:t>
            </w:r>
          </w:p>
        </w:tc>
        <w:tc>
          <w:tcPr>
            <w:tcW w:w="0" w:type="auto"/>
            <w:hideMark/>
          </w:tcPr>
          <w:p w14:paraId="6DD8B405" w14:textId="77777777" w:rsidR="00393D01" w:rsidRPr="00F837E2" w:rsidRDefault="00393D01" w:rsidP="00393D01">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837E2">
              <w:rPr>
                <w:rFonts w:ascii="Arial" w:hAnsi="Arial" w:cs="Arial"/>
                <w:sz w:val="24"/>
                <w:szCs w:val="24"/>
              </w:rPr>
              <w:t>13.0%</w:t>
            </w:r>
          </w:p>
        </w:tc>
        <w:tc>
          <w:tcPr>
            <w:tcW w:w="0" w:type="auto"/>
            <w:hideMark/>
          </w:tcPr>
          <w:p w14:paraId="2D7F0C58" w14:textId="77777777" w:rsidR="00393D01" w:rsidRPr="00F837E2" w:rsidRDefault="00393D01" w:rsidP="00393D01">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837E2">
              <w:rPr>
                <w:rFonts w:ascii="Arial" w:hAnsi="Arial" w:cs="Arial"/>
                <w:sz w:val="24"/>
                <w:szCs w:val="24"/>
              </w:rPr>
              <w:t>9.5%</w:t>
            </w:r>
          </w:p>
        </w:tc>
        <w:tc>
          <w:tcPr>
            <w:tcW w:w="0" w:type="auto"/>
            <w:hideMark/>
          </w:tcPr>
          <w:p w14:paraId="7E094E6D" w14:textId="77777777" w:rsidR="00393D01" w:rsidRPr="00F837E2" w:rsidRDefault="00393D01" w:rsidP="00393D01">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837E2">
              <w:rPr>
                <w:rFonts w:ascii="Arial" w:hAnsi="Arial" w:cs="Arial"/>
                <w:sz w:val="24"/>
                <w:szCs w:val="24"/>
              </w:rPr>
              <w:t>9.9%</w:t>
            </w:r>
          </w:p>
        </w:tc>
      </w:tr>
      <w:tr w:rsidR="00393D01" w:rsidRPr="00F837E2" w14:paraId="5AC5C2DE" w14:textId="77777777" w:rsidTr="00393D01">
        <w:trPr>
          <w:cnfStyle w:val="000000100000" w:firstRow="0" w:lastRow="0" w:firstColumn="0" w:lastColumn="0" w:oddVBand="0" w:evenVBand="0" w:oddHBand="1" w:evenHBand="0" w:firstRowFirstColumn="0" w:firstRowLastColumn="0" w:lastRowFirstColumn="0" w:lastRowLastColumn="0"/>
          <w:trHeight w:val="587"/>
        </w:trPr>
        <w:tc>
          <w:tcPr>
            <w:cnfStyle w:val="001000000000" w:firstRow="0" w:lastRow="0" w:firstColumn="1" w:lastColumn="0" w:oddVBand="0" w:evenVBand="0" w:oddHBand="0" w:evenHBand="0" w:firstRowFirstColumn="0" w:firstRowLastColumn="0" w:lastRowFirstColumn="0" w:lastRowLastColumn="0"/>
            <w:tcW w:w="0" w:type="auto"/>
            <w:hideMark/>
          </w:tcPr>
          <w:p w14:paraId="55FF41AA" w14:textId="77777777" w:rsidR="00393D01" w:rsidRPr="00F837E2" w:rsidRDefault="00393D01" w:rsidP="00393D01">
            <w:pPr>
              <w:spacing w:after="160" w:line="360" w:lineRule="auto"/>
              <w:jc w:val="both"/>
              <w:rPr>
                <w:rFonts w:ascii="Arial" w:hAnsi="Arial" w:cs="Arial"/>
                <w:sz w:val="24"/>
                <w:szCs w:val="24"/>
              </w:rPr>
            </w:pPr>
            <w:r w:rsidRPr="00F837E2">
              <w:rPr>
                <w:rFonts w:ascii="Arial" w:hAnsi="Arial" w:cs="Arial"/>
                <w:sz w:val="24"/>
                <w:szCs w:val="24"/>
              </w:rPr>
              <w:t>Return on assets</w:t>
            </w:r>
          </w:p>
        </w:tc>
        <w:tc>
          <w:tcPr>
            <w:tcW w:w="0" w:type="auto"/>
            <w:hideMark/>
          </w:tcPr>
          <w:p w14:paraId="3C86F11F" w14:textId="77777777" w:rsidR="00393D01" w:rsidRPr="00F837E2" w:rsidRDefault="00393D01" w:rsidP="00393D01">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837E2">
              <w:rPr>
                <w:rFonts w:ascii="Arial" w:hAnsi="Arial" w:cs="Arial"/>
                <w:sz w:val="24"/>
                <w:szCs w:val="24"/>
              </w:rPr>
              <w:t>4.4%</w:t>
            </w:r>
          </w:p>
        </w:tc>
        <w:tc>
          <w:tcPr>
            <w:tcW w:w="0" w:type="auto"/>
            <w:hideMark/>
          </w:tcPr>
          <w:p w14:paraId="1FDD0E5A" w14:textId="77777777" w:rsidR="00393D01" w:rsidRPr="00F837E2" w:rsidRDefault="00393D01" w:rsidP="00393D01">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837E2">
              <w:rPr>
                <w:rFonts w:ascii="Arial" w:hAnsi="Arial" w:cs="Arial"/>
                <w:sz w:val="24"/>
                <w:szCs w:val="24"/>
              </w:rPr>
              <w:t>9.4%</w:t>
            </w:r>
          </w:p>
        </w:tc>
        <w:tc>
          <w:tcPr>
            <w:tcW w:w="0" w:type="auto"/>
            <w:hideMark/>
          </w:tcPr>
          <w:p w14:paraId="7E7C4F3C" w14:textId="77777777" w:rsidR="00393D01" w:rsidRPr="00F837E2" w:rsidRDefault="00393D01" w:rsidP="00393D01">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837E2">
              <w:rPr>
                <w:rFonts w:ascii="Arial" w:hAnsi="Arial" w:cs="Arial"/>
                <w:sz w:val="24"/>
                <w:szCs w:val="24"/>
              </w:rPr>
              <w:t>12.2%</w:t>
            </w:r>
          </w:p>
        </w:tc>
        <w:tc>
          <w:tcPr>
            <w:tcW w:w="0" w:type="auto"/>
            <w:hideMark/>
          </w:tcPr>
          <w:p w14:paraId="01F8A803" w14:textId="77777777" w:rsidR="00393D01" w:rsidRPr="00F837E2" w:rsidRDefault="00393D01" w:rsidP="00393D01">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837E2">
              <w:rPr>
                <w:rFonts w:ascii="Arial" w:hAnsi="Arial" w:cs="Arial"/>
                <w:sz w:val="24"/>
                <w:szCs w:val="24"/>
              </w:rPr>
              <w:t>9.2%</w:t>
            </w:r>
          </w:p>
        </w:tc>
        <w:tc>
          <w:tcPr>
            <w:tcW w:w="0" w:type="auto"/>
            <w:hideMark/>
          </w:tcPr>
          <w:p w14:paraId="3B522E44" w14:textId="77777777" w:rsidR="00393D01" w:rsidRPr="00F837E2" w:rsidRDefault="00393D01" w:rsidP="00393D01">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837E2">
              <w:rPr>
                <w:rFonts w:ascii="Arial" w:hAnsi="Arial" w:cs="Arial"/>
                <w:sz w:val="24"/>
                <w:szCs w:val="24"/>
              </w:rPr>
              <w:t>9.7%</w:t>
            </w:r>
          </w:p>
        </w:tc>
      </w:tr>
      <w:tr w:rsidR="00393D01" w:rsidRPr="00F837E2" w14:paraId="6F0CC8F0" w14:textId="77777777" w:rsidTr="00393D01">
        <w:trPr>
          <w:trHeight w:val="587"/>
        </w:trPr>
        <w:tc>
          <w:tcPr>
            <w:cnfStyle w:val="001000000000" w:firstRow="0" w:lastRow="0" w:firstColumn="1" w:lastColumn="0" w:oddVBand="0" w:evenVBand="0" w:oddHBand="0" w:evenHBand="0" w:firstRowFirstColumn="0" w:firstRowLastColumn="0" w:lastRowFirstColumn="0" w:lastRowLastColumn="0"/>
            <w:tcW w:w="0" w:type="auto"/>
            <w:hideMark/>
          </w:tcPr>
          <w:p w14:paraId="6FD19929" w14:textId="77777777" w:rsidR="00393D01" w:rsidRPr="00F837E2" w:rsidRDefault="00393D01" w:rsidP="00393D01">
            <w:pPr>
              <w:spacing w:after="160" w:line="360" w:lineRule="auto"/>
              <w:jc w:val="both"/>
              <w:rPr>
                <w:rFonts w:ascii="Arial" w:hAnsi="Arial" w:cs="Arial"/>
                <w:sz w:val="24"/>
                <w:szCs w:val="24"/>
              </w:rPr>
            </w:pPr>
            <w:r w:rsidRPr="00F837E2">
              <w:rPr>
                <w:rFonts w:ascii="Arial" w:hAnsi="Arial" w:cs="Arial"/>
                <w:sz w:val="24"/>
                <w:szCs w:val="24"/>
              </w:rPr>
              <w:t>Current ratio</w:t>
            </w:r>
          </w:p>
        </w:tc>
        <w:tc>
          <w:tcPr>
            <w:tcW w:w="0" w:type="auto"/>
            <w:hideMark/>
          </w:tcPr>
          <w:p w14:paraId="56EDA3EB" w14:textId="77777777" w:rsidR="00393D01" w:rsidRPr="00F837E2" w:rsidRDefault="00393D01" w:rsidP="00393D01">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837E2">
              <w:rPr>
                <w:rFonts w:ascii="Arial" w:hAnsi="Arial" w:cs="Arial"/>
                <w:sz w:val="24"/>
                <w:szCs w:val="24"/>
              </w:rPr>
              <w:t>0.57x</w:t>
            </w:r>
          </w:p>
        </w:tc>
        <w:tc>
          <w:tcPr>
            <w:tcW w:w="0" w:type="auto"/>
            <w:hideMark/>
          </w:tcPr>
          <w:p w14:paraId="75B6491B" w14:textId="77777777" w:rsidR="00393D01" w:rsidRPr="00F837E2" w:rsidRDefault="00393D01" w:rsidP="00393D01">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837E2">
              <w:rPr>
                <w:rFonts w:ascii="Arial" w:hAnsi="Arial" w:cs="Arial"/>
                <w:sz w:val="24"/>
                <w:szCs w:val="24"/>
              </w:rPr>
              <w:t>0.45x</w:t>
            </w:r>
          </w:p>
        </w:tc>
        <w:tc>
          <w:tcPr>
            <w:tcW w:w="0" w:type="auto"/>
            <w:hideMark/>
          </w:tcPr>
          <w:p w14:paraId="6D1F8FBC" w14:textId="77777777" w:rsidR="00393D01" w:rsidRPr="00F837E2" w:rsidRDefault="00393D01" w:rsidP="00393D01">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837E2">
              <w:rPr>
                <w:rFonts w:ascii="Arial" w:hAnsi="Arial" w:cs="Arial"/>
                <w:sz w:val="24"/>
                <w:szCs w:val="24"/>
              </w:rPr>
              <w:t>0.43x</w:t>
            </w:r>
          </w:p>
        </w:tc>
        <w:tc>
          <w:tcPr>
            <w:tcW w:w="0" w:type="auto"/>
            <w:hideMark/>
          </w:tcPr>
          <w:p w14:paraId="6EDA141C" w14:textId="77777777" w:rsidR="00393D01" w:rsidRPr="00F837E2" w:rsidRDefault="00393D01" w:rsidP="00393D01">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837E2">
              <w:rPr>
                <w:rFonts w:ascii="Arial" w:hAnsi="Arial" w:cs="Arial"/>
                <w:sz w:val="24"/>
                <w:szCs w:val="24"/>
              </w:rPr>
              <w:t>0.40x</w:t>
            </w:r>
          </w:p>
        </w:tc>
        <w:tc>
          <w:tcPr>
            <w:tcW w:w="0" w:type="auto"/>
            <w:hideMark/>
          </w:tcPr>
          <w:p w14:paraId="3F4256E8" w14:textId="77777777" w:rsidR="00393D01" w:rsidRPr="00F837E2" w:rsidRDefault="00393D01" w:rsidP="00393D01">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837E2">
              <w:rPr>
                <w:rFonts w:ascii="Arial" w:hAnsi="Arial" w:cs="Arial"/>
                <w:sz w:val="24"/>
                <w:szCs w:val="24"/>
              </w:rPr>
              <w:t>0.43x</w:t>
            </w:r>
          </w:p>
        </w:tc>
      </w:tr>
      <w:tr w:rsidR="00393D01" w:rsidRPr="00F837E2" w14:paraId="758B6672" w14:textId="77777777" w:rsidTr="00393D01">
        <w:trPr>
          <w:cnfStyle w:val="000000100000" w:firstRow="0" w:lastRow="0" w:firstColumn="0" w:lastColumn="0" w:oddVBand="0" w:evenVBand="0" w:oddHBand="1" w:evenHBand="0" w:firstRowFirstColumn="0" w:firstRowLastColumn="0" w:lastRowFirstColumn="0" w:lastRowLastColumn="0"/>
          <w:trHeight w:val="587"/>
        </w:trPr>
        <w:tc>
          <w:tcPr>
            <w:cnfStyle w:val="001000000000" w:firstRow="0" w:lastRow="0" w:firstColumn="1" w:lastColumn="0" w:oddVBand="0" w:evenVBand="0" w:oddHBand="0" w:evenHBand="0" w:firstRowFirstColumn="0" w:firstRowLastColumn="0" w:lastRowFirstColumn="0" w:lastRowLastColumn="0"/>
            <w:tcW w:w="0" w:type="auto"/>
            <w:hideMark/>
          </w:tcPr>
          <w:p w14:paraId="5885840A" w14:textId="77777777" w:rsidR="00393D01" w:rsidRPr="00F837E2" w:rsidRDefault="00393D01" w:rsidP="00393D01">
            <w:pPr>
              <w:spacing w:after="160" w:line="360" w:lineRule="auto"/>
              <w:jc w:val="both"/>
              <w:rPr>
                <w:rFonts w:ascii="Arial" w:hAnsi="Arial" w:cs="Arial"/>
                <w:sz w:val="24"/>
                <w:szCs w:val="24"/>
              </w:rPr>
            </w:pPr>
            <w:r w:rsidRPr="00F837E2">
              <w:rPr>
                <w:rFonts w:ascii="Arial" w:hAnsi="Arial" w:cs="Arial"/>
                <w:sz w:val="24"/>
                <w:szCs w:val="24"/>
              </w:rPr>
              <w:t>Quick ratio</w:t>
            </w:r>
          </w:p>
        </w:tc>
        <w:tc>
          <w:tcPr>
            <w:tcW w:w="0" w:type="auto"/>
            <w:hideMark/>
          </w:tcPr>
          <w:p w14:paraId="1527605B" w14:textId="77777777" w:rsidR="00393D01" w:rsidRPr="00F837E2" w:rsidRDefault="00393D01" w:rsidP="00393D01">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837E2">
              <w:rPr>
                <w:rFonts w:ascii="Arial" w:hAnsi="Arial" w:cs="Arial"/>
                <w:sz w:val="24"/>
                <w:szCs w:val="24"/>
              </w:rPr>
              <w:t>0.53x</w:t>
            </w:r>
          </w:p>
        </w:tc>
        <w:tc>
          <w:tcPr>
            <w:tcW w:w="0" w:type="auto"/>
            <w:hideMark/>
          </w:tcPr>
          <w:p w14:paraId="22A84C0A" w14:textId="77777777" w:rsidR="00393D01" w:rsidRPr="00F837E2" w:rsidRDefault="00393D01" w:rsidP="00393D01">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837E2">
              <w:rPr>
                <w:rFonts w:ascii="Arial" w:hAnsi="Arial" w:cs="Arial"/>
                <w:sz w:val="24"/>
                <w:szCs w:val="24"/>
              </w:rPr>
              <w:t>0.42x</w:t>
            </w:r>
          </w:p>
        </w:tc>
        <w:tc>
          <w:tcPr>
            <w:tcW w:w="0" w:type="auto"/>
            <w:hideMark/>
          </w:tcPr>
          <w:p w14:paraId="2D79F254" w14:textId="77777777" w:rsidR="00393D01" w:rsidRPr="00F837E2" w:rsidRDefault="00393D01" w:rsidP="00393D01">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837E2">
              <w:rPr>
                <w:rFonts w:ascii="Arial" w:hAnsi="Arial" w:cs="Arial"/>
                <w:sz w:val="24"/>
                <w:szCs w:val="24"/>
              </w:rPr>
              <w:t>0.39x</w:t>
            </w:r>
          </w:p>
        </w:tc>
        <w:tc>
          <w:tcPr>
            <w:tcW w:w="0" w:type="auto"/>
            <w:hideMark/>
          </w:tcPr>
          <w:p w14:paraId="3A523A10" w14:textId="77777777" w:rsidR="00393D01" w:rsidRPr="00F837E2" w:rsidRDefault="00393D01" w:rsidP="00393D01">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837E2">
              <w:rPr>
                <w:rFonts w:ascii="Arial" w:hAnsi="Arial" w:cs="Arial"/>
                <w:sz w:val="24"/>
                <w:szCs w:val="24"/>
              </w:rPr>
              <w:t>0.37x</w:t>
            </w:r>
          </w:p>
        </w:tc>
        <w:tc>
          <w:tcPr>
            <w:tcW w:w="0" w:type="auto"/>
            <w:hideMark/>
          </w:tcPr>
          <w:p w14:paraId="7F8A3E77" w14:textId="77777777" w:rsidR="00393D01" w:rsidRPr="00F837E2" w:rsidRDefault="00393D01" w:rsidP="00393D01">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837E2">
              <w:rPr>
                <w:rFonts w:ascii="Arial" w:hAnsi="Arial" w:cs="Arial"/>
                <w:sz w:val="24"/>
                <w:szCs w:val="24"/>
              </w:rPr>
              <w:t>0.39x</w:t>
            </w:r>
          </w:p>
        </w:tc>
      </w:tr>
      <w:tr w:rsidR="00393D01" w:rsidRPr="00F837E2" w14:paraId="5D49B4BC" w14:textId="77777777" w:rsidTr="00393D01">
        <w:trPr>
          <w:trHeight w:val="577"/>
        </w:trPr>
        <w:tc>
          <w:tcPr>
            <w:cnfStyle w:val="001000000000" w:firstRow="0" w:lastRow="0" w:firstColumn="1" w:lastColumn="0" w:oddVBand="0" w:evenVBand="0" w:oddHBand="0" w:evenHBand="0" w:firstRowFirstColumn="0" w:firstRowLastColumn="0" w:lastRowFirstColumn="0" w:lastRowLastColumn="0"/>
            <w:tcW w:w="0" w:type="auto"/>
            <w:hideMark/>
          </w:tcPr>
          <w:p w14:paraId="7FE61022" w14:textId="77777777" w:rsidR="00393D01" w:rsidRPr="00F837E2" w:rsidRDefault="00393D01" w:rsidP="00393D01">
            <w:pPr>
              <w:spacing w:after="160" w:line="360" w:lineRule="auto"/>
              <w:jc w:val="both"/>
              <w:rPr>
                <w:rFonts w:ascii="Arial" w:hAnsi="Arial" w:cs="Arial"/>
                <w:sz w:val="24"/>
                <w:szCs w:val="24"/>
              </w:rPr>
            </w:pPr>
            <w:r w:rsidRPr="00F837E2">
              <w:rPr>
                <w:rFonts w:ascii="Arial" w:hAnsi="Arial" w:cs="Arial"/>
                <w:sz w:val="24"/>
                <w:szCs w:val="24"/>
              </w:rPr>
              <w:t>Asset turnover</w:t>
            </w:r>
          </w:p>
        </w:tc>
        <w:tc>
          <w:tcPr>
            <w:tcW w:w="0" w:type="auto"/>
            <w:hideMark/>
          </w:tcPr>
          <w:p w14:paraId="3805D7C5" w14:textId="77777777" w:rsidR="00393D01" w:rsidRPr="00F837E2" w:rsidRDefault="00393D01" w:rsidP="00393D01">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837E2">
              <w:rPr>
                <w:rFonts w:ascii="Arial" w:hAnsi="Arial" w:cs="Arial"/>
                <w:sz w:val="24"/>
                <w:szCs w:val="24"/>
              </w:rPr>
              <w:t>0.55x</w:t>
            </w:r>
          </w:p>
        </w:tc>
        <w:tc>
          <w:tcPr>
            <w:tcW w:w="0" w:type="auto"/>
            <w:hideMark/>
          </w:tcPr>
          <w:p w14:paraId="53337E4D" w14:textId="77777777" w:rsidR="00393D01" w:rsidRPr="00F837E2" w:rsidRDefault="00393D01" w:rsidP="00393D01">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837E2">
              <w:rPr>
                <w:rFonts w:ascii="Arial" w:hAnsi="Arial" w:cs="Arial"/>
                <w:sz w:val="24"/>
                <w:szCs w:val="24"/>
              </w:rPr>
              <w:t>0.82x</w:t>
            </w:r>
          </w:p>
        </w:tc>
        <w:tc>
          <w:tcPr>
            <w:tcW w:w="0" w:type="auto"/>
            <w:hideMark/>
          </w:tcPr>
          <w:p w14:paraId="798132BA" w14:textId="77777777" w:rsidR="00393D01" w:rsidRPr="00F837E2" w:rsidRDefault="00393D01" w:rsidP="00393D01">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837E2">
              <w:rPr>
                <w:rFonts w:ascii="Arial" w:hAnsi="Arial" w:cs="Arial"/>
                <w:sz w:val="24"/>
                <w:szCs w:val="24"/>
              </w:rPr>
              <w:t>0.94x</w:t>
            </w:r>
          </w:p>
        </w:tc>
        <w:tc>
          <w:tcPr>
            <w:tcW w:w="0" w:type="auto"/>
            <w:hideMark/>
          </w:tcPr>
          <w:p w14:paraId="6C83F2D8" w14:textId="77777777" w:rsidR="00393D01" w:rsidRPr="00F837E2" w:rsidRDefault="00393D01" w:rsidP="00393D01">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837E2">
              <w:rPr>
                <w:rFonts w:ascii="Arial" w:hAnsi="Arial" w:cs="Arial"/>
                <w:sz w:val="24"/>
                <w:szCs w:val="24"/>
              </w:rPr>
              <w:t>0.97x</w:t>
            </w:r>
          </w:p>
        </w:tc>
        <w:tc>
          <w:tcPr>
            <w:tcW w:w="0" w:type="auto"/>
            <w:hideMark/>
          </w:tcPr>
          <w:p w14:paraId="1D082A41" w14:textId="77777777" w:rsidR="00393D01" w:rsidRPr="00F837E2" w:rsidRDefault="00393D01" w:rsidP="00393D01">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837E2">
              <w:rPr>
                <w:rFonts w:ascii="Arial" w:hAnsi="Arial" w:cs="Arial"/>
                <w:sz w:val="24"/>
                <w:szCs w:val="24"/>
              </w:rPr>
              <w:t>0.97x</w:t>
            </w:r>
          </w:p>
        </w:tc>
      </w:tr>
      <w:tr w:rsidR="00393D01" w:rsidRPr="00F837E2" w14:paraId="73B9AAF8" w14:textId="77777777" w:rsidTr="00393D01">
        <w:trPr>
          <w:cnfStyle w:val="000000100000" w:firstRow="0" w:lastRow="0" w:firstColumn="0" w:lastColumn="0" w:oddVBand="0" w:evenVBand="0" w:oddHBand="1" w:evenHBand="0" w:firstRowFirstColumn="0" w:firstRowLastColumn="0" w:lastRowFirstColumn="0" w:lastRowLastColumn="0"/>
          <w:trHeight w:val="587"/>
        </w:trPr>
        <w:tc>
          <w:tcPr>
            <w:cnfStyle w:val="001000000000" w:firstRow="0" w:lastRow="0" w:firstColumn="1" w:lastColumn="0" w:oddVBand="0" w:evenVBand="0" w:oddHBand="0" w:evenHBand="0" w:firstRowFirstColumn="0" w:firstRowLastColumn="0" w:lastRowFirstColumn="0" w:lastRowLastColumn="0"/>
            <w:tcW w:w="0" w:type="auto"/>
            <w:hideMark/>
          </w:tcPr>
          <w:p w14:paraId="6FA7882E" w14:textId="77777777" w:rsidR="00393D01" w:rsidRPr="00F837E2" w:rsidRDefault="00393D01" w:rsidP="00393D01">
            <w:pPr>
              <w:spacing w:after="160" w:line="360" w:lineRule="auto"/>
              <w:jc w:val="both"/>
              <w:rPr>
                <w:rFonts w:ascii="Arial" w:hAnsi="Arial" w:cs="Arial"/>
                <w:sz w:val="24"/>
                <w:szCs w:val="24"/>
              </w:rPr>
            </w:pPr>
            <w:r w:rsidRPr="00F837E2">
              <w:rPr>
                <w:rFonts w:ascii="Arial" w:hAnsi="Arial" w:cs="Arial"/>
                <w:sz w:val="24"/>
                <w:szCs w:val="24"/>
              </w:rPr>
              <w:t>Days sales outstanding</w:t>
            </w:r>
          </w:p>
        </w:tc>
        <w:tc>
          <w:tcPr>
            <w:tcW w:w="0" w:type="auto"/>
            <w:hideMark/>
          </w:tcPr>
          <w:p w14:paraId="09203E88" w14:textId="77777777" w:rsidR="00393D01" w:rsidRPr="00F837E2" w:rsidRDefault="00393D01" w:rsidP="00393D01">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837E2">
              <w:rPr>
                <w:rFonts w:ascii="Arial" w:hAnsi="Arial" w:cs="Arial"/>
                <w:sz w:val="24"/>
                <w:szCs w:val="24"/>
              </w:rPr>
              <w:t>49.4</w:t>
            </w:r>
          </w:p>
        </w:tc>
        <w:tc>
          <w:tcPr>
            <w:tcW w:w="0" w:type="auto"/>
            <w:hideMark/>
          </w:tcPr>
          <w:p w14:paraId="350B9796" w14:textId="77777777" w:rsidR="00393D01" w:rsidRPr="00F837E2" w:rsidRDefault="00393D01" w:rsidP="00393D01">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837E2">
              <w:rPr>
                <w:rFonts w:ascii="Arial" w:hAnsi="Arial" w:cs="Arial"/>
                <w:sz w:val="24"/>
                <w:szCs w:val="24"/>
              </w:rPr>
              <w:t>40.0</w:t>
            </w:r>
          </w:p>
        </w:tc>
        <w:tc>
          <w:tcPr>
            <w:tcW w:w="0" w:type="auto"/>
            <w:hideMark/>
          </w:tcPr>
          <w:p w14:paraId="18C32777" w14:textId="77777777" w:rsidR="00393D01" w:rsidRPr="00F837E2" w:rsidRDefault="00393D01" w:rsidP="00393D01">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837E2">
              <w:rPr>
                <w:rFonts w:ascii="Arial" w:hAnsi="Arial" w:cs="Arial"/>
                <w:sz w:val="24"/>
                <w:szCs w:val="24"/>
              </w:rPr>
              <w:t>40.7</w:t>
            </w:r>
          </w:p>
        </w:tc>
        <w:tc>
          <w:tcPr>
            <w:tcW w:w="0" w:type="auto"/>
            <w:hideMark/>
          </w:tcPr>
          <w:p w14:paraId="11CDCF22" w14:textId="77777777" w:rsidR="00393D01" w:rsidRPr="00F837E2" w:rsidRDefault="00393D01" w:rsidP="00393D01">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837E2">
              <w:rPr>
                <w:rFonts w:ascii="Arial" w:hAnsi="Arial" w:cs="Arial"/>
                <w:sz w:val="24"/>
                <w:szCs w:val="24"/>
              </w:rPr>
              <w:t>40.0</w:t>
            </w:r>
          </w:p>
        </w:tc>
        <w:tc>
          <w:tcPr>
            <w:tcW w:w="0" w:type="auto"/>
            <w:hideMark/>
          </w:tcPr>
          <w:p w14:paraId="1F900918" w14:textId="77777777" w:rsidR="00393D01" w:rsidRPr="00F837E2" w:rsidRDefault="00393D01" w:rsidP="00393D01">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837E2">
              <w:rPr>
                <w:rFonts w:ascii="Arial" w:hAnsi="Arial" w:cs="Arial"/>
                <w:sz w:val="24"/>
                <w:szCs w:val="24"/>
              </w:rPr>
              <w:t>39.8</w:t>
            </w:r>
          </w:p>
        </w:tc>
      </w:tr>
      <w:tr w:rsidR="00393D01" w:rsidRPr="00F837E2" w14:paraId="24D467F2" w14:textId="77777777" w:rsidTr="00393D01">
        <w:trPr>
          <w:trHeight w:val="587"/>
        </w:trPr>
        <w:tc>
          <w:tcPr>
            <w:cnfStyle w:val="001000000000" w:firstRow="0" w:lastRow="0" w:firstColumn="1" w:lastColumn="0" w:oddVBand="0" w:evenVBand="0" w:oddHBand="0" w:evenHBand="0" w:firstRowFirstColumn="0" w:firstRowLastColumn="0" w:lastRowFirstColumn="0" w:lastRowLastColumn="0"/>
            <w:tcW w:w="0" w:type="auto"/>
            <w:hideMark/>
          </w:tcPr>
          <w:p w14:paraId="34E0D059" w14:textId="77777777" w:rsidR="00393D01" w:rsidRPr="00F837E2" w:rsidRDefault="00393D01" w:rsidP="00393D01">
            <w:pPr>
              <w:spacing w:after="160" w:line="360" w:lineRule="auto"/>
              <w:jc w:val="both"/>
              <w:rPr>
                <w:rFonts w:ascii="Arial" w:hAnsi="Arial" w:cs="Arial"/>
                <w:sz w:val="24"/>
                <w:szCs w:val="24"/>
              </w:rPr>
            </w:pPr>
            <w:r w:rsidRPr="00F837E2">
              <w:rPr>
                <w:rFonts w:ascii="Arial" w:hAnsi="Arial" w:cs="Arial"/>
                <w:sz w:val="24"/>
                <w:szCs w:val="24"/>
              </w:rPr>
              <w:t>Debt to assets</w:t>
            </w:r>
          </w:p>
        </w:tc>
        <w:tc>
          <w:tcPr>
            <w:tcW w:w="0" w:type="auto"/>
            <w:hideMark/>
          </w:tcPr>
          <w:p w14:paraId="2FA5C1AC" w14:textId="77777777" w:rsidR="00393D01" w:rsidRPr="00F837E2" w:rsidRDefault="00393D01" w:rsidP="00393D01">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837E2">
              <w:rPr>
                <w:rFonts w:ascii="Arial" w:hAnsi="Arial" w:cs="Arial"/>
                <w:sz w:val="24"/>
                <w:szCs w:val="24"/>
              </w:rPr>
              <w:t>39.7%</w:t>
            </w:r>
          </w:p>
        </w:tc>
        <w:tc>
          <w:tcPr>
            <w:tcW w:w="0" w:type="auto"/>
            <w:hideMark/>
          </w:tcPr>
          <w:p w14:paraId="0503A713" w14:textId="77777777" w:rsidR="00393D01" w:rsidRPr="00F837E2" w:rsidRDefault="00393D01" w:rsidP="00393D01">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837E2">
              <w:rPr>
                <w:rFonts w:ascii="Arial" w:hAnsi="Arial" w:cs="Arial"/>
                <w:sz w:val="24"/>
                <w:szCs w:val="24"/>
              </w:rPr>
              <w:t>40.6%</w:t>
            </w:r>
          </w:p>
        </w:tc>
        <w:tc>
          <w:tcPr>
            <w:tcW w:w="0" w:type="auto"/>
            <w:hideMark/>
          </w:tcPr>
          <w:p w14:paraId="782D313B" w14:textId="77777777" w:rsidR="00393D01" w:rsidRPr="00F837E2" w:rsidRDefault="00393D01" w:rsidP="00393D01">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837E2">
              <w:rPr>
                <w:rFonts w:ascii="Arial" w:hAnsi="Arial" w:cs="Arial"/>
                <w:sz w:val="24"/>
                <w:szCs w:val="24"/>
              </w:rPr>
              <w:t>46.3%</w:t>
            </w:r>
          </w:p>
        </w:tc>
        <w:tc>
          <w:tcPr>
            <w:tcW w:w="0" w:type="auto"/>
            <w:hideMark/>
          </w:tcPr>
          <w:p w14:paraId="78C6A083" w14:textId="77777777" w:rsidR="00393D01" w:rsidRPr="00F837E2" w:rsidRDefault="00393D01" w:rsidP="00393D01">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837E2">
              <w:rPr>
                <w:rFonts w:ascii="Arial" w:hAnsi="Arial" w:cs="Arial"/>
                <w:sz w:val="24"/>
                <w:szCs w:val="24"/>
              </w:rPr>
              <w:t>55.2%</w:t>
            </w:r>
          </w:p>
        </w:tc>
        <w:tc>
          <w:tcPr>
            <w:tcW w:w="0" w:type="auto"/>
            <w:hideMark/>
          </w:tcPr>
          <w:p w14:paraId="7708B9FF" w14:textId="77777777" w:rsidR="00393D01" w:rsidRPr="00F837E2" w:rsidRDefault="00393D01" w:rsidP="00393D01">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837E2">
              <w:rPr>
                <w:rFonts w:ascii="Arial" w:hAnsi="Arial" w:cs="Arial"/>
                <w:sz w:val="24"/>
                <w:szCs w:val="24"/>
              </w:rPr>
              <w:t>58.8%</w:t>
            </w:r>
          </w:p>
        </w:tc>
      </w:tr>
      <w:tr w:rsidR="00393D01" w:rsidRPr="00F837E2" w14:paraId="0309FF33" w14:textId="77777777" w:rsidTr="00393D01">
        <w:trPr>
          <w:cnfStyle w:val="000000100000" w:firstRow="0" w:lastRow="0" w:firstColumn="0" w:lastColumn="0" w:oddVBand="0" w:evenVBand="0" w:oddHBand="1" w:evenHBand="0" w:firstRowFirstColumn="0" w:firstRowLastColumn="0" w:lastRowFirstColumn="0" w:lastRowLastColumn="0"/>
          <w:trHeight w:val="587"/>
        </w:trPr>
        <w:tc>
          <w:tcPr>
            <w:cnfStyle w:val="001000000000" w:firstRow="0" w:lastRow="0" w:firstColumn="1" w:lastColumn="0" w:oddVBand="0" w:evenVBand="0" w:oddHBand="0" w:evenHBand="0" w:firstRowFirstColumn="0" w:firstRowLastColumn="0" w:lastRowFirstColumn="0" w:lastRowLastColumn="0"/>
            <w:tcW w:w="0" w:type="auto"/>
            <w:hideMark/>
          </w:tcPr>
          <w:p w14:paraId="03A46F95" w14:textId="77777777" w:rsidR="00393D01" w:rsidRPr="00F837E2" w:rsidRDefault="00393D01" w:rsidP="00393D01">
            <w:pPr>
              <w:spacing w:after="160" w:line="360" w:lineRule="auto"/>
              <w:jc w:val="both"/>
              <w:rPr>
                <w:rFonts w:ascii="Arial" w:hAnsi="Arial" w:cs="Arial"/>
                <w:sz w:val="24"/>
                <w:szCs w:val="24"/>
              </w:rPr>
            </w:pPr>
            <w:r w:rsidRPr="00F837E2">
              <w:rPr>
                <w:rFonts w:ascii="Arial" w:hAnsi="Arial" w:cs="Arial"/>
                <w:sz w:val="24"/>
                <w:szCs w:val="24"/>
              </w:rPr>
              <w:t>Interest coverage</w:t>
            </w:r>
          </w:p>
        </w:tc>
        <w:tc>
          <w:tcPr>
            <w:tcW w:w="0" w:type="auto"/>
            <w:hideMark/>
          </w:tcPr>
          <w:p w14:paraId="5659513D" w14:textId="77777777" w:rsidR="00393D01" w:rsidRPr="00F837E2" w:rsidRDefault="00393D01" w:rsidP="00393D01">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837E2">
              <w:rPr>
                <w:rFonts w:ascii="Arial" w:hAnsi="Arial" w:cs="Arial"/>
                <w:sz w:val="24"/>
                <w:szCs w:val="24"/>
              </w:rPr>
              <w:t>4.17x</w:t>
            </w:r>
          </w:p>
        </w:tc>
        <w:tc>
          <w:tcPr>
            <w:tcW w:w="0" w:type="auto"/>
            <w:hideMark/>
          </w:tcPr>
          <w:p w14:paraId="3B8E6E26" w14:textId="77777777" w:rsidR="00393D01" w:rsidRPr="00F837E2" w:rsidRDefault="00393D01" w:rsidP="00393D01">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837E2">
              <w:rPr>
                <w:rFonts w:ascii="Arial" w:hAnsi="Arial" w:cs="Arial"/>
                <w:sz w:val="24"/>
                <w:szCs w:val="24"/>
              </w:rPr>
              <w:t>8.59x</w:t>
            </w:r>
          </w:p>
        </w:tc>
        <w:tc>
          <w:tcPr>
            <w:tcW w:w="0" w:type="auto"/>
            <w:hideMark/>
          </w:tcPr>
          <w:p w14:paraId="62246B3D" w14:textId="77777777" w:rsidR="00393D01" w:rsidRPr="00F837E2" w:rsidRDefault="00393D01" w:rsidP="00393D01">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837E2">
              <w:rPr>
                <w:rFonts w:ascii="Arial" w:hAnsi="Arial" w:cs="Arial"/>
                <w:sz w:val="24"/>
                <w:szCs w:val="24"/>
              </w:rPr>
              <w:t>6.84x</w:t>
            </w:r>
          </w:p>
        </w:tc>
        <w:tc>
          <w:tcPr>
            <w:tcW w:w="0" w:type="auto"/>
            <w:hideMark/>
          </w:tcPr>
          <w:p w14:paraId="2A32EF49" w14:textId="77777777" w:rsidR="00393D01" w:rsidRPr="00F837E2" w:rsidRDefault="00393D01" w:rsidP="00393D01">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837E2">
              <w:rPr>
                <w:rFonts w:ascii="Arial" w:hAnsi="Arial" w:cs="Arial"/>
                <w:sz w:val="24"/>
                <w:szCs w:val="24"/>
              </w:rPr>
              <w:t>5.42x</w:t>
            </w:r>
          </w:p>
        </w:tc>
        <w:tc>
          <w:tcPr>
            <w:tcW w:w="0" w:type="auto"/>
            <w:hideMark/>
          </w:tcPr>
          <w:p w14:paraId="7F127B1D" w14:textId="77777777" w:rsidR="00393D01" w:rsidRPr="00F837E2" w:rsidRDefault="00393D01" w:rsidP="00393D01">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837E2">
              <w:rPr>
                <w:rFonts w:ascii="Arial" w:hAnsi="Arial" w:cs="Arial"/>
                <w:sz w:val="24"/>
                <w:szCs w:val="24"/>
              </w:rPr>
              <w:t>5.12x</w:t>
            </w:r>
          </w:p>
        </w:tc>
      </w:tr>
      <w:tr w:rsidR="00393D01" w:rsidRPr="00F837E2" w14:paraId="4B813268" w14:textId="77777777" w:rsidTr="00393D01">
        <w:trPr>
          <w:trHeight w:val="587"/>
        </w:trPr>
        <w:tc>
          <w:tcPr>
            <w:cnfStyle w:val="001000000000" w:firstRow="0" w:lastRow="0" w:firstColumn="1" w:lastColumn="0" w:oddVBand="0" w:evenVBand="0" w:oddHBand="0" w:evenHBand="0" w:firstRowFirstColumn="0" w:firstRowLastColumn="0" w:lastRowFirstColumn="0" w:lastRowLastColumn="0"/>
            <w:tcW w:w="0" w:type="auto"/>
            <w:hideMark/>
          </w:tcPr>
          <w:p w14:paraId="318FFE27" w14:textId="77777777" w:rsidR="00393D01" w:rsidRPr="00F837E2" w:rsidRDefault="00393D01" w:rsidP="00393D01">
            <w:pPr>
              <w:spacing w:after="160" w:line="360" w:lineRule="auto"/>
              <w:jc w:val="both"/>
              <w:rPr>
                <w:rFonts w:ascii="Arial" w:hAnsi="Arial" w:cs="Arial"/>
                <w:sz w:val="24"/>
                <w:szCs w:val="24"/>
              </w:rPr>
            </w:pPr>
            <w:r w:rsidRPr="00F837E2">
              <w:rPr>
                <w:rFonts w:ascii="Arial" w:hAnsi="Arial" w:cs="Arial"/>
                <w:sz w:val="24"/>
                <w:szCs w:val="24"/>
              </w:rPr>
              <w:t>Diluted EPS</w:t>
            </w:r>
          </w:p>
        </w:tc>
        <w:tc>
          <w:tcPr>
            <w:tcW w:w="0" w:type="auto"/>
            <w:hideMark/>
          </w:tcPr>
          <w:p w14:paraId="7C15E19A" w14:textId="77777777" w:rsidR="00393D01" w:rsidRPr="00F837E2" w:rsidRDefault="00393D01" w:rsidP="00393D01">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837E2">
              <w:rPr>
                <w:rFonts w:ascii="Arial" w:hAnsi="Arial" w:cs="Arial"/>
                <w:sz w:val="24"/>
                <w:szCs w:val="24"/>
              </w:rPr>
              <w:t>$3.34</w:t>
            </w:r>
          </w:p>
        </w:tc>
        <w:tc>
          <w:tcPr>
            <w:tcW w:w="0" w:type="auto"/>
            <w:hideMark/>
          </w:tcPr>
          <w:p w14:paraId="6E7CD411" w14:textId="77777777" w:rsidR="00393D01" w:rsidRPr="00F837E2" w:rsidRDefault="00393D01" w:rsidP="00393D01">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837E2">
              <w:rPr>
                <w:rFonts w:ascii="Arial" w:hAnsi="Arial" w:cs="Arial"/>
                <w:sz w:val="24"/>
                <w:szCs w:val="24"/>
              </w:rPr>
              <w:t>$7.24</w:t>
            </w:r>
          </w:p>
        </w:tc>
        <w:tc>
          <w:tcPr>
            <w:tcW w:w="0" w:type="auto"/>
            <w:hideMark/>
          </w:tcPr>
          <w:p w14:paraId="45E08B95" w14:textId="77777777" w:rsidR="00393D01" w:rsidRPr="00F837E2" w:rsidRDefault="00393D01" w:rsidP="00393D01">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837E2">
              <w:rPr>
                <w:rFonts w:ascii="Arial" w:hAnsi="Arial" w:cs="Arial"/>
                <w:sz w:val="24"/>
                <w:szCs w:val="24"/>
              </w:rPr>
              <w:t>$10.18</w:t>
            </w:r>
          </w:p>
        </w:tc>
        <w:tc>
          <w:tcPr>
            <w:tcW w:w="0" w:type="auto"/>
            <w:hideMark/>
          </w:tcPr>
          <w:p w14:paraId="5257B343" w14:textId="77777777" w:rsidR="00393D01" w:rsidRPr="00F837E2" w:rsidRDefault="00393D01" w:rsidP="00393D01">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837E2">
              <w:rPr>
                <w:rFonts w:ascii="Arial" w:hAnsi="Arial" w:cs="Arial"/>
                <w:sz w:val="24"/>
                <w:szCs w:val="24"/>
              </w:rPr>
              <w:t>$8.33</w:t>
            </w:r>
          </w:p>
        </w:tc>
        <w:tc>
          <w:tcPr>
            <w:tcW w:w="0" w:type="auto"/>
            <w:hideMark/>
          </w:tcPr>
          <w:p w14:paraId="0984ECE8" w14:textId="77777777" w:rsidR="00393D01" w:rsidRPr="00F837E2" w:rsidRDefault="00393D01" w:rsidP="00393D01">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837E2">
              <w:rPr>
                <w:rFonts w:ascii="Arial" w:hAnsi="Arial" w:cs="Arial"/>
                <w:sz w:val="24"/>
                <w:szCs w:val="24"/>
              </w:rPr>
              <w:t>$9.51</w:t>
            </w:r>
          </w:p>
        </w:tc>
      </w:tr>
      <w:tr w:rsidR="00393D01" w:rsidRPr="00F837E2" w14:paraId="166821C8" w14:textId="77777777" w:rsidTr="00393D01">
        <w:trPr>
          <w:cnfStyle w:val="000000100000" w:firstRow="0" w:lastRow="0" w:firstColumn="0" w:lastColumn="0" w:oddVBand="0" w:evenVBand="0" w:oddHBand="1" w:evenHBand="0" w:firstRowFirstColumn="0" w:firstRowLastColumn="0" w:lastRowFirstColumn="0" w:lastRowLastColumn="0"/>
          <w:trHeight w:val="587"/>
        </w:trPr>
        <w:tc>
          <w:tcPr>
            <w:cnfStyle w:val="001000000000" w:firstRow="0" w:lastRow="0" w:firstColumn="1" w:lastColumn="0" w:oddVBand="0" w:evenVBand="0" w:oddHBand="0" w:evenHBand="0" w:firstRowFirstColumn="0" w:firstRowLastColumn="0" w:lastRowFirstColumn="0" w:lastRowLastColumn="0"/>
            <w:tcW w:w="0" w:type="auto"/>
            <w:hideMark/>
          </w:tcPr>
          <w:p w14:paraId="3677AD7A" w14:textId="77777777" w:rsidR="00393D01" w:rsidRPr="00F837E2" w:rsidRDefault="00393D01" w:rsidP="00393D01">
            <w:pPr>
              <w:spacing w:after="160" w:line="360" w:lineRule="auto"/>
              <w:jc w:val="both"/>
              <w:rPr>
                <w:rFonts w:ascii="Arial" w:hAnsi="Arial" w:cs="Arial"/>
                <w:sz w:val="24"/>
                <w:szCs w:val="24"/>
              </w:rPr>
            </w:pPr>
            <w:r w:rsidRPr="00F837E2">
              <w:rPr>
                <w:rFonts w:ascii="Arial" w:hAnsi="Arial" w:cs="Arial"/>
                <w:sz w:val="24"/>
                <w:szCs w:val="24"/>
              </w:rPr>
              <w:t>Dividend per share</w:t>
            </w:r>
          </w:p>
        </w:tc>
        <w:tc>
          <w:tcPr>
            <w:tcW w:w="0" w:type="auto"/>
            <w:hideMark/>
          </w:tcPr>
          <w:p w14:paraId="2846F82A" w14:textId="77777777" w:rsidR="00393D01" w:rsidRPr="00F837E2" w:rsidRDefault="00393D01" w:rsidP="00393D01">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837E2">
              <w:rPr>
                <w:rFonts w:ascii="Arial" w:hAnsi="Arial" w:cs="Arial"/>
                <w:sz w:val="24"/>
                <w:szCs w:val="24"/>
              </w:rPr>
              <w:t>–</w:t>
            </w:r>
          </w:p>
        </w:tc>
        <w:tc>
          <w:tcPr>
            <w:tcW w:w="0" w:type="auto"/>
            <w:hideMark/>
          </w:tcPr>
          <w:p w14:paraId="45AB2ABD" w14:textId="77777777" w:rsidR="00393D01" w:rsidRPr="00F837E2" w:rsidRDefault="00393D01" w:rsidP="00393D01">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837E2">
              <w:rPr>
                <w:rFonts w:ascii="Arial" w:hAnsi="Arial" w:cs="Arial"/>
                <w:sz w:val="24"/>
                <w:szCs w:val="24"/>
              </w:rPr>
              <w:t>$1.00</w:t>
            </w:r>
          </w:p>
        </w:tc>
        <w:tc>
          <w:tcPr>
            <w:tcW w:w="0" w:type="auto"/>
            <w:hideMark/>
          </w:tcPr>
          <w:p w14:paraId="52937970" w14:textId="77777777" w:rsidR="00393D01" w:rsidRPr="00F837E2" w:rsidRDefault="00393D01" w:rsidP="00393D01">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837E2">
              <w:rPr>
                <w:rFonts w:ascii="Arial" w:hAnsi="Arial" w:cs="Arial"/>
                <w:sz w:val="24"/>
                <w:szCs w:val="24"/>
              </w:rPr>
              <w:t>$1.96</w:t>
            </w:r>
          </w:p>
        </w:tc>
        <w:tc>
          <w:tcPr>
            <w:tcW w:w="0" w:type="auto"/>
            <w:hideMark/>
          </w:tcPr>
          <w:p w14:paraId="7EA6A349" w14:textId="77777777" w:rsidR="00393D01" w:rsidRPr="00F837E2" w:rsidRDefault="00393D01" w:rsidP="00393D01">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837E2">
              <w:rPr>
                <w:rFonts w:ascii="Arial" w:hAnsi="Arial" w:cs="Arial"/>
                <w:sz w:val="24"/>
                <w:szCs w:val="24"/>
              </w:rPr>
              <w:t>$2.41</w:t>
            </w:r>
          </w:p>
        </w:tc>
        <w:tc>
          <w:tcPr>
            <w:tcW w:w="0" w:type="auto"/>
            <w:hideMark/>
          </w:tcPr>
          <w:p w14:paraId="59D33369" w14:textId="77777777" w:rsidR="00393D01" w:rsidRPr="00F837E2" w:rsidRDefault="00393D01" w:rsidP="00393D01">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837E2">
              <w:rPr>
                <w:rFonts w:ascii="Arial" w:hAnsi="Arial" w:cs="Arial"/>
                <w:sz w:val="24"/>
                <w:szCs w:val="24"/>
              </w:rPr>
              <w:t>$2.64</w:t>
            </w:r>
          </w:p>
        </w:tc>
      </w:tr>
      <w:tr w:rsidR="00393D01" w:rsidRPr="00F837E2" w14:paraId="6F578D27" w14:textId="77777777" w:rsidTr="00393D01">
        <w:trPr>
          <w:trHeight w:val="587"/>
        </w:trPr>
        <w:tc>
          <w:tcPr>
            <w:cnfStyle w:val="001000000000" w:firstRow="0" w:lastRow="0" w:firstColumn="1" w:lastColumn="0" w:oddVBand="0" w:evenVBand="0" w:oddHBand="0" w:evenHBand="0" w:firstRowFirstColumn="0" w:firstRowLastColumn="0" w:lastRowFirstColumn="0" w:lastRowLastColumn="0"/>
            <w:tcW w:w="0" w:type="auto"/>
            <w:hideMark/>
          </w:tcPr>
          <w:p w14:paraId="33E4B8F1" w14:textId="77777777" w:rsidR="00393D01" w:rsidRPr="00F837E2" w:rsidRDefault="00393D01" w:rsidP="00393D01">
            <w:pPr>
              <w:spacing w:after="160" w:line="360" w:lineRule="auto"/>
              <w:jc w:val="both"/>
              <w:rPr>
                <w:rFonts w:ascii="Arial" w:hAnsi="Arial" w:cs="Arial"/>
                <w:sz w:val="24"/>
                <w:szCs w:val="24"/>
              </w:rPr>
            </w:pPr>
            <w:r w:rsidRPr="00F837E2">
              <w:rPr>
                <w:rFonts w:ascii="Arial" w:hAnsi="Arial" w:cs="Arial"/>
                <w:sz w:val="24"/>
                <w:szCs w:val="24"/>
              </w:rPr>
              <w:t>Distribution coverage</w:t>
            </w:r>
          </w:p>
        </w:tc>
        <w:tc>
          <w:tcPr>
            <w:tcW w:w="0" w:type="auto"/>
            <w:hideMark/>
          </w:tcPr>
          <w:p w14:paraId="6897D3BC" w14:textId="77777777" w:rsidR="00393D01" w:rsidRPr="00F837E2" w:rsidRDefault="00393D01" w:rsidP="00393D01">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837E2">
              <w:rPr>
                <w:rFonts w:ascii="Arial" w:hAnsi="Arial" w:cs="Arial"/>
                <w:sz w:val="24"/>
                <w:szCs w:val="24"/>
              </w:rPr>
              <w:t>–</w:t>
            </w:r>
          </w:p>
        </w:tc>
        <w:tc>
          <w:tcPr>
            <w:tcW w:w="0" w:type="auto"/>
            <w:hideMark/>
          </w:tcPr>
          <w:p w14:paraId="23A2B980" w14:textId="77777777" w:rsidR="00393D01" w:rsidRPr="00F837E2" w:rsidRDefault="00393D01" w:rsidP="00393D01">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837E2">
              <w:rPr>
                <w:rFonts w:ascii="Arial" w:hAnsi="Arial" w:cs="Arial"/>
                <w:sz w:val="24"/>
                <w:szCs w:val="24"/>
              </w:rPr>
              <w:t>0.70x</w:t>
            </w:r>
          </w:p>
        </w:tc>
        <w:tc>
          <w:tcPr>
            <w:tcW w:w="0" w:type="auto"/>
            <w:hideMark/>
          </w:tcPr>
          <w:p w14:paraId="34B3340D" w14:textId="77777777" w:rsidR="00393D01" w:rsidRPr="00F837E2" w:rsidRDefault="00393D01" w:rsidP="00393D01">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837E2">
              <w:rPr>
                <w:rFonts w:ascii="Arial" w:hAnsi="Arial" w:cs="Arial"/>
                <w:sz w:val="24"/>
                <w:szCs w:val="24"/>
              </w:rPr>
              <w:t>0.60x</w:t>
            </w:r>
          </w:p>
        </w:tc>
        <w:tc>
          <w:tcPr>
            <w:tcW w:w="0" w:type="auto"/>
            <w:hideMark/>
          </w:tcPr>
          <w:p w14:paraId="59E09450" w14:textId="77777777" w:rsidR="00393D01" w:rsidRPr="00F837E2" w:rsidRDefault="00393D01" w:rsidP="00393D01">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837E2">
              <w:rPr>
                <w:rFonts w:ascii="Arial" w:hAnsi="Arial" w:cs="Arial"/>
                <w:sz w:val="24"/>
                <w:szCs w:val="24"/>
              </w:rPr>
              <w:t>0.45x</w:t>
            </w:r>
          </w:p>
        </w:tc>
        <w:tc>
          <w:tcPr>
            <w:tcW w:w="0" w:type="auto"/>
            <w:hideMark/>
          </w:tcPr>
          <w:p w14:paraId="17A6A6BE" w14:textId="77777777" w:rsidR="00393D01" w:rsidRPr="00F837E2" w:rsidRDefault="00393D01" w:rsidP="00393D01">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837E2">
              <w:rPr>
                <w:rFonts w:ascii="Arial" w:hAnsi="Arial" w:cs="Arial"/>
                <w:sz w:val="24"/>
                <w:szCs w:val="24"/>
              </w:rPr>
              <w:t>0.65x</w:t>
            </w:r>
          </w:p>
        </w:tc>
      </w:tr>
    </w:tbl>
    <w:p w14:paraId="0CCF11F9" w14:textId="77777777" w:rsidR="00393D01" w:rsidRPr="00F837E2" w:rsidRDefault="00393D01" w:rsidP="00393D01">
      <w:pPr>
        <w:pStyle w:val="Heading2"/>
        <w:spacing w:line="360" w:lineRule="auto"/>
        <w:rPr>
          <w:rFonts w:ascii="Arial" w:hAnsi="Arial" w:cs="Arial"/>
          <w:sz w:val="24"/>
          <w:szCs w:val="24"/>
        </w:rPr>
      </w:pPr>
      <w:bookmarkStart w:id="32" w:name="_Toc235687087"/>
      <w:r w:rsidRPr="00F837E2">
        <w:rPr>
          <w:rFonts w:ascii="Arial" w:hAnsi="Arial" w:cs="Arial"/>
          <w:sz w:val="24"/>
          <w:szCs w:val="24"/>
        </w:rPr>
        <w:t>Appendix B: Liquidity Comparison with Industry Benchmarks</w:t>
      </w:r>
      <w:bookmarkEnd w:id="32"/>
    </w:p>
    <w:tbl>
      <w:tblPr>
        <w:tblStyle w:val="GridTable4-Accent4"/>
        <w:tblW w:w="9217" w:type="dxa"/>
        <w:tblLook w:val="04A0" w:firstRow="1" w:lastRow="0" w:firstColumn="1" w:lastColumn="0" w:noHBand="0" w:noVBand="1"/>
      </w:tblPr>
      <w:tblGrid>
        <w:gridCol w:w="3657"/>
        <w:gridCol w:w="1112"/>
        <w:gridCol w:w="1112"/>
        <w:gridCol w:w="1112"/>
        <w:gridCol w:w="1112"/>
        <w:gridCol w:w="1112"/>
      </w:tblGrid>
      <w:tr w:rsidR="00393D01" w:rsidRPr="00F837E2" w14:paraId="149CC17B" w14:textId="77777777" w:rsidTr="00393D01">
        <w:trPr>
          <w:cnfStyle w:val="100000000000" w:firstRow="1" w:lastRow="0" w:firstColumn="0" w:lastColumn="0" w:oddVBand="0" w:evenVBand="0" w:oddHBand="0" w:evenHBand="0" w:firstRowFirstColumn="0" w:firstRowLastColumn="0" w:lastRowFirstColumn="0" w:lastRowLastColumn="0"/>
          <w:trHeight w:val="589"/>
        </w:trPr>
        <w:tc>
          <w:tcPr>
            <w:cnfStyle w:val="001000000000" w:firstRow="0" w:lastRow="0" w:firstColumn="1" w:lastColumn="0" w:oddVBand="0" w:evenVBand="0" w:oddHBand="0" w:evenHBand="0" w:firstRowFirstColumn="0" w:firstRowLastColumn="0" w:lastRowFirstColumn="0" w:lastRowLastColumn="0"/>
            <w:tcW w:w="0" w:type="auto"/>
            <w:hideMark/>
          </w:tcPr>
          <w:p w14:paraId="7EF13A38" w14:textId="77777777" w:rsidR="00393D01" w:rsidRPr="00F837E2" w:rsidRDefault="00393D01" w:rsidP="00393D01">
            <w:pPr>
              <w:spacing w:after="160" w:line="360" w:lineRule="auto"/>
              <w:jc w:val="both"/>
              <w:rPr>
                <w:rFonts w:ascii="Arial" w:hAnsi="Arial" w:cs="Arial"/>
                <w:sz w:val="24"/>
                <w:szCs w:val="24"/>
              </w:rPr>
            </w:pPr>
            <w:r w:rsidRPr="00F837E2">
              <w:rPr>
                <w:rFonts w:ascii="Arial" w:hAnsi="Arial" w:cs="Arial"/>
                <w:sz w:val="24"/>
                <w:szCs w:val="24"/>
              </w:rPr>
              <w:t>Measure</w:t>
            </w:r>
          </w:p>
        </w:tc>
        <w:tc>
          <w:tcPr>
            <w:tcW w:w="0" w:type="auto"/>
            <w:hideMark/>
          </w:tcPr>
          <w:p w14:paraId="07538277" w14:textId="77777777" w:rsidR="00393D01" w:rsidRPr="00F837E2" w:rsidRDefault="00393D01" w:rsidP="00393D01">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F837E2">
              <w:rPr>
                <w:rFonts w:ascii="Arial" w:hAnsi="Arial" w:cs="Arial"/>
                <w:sz w:val="24"/>
                <w:szCs w:val="24"/>
              </w:rPr>
              <w:t>2021</w:t>
            </w:r>
          </w:p>
        </w:tc>
        <w:tc>
          <w:tcPr>
            <w:tcW w:w="0" w:type="auto"/>
            <w:hideMark/>
          </w:tcPr>
          <w:p w14:paraId="29C0B61F" w14:textId="77777777" w:rsidR="00393D01" w:rsidRPr="00F837E2" w:rsidRDefault="00393D01" w:rsidP="00393D01">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F837E2">
              <w:rPr>
                <w:rFonts w:ascii="Arial" w:hAnsi="Arial" w:cs="Arial"/>
                <w:sz w:val="24"/>
                <w:szCs w:val="24"/>
              </w:rPr>
              <w:t>2022</w:t>
            </w:r>
          </w:p>
        </w:tc>
        <w:tc>
          <w:tcPr>
            <w:tcW w:w="0" w:type="auto"/>
            <w:hideMark/>
          </w:tcPr>
          <w:p w14:paraId="61178127" w14:textId="77777777" w:rsidR="00393D01" w:rsidRPr="00F837E2" w:rsidRDefault="00393D01" w:rsidP="00393D01">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F837E2">
              <w:rPr>
                <w:rFonts w:ascii="Arial" w:hAnsi="Arial" w:cs="Arial"/>
                <w:sz w:val="24"/>
                <w:szCs w:val="24"/>
              </w:rPr>
              <w:t>2023</w:t>
            </w:r>
          </w:p>
        </w:tc>
        <w:tc>
          <w:tcPr>
            <w:tcW w:w="0" w:type="auto"/>
            <w:hideMark/>
          </w:tcPr>
          <w:p w14:paraId="5DC2905B" w14:textId="77777777" w:rsidR="00393D01" w:rsidRPr="00F837E2" w:rsidRDefault="00393D01" w:rsidP="00393D01">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F837E2">
              <w:rPr>
                <w:rFonts w:ascii="Arial" w:hAnsi="Arial" w:cs="Arial"/>
                <w:sz w:val="24"/>
                <w:szCs w:val="24"/>
              </w:rPr>
              <w:t>2024</w:t>
            </w:r>
          </w:p>
        </w:tc>
        <w:tc>
          <w:tcPr>
            <w:tcW w:w="0" w:type="auto"/>
            <w:hideMark/>
          </w:tcPr>
          <w:p w14:paraId="0C28CF13" w14:textId="77777777" w:rsidR="00393D01" w:rsidRPr="00F837E2" w:rsidRDefault="00393D01" w:rsidP="00393D01">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F837E2">
              <w:rPr>
                <w:rFonts w:ascii="Arial" w:hAnsi="Arial" w:cs="Arial"/>
                <w:sz w:val="24"/>
                <w:szCs w:val="24"/>
              </w:rPr>
              <w:t>2025</w:t>
            </w:r>
          </w:p>
        </w:tc>
      </w:tr>
      <w:tr w:rsidR="00393D01" w:rsidRPr="00F837E2" w14:paraId="591778F3" w14:textId="77777777" w:rsidTr="00393D01">
        <w:trPr>
          <w:cnfStyle w:val="000000100000" w:firstRow="0" w:lastRow="0" w:firstColumn="0" w:lastColumn="0" w:oddVBand="0" w:evenVBand="0" w:oddHBand="1" w:evenHBand="0" w:firstRowFirstColumn="0" w:firstRowLastColumn="0" w:lastRowFirstColumn="0" w:lastRowLastColumn="0"/>
          <w:trHeight w:val="589"/>
        </w:trPr>
        <w:tc>
          <w:tcPr>
            <w:cnfStyle w:val="001000000000" w:firstRow="0" w:lastRow="0" w:firstColumn="1" w:lastColumn="0" w:oddVBand="0" w:evenVBand="0" w:oddHBand="0" w:evenHBand="0" w:firstRowFirstColumn="0" w:firstRowLastColumn="0" w:lastRowFirstColumn="0" w:lastRowLastColumn="0"/>
            <w:tcW w:w="0" w:type="auto"/>
            <w:hideMark/>
          </w:tcPr>
          <w:p w14:paraId="5CB73A4A" w14:textId="77777777" w:rsidR="00393D01" w:rsidRPr="00F837E2" w:rsidRDefault="00393D01" w:rsidP="00393D01">
            <w:pPr>
              <w:spacing w:after="160" w:line="360" w:lineRule="auto"/>
              <w:jc w:val="both"/>
              <w:rPr>
                <w:rFonts w:ascii="Arial" w:hAnsi="Arial" w:cs="Arial"/>
                <w:sz w:val="24"/>
                <w:szCs w:val="24"/>
              </w:rPr>
            </w:pPr>
            <w:r w:rsidRPr="00F837E2">
              <w:rPr>
                <w:rFonts w:ascii="Arial" w:hAnsi="Arial" w:cs="Arial"/>
                <w:sz w:val="24"/>
                <w:szCs w:val="24"/>
              </w:rPr>
              <w:lastRenderedPageBreak/>
              <w:t>Marriott current ratio</w:t>
            </w:r>
          </w:p>
        </w:tc>
        <w:tc>
          <w:tcPr>
            <w:tcW w:w="0" w:type="auto"/>
            <w:hideMark/>
          </w:tcPr>
          <w:p w14:paraId="7C4401F8" w14:textId="77777777" w:rsidR="00393D01" w:rsidRPr="00F837E2" w:rsidRDefault="00393D01" w:rsidP="00393D01">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837E2">
              <w:rPr>
                <w:rFonts w:ascii="Arial" w:hAnsi="Arial" w:cs="Arial"/>
                <w:sz w:val="24"/>
                <w:szCs w:val="24"/>
              </w:rPr>
              <w:t>0.57x</w:t>
            </w:r>
          </w:p>
        </w:tc>
        <w:tc>
          <w:tcPr>
            <w:tcW w:w="0" w:type="auto"/>
            <w:hideMark/>
          </w:tcPr>
          <w:p w14:paraId="580C862C" w14:textId="77777777" w:rsidR="00393D01" w:rsidRPr="00F837E2" w:rsidRDefault="00393D01" w:rsidP="00393D01">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837E2">
              <w:rPr>
                <w:rFonts w:ascii="Arial" w:hAnsi="Arial" w:cs="Arial"/>
                <w:sz w:val="24"/>
                <w:szCs w:val="24"/>
              </w:rPr>
              <w:t>0.45x</w:t>
            </w:r>
          </w:p>
        </w:tc>
        <w:tc>
          <w:tcPr>
            <w:tcW w:w="0" w:type="auto"/>
            <w:hideMark/>
          </w:tcPr>
          <w:p w14:paraId="73842238" w14:textId="77777777" w:rsidR="00393D01" w:rsidRPr="00F837E2" w:rsidRDefault="00393D01" w:rsidP="00393D01">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837E2">
              <w:rPr>
                <w:rFonts w:ascii="Arial" w:hAnsi="Arial" w:cs="Arial"/>
                <w:sz w:val="24"/>
                <w:szCs w:val="24"/>
              </w:rPr>
              <w:t>0.43x</w:t>
            </w:r>
          </w:p>
        </w:tc>
        <w:tc>
          <w:tcPr>
            <w:tcW w:w="0" w:type="auto"/>
            <w:hideMark/>
          </w:tcPr>
          <w:p w14:paraId="2F21AF30" w14:textId="77777777" w:rsidR="00393D01" w:rsidRPr="00F837E2" w:rsidRDefault="00393D01" w:rsidP="00393D01">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837E2">
              <w:rPr>
                <w:rFonts w:ascii="Arial" w:hAnsi="Arial" w:cs="Arial"/>
                <w:sz w:val="24"/>
                <w:szCs w:val="24"/>
              </w:rPr>
              <w:t>0.40x</w:t>
            </w:r>
          </w:p>
        </w:tc>
        <w:tc>
          <w:tcPr>
            <w:tcW w:w="0" w:type="auto"/>
            <w:hideMark/>
          </w:tcPr>
          <w:p w14:paraId="3A4A8D32" w14:textId="77777777" w:rsidR="00393D01" w:rsidRPr="00F837E2" w:rsidRDefault="00393D01" w:rsidP="00393D01">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837E2">
              <w:rPr>
                <w:rFonts w:ascii="Arial" w:hAnsi="Arial" w:cs="Arial"/>
                <w:sz w:val="24"/>
                <w:szCs w:val="24"/>
              </w:rPr>
              <w:t>0.43x</w:t>
            </w:r>
          </w:p>
        </w:tc>
      </w:tr>
      <w:tr w:rsidR="00393D01" w:rsidRPr="00F837E2" w14:paraId="79768D2B" w14:textId="77777777" w:rsidTr="00393D01">
        <w:trPr>
          <w:trHeight w:val="579"/>
        </w:trPr>
        <w:tc>
          <w:tcPr>
            <w:cnfStyle w:val="001000000000" w:firstRow="0" w:lastRow="0" w:firstColumn="1" w:lastColumn="0" w:oddVBand="0" w:evenVBand="0" w:oddHBand="0" w:evenHBand="0" w:firstRowFirstColumn="0" w:firstRowLastColumn="0" w:lastRowFirstColumn="0" w:lastRowLastColumn="0"/>
            <w:tcW w:w="0" w:type="auto"/>
            <w:hideMark/>
          </w:tcPr>
          <w:p w14:paraId="7487EE8C" w14:textId="77777777" w:rsidR="00393D01" w:rsidRPr="00F837E2" w:rsidRDefault="00393D01" w:rsidP="00393D01">
            <w:pPr>
              <w:spacing w:after="160" w:line="360" w:lineRule="auto"/>
              <w:jc w:val="both"/>
              <w:rPr>
                <w:rFonts w:ascii="Arial" w:hAnsi="Arial" w:cs="Arial"/>
                <w:sz w:val="24"/>
                <w:szCs w:val="24"/>
              </w:rPr>
            </w:pPr>
            <w:r w:rsidRPr="00F837E2">
              <w:rPr>
                <w:rFonts w:ascii="Arial" w:hAnsi="Arial" w:cs="Arial"/>
                <w:sz w:val="24"/>
                <w:szCs w:val="24"/>
              </w:rPr>
              <w:t>Industry current ratio</w:t>
            </w:r>
          </w:p>
        </w:tc>
        <w:tc>
          <w:tcPr>
            <w:tcW w:w="0" w:type="auto"/>
            <w:hideMark/>
          </w:tcPr>
          <w:p w14:paraId="1DD75CC2" w14:textId="77777777" w:rsidR="00393D01" w:rsidRPr="00F837E2" w:rsidRDefault="00393D01" w:rsidP="00393D01">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837E2">
              <w:rPr>
                <w:rFonts w:ascii="Arial" w:hAnsi="Arial" w:cs="Arial"/>
                <w:sz w:val="24"/>
                <w:szCs w:val="24"/>
              </w:rPr>
              <w:t>1.92x</w:t>
            </w:r>
          </w:p>
        </w:tc>
        <w:tc>
          <w:tcPr>
            <w:tcW w:w="0" w:type="auto"/>
            <w:hideMark/>
          </w:tcPr>
          <w:p w14:paraId="6A0E4788" w14:textId="77777777" w:rsidR="00393D01" w:rsidRPr="00F837E2" w:rsidRDefault="00393D01" w:rsidP="00393D01">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837E2">
              <w:rPr>
                <w:rFonts w:ascii="Arial" w:hAnsi="Arial" w:cs="Arial"/>
                <w:sz w:val="24"/>
                <w:szCs w:val="24"/>
              </w:rPr>
              <w:t>1.47x</w:t>
            </w:r>
          </w:p>
        </w:tc>
        <w:tc>
          <w:tcPr>
            <w:tcW w:w="0" w:type="auto"/>
            <w:hideMark/>
          </w:tcPr>
          <w:p w14:paraId="40DB0A11" w14:textId="77777777" w:rsidR="00393D01" w:rsidRPr="00F837E2" w:rsidRDefault="00393D01" w:rsidP="00393D01">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837E2">
              <w:rPr>
                <w:rFonts w:ascii="Arial" w:hAnsi="Arial" w:cs="Arial"/>
                <w:sz w:val="24"/>
                <w:szCs w:val="24"/>
              </w:rPr>
              <w:t>0.89x</w:t>
            </w:r>
          </w:p>
        </w:tc>
        <w:tc>
          <w:tcPr>
            <w:tcW w:w="0" w:type="auto"/>
            <w:hideMark/>
          </w:tcPr>
          <w:p w14:paraId="2E1E09F7" w14:textId="77777777" w:rsidR="00393D01" w:rsidRPr="00F837E2" w:rsidRDefault="00393D01" w:rsidP="00393D01">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837E2">
              <w:rPr>
                <w:rFonts w:ascii="Arial" w:hAnsi="Arial" w:cs="Arial"/>
                <w:sz w:val="24"/>
                <w:szCs w:val="24"/>
              </w:rPr>
              <w:t>0.85x</w:t>
            </w:r>
          </w:p>
        </w:tc>
        <w:tc>
          <w:tcPr>
            <w:tcW w:w="0" w:type="auto"/>
            <w:hideMark/>
          </w:tcPr>
          <w:p w14:paraId="51710FC3" w14:textId="77777777" w:rsidR="00393D01" w:rsidRPr="00F837E2" w:rsidRDefault="00393D01" w:rsidP="00393D01">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837E2">
              <w:rPr>
                <w:rFonts w:ascii="Arial" w:hAnsi="Arial" w:cs="Arial"/>
                <w:sz w:val="24"/>
                <w:szCs w:val="24"/>
              </w:rPr>
              <w:t>0.82x</w:t>
            </w:r>
          </w:p>
        </w:tc>
      </w:tr>
      <w:tr w:rsidR="00393D01" w:rsidRPr="00F837E2" w14:paraId="70B4F319" w14:textId="77777777" w:rsidTr="00393D01">
        <w:trPr>
          <w:cnfStyle w:val="000000100000" w:firstRow="0" w:lastRow="0" w:firstColumn="0" w:lastColumn="0" w:oddVBand="0" w:evenVBand="0" w:oddHBand="1" w:evenHBand="0" w:firstRowFirstColumn="0" w:firstRowLastColumn="0" w:lastRowFirstColumn="0" w:lastRowLastColumn="0"/>
          <w:trHeight w:val="589"/>
        </w:trPr>
        <w:tc>
          <w:tcPr>
            <w:cnfStyle w:val="001000000000" w:firstRow="0" w:lastRow="0" w:firstColumn="1" w:lastColumn="0" w:oddVBand="0" w:evenVBand="0" w:oddHBand="0" w:evenHBand="0" w:firstRowFirstColumn="0" w:firstRowLastColumn="0" w:lastRowFirstColumn="0" w:lastRowLastColumn="0"/>
            <w:tcW w:w="0" w:type="auto"/>
            <w:hideMark/>
          </w:tcPr>
          <w:p w14:paraId="5412A8F3" w14:textId="77777777" w:rsidR="00393D01" w:rsidRPr="00F837E2" w:rsidRDefault="00393D01" w:rsidP="00393D01">
            <w:pPr>
              <w:spacing w:after="160" w:line="360" w:lineRule="auto"/>
              <w:jc w:val="both"/>
              <w:rPr>
                <w:rFonts w:ascii="Arial" w:hAnsi="Arial" w:cs="Arial"/>
                <w:sz w:val="24"/>
                <w:szCs w:val="24"/>
              </w:rPr>
            </w:pPr>
            <w:r w:rsidRPr="00F837E2">
              <w:rPr>
                <w:rFonts w:ascii="Arial" w:hAnsi="Arial" w:cs="Arial"/>
                <w:sz w:val="24"/>
                <w:szCs w:val="24"/>
              </w:rPr>
              <w:t>Marriott quick ratio</w:t>
            </w:r>
          </w:p>
        </w:tc>
        <w:tc>
          <w:tcPr>
            <w:tcW w:w="0" w:type="auto"/>
            <w:hideMark/>
          </w:tcPr>
          <w:p w14:paraId="6AE855B4" w14:textId="77777777" w:rsidR="00393D01" w:rsidRPr="00F837E2" w:rsidRDefault="00393D01" w:rsidP="00393D01">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837E2">
              <w:rPr>
                <w:rFonts w:ascii="Arial" w:hAnsi="Arial" w:cs="Arial"/>
                <w:sz w:val="24"/>
                <w:szCs w:val="24"/>
              </w:rPr>
              <w:t>0.53x</w:t>
            </w:r>
          </w:p>
        </w:tc>
        <w:tc>
          <w:tcPr>
            <w:tcW w:w="0" w:type="auto"/>
            <w:hideMark/>
          </w:tcPr>
          <w:p w14:paraId="6E2CDC04" w14:textId="77777777" w:rsidR="00393D01" w:rsidRPr="00F837E2" w:rsidRDefault="00393D01" w:rsidP="00393D01">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837E2">
              <w:rPr>
                <w:rFonts w:ascii="Arial" w:hAnsi="Arial" w:cs="Arial"/>
                <w:sz w:val="24"/>
                <w:szCs w:val="24"/>
              </w:rPr>
              <w:t>0.42x</w:t>
            </w:r>
          </w:p>
        </w:tc>
        <w:tc>
          <w:tcPr>
            <w:tcW w:w="0" w:type="auto"/>
            <w:hideMark/>
          </w:tcPr>
          <w:p w14:paraId="4A016895" w14:textId="77777777" w:rsidR="00393D01" w:rsidRPr="00F837E2" w:rsidRDefault="00393D01" w:rsidP="00393D01">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837E2">
              <w:rPr>
                <w:rFonts w:ascii="Arial" w:hAnsi="Arial" w:cs="Arial"/>
                <w:sz w:val="24"/>
                <w:szCs w:val="24"/>
              </w:rPr>
              <w:t>0.39x</w:t>
            </w:r>
          </w:p>
        </w:tc>
        <w:tc>
          <w:tcPr>
            <w:tcW w:w="0" w:type="auto"/>
            <w:hideMark/>
          </w:tcPr>
          <w:p w14:paraId="331601F5" w14:textId="77777777" w:rsidR="00393D01" w:rsidRPr="00F837E2" w:rsidRDefault="00393D01" w:rsidP="00393D01">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837E2">
              <w:rPr>
                <w:rFonts w:ascii="Arial" w:hAnsi="Arial" w:cs="Arial"/>
                <w:sz w:val="24"/>
                <w:szCs w:val="24"/>
              </w:rPr>
              <w:t>0.37x</w:t>
            </w:r>
          </w:p>
        </w:tc>
        <w:tc>
          <w:tcPr>
            <w:tcW w:w="0" w:type="auto"/>
            <w:hideMark/>
          </w:tcPr>
          <w:p w14:paraId="6E55E812" w14:textId="77777777" w:rsidR="00393D01" w:rsidRPr="00F837E2" w:rsidRDefault="00393D01" w:rsidP="00393D01">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837E2">
              <w:rPr>
                <w:rFonts w:ascii="Arial" w:hAnsi="Arial" w:cs="Arial"/>
                <w:sz w:val="24"/>
                <w:szCs w:val="24"/>
              </w:rPr>
              <w:t>0.39x</w:t>
            </w:r>
          </w:p>
        </w:tc>
      </w:tr>
      <w:tr w:rsidR="00393D01" w:rsidRPr="00F837E2" w14:paraId="1A657DF9" w14:textId="77777777" w:rsidTr="00393D01">
        <w:trPr>
          <w:trHeight w:val="589"/>
        </w:trPr>
        <w:tc>
          <w:tcPr>
            <w:cnfStyle w:val="001000000000" w:firstRow="0" w:lastRow="0" w:firstColumn="1" w:lastColumn="0" w:oddVBand="0" w:evenVBand="0" w:oddHBand="0" w:evenHBand="0" w:firstRowFirstColumn="0" w:firstRowLastColumn="0" w:lastRowFirstColumn="0" w:lastRowLastColumn="0"/>
            <w:tcW w:w="0" w:type="auto"/>
            <w:hideMark/>
          </w:tcPr>
          <w:p w14:paraId="68DEE9F6" w14:textId="77777777" w:rsidR="00393D01" w:rsidRPr="00F837E2" w:rsidRDefault="00393D01" w:rsidP="00393D01">
            <w:pPr>
              <w:spacing w:after="160" w:line="360" w:lineRule="auto"/>
              <w:jc w:val="both"/>
              <w:rPr>
                <w:rFonts w:ascii="Arial" w:hAnsi="Arial" w:cs="Arial"/>
                <w:sz w:val="24"/>
                <w:szCs w:val="24"/>
              </w:rPr>
            </w:pPr>
            <w:r w:rsidRPr="00F837E2">
              <w:rPr>
                <w:rFonts w:ascii="Arial" w:hAnsi="Arial" w:cs="Arial"/>
                <w:sz w:val="24"/>
                <w:szCs w:val="24"/>
              </w:rPr>
              <w:t>Industry quick ratio</w:t>
            </w:r>
          </w:p>
        </w:tc>
        <w:tc>
          <w:tcPr>
            <w:tcW w:w="0" w:type="auto"/>
            <w:hideMark/>
          </w:tcPr>
          <w:p w14:paraId="4AC26127" w14:textId="77777777" w:rsidR="00393D01" w:rsidRPr="00F837E2" w:rsidRDefault="00393D01" w:rsidP="00393D01">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837E2">
              <w:rPr>
                <w:rFonts w:ascii="Arial" w:hAnsi="Arial" w:cs="Arial"/>
                <w:sz w:val="24"/>
                <w:szCs w:val="24"/>
              </w:rPr>
              <w:t>1.42x</w:t>
            </w:r>
          </w:p>
        </w:tc>
        <w:tc>
          <w:tcPr>
            <w:tcW w:w="0" w:type="auto"/>
            <w:hideMark/>
          </w:tcPr>
          <w:p w14:paraId="1E15E665" w14:textId="77777777" w:rsidR="00393D01" w:rsidRPr="00F837E2" w:rsidRDefault="00393D01" w:rsidP="00393D01">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837E2">
              <w:rPr>
                <w:rFonts w:ascii="Arial" w:hAnsi="Arial" w:cs="Arial"/>
                <w:sz w:val="24"/>
                <w:szCs w:val="24"/>
              </w:rPr>
              <w:t>0.85x</w:t>
            </w:r>
          </w:p>
        </w:tc>
        <w:tc>
          <w:tcPr>
            <w:tcW w:w="0" w:type="auto"/>
            <w:hideMark/>
          </w:tcPr>
          <w:p w14:paraId="49346045" w14:textId="77777777" w:rsidR="00393D01" w:rsidRPr="00F837E2" w:rsidRDefault="00393D01" w:rsidP="00393D01">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837E2">
              <w:rPr>
                <w:rFonts w:ascii="Arial" w:hAnsi="Arial" w:cs="Arial"/>
                <w:sz w:val="24"/>
                <w:szCs w:val="24"/>
              </w:rPr>
              <w:t>0.72x</w:t>
            </w:r>
          </w:p>
        </w:tc>
        <w:tc>
          <w:tcPr>
            <w:tcW w:w="0" w:type="auto"/>
            <w:hideMark/>
          </w:tcPr>
          <w:p w14:paraId="795E1E04" w14:textId="77777777" w:rsidR="00393D01" w:rsidRPr="00F837E2" w:rsidRDefault="00393D01" w:rsidP="00393D01">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837E2">
              <w:rPr>
                <w:rFonts w:ascii="Arial" w:hAnsi="Arial" w:cs="Arial"/>
                <w:sz w:val="24"/>
                <w:szCs w:val="24"/>
              </w:rPr>
              <w:t>0.63x</w:t>
            </w:r>
          </w:p>
        </w:tc>
        <w:tc>
          <w:tcPr>
            <w:tcW w:w="0" w:type="auto"/>
            <w:hideMark/>
          </w:tcPr>
          <w:p w14:paraId="2AB26F53" w14:textId="77777777" w:rsidR="00393D01" w:rsidRPr="00F837E2" w:rsidRDefault="00393D01" w:rsidP="00393D01">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837E2">
              <w:rPr>
                <w:rFonts w:ascii="Arial" w:hAnsi="Arial" w:cs="Arial"/>
                <w:sz w:val="24"/>
                <w:szCs w:val="24"/>
              </w:rPr>
              <w:t>0.69x</w:t>
            </w:r>
          </w:p>
        </w:tc>
      </w:tr>
      <w:tr w:rsidR="00393D01" w:rsidRPr="00F837E2" w14:paraId="295ECA14" w14:textId="77777777" w:rsidTr="00393D01">
        <w:trPr>
          <w:cnfStyle w:val="000000100000" w:firstRow="0" w:lastRow="0" w:firstColumn="0" w:lastColumn="0" w:oddVBand="0" w:evenVBand="0" w:oddHBand="1" w:evenHBand="0" w:firstRowFirstColumn="0" w:firstRowLastColumn="0" w:lastRowFirstColumn="0" w:lastRowLastColumn="0"/>
          <w:trHeight w:val="589"/>
        </w:trPr>
        <w:tc>
          <w:tcPr>
            <w:cnfStyle w:val="001000000000" w:firstRow="0" w:lastRow="0" w:firstColumn="1" w:lastColumn="0" w:oddVBand="0" w:evenVBand="0" w:oddHBand="0" w:evenHBand="0" w:firstRowFirstColumn="0" w:firstRowLastColumn="0" w:lastRowFirstColumn="0" w:lastRowLastColumn="0"/>
            <w:tcW w:w="0" w:type="auto"/>
            <w:hideMark/>
          </w:tcPr>
          <w:p w14:paraId="429E837D" w14:textId="77777777" w:rsidR="00393D01" w:rsidRPr="00F837E2" w:rsidRDefault="00393D01" w:rsidP="00393D01">
            <w:pPr>
              <w:spacing w:after="160" w:line="360" w:lineRule="auto"/>
              <w:jc w:val="both"/>
              <w:rPr>
                <w:rFonts w:ascii="Arial" w:hAnsi="Arial" w:cs="Arial"/>
                <w:sz w:val="24"/>
                <w:szCs w:val="24"/>
              </w:rPr>
            </w:pPr>
            <w:r w:rsidRPr="00F837E2">
              <w:rPr>
                <w:rFonts w:ascii="Arial" w:hAnsi="Arial" w:cs="Arial"/>
                <w:sz w:val="24"/>
                <w:szCs w:val="24"/>
              </w:rPr>
              <w:t>Marriott cash ratio</w:t>
            </w:r>
          </w:p>
        </w:tc>
        <w:tc>
          <w:tcPr>
            <w:tcW w:w="0" w:type="auto"/>
            <w:hideMark/>
          </w:tcPr>
          <w:p w14:paraId="56271791" w14:textId="77777777" w:rsidR="00393D01" w:rsidRPr="00F837E2" w:rsidRDefault="00393D01" w:rsidP="00393D01">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837E2">
              <w:rPr>
                <w:rFonts w:ascii="Arial" w:hAnsi="Arial" w:cs="Arial"/>
                <w:sz w:val="24"/>
                <w:szCs w:val="24"/>
              </w:rPr>
              <w:t>0.22x</w:t>
            </w:r>
          </w:p>
        </w:tc>
        <w:tc>
          <w:tcPr>
            <w:tcW w:w="0" w:type="auto"/>
            <w:hideMark/>
          </w:tcPr>
          <w:p w14:paraId="34C0089E" w14:textId="77777777" w:rsidR="00393D01" w:rsidRPr="00F837E2" w:rsidRDefault="00393D01" w:rsidP="00393D01">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837E2">
              <w:rPr>
                <w:rFonts w:ascii="Arial" w:hAnsi="Arial" w:cs="Arial"/>
                <w:sz w:val="24"/>
                <w:szCs w:val="24"/>
              </w:rPr>
              <w:t>0.07x</w:t>
            </w:r>
          </w:p>
        </w:tc>
        <w:tc>
          <w:tcPr>
            <w:tcW w:w="0" w:type="auto"/>
            <w:hideMark/>
          </w:tcPr>
          <w:p w14:paraId="4617614D" w14:textId="77777777" w:rsidR="00393D01" w:rsidRPr="00F837E2" w:rsidRDefault="00393D01" w:rsidP="00393D01">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837E2">
              <w:rPr>
                <w:rFonts w:ascii="Arial" w:hAnsi="Arial" w:cs="Arial"/>
                <w:sz w:val="24"/>
                <w:szCs w:val="24"/>
              </w:rPr>
              <w:t>0.04x</w:t>
            </w:r>
          </w:p>
        </w:tc>
        <w:tc>
          <w:tcPr>
            <w:tcW w:w="0" w:type="auto"/>
            <w:hideMark/>
          </w:tcPr>
          <w:p w14:paraId="09FCA0E4" w14:textId="77777777" w:rsidR="00393D01" w:rsidRPr="00F837E2" w:rsidRDefault="00393D01" w:rsidP="00393D01">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837E2">
              <w:rPr>
                <w:rFonts w:ascii="Arial" w:hAnsi="Arial" w:cs="Arial"/>
                <w:sz w:val="24"/>
                <w:szCs w:val="24"/>
              </w:rPr>
              <w:t>0.05x</w:t>
            </w:r>
          </w:p>
        </w:tc>
        <w:tc>
          <w:tcPr>
            <w:tcW w:w="0" w:type="auto"/>
            <w:hideMark/>
          </w:tcPr>
          <w:p w14:paraId="3BB4FD1B" w14:textId="77777777" w:rsidR="00393D01" w:rsidRPr="00F837E2" w:rsidRDefault="00393D01" w:rsidP="00393D01">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837E2">
              <w:rPr>
                <w:rFonts w:ascii="Arial" w:hAnsi="Arial" w:cs="Arial"/>
                <w:sz w:val="24"/>
                <w:szCs w:val="24"/>
              </w:rPr>
              <w:t>0.04x</w:t>
            </w:r>
          </w:p>
        </w:tc>
      </w:tr>
      <w:tr w:rsidR="00393D01" w:rsidRPr="00F837E2" w14:paraId="0A0C76EC" w14:textId="77777777" w:rsidTr="00393D01">
        <w:trPr>
          <w:trHeight w:val="589"/>
        </w:trPr>
        <w:tc>
          <w:tcPr>
            <w:cnfStyle w:val="001000000000" w:firstRow="0" w:lastRow="0" w:firstColumn="1" w:lastColumn="0" w:oddVBand="0" w:evenVBand="0" w:oddHBand="0" w:evenHBand="0" w:firstRowFirstColumn="0" w:firstRowLastColumn="0" w:lastRowFirstColumn="0" w:lastRowLastColumn="0"/>
            <w:tcW w:w="0" w:type="auto"/>
            <w:hideMark/>
          </w:tcPr>
          <w:p w14:paraId="347B2FDE" w14:textId="77777777" w:rsidR="00393D01" w:rsidRPr="00F837E2" w:rsidRDefault="00393D01" w:rsidP="00393D01">
            <w:pPr>
              <w:spacing w:after="160" w:line="360" w:lineRule="auto"/>
              <w:jc w:val="both"/>
              <w:rPr>
                <w:rFonts w:ascii="Arial" w:hAnsi="Arial" w:cs="Arial"/>
                <w:sz w:val="24"/>
                <w:szCs w:val="24"/>
              </w:rPr>
            </w:pPr>
            <w:r w:rsidRPr="00F837E2">
              <w:rPr>
                <w:rFonts w:ascii="Arial" w:hAnsi="Arial" w:cs="Arial"/>
                <w:sz w:val="24"/>
                <w:szCs w:val="24"/>
              </w:rPr>
              <w:t>Industry cash ratio</w:t>
            </w:r>
          </w:p>
        </w:tc>
        <w:tc>
          <w:tcPr>
            <w:tcW w:w="0" w:type="auto"/>
            <w:hideMark/>
          </w:tcPr>
          <w:p w14:paraId="74E81FE0" w14:textId="77777777" w:rsidR="00393D01" w:rsidRPr="00F837E2" w:rsidRDefault="00393D01" w:rsidP="00393D01">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837E2">
              <w:rPr>
                <w:rFonts w:ascii="Arial" w:hAnsi="Arial" w:cs="Arial"/>
                <w:sz w:val="24"/>
                <w:szCs w:val="24"/>
              </w:rPr>
              <w:t>1.32x</w:t>
            </w:r>
          </w:p>
        </w:tc>
        <w:tc>
          <w:tcPr>
            <w:tcW w:w="0" w:type="auto"/>
            <w:hideMark/>
          </w:tcPr>
          <w:p w14:paraId="081BD87A" w14:textId="77777777" w:rsidR="00393D01" w:rsidRPr="00F837E2" w:rsidRDefault="00393D01" w:rsidP="00393D01">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837E2">
              <w:rPr>
                <w:rFonts w:ascii="Arial" w:hAnsi="Arial" w:cs="Arial"/>
                <w:sz w:val="24"/>
                <w:szCs w:val="24"/>
              </w:rPr>
              <w:t>0.69x</w:t>
            </w:r>
          </w:p>
        </w:tc>
        <w:tc>
          <w:tcPr>
            <w:tcW w:w="0" w:type="auto"/>
            <w:hideMark/>
          </w:tcPr>
          <w:p w14:paraId="2F4C7CCA" w14:textId="77777777" w:rsidR="00393D01" w:rsidRPr="00F837E2" w:rsidRDefault="00393D01" w:rsidP="00393D01">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837E2">
              <w:rPr>
                <w:rFonts w:ascii="Arial" w:hAnsi="Arial" w:cs="Arial"/>
                <w:sz w:val="24"/>
                <w:szCs w:val="24"/>
              </w:rPr>
              <w:t>0.43x</w:t>
            </w:r>
          </w:p>
        </w:tc>
        <w:tc>
          <w:tcPr>
            <w:tcW w:w="0" w:type="auto"/>
            <w:hideMark/>
          </w:tcPr>
          <w:p w14:paraId="245C1B44" w14:textId="77777777" w:rsidR="00393D01" w:rsidRPr="00F837E2" w:rsidRDefault="00393D01" w:rsidP="00393D01">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837E2">
              <w:rPr>
                <w:rFonts w:ascii="Arial" w:hAnsi="Arial" w:cs="Arial"/>
                <w:sz w:val="24"/>
                <w:szCs w:val="24"/>
              </w:rPr>
              <w:t>0.39x</w:t>
            </w:r>
          </w:p>
        </w:tc>
        <w:tc>
          <w:tcPr>
            <w:tcW w:w="0" w:type="auto"/>
            <w:hideMark/>
          </w:tcPr>
          <w:p w14:paraId="7C8EB6EC" w14:textId="77777777" w:rsidR="00393D01" w:rsidRPr="00F837E2" w:rsidRDefault="00393D01" w:rsidP="00393D01">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837E2">
              <w:rPr>
                <w:rFonts w:ascii="Arial" w:hAnsi="Arial" w:cs="Arial"/>
                <w:sz w:val="24"/>
                <w:szCs w:val="24"/>
              </w:rPr>
              <w:t>0.50x</w:t>
            </w:r>
          </w:p>
        </w:tc>
      </w:tr>
    </w:tbl>
    <w:p w14:paraId="1B3AE087" w14:textId="77777777" w:rsidR="00393D01" w:rsidRPr="00F837E2" w:rsidRDefault="00393D01" w:rsidP="00393D01">
      <w:pPr>
        <w:pStyle w:val="Heading2"/>
        <w:spacing w:line="360" w:lineRule="auto"/>
        <w:rPr>
          <w:rFonts w:ascii="Arial" w:hAnsi="Arial" w:cs="Arial"/>
          <w:sz w:val="24"/>
          <w:szCs w:val="24"/>
        </w:rPr>
      </w:pPr>
      <w:bookmarkStart w:id="33" w:name="_Toc235687088"/>
      <w:r w:rsidRPr="00F837E2">
        <w:rPr>
          <w:rFonts w:ascii="Arial" w:hAnsi="Arial" w:cs="Arial"/>
          <w:sz w:val="24"/>
          <w:szCs w:val="24"/>
        </w:rPr>
        <w:t>Appendix C: Principal Ratio Formulae</w:t>
      </w:r>
      <w:bookmarkEnd w:id="33"/>
    </w:p>
    <w:tbl>
      <w:tblPr>
        <w:tblStyle w:val="GridTable4-Accent4"/>
        <w:tblW w:w="9570" w:type="dxa"/>
        <w:tblLook w:val="04A0" w:firstRow="1" w:lastRow="0" w:firstColumn="1" w:lastColumn="0" w:noHBand="0" w:noVBand="1"/>
      </w:tblPr>
      <w:tblGrid>
        <w:gridCol w:w="3271"/>
        <w:gridCol w:w="6299"/>
      </w:tblGrid>
      <w:tr w:rsidR="00393D01" w:rsidRPr="00F837E2" w14:paraId="144AAFEA" w14:textId="77777777" w:rsidTr="00393D01">
        <w:trPr>
          <w:cnfStyle w:val="100000000000" w:firstRow="1" w:lastRow="0" w:firstColumn="0" w:lastColumn="0" w:oddVBand="0" w:evenVBand="0" w:oddHBand="0" w:evenHBand="0" w:firstRowFirstColumn="0" w:firstRowLastColumn="0" w:lastRowFirstColumn="0" w:lastRowLastColumn="0"/>
          <w:trHeight w:val="593"/>
        </w:trPr>
        <w:tc>
          <w:tcPr>
            <w:cnfStyle w:val="001000000000" w:firstRow="0" w:lastRow="0" w:firstColumn="1" w:lastColumn="0" w:oddVBand="0" w:evenVBand="0" w:oddHBand="0" w:evenHBand="0" w:firstRowFirstColumn="0" w:firstRowLastColumn="0" w:lastRowFirstColumn="0" w:lastRowLastColumn="0"/>
            <w:tcW w:w="0" w:type="auto"/>
            <w:hideMark/>
          </w:tcPr>
          <w:p w14:paraId="3CC455A3" w14:textId="77777777" w:rsidR="00393D01" w:rsidRPr="00F837E2" w:rsidRDefault="00393D01" w:rsidP="00393D01">
            <w:pPr>
              <w:spacing w:after="160" w:line="360" w:lineRule="auto"/>
              <w:jc w:val="both"/>
              <w:rPr>
                <w:rFonts w:ascii="Arial" w:hAnsi="Arial" w:cs="Arial"/>
                <w:sz w:val="24"/>
                <w:szCs w:val="24"/>
              </w:rPr>
            </w:pPr>
            <w:r w:rsidRPr="00F837E2">
              <w:rPr>
                <w:rFonts w:ascii="Arial" w:hAnsi="Arial" w:cs="Arial"/>
                <w:sz w:val="24"/>
                <w:szCs w:val="24"/>
              </w:rPr>
              <w:t>Ratio</w:t>
            </w:r>
          </w:p>
        </w:tc>
        <w:tc>
          <w:tcPr>
            <w:tcW w:w="0" w:type="auto"/>
            <w:hideMark/>
          </w:tcPr>
          <w:p w14:paraId="531629B4" w14:textId="77777777" w:rsidR="00393D01" w:rsidRPr="00F837E2" w:rsidRDefault="00393D01" w:rsidP="00393D01">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F837E2">
              <w:rPr>
                <w:rFonts w:ascii="Arial" w:hAnsi="Arial" w:cs="Arial"/>
                <w:sz w:val="24"/>
                <w:szCs w:val="24"/>
              </w:rPr>
              <w:t>Formula</w:t>
            </w:r>
          </w:p>
        </w:tc>
      </w:tr>
      <w:tr w:rsidR="00393D01" w:rsidRPr="00F837E2" w14:paraId="4A1B263F" w14:textId="77777777" w:rsidTr="00393D01">
        <w:trPr>
          <w:cnfStyle w:val="000000100000" w:firstRow="0" w:lastRow="0" w:firstColumn="0" w:lastColumn="0" w:oddVBand="0" w:evenVBand="0" w:oddHBand="1" w:evenHBand="0" w:firstRowFirstColumn="0" w:firstRowLastColumn="0" w:lastRowFirstColumn="0" w:lastRowLastColumn="0"/>
          <w:trHeight w:val="593"/>
        </w:trPr>
        <w:tc>
          <w:tcPr>
            <w:cnfStyle w:val="001000000000" w:firstRow="0" w:lastRow="0" w:firstColumn="1" w:lastColumn="0" w:oddVBand="0" w:evenVBand="0" w:oddHBand="0" w:evenHBand="0" w:firstRowFirstColumn="0" w:firstRowLastColumn="0" w:lastRowFirstColumn="0" w:lastRowLastColumn="0"/>
            <w:tcW w:w="0" w:type="auto"/>
            <w:hideMark/>
          </w:tcPr>
          <w:p w14:paraId="104B6F77" w14:textId="77777777" w:rsidR="00393D01" w:rsidRPr="00F837E2" w:rsidRDefault="00393D01" w:rsidP="00393D01">
            <w:pPr>
              <w:spacing w:after="160" w:line="360" w:lineRule="auto"/>
              <w:jc w:val="both"/>
              <w:rPr>
                <w:rFonts w:ascii="Arial" w:hAnsi="Arial" w:cs="Arial"/>
                <w:sz w:val="24"/>
                <w:szCs w:val="24"/>
              </w:rPr>
            </w:pPr>
            <w:r w:rsidRPr="00F837E2">
              <w:rPr>
                <w:rFonts w:ascii="Arial" w:hAnsi="Arial" w:cs="Arial"/>
                <w:sz w:val="24"/>
                <w:szCs w:val="24"/>
              </w:rPr>
              <w:t>Operating margin</w:t>
            </w:r>
          </w:p>
        </w:tc>
        <w:tc>
          <w:tcPr>
            <w:tcW w:w="0" w:type="auto"/>
            <w:hideMark/>
          </w:tcPr>
          <w:p w14:paraId="38FFD856" w14:textId="77777777" w:rsidR="00393D01" w:rsidRPr="00F837E2" w:rsidRDefault="00393D01" w:rsidP="00393D01">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837E2">
              <w:rPr>
                <w:rFonts w:ascii="Arial" w:hAnsi="Arial" w:cs="Arial"/>
                <w:sz w:val="24"/>
                <w:szCs w:val="24"/>
              </w:rPr>
              <w:t>Operating income ÷ revenue</w:t>
            </w:r>
          </w:p>
        </w:tc>
      </w:tr>
      <w:tr w:rsidR="00393D01" w:rsidRPr="00F837E2" w14:paraId="3976A4DD" w14:textId="77777777" w:rsidTr="00393D01">
        <w:trPr>
          <w:trHeight w:val="583"/>
        </w:trPr>
        <w:tc>
          <w:tcPr>
            <w:cnfStyle w:val="001000000000" w:firstRow="0" w:lastRow="0" w:firstColumn="1" w:lastColumn="0" w:oddVBand="0" w:evenVBand="0" w:oddHBand="0" w:evenHBand="0" w:firstRowFirstColumn="0" w:firstRowLastColumn="0" w:lastRowFirstColumn="0" w:lastRowLastColumn="0"/>
            <w:tcW w:w="0" w:type="auto"/>
            <w:hideMark/>
          </w:tcPr>
          <w:p w14:paraId="0E9711E9" w14:textId="77777777" w:rsidR="00393D01" w:rsidRPr="00F837E2" w:rsidRDefault="00393D01" w:rsidP="00393D01">
            <w:pPr>
              <w:spacing w:after="160" w:line="360" w:lineRule="auto"/>
              <w:jc w:val="both"/>
              <w:rPr>
                <w:rFonts w:ascii="Arial" w:hAnsi="Arial" w:cs="Arial"/>
                <w:sz w:val="24"/>
                <w:szCs w:val="24"/>
              </w:rPr>
            </w:pPr>
            <w:r w:rsidRPr="00F837E2">
              <w:rPr>
                <w:rFonts w:ascii="Arial" w:hAnsi="Arial" w:cs="Arial"/>
                <w:sz w:val="24"/>
                <w:szCs w:val="24"/>
              </w:rPr>
              <w:t>Net profit margin</w:t>
            </w:r>
          </w:p>
        </w:tc>
        <w:tc>
          <w:tcPr>
            <w:tcW w:w="0" w:type="auto"/>
            <w:hideMark/>
          </w:tcPr>
          <w:p w14:paraId="5496D503" w14:textId="77777777" w:rsidR="00393D01" w:rsidRPr="00F837E2" w:rsidRDefault="00393D01" w:rsidP="00393D01">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837E2">
              <w:rPr>
                <w:rFonts w:ascii="Arial" w:hAnsi="Arial" w:cs="Arial"/>
                <w:sz w:val="24"/>
                <w:szCs w:val="24"/>
              </w:rPr>
              <w:t>Net income ÷ revenue</w:t>
            </w:r>
          </w:p>
        </w:tc>
      </w:tr>
      <w:tr w:rsidR="00393D01" w:rsidRPr="00F837E2" w14:paraId="2178A8B7" w14:textId="77777777" w:rsidTr="00393D01">
        <w:trPr>
          <w:cnfStyle w:val="000000100000" w:firstRow="0" w:lastRow="0" w:firstColumn="0" w:lastColumn="0" w:oddVBand="0" w:evenVBand="0" w:oddHBand="1" w:evenHBand="0" w:firstRowFirstColumn="0" w:firstRowLastColumn="0" w:lastRowFirstColumn="0" w:lastRowLastColumn="0"/>
          <w:trHeight w:val="593"/>
        </w:trPr>
        <w:tc>
          <w:tcPr>
            <w:cnfStyle w:val="001000000000" w:firstRow="0" w:lastRow="0" w:firstColumn="1" w:lastColumn="0" w:oddVBand="0" w:evenVBand="0" w:oddHBand="0" w:evenHBand="0" w:firstRowFirstColumn="0" w:firstRowLastColumn="0" w:lastRowFirstColumn="0" w:lastRowLastColumn="0"/>
            <w:tcW w:w="0" w:type="auto"/>
            <w:hideMark/>
          </w:tcPr>
          <w:p w14:paraId="179F84C9" w14:textId="77777777" w:rsidR="00393D01" w:rsidRPr="00F837E2" w:rsidRDefault="00393D01" w:rsidP="00393D01">
            <w:pPr>
              <w:spacing w:after="160" w:line="360" w:lineRule="auto"/>
              <w:jc w:val="both"/>
              <w:rPr>
                <w:rFonts w:ascii="Arial" w:hAnsi="Arial" w:cs="Arial"/>
                <w:sz w:val="24"/>
                <w:szCs w:val="24"/>
              </w:rPr>
            </w:pPr>
            <w:r w:rsidRPr="00F837E2">
              <w:rPr>
                <w:rFonts w:ascii="Arial" w:hAnsi="Arial" w:cs="Arial"/>
                <w:sz w:val="24"/>
                <w:szCs w:val="24"/>
              </w:rPr>
              <w:t>Return on assets</w:t>
            </w:r>
          </w:p>
        </w:tc>
        <w:tc>
          <w:tcPr>
            <w:tcW w:w="0" w:type="auto"/>
            <w:hideMark/>
          </w:tcPr>
          <w:p w14:paraId="5DB5C5F8" w14:textId="77777777" w:rsidR="00393D01" w:rsidRPr="00F837E2" w:rsidRDefault="00393D01" w:rsidP="00393D01">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837E2">
              <w:rPr>
                <w:rFonts w:ascii="Arial" w:hAnsi="Arial" w:cs="Arial"/>
                <w:sz w:val="24"/>
                <w:szCs w:val="24"/>
              </w:rPr>
              <w:t>Net income ÷ average total assets</w:t>
            </w:r>
          </w:p>
        </w:tc>
      </w:tr>
      <w:tr w:rsidR="00393D01" w:rsidRPr="00F837E2" w14:paraId="0D9291CD" w14:textId="77777777" w:rsidTr="00393D01">
        <w:trPr>
          <w:trHeight w:val="593"/>
        </w:trPr>
        <w:tc>
          <w:tcPr>
            <w:cnfStyle w:val="001000000000" w:firstRow="0" w:lastRow="0" w:firstColumn="1" w:lastColumn="0" w:oddVBand="0" w:evenVBand="0" w:oddHBand="0" w:evenHBand="0" w:firstRowFirstColumn="0" w:firstRowLastColumn="0" w:lastRowFirstColumn="0" w:lastRowLastColumn="0"/>
            <w:tcW w:w="0" w:type="auto"/>
            <w:hideMark/>
          </w:tcPr>
          <w:p w14:paraId="2CED445B" w14:textId="77777777" w:rsidR="00393D01" w:rsidRPr="00F837E2" w:rsidRDefault="00393D01" w:rsidP="00393D01">
            <w:pPr>
              <w:spacing w:after="160" w:line="360" w:lineRule="auto"/>
              <w:jc w:val="both"/>
              <w:rPr>
                <w:rFonts w:ascii="Arial" w:hAnsi="Arial" w:cs="Arial"/>
                <w:sz w:val="24"/>
                <w:szCs w:val="24"/>
              </w:rPr>
            </w:pPr>
            <w:r w:rsidRPr="00F837E2">
              <w:rPr>
                <w:rFonts w:ascii="Arial" w:hAnsi="Arial" w:cs="Arial"/>
                <w:sz w:val="24"/>
                <w:szCs w:val="24"/>
              </w:rPr>
              <w:t>Current ratio</w:t>
            </w:r>
          </w:p>
        </w:tc>
        <w:tc>
          <w:tcPr>
            <w:tcW w:w="0" w:type="auto"/>
            <w:hideMark/>
          </w:tcPr>
          <w:p w14:paraId="256422AA" w14:textId="77777777" w:rsidR="00393D01" w:rsidRPr="00F837E2" w:rsidRDefault="00393D01" w:rsidP="00393D01">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837E2">
              <w:rPr>
                <w:rFonts w:ascii="Arial" w:hAnsi="Arial" w:cs="Arial"/>
                <w:sz w:val="24"/>
                <w:szCs w:val="24"/>
              </w:rPr>
              <w:t>Current assets ÷ current liabilities</w:t>
            </w:r>
          </w:p>
        </w:tc>
      </w:tr>
      <w:tr w:rsidR="00393D01" w:rsidRPr="00F837E2" w14:paraId="2B2CEC5D" w14:textId="77777777" w:rsidTr="00393D01">
        <w:trPr>
          <w:cnfStyle w:val="000000100000" w:firstRow="0" w:lastRow="0" w:firstColumn="0" w:lastColumn="0" w:oddVBand="0" w:evenVBand="0" w:oddHBand="1" w:evenHBand="0" w:firstRowFirstColumn="0" w:firstRowLastColumn="0" w:lastRowFirstColumn="0" w:lastRowLastColumn="0"/>
          <w:trHeight w:val="593"/>
        </w:trPr>
        <w:tc>
          <w:tcPr>
            <w:cnfStyle w:val="001000000000" w:firstRow="0" w:lastRow="0" w:firstColumn="1" w:lastColumn="0" w:oddVBand="0" w:evenVBand="0" w:oddHBand="0" w:evenHBand="0" w:firstRowFirstColumn="0" w:firstRowLastColumn="0" w:lastRowFirstColumn="0" w:lastRowLastColumn="0"/>
            <w:tcW w:w="0" w:type="auto"/>
            <w:hideMark/>
          </w:tcPr>
          <w:p w14:paraId="4AF0283C" w14:textId="77777777" w:rsidR="00393D01" w:rsidRPr="00F837E2" w:rsidRDefault="00393D01" w:rsidP="00393D01">
            <w:pPr>
              <w:spacing w:after="160" w:line="360" w:lineRule="auto"/>
              <w:jc w:val="both"/>
              <w:rPr>
                <w:rFonts w:ascii="Arial" w:hAnsi="Arial" w:cs="Arial"/>
                <w:sz w:val="24"/>
                <w:szCs w:val="24"/>
              </w:rPr>
            </w:pPr>
            <w:r w:rsidRPr="00F837E2">
              <w:rPr>
                <w:rFonts w:ascii="Arial" w:hAnsi="Arial" w:cs="Arial"/>
                <w:sz w:val="24"/>
                <w:szCs w:val="24"/>
              </w:rPr>
              <w:t>Quick ratio</w:t>
            </w:r>
          </w:p>
        </w:tc>
        <w:tc>
          <w:tcPr>
            <w:tcW w:w="0" w:type="auto"/>
            <w:hideMark/>
          </w:tcPr>
          <w:p w14:paraId="7A445990" w14:textId="77777777" w:rsidR="00393D01" w:rsidRPr="00F837E2" w:rsidRDefault="00393D01" w:rsidP="00393D01">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837E2">
              <w:rPr>
                <w:rFonts w:ascii="Arial" w:hAnsi="Arial" w:cs="Arial"/>
                <w:sz w:val="24"/>
                <w:szCs w:val="24"/>
              </w:rPr>
              <w:t>Cash and receivables ÷ current liabilities</w:t>
            </w:r>
          </w:p>
        </w:tc>
      </w:tr>
      <w:tr w:rsidR="00393D01" w:rsidRPr="00F837E2" w14:paraId="57E33CC6" w14:textId="77777777" w:rsidTr="00393D01">
        <w:trPr>
          <w:trHeight w:val="593"/>
        </w:trPr>
        <w:tc>
          <w:tcPr>
            <w:cnfStyle w:val="001000000000" w:firstRow="0" w:lastRow="0" w:firstColumn="1" w:lastColumn="0" w:oddVBand="0" w:evenVBand="0" w:oddHBand="0" w:evenHBand="0" w:firstRowFirstColumn="0" w:firstRowLastColumn="0" w:lastRowFirstColumn="0" w:lastRowLastColumn="0"/>
            <w:tcW w:w="0" w:type="auto"/>
            <w:hideMark/>
          </w:tcPr>
          <w:p w14:paraId="757479C8" w14:textId="77777777" w:rsidR="00393D01" w:rsidRPr="00F837E2" w:rsidRDefault="00393D01" w:rsidP="00393D01">
            <w:pPr>
              <w:spacing w:after="160" w:line="360" w:lineRule="auto"/>
              <w:jc w:val="both"/>
              <w:rPr>
                <w:rFonts w:ascii="Arial" w:hAnsi="Arial" w:cs="Arial"/>
                <w:sz w:val="24"/>
                <w:szCs w:val="24"/>
              </w:rPr>
            </w:pPr>
            <w:r w:rsidRPr="00F837E2">
              <w:rPr>
                <w:rFonts w:ascii="Arial" w:hAnsi="Arial" w:cs="Arial"/>
                <w:sz w:val="24"/>
                <w:szCs w:val="24"/>
              </w:rPr>
              <w:t>Asset turnover</w:t>
            </w:r>
          </w:p>
        </w:tc>
        <w:tc>
          <w:tcPr>
            <w:tcW w:w="0" w:type="auto"/>
            <w:hideMark/>
          </w:tcPr>
          <w:p w14:paraId="1070F13C" w14:textId="77777777" w:rsidR="00393D01" w:rsidRPr="00F837E2" w:rsidRDefault="00393D01" w:rsidP="00393D01">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837E2">
              <w:rPr>
                <w:rFonts w:ascii="Arial" w:hAnsi="Arial" w:cs="Arial"/>
                <w:sz w:val="24"/>
                <w:szCs w:val="24"/>
              </w:rPr>
              <w:t>Revenue ÷ average total assets</w:t>
            </w:r>
          </w:p>
        </w:tc>
      </w:tr>
      <w:tr w:rsidR="00393D01" w:rsidRPr="00F837E2" w14:paraId="6FFFDEE9" w14:textId="77777777" w:rsidTr="00393D01">
        <w:trPr>
          <w:cnfStyle w:val="000000100000" w:firstRow="0" w:lastRow="0" w:firstColumn="0" w:lastColumn="0" w:oddVBand="0" w:evenVBand="0" w:oddHBand="1" w:evenHBand="0" w:firstRowFirstColumn="0" w:firstRowLastColumn="0" w:lastRowFirstColumn="0" w:lastRowLastColumn="0"/>
          <w:trHeight w:val="583"/>
        </w:trPr>
        <w:tc>
          <w:tcPr>
            <w:cnfStyle w:val="001000000000" w:firstRow="0" w:lastRow="0" w:firstColumn="1" w:lastColumn="0" w:oddVBand="0" w:evenVBand="0" w:oddHBand="0" w:evenHBand="0" w:firstRowFirstColumn="0" w:firstRowLastColumn="0" w:lastRowFirstColumn="0" w:lastRowLastColumn="0"/>
            <w:tcW w:w="0" w:type="auto"/>
            <w:hideMark/>
          </w:tcPr>
          <w:p w14:paraId="439F57B0" w14:textId="77777777" w:rsidR="00393D01" w:rsidRPr="00F837E2" w:rsidRDefault="00393D01" w:rsidP="00393D01">
            <w:pPr>
              <w:spacing w:after="160" w:line="360" w:lineRule="auto"/>
              <w:jc w:val="both"/>
              <w:rPr>
                <w:rFonts w:ascii="Arial" w:hAnsi="Arial" w:cs="Arial"/>
                <w:sz w:val="24"/>
                <w:szCs w:val="24"/>
              </w:rPr>
            </w:pPr>
            <w:r w:rsidRPr="00F837E2">
              <w:rPr>
                <w:rFonts w:ascii="Arial" w:hAnsi="Arial" w:cs="Arial"/>
                <w:sz w:val="24"/>
                <w:szCs w:val="24"/>
              </w:rPr>
              <w:t>Receivables turnover</w:t>
            </w:r>
          </w:p>
        </w:tc>
        <w:tc>
          <w:tcPr>
            <w:tcW w:w="0" w:type="auto"/>
            <w:hideMark/>
          </w:tcPr>
          <w:p w14:paraId="52F3DA05" w14:textId="77777777" w:rsidR="00393D01" w:rsidRPr="00F837E2" w:rsidRDefault="00393D01" w:rsidP="00393D01">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837E2">
              <w:rPr>
                <w:rFonts w:ascii="Arial" w:hAnsi="Arial" w:cs="Arial"/>
                <w:sz w:val="24"/>
                <w:szCs w:val="24"/>
              </w:rPr>
              <w:t>Revenue ÷ average accounts receivable</w:t>
            </w:r>
          </w:p>
        </w:tc>
      </w:tr>
      <w:tr w:rsidR="00393D01" w:rsidRPr="00F837E2" w14:paraId="685ED9DC" w14:textId="77777777" w:rsidTr="00393D01">
        <w:trPr>
          <w:trHeight w:val="593"/>
        </w:trPr>
        <w:tc>
          <w:tcPr>
            <w:cnfStyle w:val="001000000000" w:firstRow="0" w:lastRow="0" w:firstColumn="1" w:lastColumn="0" w:oddVBand="0" w:evenVBand="0" w:oddHBand="0" w:evenHBand="0" w:firstRowFirstColumn="0" w:firstRowLastColumn="0" w:lastRowFirstColumn="0" w:lastRowLastColumn="0"/>
            <w:tcW w:w="0" w:type="auto"/>
            <w:hideMark/>
          </w:tcPr>
          <w:p w14:paraId="46177C77" w14:textId="77777777" w:rsidR="00393D01" w:rsidRPr="00F837E2" w:rsidRDefault="00393D01" w:rsidP="00393D01">
            <w:pPr>
              <w:spacing w:after="160" w:line="360" w:lineRule="auto"/>
              <w:jc w:val="both"/>
              <w:rPr>
                <w:rFonts w:ascii="Arial" w:hAnsi="Arial" w:cs="Arial"/>
                <w:sz w:val="24"/>
                <w:szCs w:val="24"/>
              </w:rPr>
            </w:pPr>
            <w:r w:rsidRPr="00F837E2">
              <w:rPr>
                <w:rFonts w:ascii="Arial" w:hAnsi="Arial" w:cs="Arial"/>
                <w:sz w:val="24"/>
                <w:szCs w:val="24"/>
              </w:rPr>
              <w:t>Days sales outstanding</w:t>
            </w:r>
          </w:p>
        </w:tc>
        <w:tc>
          <w:tcPr>
            <w:tcW w:w="0" w:type="auto"/>
            <w:hideMark/>
          </w:tcPr>
          <w:p w14:paraId="0E0EC9C2" w14:textId="77777777" w:rsidR="00393D01" w:rsidRPr="00F837E2" w:rsidRDefault="00393D01" w:rsidP="00393D01">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837E2">
              <w:rPr>
                <w:rFonts w:ascii="Arial" w:hAnsi="Arial" w:cs="Arial"/>
                <w:sz w:val="24"/>
                <w:szCs w:val="24"/>
              </w:rPr>
              <w:t>365 ÷ receivables turnover</w:t>
            </w:r>
          </w:p>
        </w:tc>
      </w:tr>
      <w:tr w:rsidR="00393D01" w:rsidRPr="00F837E2" w14:paraId="36042AB8" w14:textId="77777777" w:rsidTr="00393D01">
        <w:trPr>
          <w:cnfStyle w:val="000000100000" w:firstRow="0" w:lastRow="0" w:firstColumn="0" w:lastColumn="0" w:oddVBand="0" w:evenVBand="0" w:oddHBand="1" w:evenHBand="0" w:firstRowFirstColumn="0" w:firstRowLastColumn="0" w:lastRowFirstColumn="0" w:lastRowLastColumn="0"/>
          <w:trHeight w:val="593"/>
        </w:trPr>
        <w:tc>
          <w:tcPr>
            <w:cnfStyle w:val="001000000000" w:firstRow="0" w:lastRow="0" w:firstColumn="1" w:lastColumn="0" w:oddVBand="0" w:evenVBand="0" w:oddHBand="0" w:evenHBand="0" w:firstRowFirstColumn="0" w:firstRowLastColumn="0" w:lastRowFirstColumn="0" w:lastRowLastColumn="0"/>
            <w:tcW w:w="0" w:type="auto"/>
            <w:hideMark/>
          </w:tcPr>
          <w:p w14:paraId="19D8CA94" w14:textId="77777777" w:rsidR="00393D01" w:rsidRPr="00F837E2" w:rsidRDefault="00393D01" w:rsidP="00393D01">
            <w:pPr>
              <w:spacing w:after="160" w:line="360" w:lineRule="auto"/>
              <w:jc w:val="both"/>
              <w:rPr>
                <w:rFonts w:ascii="Arial" w:hAnsi="Arial" w:cs="Arial"/>
                <w:sz w:val="24"/>
                <w:szCs w:val="24"/>
              </w:rPr>
            </w:pPr>
            <w:r w:rsidRPr="00F837E2">
              <w:rPr>
                <w:rFonts w:ascii="Arial" w:hAnsi="Arial" w:cs="Arial"/>
                <w:sz w:val="24"/>
                <w:szCs w:val="24"/>
              </w:rPr>
              <w:t>Debt to assets</w:t>
            </w:r>
          </w:p>
        </w:tc>
        <w:tc>
          <w:tcPr>
            <w:tcW w:w="0" w:type="auto"/>
            <w:hideMark/>
          </w:tcPr>
          <w:p w14:paraId="2CE05AB2" w14:textId="77777777" w:rsidR="00393D01" w:rsidRPr="00F837E2" w:rsidRDefault="00393D01" w:rsidP="00393D01">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837E2">
              <w:rPr>
                <w:rFonts w:ascii="Arial" w:hAnsi="Arial" w:cs="Arial"/>
                <w:sz w:val="24"/>
                <w:szCs w:val="24"/>
              </w:rPr>
              <w:t>Total interest-bearing debt ÷ total assets</w:t>
            </w:r>
          </w:p>
        </w:tc>
      </w:tr>
      <w:tr w:rsidR="00393D01" w:rsidRPr="00F837E2" w14:paraId="6FE078CF" w14:textId="77777777" w:rsidTr="00393D01">
        <w:trPr>
          <w:trHeight w:val="593"/>
        </w:trPr>
        <w:tc>
          <w:tcPr>
            <w:cnfStyle w:val="001000000000" w:firstRow="0" w:lastRow="0" w:firstColumn="1" w:lastColumn="0" w:oddVBand="0" w:evenVBand="0" w:oddHBand="0" w:evenHBand="0" w:firstRowFirstColumn="0" w:firstRowLastColumn="0" w:lastRowFirstColumn="0" w:lastRowLastColumn="0"/>
            <w:tcW w:w="0" w:type="auto"/>
            <w:hideMark/>
          </w:tcPr>
          <w:p w14:paraId="58E79654" w14:textId="77777777" w:rsidR="00393D01" w:rsidRPr="00F837E2" w:rsidRDefault="00393D01" w:rsidP="00393D01">
            <w:pPr>
              <w:spacing w:after="160" w:line="360" w:lineRule="auto"/>
              <w:jc w:val="both"/>
              <w:rPr>
                <w:rFonts w:ascii="Arial" w:hAnsi="Arial" w:cs="Arial"/>
                <w:sz w:val="24"/>
                <w:szCs w:val="24"/>
              </w:rPr>
            </w:pPr>
            <w:r w:rsidRPr="00F837E2">
              <w:rPr>
                <w:rFonts w:ascii="Arial" w:hAnsi="Arial" w:cs="Arial"/>
                <w:sz w:val="24"/>
                <w:szCs w:val="24"/>
              </w:rPr>
              <w:t>Interest coverage</w:t>
            </w:r>
          </w:p>
        </w:tc>
        <w:tc>
          <w:tcPr>
            <w:tcW w:w="0" w:type="auto"/>
            <w:hideMark/>
          </w:tcPr>
          <w:p w14:paraId="477F0B47" w14:textId="77777777" w:rsidR="00393D01" w:rsidRPr="00F837E2" w:rsidRDefault="00393D01" w:rsidP="00393D01">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837E2">
              <w:rPr>
                <w:rFonts w:ascii="Arial" w:hAnsi="Arial" w:cs="Arial"/>
                <w:sz w:val="24"/>
                <w:szCs w:val="24"/>
              </w:rPr>
              <w:t>Operating income ÷ interest expense</w:t>
            </w:r>
          </w:p>
        </w:tc>
      </w:tr>
      <w:tr w:rsidR="00393D01" w:rsidRPr="00F837E2" w14:paraId="1043204C" w14:textId="77777777" w:rsidTr="00393D01">
        <w:trPr>
          <w:cnfStyle w:val="000000100000" w:firstRow="0" w:lastRow="0" w:firstColumn="0" w:lastColumn="0" w:oddVBand="0" w:evenVBand="0" w:oddHBand="1" w:evenHBand="0" w:firstRowFirstColumn="0" w:firstRowLastColumn="0" w:lastRowFirstColumn="0" w:lastRowLastColumn="0"/>
          <w:trHeight w:val="593"/>
        </w:trPr>
        <w:tc>
          <w:tcPr>
            <w:cnfStyle w:val="001000000000" w:firstRow="0" w:lastRow="0" w:firstColumn="1" w:lastColumn="0" w:oddVBand="0" w:evenVBand="0" w:oddHBand="0" w:evenHBand="0" w:firstRowFirstColumn="0" w:firstRowLastColumn="0" w:lastRowFirstColumn="0" w:lastRowLastColumn="0"/>
            <w:tcW w:w="0" w:type="auto"/>
            <w:hideMark/>
          </w:tcPr>
          <w:p w14:paraId="11878B1F" w14:textId="77777777" w:rsidR="00393D01" w:rsidRPr="00F837E2" w:rsidRDefault="00393D01" w:rsidP="00393D01">
            <w:pPr>
              <w:spacing w:after="160" w:line="360" w:lineRule="auto"/>
              <w:jc w:val="both"/>
              <w:rPr>
                <w:rFonts w:ascii="Arial" w:hAnsi="Arial" w:cs="Arial"/>
                <w:sz w:val="24"/>
                <w:szCs w:val="24"/>
              </w:rPr>
            </w:pPr>
            <w:r w:rsidRPr="00F837E2">
              <w:rPr>
                <w:rFonts w:ascii="Arial" w:hAnsi="Arial" w:cs="Arial"/>
                <w:sz w:val="24"/>
                <w:szCs w:val="24"/>
              </w:rPr>
              <w:t>Dividend payout</w:t>
            </w:r>
          </w:p>
        </w:tc>
        <w:tc>
          <w:tcPr>
            <w:tcW w:w="0" w:type="auto"/>
            <w:hideMark/>
          </w:tcPr>
          <w:p w14:paraId="17F0E9B9" w14:textId="77777777" w:rsidR="00393D01" w:rsidRPr="00F837E2" w:rsidRDefault="00393D01" w:rsidP="00393D01">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837E2">
              <w:rPr>
                <w:rFonts w:ascii="Arial" w:hAnsi="Arial" w:cs="Arial"/>
                <w:sz w:val="24"/>
                <w:szCs w:val="24"/>
              </w:rPr>
              <w:t>Dividend per share ÷ diluted EPS</w:t>
            </w:r>
          </w:p>
        </w:tc>
      </w:tr>
      <w:tr w:rsidR="00393D01" w:rsidRPr="00F837E2" w14:paraId="57AB638E" w14:textId="77777777" w:rsidTr="00393D01">
        <w:trPr>
          <w:trHeight w:val="593"/>
        </w:trPr>
        <w:tc>
          <w:tcPr>
            <w:cnfStyle w:val="001000000000" w:firstRow="0" w:lastRow="0" w:firstColumn="1" w:lastColumn="0" w:oddVBand="0" w:evenVBand="0" w:oddHBand="0" w:evenHBand="0" w:firstRowFirstColumn="0" w:firstRowLastColumn="0" w:lastRowFirstColumn="0" w:lastRowLastColumn="0"/>
            <w:tcW w:w="0" w:type="auto"/>
            <w:hideMark/>
          </w:tcPr>
          <w:p w14:paraId="7A3ABF06" w14:textId="77777777" w:rsidR="00393D01" w:rsidRPr="00F837E2" w:rsidRDefault="00393D01" w:rsidP="00393D01">
            <w:pPr>
              <w:spacing w:after="160" w:line="360" w:lineRule="auto"/>
              <w:jc w:val="both"/>
              <w:rPr>
                <w:rFonts w:ascii="Arial" w:hAnsi="Arial" w:cs="Arial"/>
                <w:sz w:val="24"/>
                <w:szCs w:val="24"/>
              </w:rPr>
            </w:pPr>
            <w:r w:rsidRPr="00F837E2">
              <w:rPr>
                <w:rFonts w:ascii="Arial" w:hAnsi="Arial" w:cs="Arial"/>
                <w:sz w:val="24"/>
                <w:szCs w:val="24"/>
              </w:rPr>
              <w:t>Free cash flow</w:t>
            </w:r>
          </w:p>
        </w:tc>
        <w:tc>
          <w:tcPr>
            <w:tcW w:w="0" w:type="auto"/>
            <w:hideMark/>
          </w:tcPr>
          <w:p w14:paraId="3ABF4AF5" w14:textId="77777777" w:rsidR="00393D01" w:rsidRPr="00F837E2" w:rsidRDefault="00393D01" w:rsidP="00393D01">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837E2">
              <w:rPr>
                <w:rFonts w:ascii="Arial" w:hAnsi="Arial" w:cs="Arial"/>
                <w:sz w:val="24"/>
                <w:szCs w:val="24"/>
              </w:rPr>
              <w:t>Operating cash flow − capital expenditure</w:t>
            </w:r>
          </w:p>
        </w:tc>
      </w:tr>
      <w:tr w:rsidR="00393D01" w:rsidRPr="00F837E2" w14:paraId="25775075" w14:textId="77777777" w:rsidTr="00393D01">
        <w:trPr>
          <w:cnfStyle w:val="000000100000" w:firstRow="0" w:lastRow="0" w:firstColumn="0" w:lastColumn="0" w:oddVBand="0" w:evenVBand="0" w:oddHBand="1" w:evenHBand="0" w:firstRowFirstColumn="0" w:firstRowLastColumn="0" w:lastRowFirstColumn="0" w:lastRowLastColumn="0"/>
          <w:trHeight w:val="593"/>
        </w:trPr>
        <w:tc>
          <w:tcPr>
            <w:cnfStyle w:val="001000000000" w:firstRow="0" w:lastRow="0" w:firstColumn="1" w:lastColumn="0" w:oddVBand="0" w:evenVBand="0" w:oddHBand="0" w:evenHBand="0" w:firstRowFirstColumn="0" w:firstRowLastColumn="0" w:lastRowFirstColumn="0" w:lastRowLastColumn="0"/>
            <w:tcW w:w="0" w:type="auto"/>
            <w:hideMark/>
          </w:tcPr>
          <w:p w14:paraId="65173485" w14:textId="77777777" w:rsidR="00393D01" w:rsidRPr="00F837E2" w:rsidRDefault="00393D01" w:rsidP="00393D01">
            <w:pPr>
              <w:spacing w:after="160" w:line="360" w:lineRule="auto"/>
              <w:jc w:val="both"/>
              <w:rPr>
                <w:rFonts w:ascii="Arial" w:hAnsi="Arial" w:cs="Arial"/>
                <w:sz w:val="24"/>
                <w:szCs w:val="24"/>
              </w:rPr>
            </w:pPr>
            <w:r w:rsidRPr="00F837E2">
              <w:rPr>
                <w:rFonts w:ascii="Arial" w:hAnsi="Arial" w:cs="Arial"/>
                <w:sz w:val="24"/>
                <w:szCs w:val="24"/>
              </w:rPr>
              <w:t>Distribution coverage</w:t>
            </w:r>
          </w:p>
        </w:tc>
        <w:tc>
          <w:tcPr>
            <w:tcW w:w="0" w:type="auto"/>
            <w:hideMark/>
          </w:tcPr>
          <w:p w14:paraId="4646CEC6" w14:textId="77777777" w:rsidR="00393D01" w:rsidRPr="00F837E2" w:rsidRDefault="00393D01" w:rsidP="00393D01">
            <w:pPr>
              <w:spacing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837E2">
              <w:rPr>
                <w:rFonts w:ascii="Arial" w:hAnsi="Arial" w:cs="Arial"/>
                <w:sz w:val="24"/>
                <w:szCs w:val="24"/>
              </w:rPr>
              <w:t xml:space="preserve">Free cash flow ÷ dividends and share </w:t>
            </w:r>
            <w:proofErr w:type="gramStart"/>
            <w:r w:rsidRPr="00F837E2">
              <w:rPr>
                <w:rFonts w:ascii="Arial" w:hAnsi="Arial" w:cs="Arial"/>
                <w:sz w:val="24"/>
                <w:szCs w:val="24"/>
              </w:rPr>
              <w:t>repurchases</w:t>
            </w:r>
            <w:proofErr w:type="gramEnd"/>
          </w:p>
        </w:tc>
      </w:tr>
    </w:tbl>
    <w:p w14:paraId="68B211E2" w14:textId="77777777" w:rsidR="00303A11" w:rsidRPr="00F837E2" w:rsidRDefault="00303A11" w:rsidP="00303A11">
      <w:pPr>
        <w:rPr>
          <w:rFonts w:ascii="Arial" w:hAnsi="Arial" w:cs="Arial"/>
          <w:sz w:val="24"/>
          <w:szCs w:val="24"/>
        </w:rPr>
      </w:pPr>
    </w:p>
    <w:p w14:paraId="0F0253C2" w14:textId="02BAD10B" w:rsidR="00303A11" w:rsidRPr="00F837E2" w:rsidRDefault="00303A11" w:rsidP="00303A11">
      <w:pPr>
        <w:pStyle w:val="Heading2"/>
        <w:spacing w:line="360" w:lineRule="auto"/>
        <w:rPr>
          <w:rFonts w:ascii="Arial" w:hAnsi="Arial" w:cs="Arial"/>
          <w:sz w:val="24"/>
          <w:szCs w:val="24"/>
        </w:rPr>
      </w:pPr>
      <w:bookmarkStart w:id="34" w:name="_Toc235687089"/>
      <w:r w:rsidRPr="00F837E2">
        <w:rPr>
          <w:rFonts w:ascii="Arial" w:hAnsi="Arial" w:cs="Arial"/>
          <w:sz w:val="24"/>
          <w:szCs w:val="24"/>
        </w:rPr>
        <w:lastRenderedPageBreak/>
        <w:t xml:space="preserve">Appendix </w:t>
      </w:r>
      <w:r w:rsidR="005F4509" w:rsidRPr="00F837E2">
        <w:rPr>
          <w:rFonts w:ascii="Arial" w:hAnsi="Arial" w:cs="Arial"/>
          <w:sz w:val="24"/>
          <w:szCs w:val="24"/>
        </w:rPr>
        <w:t>D: GRAPHS</w:t>
      </w:r>
      <w:bookmarkEnd w:id="34"/>
      <w:r w:rsidRPr="00F837E2">
        <w:rPr>
          <w:rFonts w:ascii="Arial" w:hAnsi="Arial" w:cs="Arial"/>
          <w:sz w:val="24"/>
          <w:szCs w:val="24"/>
        </w:rPr>
        <w:t xml:space="preserve"> </w:t>
      </w:r>
    </w:p>
    <w:tbl>
      <w:tblPr>
        <w:tblW w:w="8901" w:type="dxa"/>
        <w:tblLook w:val="04A0" w:firstRow="1" w:lastRow="0" w:firstColumn="1" w:lastColumn="0" w:noHBand="0" w:noVBand="1"/>
      </w:tblPr>
      <w:tblGrid>
        <w:gridCol w:w="3056"/>
        <w:gridCol w:w="1727"/>
        <w:gridCol w:w="2391"/>
        <w:gridCol w:w="1727"/>
      </w:tblGrid>
      <w:tr w:rsidR="00303A11" w:rsidRPr="00F837E2" w14:paraId="0D2BD016" w14:textId="77777777" w:rsidTr="00303A11">
        <w:trPr>
          <w:trHeight w:val="540"/>
        </w:trPr>
        <w:tc>
          <w:tcPr>
            <w:tcW w:w="3056" w:type="dxa"/>
            <w:tcBorders>
              <w:top w:val="nil"/>
              <w:left w:val="nil"/>
              <w:bottom w:val="nil"/>
              <w:right w:val="nil"/>
            </w:tcBorders>
            <w:shd w:val="clear" w:color="000000" w:fill="5B9BD5"/>
            <w:vAlign w:val="center"/>
            <w:hideMark/>
          </w:tcPr>
          <w:p w14:paraId="635AF9F6" w14:textId="77777777" w:rsidR="00303A11" w:rsidRPr="00F837E2" w:rsidRDefault="00303A11" w:rsidP="00303A11">
            <w:pPr>
              <w:spacing w:after="0" w:line="360" w:lineRule="auto"/>
              <w:jc w:val="center"/>
              <w:rPr>
                <w:rFonts w:ascii="Arial" w:eastAsia="Times New Roman" w:hAnsi="Arial" w:cs="Arial"/>
                <w:b/>
                <w:bCs/>
                <w:color w:val="FFFFFF"/>
                <w:sz w:val="24"/>
                <w:szCs w:val="24"/>
              </w:rPr>
            </w:pPr>
            <w:r w:rsidRPr="00F837E2">
              <w:rPr>
                <w:rFonts w:ascii="Arial" w:eastAsia="Times New Roman" w:hAnsi="Arial" w:cs="Arial"/>
                <w:b/>
                <w:bCs/>
                <w:color w:val="FFFFFF"/>
                <w:sz w:val="24"/>
                <w:szCs w:val="24"/>
              </w:rPr>
              <w:t>Year</w:t>
            </w:r>
          </w:p>
        </w:tc>
        <w:tc>
          <w:tcPr>
            <w:tcW w:w="1727" w:type="dxa"/>
            <w:tcBorders>
              <w:top w:val="nil"/>
              <w:left w:val="nil"/>
              <w:bottom w:val="nil"/>
              <w:right w:val="nil"/>
            </w:tcBorders>
            <w:shd w:val="clear" w:color="000000" w:fill="5B9BD5"/>
            <w:vAlign w:val="center"/>
            <w:hideMark/>
          </w:tcPr>
          <w:p w14:paraId="34343DBE" w14:textId="77777777" w:rsidR="00303A11" w:rsidRPr="00F837E2" w:rsidRDefault="00303A11" w:rsidP="00303A11">
            <w:pPr>
              <w:spacing w:after="0" w:line="360" w:lineRule="auto"/>
              <w:jc w:val="center"/>
              <w:rPr>
                <w:rFonts w:ascii="Arial" w:eastAsia="Times New Roman" w:hAnsi="Arial" w:cs="Arial"/>
                <w:b/>
                <w:bCs/>
                <w:color w:val="FFFFFF"/>
                <w:sz w:val="24"/>
                <w:szCs w:val="24"/>
              </w:rPr>
            </w:pPr>
            <w:r w:rsidRPr="00F837E2">
              <w:rPr>
                <w:rFonts w:ascii="Arial" w:eastAsia="Times New Roman" w:hAnsi="Arial" w:cs="Arial"/>
                <w:b/>
                <w:bCs/>
                <w:color w:val="FFFFFF"/>
                <w:sz w:val="24"/>
                <w:szCs w:val="24"/>
              </w:rPr>
              <w:t>Revenue ($m)</w:t>
            </w:r>
          </w:p>
        </w:tc>
        <w:tc>
          <w:tcPr>
            <w:tcW w:w="2391" w:type="dxa"/>
            <w:tcBorders>
              <w:top w:val="nil"/>
              <w:left w:val="nil"/>
              <w:bottom w:val="nil"/>
              <w:right w:val="nil"/>
            </w:tcBorders>
            <w:shd w:val="clear" w:color="000000" w:fill="5B9BD5"/>
            <w:vAlign w:val="center"/>
            <w:hideMark/>
          </w:tcPr>
          <w:p w14:paraId="533160AA" w14:textId="77777777" w:rsidR="00303A11" w:rsidRPr="00F837E2" w:rsidRDefault="00303A11" w:rsidP="00303A11">
            <w:pPr>
              <w:spacing w:after="0" w:line="360" w:lineRule="auto"/>
              <w:jc w:val="center"/>
              <w:rPr>
                <w:rFonts w:ascii="Arial" w:eastAsia="Times New Roman" w:hAnsi="Arial" w:cs="Arial"/>
                <w:b/>
                <w:bCs/>
                <w:color w:val="FFFFFF"/>
                <w:sz w:val="24"/>
                <w:szCs w:val="24"/>
              </w:rPr>
            </w:pPr>
            <w:r w:rsidRPr="00F837E2">
              <w:rPr>
                <w:rFonts w:ascii="Arial" w:eastAsia="Times New Roman" w:hAnsi="Arial" w:cs="Arial"/>
                <w:b/>
                <w:bCs/>
                <w:color w:val="FFFFFF"/>
                <w:sz w:val="24"/>
                <w:szCs w:val="24"/>
              </w:rPr>
              <w:t>Operating income ($m)</w:t>
            </w:r>
          </w:p>
        </w:tc>
        <w:tc>
          <w:tcPr>
            <w:tcW w:w="1727" w:type="dxa"/>
            <w:tcBorders>
              <w:top w:val="nil"/>
              <w:left w:val="nil"/>
              <w:bottom w:val="nil"/>
              <w:right w:val="nil"/>
            </w:tcBorders>
            <w:shd w:val="clear" w:color="000000" w:fill="5B9BD5"/>
            <w:vAlign w:val="center"/>
            <w:hideMark/>
          </w:tcPr>
          <w:p w14:paraId="28562DE7" w14:textId="77777777" w:rsidR="00303A11" w:rsidRPr="00F837E2" w:rsidRDefault="00303A11" w:rsidP="00303A11">
            <w:pPr>
              <w:spacing w:after="0" w:line="360" w:lineRule="auto"/>
              <w:jc w:val="center"/>
              <w:rPr>
                <w:rFonts w:ascii="Arial" w:eastAsia="Times New Roman" w:hAnsi="Arial" w:cs="Arial"/>
                <w:b/>
                <w:bCs/>
                <w:color w:val="FFFFFF"/>
                <w:sz w:val="24"/>
                <w:szCs w:val="24"/>
              </w:rPr>
            </w:pPr>
            <w:r w:rsidRPr="00F837E2">
              <w:rPr>
                <w:rFonts w:ascii="Arial" w:eastAsia="Times New Roman" w:hAnsi="Arial" w:cs="Arial"/>
                <w:b/>
                <w:bCs/>
                <w:color w:val="FFFFFF"/>
                <w:sz w:val="24"/>
                <w:szCs w:val="24"/>
              </w:rPr>
              <w:t>Net income ($m)</w:t>
            </w:r>
          </w:p>
        </w:tc>
      </w:tr>
      <w:tr w:rsidR="00303A11" w:rsidRPr="00F837E2" w14:paraId="567E5672" w14:textId="77777777" w:rsidTr="00303A11">
        <w:trPr>
          <w:trHeight w:val="424"/>
        </w:trPr>
        <w:tc>
          <w:tcPr>
            <w:tcW w:w="3056" w:type="dxa"/>
            <w:tcBorders>
              <w:top w:val="nil"/>
              <w:left w:val="nil"/>
              <w:bottom w:val="nil"/>
              <w:right w:val="nil"/>
            </w:tcBorders>
            <w:noWrap/>
            <w:vAlign w:val="center"/>
            <w:hideMark/>
          </w:tcPr>
          <w:p w14:paraId="64DA954F" w14:textId="77777777" w:rsidR="00303A11" w:rsidRPr="00F837E2" w:rsidRDefault="00303A11" w:rsidP="00303A11">
            <w:pPr>
              <w:spacing w:after="0" w:line="360" w:lineRule="auto"/>
              <w:jc w:val="right"/>
              <w:rPr>
                <w:rFonts w:ascii="Arial" w:eastAsia="Times New Roman" w:hAnsi="Arial" w:cs="Arial"/>
                <w:sz w:val="24"/>
                <w:szCs w:val="24"/>
              </w:rPr>
            </w:pPr>
            <w:r w:rsidRPr="00F837E2">
              <w:rPr>
                <w:rFonts w:ascii="Arial" w:eastAsia="Times New Roman" w:hAnsi="Arial" w:cs="Arial"/>
                <w:sz w:val="24"/>
                <w:szCs w:val="24"/>
              </w:rPr>
              <w:t>2021</w:t>
            </w:r>
          </w:p>
        </w:tc>
        <w:tc>
          <w:tcPr>
            <w:tcW w:w="1727" w:type="dxa"/>
            <w:tcBorders>
              <w:top w:val="nil"/>
              <w:left w:val="nil"/>
              <w:bottom w:val="nil"/>
              <w:right w:val="nil"/>
            </w:tcBorders>
            <w:noWrap/>
            <w:vAlign w:val="center"/>
            <w:hideMark/>
          </w:tcPr>
          <w:p w14:paraId="309EF62E" w14:textId="77777777" w:rsidR="00303A11" w:rsidRPr="00F837E2" w:rsidRDefault="00303A11" w:rsidP="00303A11">
            <w:pPr>
              <w:spacing w:after="0" w:line="360" w:lineRule="auto"/>
              <w:jc w:val="right"/>
              <w:rPr>
                <w:rFonts w:ascii="Arial" w:eastAsia="Times New Roman" w:hAnsi="Arial" w:cs="Arial"/>
                <w:color w:val="008000"/>
                <w:sz w:val="24"/>
                <w:szCs w:val="24"/>
              </w:rPr>
            </w:pPr>
            <w:r w:rsidRPr="00F837E2">
              <w:rPr>
                <w:rFonts w:ascii="Arial" w:eastAsia="Times New Roman" w:hAnsi="Arial" w:cs="Arial"/>
                <w:color w:val="008000"/>
                <w:sz w:val="24"/>
                <w:szCs w:val="24"/>
              </w:rPr>
              <w:t>13,857</w:t>
            </w:r>
          </w:p>
        </w:tc>
        <w:tc>
          <w:tcPr>
            <w:tcW w:w="2391" w:type="dxa"/>
            <w:tcBorders>
              <w:top w:val="nil"/>
              <w:left w:val="nil"/>
              <w:bottom w:val="nil"/>
              <w:right w:val="nil"/>
            </w:tcBorders>
            <w:noWrap/>
            <w:vAlign w:val="center"/>
            <w:hideMark/>
          </w:tcPr>
          <w:p w14:paraId="5D570D90" w14:textId="77777777" w:rsidR="00303A11" w:rsidRPr="00F837E2" w:rsidRDefault="00303A11" w:rsidP="00303A11">
            <w:pPr>
              <w:spacing w:after="0" w:line="360" w:lineRule="auto"/>
              <w:jc w:val="right"/>
              <w:rPr>
                <w:rFonts w:ascii="Arial" w:eastAsia="Times New Roman" w:hAnsi="Arial" w:cs="Arial"/>
                <w:color w:val="008000"/>
                <w:sz w:val="24"/>
                <w:szCs w:val="24"/>
              </w:rPr>
            </w:pPr>
            <w:r w:rsidRPr="00F837E2">
              <w:rPr>
                <w:rFonts w:ascii="Arial" w:eastAsia="Times New Roman" w:hAnsi="Arial" w:cs="Arial"/>
                <w:color w:val="008000"/>
                <w:sz w:val="24"/>
                <w:szCs w:val="24"/>
              </w:rPr>
              <w:t>1,750</w:t>
            </w:r>
          </w:p>
        </w:tc>
        <w:tc>
          <w:tcPr>
            <w:tcW w:w="1727" w:type="dxa"/>
            <w:tcBorders>
              <w:top w:val="nil"/>
              <w:left w:val="nil"/>
              <w:bottom w:val="nil"/>
              <w:right w:val="nil"/>
            </w:tcBorders>
            <w:noWrap/>
            <w:vAlign w:val="center"/>
            <w:hideMark/>
          </w:tcPr>
          <w:p w14:paraId="6FB038C2" w14:textId="77777777" w:rsidR="00303A11" w:rsidRPr="00F837E2" w:rsidRDefault="00303A11" w:rsidP="00303A11">
            <w:pPr>
              <w:spacing w:after="0" w:line="360" w:lineRule="auto"/>
              <w:jc w:val="right"/>
              <w:rPr>
                <w:rFonts w:ascii="Arial" w:eastAsia="Times New Roman" w:hAnsi="Arial" w:cs="Arial"/>
                <w:color w:val="008000"/>
                <w:sz w:val="24"/>
                <w:szCs w:val="24"/>
              </w:rPr>
            </w:pPr>
            <w:r w:rsidRPr="00F837E2">
              <w:rPr>
                <w:rFonts w:ascii="Arial" w:eastAsia="Times New Roman" w:hAnsi="Arial" w:cs="Arial"/>
                <w:color w:val="008000"/>
                <w:sz w:val="24"/>
                <w:szCs w:val="24"/>
              </w:rPr>
              <w:t>1,099</w:t>
            </w:r>
          </w:p>
        </w:tc>
      </w:tr>
      <w:tr w:rsidR="00303A11" w:rsidRPr="00F837E2" w14:paraId="21C6C6B9" w14:textId="77777777" w:rsidTr="00303A11">
        <w:trPr>
          <w:trHeight w:val="424"/>
        </w:trPr>
        <w:tc>
          <w:tcPr>
            <w:tcW w:w="3056" w:type="dxa"/>
            <w:tcBorders>
              <w:top w:val="nil"/>
              <w:left w:val="nil"/>
              <w:bottom w:val="nil"/>
              <w:right w:val="nil"/>
            </w:tcBorders>
            <w:noWrap/>
            <w:vAlign w:val="center"/>
            <w:hideMark/>
          </w:tcPr>
          <w:p w14:paraId="47C749E0" w14:textId="77777777" w:rsidR="00303A11" w:rsidRPr="00F837E2" w:rsidRDefault="00303A11" w:rsidP="00303A11">
            <w:pPr>
              <w:spacing w:after="0" w:line="360" w:lineRule="auto"/>
              <w:jc w:val="right"/>
              <w:rPr>
                <w:rFonts w:ascii="Arial" w:eastAsia="Times New Roman" w:hAnsi="Arial" w:cs="Arial"/>
                <w:sz w:val="24"/>
                <w:szCs w:val="24"/>
              </w:rPr>
            </w:pPr>
            <w:r w:rsidRPr="00F837E2">
              <w:rPr>
                <w:rFonts w:ascii="Arial" w:eastAsia="Times New Roman" w:hAnsi="Arial" w:cs="Arial"/>
                <w:sz w:val="24"/>
                <w:szCs w:val="24"/>
              </w:rPr>
              <w:t>2022</w:t>
            </w:r>
          </w:p>
        </w:tc>
        <w:tc>
          <w:tcPr>
            <w:tcW w:w="1727" w:type="dxa"/>
            <w:tcBorders>
              <w:top w:val="nil"/>
              <w:left w:val="nil"/>
              <w:bottom w:val="nil"/>
              <w:right w:val="nil"/>
            </w:tcBorders>
            <w:noWrap/>
            <w:vAlign w:val="center"/>
            <w:hideMark/>
          </w:tcPr>
          <w:p w14:paraId="4369F6E2" w14:textId="77777777" w:rsidR="00303A11" w:rsidRPr="00F837E2" w:rsidRDefault="00303A11" w:rsidP="00303A11">
            <w:pPr>
              <w:spacing w:after="0" w:line="360" w:lineRule="auto"/>
              <w:jc w:val="right"/>
              <w:rPr>
                <w:rFonts w:ascii="Arial" w:eastAsia="Times New Roman" w:hAnsi="Arial" w:cs="Arial"/>
                <w:color w:val="008000"/>
                <w:sz w:val="24"/>
                <w:szCs w:val="24"/>
              </w:rPr>
            </w:pPr>
            <w:r w:rsidRPr="00F837E2">
              <w:rPr>
                <w:rFonts w:ascii="Arial" w:eastAsia="Times New Roman" w:hAnsi="Arial" w:cs="Arial"/>
                <w:color w:val="008000"/>
                <w:sz w:val="24"/>
                <w:szCs w:val="24"/>
              </w:rPr>
              <w:t>20,773</w:t>
            </w:r>
          </w:p>
        </w:tc>
        <w:tc>
          <w:tcPr>
            <w:tcW w:w="2391" w:type="dxa"/>
            <w:tcBorders>
              <w:top w:val="nil"/>
              <w:left w:val="nil"/>
              <w:bottom w:val="nil"/>
              <w:right w:val="nil"/>
            </w:tcBorders>
            <w:noWrap/>
            <w:vAlign w:val="center"/>
            <w:hideMark/>
          </w:tcPr>
          <w:p w14:paraId="53311424" w14:textId="77777777" w:rsidR="00303A11" w:rsidRPr="00F837E2" w:rsidRDefault="00303A11" w:rsidP="00303A11">
            <w:pPr>
              <w:spacing w:after="0" w:line="360" w:lineRule="auto"/>
              <w:jc w:val="right"/>
              <w:rPr>
                <w:rFonts w:ascii="Arial" w:eastAsia="Times New Roman" w:hAnsi="Arial" w:cs="Arial"/>
                <w:color w:val="008000"/>
                <w:sz w:val="24"/>
                <w:szCs w:val="24"/>
              </w:rPr>
            </w:pPr>
            <w:r w:rsidRPr="00F837E2">
              <w:rPr>
                <w:rFonts w:ascii="Arial" w:eastAsia="Times New Roman" w:hAnsi="Arial" w:cs="Arial"/>
                <w:color w:val="008000"/>
                <w:sz w:val="24"/>
                <w:szCs w:val="24"/>
              </w:rPr>
              <w:t>3,462</w:t>
            </w:r>
          </w:p>
        </w:tc>
        <w:tc>
          <w:tcPr>
            <w:tcW w:w="1727" w:type="dxa"/>
            <w:tcBorders>
              <w:top w:val="nil"/>
              <w:left w:val="nil"/>
              <w:bottom w:val="nil"/>
              <w:right w:val="nil"/>
            </w:tcBorders>
            <w:noWrap/>
            <w:vAlign w:val="center"/>
            <w:hideMark/>
          </w:tcPr>
          <w:p w14:paraId="1CDE9354" w14:textId="77777777" w:rsidR="00303A11" w:rsidRPr="00F837E2" w:rsidRDefault="00303A11" w:rsidP="00303A11">
            <w:pPr>
              <w:spacing w:after="0" w:line="360" w:lineRule="auto"/>
              <w:jc w:val="right"/>
              <w:rPr>
                <w:rFonts w:ascii="Arial" w:eastAsia="Times New Roman" w:hAnsi="Arial" w:cs="Arial"/>
                <w:color w:val="008000"/>
                <w:sz w:val="24"/>
                <w:szCs w:val="24"/>
              </w:rPr>
            </w:pPr>
            <w:r w:rsidRPr="00F837E2">
              <w:rPr>
                <w:rFonts w:ascii="Arial" w:eastAsia="Times New Roman" w:hAnsi="Arial" w:cs="Arial"/>
                <w:color w:val="008000"/>
                <w:sz w:val="24"/>
                <w:szCs w:val="24"/>
              </w:rPr>
              <w:t>2,358</w:t>
            </w:r>
          </w:p>
        </w:tc>
      </w:tr>
      <w:tr w:rsidR="00303A11" w:rsidRPr="00F837E2" w14:paraId="5AC9E2C3" w14:textId="77777777" w:rsidTr="00303A11">
        <w:trPr>
          <w:trHeight w:val="424"/>
        </w:trPr>
        <w:tc>
          <w:tcPr>
            <w:tcW w:w="3056" w:type="dxa"/>
            <w:tcBorders>
              <w:top w:val="nil"/>
              <w:left w:val="nil"/>
              <w:bottom w:val="nil"/>
              <w:right w:val="nil"/>
            </w:tcBorders>
            <w:noWrap/>
            <w:vAlign w:val="center"/>
            <w:hideMark/>
          </w:tcPr>
          <w:p w14:paraId="61C26C70" w14:textId="77777777" w:rsidR="00303A11" w:rsidRPr="00F837E2" w:rsidRDefault="00303A11" w:rsidP="00303A11">
            <w:pPr>
              <w:spacing w:after="0" w:line="360" w:lineRule="auto"/>
              <w:jc w:val="right"/>
              <w:rPr>
                <w:rFonts w:ascii="Arial" w:eastAsia="Times New Roman" w:hAnsi="Arial" w:cs="Arial"/>
                <w:sz w:val="24"/>
                <w:szCs w:val="24"/>
              </w:rPr>
            </w:pPr>
            <w:r w:rsidRPr="00F837E2">
              <w:rPr>
                <w:rFonts w:ascii="Arial" w:eastAsia="Times New Roman" w:hAnsi="Arial" w:cs="Arial"/>
                <w:sz w:val="24"/>
                <w:szCs w:val="24"/>
              </w:rPr>
              <w:t>2023</w:t>
            </w:r>
          </w:p>
        </w:tc>
        <w:tc>
          <w:tcPr>
            <w:tcW w:w="1727" w:type="dxa"/>
            <w:tcBorders>
              <w:top w:val="nil"/>
              <w:left w:val="nil"/>
              <w:bottom w:val="nil"/>
              <w:right w:val="nil"/>
            </w:tcBorders>
            <w:noWrap/>
            <w:vAlign w:val="center"/>
            <w:hideMark/>
          </w:tcPr>
          <w:p w14:paraId="7AC6FE98" w14:textId="77777777" w:rsidR="00303A11" w:rsidRPr="00F837E2" w:rsidRDefault="00303A11" w:rsidP="00303A11">
            <w:pPr>
              <w:spacing w:after="0" w:line="360" w:lineRule="auto"/>
              <w:jc w:val="right"/>
              <w:rPr>
                <w:rFonts w:ascii="Arial" w:eastAsia="Times New Roman" w:hAnsi="Arial" w:cs="Arial"/>
                <w:color w:val="008000"/>
                <w:sz w:val="24"/>
                <w:szCs w:val="24"/>
              </w:rPr>
            </w:pPr>
            <w:r w:rsidRPr="00F837E2">
              <w:rPr>
                <w:rFonts w:ascii="Arial" w:eastAsia="Times New Roman" w:hAnsi="Arial" w:cs="Arial"/>
                <w:color w:val="008000"/>
                <w:sz w:val="24"/>
                <w:szCs w:val="24"/>
              </w:rPr>
              <w:t>23,713</w:t>
            </w:r>
          </w:p>
        </w:tc>
        <w:tc>
          <w:tcPr>
            <w:tcW w:w="2391" w:type="dxa"/>
            <w:tcBorders>
              <w:top w:val="nil"/>
              <w:left w:val="nil"/>
              <w:bottom w:val="nil"/>
              <w:right w:val="nil"/>
            </w:tcBorders>
            <w:noWrap/>
            <w:vAlign w:val="center"/>
            <w:hideMark/>
          </w:tcPr>
          <w:p w14:paraId="3F21FB5D" w14:textId="77777777" w:rsidR="00303A11" w:rsidRPr="00F837E2" w:rsidRDefault="00303A11" w:rsidP="00303A11">
            <w:pPr>
              <w:spacing w:after="0" w:line="360" w:lineRule="auto"/>
              <w:jc w:val="right"/>
              <w:rPr>
                <w:rFonts w:ascii="Arial" w:eastAsia="Times New Roman" w:hAnsi="Arial" w:cs="Arial"/>
                <w:color w:val="008000"/>
                <w:sz w:val="24"/>
                <w:szCs w:val="24"/>
              </w:rPr>
            </w:pPr>
            <w:r w:rsidRPr="00F837E2">
              <w:rPr>
                <w:rFonts w:ascii="Arial" w:eastAsia="Times New Roman" w:hAnsi="Arial" w:cs="Arial"/>
                <w:color w:val="008000"/>
                <w:sz w:val="24"/>
                <w:szCs w:val="24"/>
              </w:rPr>
              <w:t>3,864</w:t>
            </w:r>
          </w:p>
        </w:tc>
        <w:tc>
          <w:tcPr>
            <w:tcW w:w="1727" w:type="dxa"/>
            <w:tcBorders>
              <w:top w:val="nil"/>
              <w:left w:val="nil"/>
              <w:bottom w:val="nil"/>
              <w:right w:val="nil"/>
            </w:tcBorders>
            <w:noWrap/>
            <w:vAlign w:val="center"/>
            <w:hideMark/>
          </w:tcPr>
          <w:p w14:paraId="15B4F93A" w14:textId="77777777" w:rsidR="00303A11" w:rsidRPr="00F837E2" w:rsidRDefault="00303A11" w:rsidP="00303A11">
            <w:pPr>
              <w:spacing w:after="0" w:line="360" w:lineRule="auto"/>
              <w:jc w:val="right"/>
              <w:rPr>
                <w:rFonts w:ascii="Arial" w:eastAsia="Times New Roman" w:hAnsi="Arial" w:cs="Arial"/>
                <w:color w:val="008000"/>
                <w:sz w:val="24"/>
                <w:szCs w:val="24"/>
              </w:rPr>
            </w:pPr>
            <w:r w:rsidRPr="00F837E2">
              <w:rPr>
                <w:rFonts w:ascii="Arial" w:eastAsia="Times New Roman" w:hAnsi="Arial" w:cs="Arial"/>
                <w:color w:val="008000"/>
                <w:sz w:val="24"/>
                <w:szCs w:val="24"/>
              </w:rPr>
              <w:t>3,083</w:t>
            </w:r>
          </w:p>
        </w:tc>
      </w:tr>
      <w:tr w:rsidR="00303A11" w:rsidRPr="00F837E2" w14:paraId="5847511B" w14:textId="77777777" w:rsidTr="00303A11">
        <w:trPr>
          <w:trHeight w:val="424"/>
        </w:trPr>
        <w:tc>
          <w:tcPr>
            <w:tcW w:w="3056" w:type="dxa"/>
            <w:tcBorders>
              <w:top w:val="nil"/>
              <w:left w:val="nil"/>
              <w:bottom w:val="nil"/>
              <w:right w:val="nil"/>
            </w:tcBorders>
            <w:noWrap/>
            <w:vAlign w:val="center"/>
            <w:hideMark/>
          </w:tcPr>
          <w:p w14:paraId="0E0D31A1" w14:textId="77777777" w:rsidR="00303A11" w:rsidRPr="00F837E2" w:rsidRDefault="00303A11" w:rsidP="00303A11">
            <w:pPr>
              <w:spacing w:after="0" w:line="360" w:lineRule="auto"/>
              <w:jc w:val="right"/>
              <w:rPr>
                <w:rFonts w:ascii="Arial" w:eastAsia="Times New Roman" w:hAnsi="Arial" w:cs="Arial"/>
                <w:sz w:val="24"/>
                <w:szCs w:val="24"/>
              </w:rPr>
            </w:pPr>
            <w:r w:rsidRPr="00F837E2">
              <w:rPr>
                <w:rFonts w:ascii="Arial" w:eastAsia="Times New Roman" w:hAnsi="Arial" w:cs="Arial"/>
                <w:sz w:val="24"/>
                <w:szCs w:val="24"/>
              </w:rPr>
              <w:t>2024</w:t>
            </w:r>
          </w:p>
        </w:tc>
        <w:tc>
          <w:tcPr>
            <w:tcW w:w="1727" w:type="dxa"/>
            <w:tcBorders>
              <w:top w:val="nil"/>
              <w:left w:val="nil"/>
              <w:bottom w:val="nil"/>
              <w:right w:val="nil"/>
            </w:tcBorders>
            <w:noWrap/>
            <w:vAlign w:val="center"/>
            <w:hideMark/>
          </w:tcPr>
          <w:p w14:paraId="2B359859" w14:textId="77777777" w:rsidR="00303A11" w:rsidRPr="00F837E2" w:rsidRDefault="00303A11" w:rsidP="00303A11">
            <w:pPr>
              <w:spacing w:after="0" w:line="360" w:lineRule="auto"/>
              <w:jc w:val="right"/>
              <w:rPr>
                <w:rFonts w:ascii="Arial" w:eastAsia="Times New Roman" w:hAnsi="Arial" w:cs="Arial"/>
                <w:color w:val="008000"/>
                <w:sz w:val="24"/>
                <w:szCs w:val="24"/>
              </w:rPr>
            </w:pPr>
            <w:r w:rsidRPr="00F837E2">
              <w:rPr>
                <w:rFonts w:ascii="Arial" w:eastAsia="Times New Roman" w:hAnsi="Arial" w:cs="Arial"/>
                <w:color w:val="008000"/>
                <w:sz w:val="24"/>
                <w:szCs w:val="24"/>
              </w:rPr>
              <w:t>25,100</w:t>
            </w:r>
          </w:p>
        </w:tc>
        <w:tc>
          <w:tcPr>
            <w:tcW w:w="2391" w:type="dxa"/>
            <w:tcBorders>
              <w:top w:val="nil"/>
              <w:left w:val="nil"/>
              <w:bottom w:val="nil"/>
              <w:right w:val="nil"/>
            </w:tcBorders>
            <w:noWrap/>
            <w:vAlign w:val="center"/>
            <w:hideMark/>
          </w:tcPr>
          <w:p w14:paraId="42226446" w14:textId="77777777" w:rsidR="00303A11" w:rsidRPr="00F837E2" w:rsidRDefault="00303A11" w:rsidP="00303A11">
            <w:pPr>
              <w:spacing w:after="0" w:line="360" w:lineRule="auto"/>
              <w:jc w:val="right"/>
              <w:rPr>
                <w:rFonts w:ascii="Arial" w:eastAsia="Times New Roman" w:hAnsi="Arial" w:cs="Arial"/>
                <w:color w:val="008000"/>
                <w:sz w:val="24"/>
                <w:szCs w:val="24"/>
              </w:rPr>
            </w:pPr>
            <w:r w:rsidRPr="00F837E2">
              <w:rPr>
                <w:rFonts w:ascii="Arial" w:eastAsia="Times New Roman" w:hAnsi="Arial" w:cs="Arial"/>
                <w:color w:val="008000"/>
                <w:sz w:val="24"/>
                <w:szCs w:val="24"/>
              </w:rPr>
              <w:t>3,767</w:t>
            </w:r>
          </w:p>
        </w:tc>
        <w:tc>
          <w:tcPr>
            <w:tcW w:w="1727" w:type="dxa"/>
            <w:tcBorders>
              <w:top w:val="nil"/>
              <w:left w:val="nil"/>
              <w:bottom w:val="nil"/>
              <w:right w:val="nil"/>
            </w:tcBorders>
            <w:noWrap/>
            <w:vAlign w:val="center"/>
            <w:hideMark/>
          </w:tcPr>
          <w:p w14:paraId="3C6DB862" w14:textId="77777777" w:rsidR="00303A11" w:rsidRPr="00F837E2" w:rsidRDefault="00303A11" w:rsidP="00303A11">
            <w:pPr>
              <w:spacing w:after="0" w:line="360" w:lineRule="auto"/>
              <w:jc w:val="right"/>
              <w:rPr>
                <w:rFonts w:ascii="Arial" w:eastAsia="Times New Roman" w:hAnsi="Arial" w:cs="Arial"/>
                <w:color w:val="008000"/>
                <w:sz w:val="24"/>
                <w:szCs w:val="24"/>
              </w:rPr>
            </w:pPr>
            <w:r w:rsidRPr="00F837E2">
              <w:rPr>
                <w:rFonts w:ascii="Arial" w:eastAsia="Times New Roman" w:hAnsi="Arial" w:cs="Arial"/>
                <w:color w:val="008000"/>
                <w:sz w:val="24"/>
                <w:szCs w:val="24"/>
              </w:rPr>
              <w:t>2,375</w:t>
            </w:r>
          </w:p>
        </w:tc>
      </w:tr>
      <w:tr w:rsidR="00303A11" w:rsidRPr="00F837E2" w14:paraId="47B92D04" w14:textId="77777777" w:rsidTr="00303A11">
        <w:trPr>
          <w:trHeight w:val="424"/>
        </w:trPr>
        <w:tc>
          <w:tcPr>
            <w:tcW w:w="3056" w:type="dxa"/>
            <w:tcBorders>
              <w:top w:val="nil"/>
              <w:left w:val="nil"/>
              <w:bottom w:val="nil"/>
              <w:right w:val="nil"/>
            </w:tcBorders>
            <w:noWrap/>
            <w:vAlign w:val="center"/>
            <w:hideMark/>
          </w:tcPr>
          <w:p w14:paraId="42FF59EA" w14:textId="77777777" w:rsidR="00303A11" w:rsidRPr="00F837E2" w:rsidRDefault="00303A11" w:rsidP="00303A11">
            <w:pPr>
              <w:spacing w:after="0" w:line="360" w:lineRule="auto"/>
              <w:jc w:val="right"/>
              <w:rPr>
                <w:rFonts w:ascii="Arial" w:eastAsia="Times New Roman" w:hAnsi="Arial" w:cs="Arial"/>
                <w:sz w:val="24"/>
                <w:szCs w:val="24"/>
              </w:rPr>
            </w:pPr>
            <w:r w:rsidRPr="00F837E2">
              <w:rPr>
                <w:rFonts w:ascii="Arial" w:eastAsia="Times New Roman" w:hAnsi="Arial" w:cs="Arial"/>
                <w:sz w:val="24"/>
                <w:szCs w:val="24"/>
              </w:rPr>
              <w:t>2025</w:t>
            </w:r>
          </w:p>
        </w:tc>
        <w:tc>
          <w:tcPr>
            <w:tcW w:w="1727" w:type="dxa"/>
            <w:tcBorders>
              <w:top w:val="nil"/>
              <w:left w:val="nil"/>
              <w:bottom w:val="nil"/>
              <w:right w:val="nil"/>
            </w:tcBorders>
            <w:noWrap/>
            <w:vAlign w:val="center"/>
            <w:hideMark/>
          </w:tcPr>
          <w:p w14:paraId="59294F6E" w14:textId="77777777" w:rsidR="00303A11" w:rsidRPr="00F837E2" w:rsidRDefault="00303A11" w:rsidP="00303A11">
            <w:pPr>
              <w:spacing w:after="0" w:line="360" w:lineRule="auto"/>
              <w:jc w:val="right"/>
              <w:rPr>
                <w:rFonts w:ascii="Arial" w:eastAsia="Times New Roman" w:hAnsi="Arial" w:cs="Arial"/>
                <w:color w:val="008000"/>
                <w:sz w:val="24"/>
                <w:szCs w:val="24"/>
              </w:rPr>
            </w:pPr>
            <w:r w:rsidRPr="00F837E2">
              <w:rPr>
                <w:rFonts w:ascii="Arial" w:eastAsia="Times New Roman" w:hAnsi="Arial" w:cs="Arial"/>
                <w:color w:val="008000"/>
                <w:sz w:val="24"/>
                <w:szCs w:val="24"/>
              </w:rPr>
              <w:t>26,186</w:t>
            </w:r>
          </w:p>
        </w:tc>
        <w:tc>
          <w:tcPr>
            <w:tcW w:w="2391" w:type="dxa"/>
            <w:tcBorders>
              <w:top w:val="nil"/>
              <w:left w:val="nil"/>
              <w:bottom w:val="nil"/>
              <w:right w:val="nil"/>
            </w:tcBorders>
            <w:noWrap/>
            <w:vAlign w:val="center"/>
            <w:hideMark/>
          </w:tcPr>
          <w:p w14:paraId="20D91E9B" w14:textId="77777777" w:rsidR="00303A11" w:rsidRPr="00F837E2" w:rsidRDefault="00303A11" w:rsidP="00303A11">
            <w:pPr>
              <w:spacing w:after="0" w:line="360" w:lineRule="auto"/>
              <w:jc w:val="right"/>
              <w:rPr>
                <w:rFonts w:ascii="Arial" w:eastAsia="Times New Roman" w:hAnsi="Arial" w:cs="Arial"/>
                <w:color w:val="008000"/>
                <w:sz w:val="24"/>
                <w:szCs w:val="24"/>
              </w:rPr>
            </w:pPr>
            <w:r w:rsidRPr="00F837E2">
              <w:rPr>
                <w:rFonts w:ascii="Arial" w:eastAsia="Times New Roman" w:hAnsi="Arial" w:cs="Arial"/>
                <w:color w:val="008000"/>
                <w:sz w:val="24"/>
                <w:szCs w:val="24"/>
              </w:rPr>
              <w:t>4,141</w:t>
            </w:r>
          </w:p>
        </w:tc>
        <w:tc>
          <w:tcPr>
            <w:tcW w:w="1727" w:type="dxa"/>
            <w:tcBorders>
              <w:top w:val="nil"/>
              <w:left w:val="nil"/>
              <w:bottom w:val="nil"/>
              <w:right w:val="nil"/>
            </w:tcBorders>
            <w:noWrap/>
            <w:vAlign w:val="center"/>
            <w:hideMark/>
          </w:tcPr>
          <w:p w14:paraId="4477EC83" w14:textId="77777777" w:rsidR="00303A11" w:rsidRPr="00F837E2" w:rsidRDefault="00303A11" w:rsidP="00303A11">
            <w:pPr>
              <w:spacing w:after="0" w:line="360" w:lineRule="auto"/>
              <w:jc w:val="right"/>
              <w:rPr>
                <w:rFonts w:ascii="Arial" w:eastAsia="Times New Roman" w:hAnsi="Arial" w:cs="Arial"/>
                <w:color w:val="008000"/>
                <w:sz w:val="24"/>
                <w:szCs w:val="24"/>
              </w:rPr>
            </w:pPr>
            <w:r w:rsidRPr="00F837E2">
              <w:rPr>
                <w:rFonts w:ascii="Arial" w:eastAsia="Times New Roman" w:hAnsi="Arial" w:cs="Arial"/>
                <w:color w:val="008000"/>
                <w:sz w:val="24"/>
                <w:szCs w:val="24"/>
              </w:rPr>
              <w:t>2,601</w:t>
            </w:r>
          </w:p>
        </w:tc>
      </w:tr>
    </w:tbl>
    <w:p w14:paraId="63CEEBF7" w14:textId="77777777" w:rsidR="00303A11" w:rsidRPr="00F837E2" w:rsidRDefault="00303A11" w:rsidP="00303A11">
      <w:pPr>
        <w:spacing w:line="360" w:lineRule="auto"/>
        <w:rPr>
          <w:rFonts w:ascii="Arial" w:hAnsi="Arial" w:cs="Arial"/>
          <w:sz w:val="24"/>
          <w:szCs w:val="24"/>
        </w:rPr>
      </w:pPr>
    </w:p>
    <w:p w14:paraId="298AC9CE" w14:textId="4BF1F48F" w:rsidR="00303A11" w:rsidRPr="00F837E2" w:rsidRDefault="00303A11" w:rsidP="00303A11">
      <w:pPr>
        <w:spacing w:line="360" w:lineRule="auto"/>
        <w:rPr>
          <w:rFonts w:ascii="Arial" w:hAnsi="Arial" w:cs="Arial"/>
          <w:sz w:val="24"/>
          <w:szCs w:val="24"/>
        </w:rPr>
      </w:pPr>
      <w:r w:rsidRPr="00F837E2">
        <w:rPr>
          <w:rFonts w:ascii="Arial" w:hAnsi="Arial" w:cs="Arial"/>
          <w:noProof/>
          <w:sz w:val="24"/>
          <w:szCs w:val="24"/>
        </w:rPr>
        <w:drawing>
          <wp:inline distT="0" distB="0" distL="0" distR="0" wp14:anchorId="1C3FDCCE" wp14:editId="76BDE90F">
            <wp:extent cx="5865541" cy="4103648"/>
            <wp:effectExtent l="0" t="0" r="1905" b="11430"/>
            <wp:docPr id="1653428268" name="Chart 1">
              <a:extLst xmlns:a="http://schemas.openxmlformats.org/drawingml/2006/main">
                <a:ext uri="{FF2B5EF4-FFF2-40B4-BE49-F238E27FC236}">
                  <a16:creationId xmlns:a16="http://schemas.microsoft.com/office/drawing/2014/main" id="{5789D872-C68D-AB94-4C2C-7B71932FB15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471F5BA6" w14:textId="77777777" w:rsidR="00303A11" w:rsidRPr="00F837E2" w:rsidRDefault="00303A11" w:rsidP="00303A11">
      <w:pPr>
        <w:spacing w:line="360" w:lineRule="auto"/>
        <w:rPr>
          <w:rFonts w:ascii="Arial" w:hAnsi="Arial" w:cs="Arial"/>
          <w:sz w:val="24"/>
          <w:szCs w:val="24"/>
        </w:rPr>
      </w:pPr>
    </w:p>
    <w:p w14:paraId="74DCDA5A" w14:textId="77777777" w:rsidR="00303A11" w:rsidRPr="00F837E2" w:rsidRDefault="00303A11" w:rsidP="00303A11">
      <w:pPr>
        <w:spacing w:line="360" w:lineRule="auto"/>
        <w:rPr>
          <w:rFonts w:ascii="Arial" w:hAnsi="Arial" w:cs="Arial"/>
          <w:sz w:val="24"/>
          <w:szCs w:val="24"/>
        </w:rPr>
      </w:pPr>
    </w:p>
    <w:p w14:paraId="53EEDD90" w14:textId="77777777" w:rsidR="00303A11" w:rsidRPr="00F837E2" w:rsidRDefault="00303A11" w:rsidP="00303A11">
      <w:pPr>
        <w:spacing w:line="360" w:lineRule="auto"/>
        <w:rPr>
          <w:rFonts w:ascii="Arial" w:hAnsi="Arial" w:cs="Arial"/>
          <w:sz w:val="24"/>
          <w:szCs w:val="24"/>
        </w:rPr>
      </w:pPr>
    </w:p>
    <w:p w14:paraId="37607089" w14:textId="77777777" w:rsidR="00303A11" w:rsidRPr="00F837E2" w:rsidRDefault="00303A11" w:rsidP="00303A11">
      <w:pPr>
        <w:spacing w:line="360" w:lineRule="auto"/>
        <w:rPr>
          <w:rFonts w:ascii="Arial" w:hAnsi="Arial" w:cs="Arial"/>
          <w:sz w:val="24"/>
          <w:szCs w:val="24"/>
        </w:rPr>
      </w:pPr>
    </w:p>
    <w:p w14:paraId="28C77733" w14:textId="77777777" w:rsidR="00303A11" w:rsidRPr="00F837E2" w:rsidRDefault="00303A11" w:rsidP="00303A11">
      <w:pPr>
        <w:spacing w:line="360" w:lineRule="auto"/>
        <w:rPr>
          <w:rFonts w:ascii="Arial" w:hAnsi="Arial" w:cs="Arial"/>
          <w:sz w:val="24"/>
          <w:szCs w:val="24"/>
        </w:rPr>
      </w:pPr>
    </w:p>
    <w:tbl>
      <w:tblPr>
        <w:tblW w:w="9208" w:type="dxa"/>
        <w:tblLook w:val="04A0" w:firstRow="1" w:lastRow="0" w:firstColumn="1" w:lastColumn="0" w:noHBand="0" w:noVBand="1"/>
      </w:tblPr>
      <w:tblGrid>
        <w:gridCol w:w="3922"/>
        <w:gridCol w:w="2217"/>
        <w:gridCol w:w="3069"/>
      </w:tblGrid>
      <w:tr w:rsidR="00303A11" w:rsidRPr="00F837E2" w14:paraId="66D28B02" w14:textId="77777777" w:rsidTr="00303A11">
        <w:trPr>
          <w:trHeight w:val="670"/>
        </w:trPr>
        <w:tc>
          <w:tcPr>
            <w:tcW w:w="3922" w:type="dxa"/>
            <w:tcBorders>
              <w:top w:val="nil"/>
              <w:left w:val="nil"/>
              <w:bottom w:val="nil"/>
              <w:right w:val="nil"/>
            </w:tcBorders>
            <w:shd w:val="clear" w:color="000000" w:fill="5B9BD5"/>
            <w:vAlign w:val="center"/>
            <w:hideMark/>
          </w:tcPr>
          <w:p w14:paraId="36774D18" w14:textId="77777777" w:rsidR="00303A11" w:rsidRPr="00F837E2" w:rsidRDefault="00303A11" w:rsidP="00303A11">
            <w:pPr>
              <w:spacing w:after="0" w:line="360" w:lineRule="auto"/>
              <w:jc w:val="center"/>
              <w:rPr>
                <w:rFonts w:ascii="Arial" w:eastAsia="Times New Roman" w:hAnsi="Arial" w:cs="Arial"/>
                <w:b/>
                <w:bCs/>
                <w:color w:val="FFFFFF"/>
                <w:sz w:val="24"/>
                <w:szCs w:val="24"/>
              </w:rPr>
            </w:pPr>
            <w:r w:rsidRPr="00F837E2">
              <w:rPr>
                <w:rFonts w:ascii="Arial" w:eastAsia="Times New Roman" w:hAnsi="Arial" w:cs="Arial"/>
                <w:b/>
                <w:bCs/>
                <w:color w:val="FFFFFF"/>
                <w:sz w:val="24"/>
                <w:szCs w:val="24"/>
              </w:rPr>
              <w:lastRenderedPageBreak/>
              <w:t>Year</w:t>
            </w:r>
          </w:p>
        </w:tc>
        <w:tc>
          <w:tcPr>
            <w:tcW w:w="2217" w:type="dxa"/>
            <w:tcBorders>
              <w:top w:val="nil"/>
              <w:left w:val="nil"/>
              <w:bottom w:val="nil"/>
              <w:right w:val="nil"/>
            </w:tcBorders>
            <w:shd w:val="clear" w:color="000000" w:fill="5B9BD5"/>
            <w:vAlign w:val="center"/>
            <w:hideMark/>
          </w:tcPr>
          <w:p w14:paraId="19D56A49" w14:textId="77777777" w:rsidR="00303A11" w:rsidRPr="00F837E2" w:rsidRDefault="00303A11" w:rsidP="00303A11">
            <w:pPr>
              <w:spacing w:after="0" w:line="360" w:lineRule="auto"/>
              <w:jc w:val="center"/>
              <w:rPr>
                <w:rFonts w:ascii="Arial" w:eastAsia="Times New Roman" w:hAnsi="Arial" w:cs="Arial"/>
                <w:b/>
                <w:bCs/>
                <w:color w:val="FFFFFF"/>
                <w:sz w:val="24"/>
                <w:szCs w:val="24"/>
              </w:rPr>
            </w:pPr>
            <w:r w:rsidRPr="00F837E2">
              <w:rPr>
                <w:rFonts w:ascii="Arial" w:eastAsia="Times New Roman" w:hAnsi="Arial" w:cs="Arial"/>
                <w:b/>
                <w:bCs/>
                <w:color w:val="FFFFFF"/>
                <w:sz w:val="24"/>
                <w:szCs w:val="24"/>
              </w:rPr>
              <w:t>Operating margin</w:t>
            </w:r>
          </w:p>
        </w:tc>
        <w:tc>
          <w:tcPr>
            <w:tcW w:w="3069" w:type="dxa"/>
            <w:tcBorders>
              <w:top w:val="nil"/>
              <w:left w:val="nil"/>
              <w:bottom w:val="nil"/>
              <w:right w:val="nil"/>
            </w:tcBorders>
            <w:shd w:val="clear" w:color="000000" w:fill="5B9BD5"/>
            <w:vAlign w:val="center"/>
            <w:hideMark/>
          </w:tcPr>
          <w:p w14:paraId="2B5B40D2" w14:textId="77777777" w:rsidR="00303A11" w:rsidRPr="00F837E2" w:rsidRDefault="00303A11" w:rsidP="00303A11">
            <w:pPr>
              <w:spacing w:after="0" w:line="360" w:lineRule="auto"/>
              <w:jc w:val="center"/>
              <w:rPr>
                <w:rFonts w:ascii="Arial" w:eastAsia="Times New Roman" w:hAnsi="Arial" w:cs="Arial"/>
                <w:b/>
                <w:bCs/>
                <w:color w:val="FFFFFF"/>
                <w:sz w:val="24"/>
                <w:szCs w:val="24"/>
              </w:rPr>
            </w:pPr>
            <w:r w:rsidRPr="00F837E2">
              <w:rPr>
                <w:rFonts w:ascii="Arial" w:eastAsia="Times New Roman" w:hAnsi="Arial" w:cs="Arial"/>
                <w:b/>
                <w:bCs/>
                <w:color w:val="FFFFFF"/>
                <w:sz w:val="24"/>
                <w:szCs w:val="24"/>
              </w:rPr>
              <w:t>Net margin</w:t>
            </w:r>
          </w:p>
        </w:tc>
      </w:tr>
      <w:tr w:rsidR="00303A11" w:rsidRPr="00F837E2" w14:paraId="41F8F696" w14:textId="77777777" w:rsidTr="00303A11">
        <w:trPr>
          <w:trHeight w:val="527"/>
        </w:trPr>
        <w:tc>
          <w:tcPr>
            <w:tcW w:w="3922" w:type="dxa"/>
            <w:tcBorders>
              <w:top w:val="nil"/>
              <w:left w:val="nil"/>
              <w:bottom w:val="nil"/>
              <w:right w:val="nil"/>
            </w:tcBorders>
            <w:noWrap/>
            <w:vAlign w:val="center"/>
            <w:hideMark/>
          </w:tcPr>
          <w:p w14:paraId="362BB9F2" w14:textId="77777777" w:rsidR="00303A11" w:rsidRPr="00F837E2" w:rsidRDefault="00303A11" w:rsidP="00303A11">
            <w:pPr>
              <w:spacing w:after="0" w:line="360" w:lineRule="auto"/>
              <w:jc w:val="right"/>
              <w:rPr>
                <w:rFonts w:ascii="Arial" w:eastAsia="Times New Roman" w:hAnsi="Arial" w:cs="Arial"/>
                <w:sz w:val="24"/>
                <w:szCs w:val="24"/>
              </w:rPr>
            </w:pPr>
            <w:r w:rsidRPr="00F837E2">
              <w:rPr>
                <w:rFonts w:ascii="Arial" w:eastAsia="Times New Roman" w:hAnsi="Arial" w:cs="Arial"/>
                <w:sz w:val="24"/>
                <w:szCs w:val="24"/>
              </w:rPr>
              <w:t>2021</w:t>
            </w:r>
          </w:p>
        </w:tc>
        <w:tc>
          <w:tcPr>
            <w:tcW w:w="2217" w:type="dxa"/>
            <w:tcBorders>
              <w:top w:val="nil"/>
              <w:left w:val="nil"/>
              <w:bottom w:val="nil"/>
              <w:right w:val="nil"/>
            </w:tcBorders>
            <w:noWrap/>
            <w:vAlign w:val="center"/>
            <w:hideMark/>
          </w:tcPr>
          <w:p w14:paraId="46895A2C" w14:textId="77777777" w:rsidR="00303A11" w:rsidRPr="00F837E2" w:rsidRDefault="00303A11" w:rsidP="00303A11">
            <w:pPr>
              <w:spacing w:after="0" w:line="360" w:lineRule="auto"/>
              <w:jc w:val="right"/>
              <w:rPr>
                <w:rFonts w:ascii="Arial" w:eastAsia="Times New Roman" w:hAnsi="Arial" w:cs="Arial"/>
                <w:color w:val="008000"/>
                <w:sz w:val="24"/>
                <w:szCs w:val="24"/>
              </w:rPr>
            </w:pPr>
            <w:r w:rsidRPr="00F837E2">
              <w:rPr>
                <w:rFonts w:ascii="Arial" w:eastAsia="Times New Roman" w:hAnsi="Arial" w:cs="Arial"/>
                <w:color w:val="008000"/>
                <w:sz w:val="24"/>
                <w:szCs w:val="24"/>
              </w:rPr>
              <w:t>12.6%</w:t>
            </w:r>
          </w:p>
        </w:tc>
        <w:tc>
          <w:tcPr>
            <w:tcW w:w="3069" w:type="dxa"/>
            <w:tcBorders>
              <w:top w:val="nil"/>
              <w:left w:val="nil"/>
              <w:bottom w:val="nil"/>
              <w:right w:val="nil"/>
            </w:tcBorders>
            <w:noWrap/>
            <w:vAlign w:val="center"/>
            <w:hideMark/>
          </w:tcPr>
          <w:p w14:paraId="1E551AFC" w14:textId="77777777" w:rsidR="00303A11" w:rsidRPr="00F837E2" w:rsidRDefault="00303A11" w:rsidP="00303A11">
            <w:pPr>
              <w:spacing w:after="0" w:line="360" w:lineRule="auto"/>
              <w:jc w:val="right"/>
              <w:rPr>
                <w:rFonts w:ascii="Arial" w:eastAsia="Times New Roman" w:hAnsi="Arial" w:cs="Arial"/>
                <w:color w:val="008000"/>
                <w:sz w:val="24"/>
                <w:szCs w:val="24"/>
              </w:rPr>
            </w:pPr>
            <w:r w:rsidRPr="00F837E2">
              <w:rPr>
                <w:rFonts w:ascii="Arial" w:eastAsia="Times New Roman" w:hAnsi="Arial" w:cs="Arial"/>
                <w:color w:val="008000"/>
                <w:sz w:val="24"/>
                <w:szCs w:val="24"/>
              </w:rPr>
              <w:t>7.9%</w:t>
            </w:r>
          </w:p>
        </w:tc>
      </w:tr>
      <w:tr w:rsidR="00303A11" w:rsidRPr="00F837E2" w14:paraId="05C43C63" w14:textId="77777777" w:rsidTr="00303A11">
        <w:trPr>
          <w:trHeight w:val="527"/>
        </w:trPr>
        <w:tc>
          <w:tcPr>
            <w:tcW w:w="3922" w:type="dxa"/>
            <w:tcBorders>
              <w:top w:val="nil"/>
              <w:left w:val="nil"/>
              <w:bottom w:val="nil"/>
              <w:right w:val="nil"/>
            </w:tcBorders>
            <w:noWrap/>
            <w:vAlign w:val="center"/>
            <w:hideMark/>
          </w:tcPr>
          <w:p w14:paraId="0718A573" w14:textId="77777777" w:rsidR="00303A11" w:rsidRPr="00F837E2" w:rsidRDefault="00303A11" w:rsidP="00303A11">
            <w:pPr>
              <w:spacing w:after="0" w:line="360" w:lineRule="auto"/>
              <w:jc w:val="right"/>
              <w:rPr>
                <w:rFonts w:ascii="Arial" w:eastAsia="Times New Roman" w:hAnsi="Arial" w:cs="Arial"/>
                <w:sz w:val="24"/>
                <w:szCs w:val="24"/>
              </w:rPr>
            </w:pPr>
            <w:r w:rsidRPr="00F837E2">
              <w:rPr>
                <w:rFonts w:ascii="Arial" w:eastAsia="Times New Roman" w:hAnsi="Arial" w:cs="Arial"/>
                <w:sz w:val="24"/>
                <w:szCs w:val="24"/>
              </w:rPr>
              <w:t>2022</w:t>
            </w:r>
          </w:p>
        </w:tc>
        <w:tc>
          <w:tcPr>
            <w:tcW w:w="2217" w:type="dxa"/>
            <w:tcBorders>
              <w:top w:val="nil"/>
              <w:left w:val="nil"/>
              <w:bottom w:val="nil"/>
              <w:right w:val="nil"/>
            </w:tcBorders>
            <w:noWrap/>
            <w:vAlign w:val="center"/>
            <w:hideMark/>
          </w:tcPr>
          <w:p w14:paraId="578FCECB" w14:textId="77777777" w:rsidR="00303A11" w:rsidRPr="00F837E2" w:rsidRDefault="00303A11" w:rsidP="00303A11">
            <w:pPr>
              <w:spacing w:after="0" w:line="360" w:lineRule="auto"/>
              <w:jc w:val="right"/>
              <w:rPr>
                <w:rFonts w:ascii="Arial" w:eastAsia="Times New Roman" w:hAnsi="Arial" w:cs="Arial"/>
                <w:color w:val="008000"/>
                <w:sz w:val="24"/>
                <w:szCs w:val="24"/>
              </w:rPr>
            </w:pPr>
            <w:r w:rsidRPr="00F837E2">
              <w:rPr>
                <w:rFonts w:ascii="Arial" w:eastAsia="Times New Roman" w:hAnsi="Arial" w:cs="Arial"/>
                <w:color w:val="008000"/>
                <w:sz w:val="24"/>
                <w:szCs w:val="24"/>
              </w:rPr>
              <w:t>16.7%</w:t>
            </w:r>
          </w:p>
        </w:tc>
        <w:tc>
          <w:tcPr>
            <w:tcW w:w="3069" w:type="dxa"/>
            <w:tcBorders>
              <w:top w:val="nil"/>
              <w:left w:val="nil"/>
              <w:bottom w:val="nil"/>
              <w:right w:val="nil"/>
            </w:tcBorders>
            <w:noWrap/>
            <w:vAlign w:val="center"/>
            <w:hideMark/>
          </w:tcPr>
          <w:p w14:paraId="42FD2D6B" w14:textId="77777777" w:rsidR="00303A11" w:rsidRPr="00F837E2" w:rsidRDefault="00303A11" w:rsidP="00303A11">
            <w:pPr>
              <w:spacing w:after="0" w:line="360" w:lineRule="auto"/>
              <w:jc w:val="right"/>
              <w:rPr>
                <w:rFonts w:ascii="Arial" w:eastAsia="Times New Roman" w:hAnsi="Arial" w:cs="Arial"/>
                <w:color w:val="008000"/>
                <w:sz w:val="24"/>
                <w:szCs w:val="24"/>
              </w:rPr>
            </w:pPr>
            <w:r w:rsidRPr="00F837E2">
              <w:rPr>
                <w:rFonts w:ascii="Arial" w:eastAsia="Times New Roman" w:hAnsi="Arial" w:cs="Arial"/>
                <w:color w:val="008000"/>
                <w:sz w:val="24"/>
                <w:szCs w:val="24"/>
              </w:rPr>
              <w:t>11.4%</w:t>
            </w:r>
          </w:p>
        </w:tc>
      </w:tr>
      <w:tr w:rsidR="00303A11" w:rsidRPr="00F837E2" w14:paraId="66F6DA9A" w14:textId="77777777" w:rsidTr="00303A11">
        <w:trPr>
          <w:trHeight w:val="527"/>
        </w:trPr>
        <w:tc>
          <w:tcPr>
            <w:tcW w:w="3922" w:type="dxa"/>
            <w:tcBorders>
              <w:top w:val="nil"/>
              <w:left w:val="nil"/>
              <w:bottom w:val="nil"/>
              <w:right w:val="nil"/>
            </w:tcBorders>
            <w:noWrap/>
            <w:vAlign w:val="center"/>
            <w:hideMark/>
          </w:tcPr>
          <w:p w14:paraId="544D65A0" w14:textId="77777777" w:rsidR="00303A11" w:rsidRPr="00F837E2" w:rsidRDefault="00303A11" w:rsidP="00303A11">
            <w:pPr>
              <w:spacing w:after="0" w:line="360" w:lineRule="auto"/>
              <w:jc w:val="right"/>
              <w:rPr>
                <w:rFonts w:ascii="Arial" w:eastAsia="Times New Roman" w:hAnsi="Arial" w:cs="Arial"/>
                <w:sz w:val="24"/>
                <w:szCs w:val="24"/>
              </w:rPr>
            </w:pPr>
            <w:r w:rsidRPr="00F837E2">
              <w:rPr>
                <w:rFonts w:ascii="Arial" w:eastAsia="Times New Roman" w:hAnsi="Arial" w:cs="Arial"/>
                <w:sz w:val="24"/>
                <w:szCs w:val="24"/>
              </w:rPr>
              <w:t>2023</w:t>
            </w:r>
          </w:p>
        </w:tc>
        <w:tc>
          <w:tcPr>
            <w:tcW w:w="2217" w:type="dxa"/>
            <w:tcBorders>
              <w:top w:val="nil"/>
              <w:left w:val="nil"/>
              <w:bottom w:val="nil"/>
              <w:right w:val="nil"/>
            </w:tcBorders>
            <w:noWrap/>
            <w:vAlign w:val="center"/>
            <w:hideMark/>
          </w:tcPr>
          <w:p w14:paraId="384085CA" w14:textId="77777777" w:rsidR="00303A11" w:rsidRPr="00F837E2" w:rsidRDefault="00303A11" w:rsidP="00303A11">
            <w:pPr>
              <w:spacing w:after="0" w:line="360" w:lineRule="auto"/>
              <w:jc w:val="right"/>
              <w:rPr>
                <w:rFonts w:ascii="Arial" w:eastAsia="Times New Roman" w:hAnsi="Arial" w:cs="Arial"/>
                <w:color w:val="008000"/>
                <w:sz w:val="24"/>
                <w:szCs w:val="24"/>
              </w:rPr>
            </w:pPr>
            <w:r w:rsidRPr="00F837E2">
              <w:rPr>
                <w:rFonts w:ascii="Arial" w:eastAsia="Times New Roman" w:hAnsi="Arial" w:cs="Arial"/>
                <w:color w:val="008000"/>
                <w:sz w:val="24"/>
                <w:szCs w:val="24"/>
              </w:rPr>
              <w:t>16.3%</w:t>
            </w:r>
          </w:p>
        </w:tc>
        <w:tc>
          <w:tcPr>
            <w:tcW w:w="3069" w:type="dxa"/>
            <w:tcBorders>
              <w:top w:val="nil"/>
              <w:left w:val="nil"/>
              <w:bottom w:val="nil"/>
              <w:right w:val="nil"/>
            </w:tcBorders>
            <w:noWrap/>
            <w:vAlign w:val="center"/>
            <w:hideMark/>
          </w:tcPr>
          <w:p w14:paraId="1E5967FB" w14:textId="77777777" w:rsidR="00303A11" w:rsidRPr="00F837E2" w:rsidRDefault="00303A11" w:rsidP="00303A11">
            <w:pPr>
              <w:spacing w:after="0" w:line="360" w:lineRule="auto"/>
              <w:jc w:val="right"/>
              <w:rPr>
                <w:rFonts w:ascii="Arial" w:eastAsia="Times New Roman" w:hAnsi="Arial" w:cs="Arial"/>
                <w:color w:val="008000"/>
                <w:sz w:val="24"/>
                <w:szCs w:val="24"/>
              </w:rPr>
            </w:pPr>
            <w:r w:rsidRPr="00F837E2">
              <w:rPr>
                <w:rFonts w:ascii="Arial" w:eastAsia="Times New Roman" w:hAnsi="Arial" w:cs="Arial"/>
                <w:color w:val="008000"/>
                <w:sz w:val="24"/>
                <w:szCs w:val="24"/>
              </w:rPr>
              <w:t>13.0%</w:t>
            </w:r>
          </w:p>
        </w:tc>
      </w:tr>
      <w:tr w:rsidR="00303A11" w:rsidRPr="00F837E2" w14:paraId="485FF611" w14:textId="77777777" w:rsidTr="00303A11">
        <w:trPr>
          <w:trHeight w:val="527"/>
        </w:trPr>
        <w:tc>
          <w:tcPr>
            <w:tcW w:w="3922" w:type="dxa"/>
            <w:tcBorders>
              <w:top w:val="nil"/>
              <w:left w:val="nil"/>
              <w:bottom w:val="nil"/>
              <w:right w:val="nil"/>
            </w:tcBorders>
            <w:noWrap/>
            <w:vAlign w:val="center"/>
            <w:hideMark/>
          </w:tcPr>
          <w:p w14:paraId="272D3EA8" w14:textId="77777777" w:rsidR="00303A11" w:rsidRPr="00F837E2" w:rsidRDefault="00303A11" w:rsidP="00303A11">
            <w:pPr>
              <w:spacing w:after="0" w:line="360" w:lineRule="auto"/>
              <w:jc w:val="right"/>
              <w:rPr>
                <w:rFonts w:ascii="Arial" w:eastAsia="Times New Roman" w:hAnsi="Arial" w:cs="Arial"/>
                <w:sz w:val="24"/>
                <w:szCs w:val="24"/>
              </w:rPr>
            </w:pPr>
            <w:r w:rsidRPr="00F837E2">
              <w:rPr>
                <w:rFonts w:ascii="Arial" w:eastAsia="Times New Roman" w:hAnsi="Arial" w:cs="Arial"/>
                <w:sz w:val="24"/>
                <w:szCs w:val="24"/>
              </w:rPr>
              <w:t>2024</w:t>
            </w:r>
          </w:p>
        </w:tc>
        <w:tc>
          <w:tcPr>
            <w:tcW w:w="2217" w:type="dxa"/>
            <w:tcBorders>
              <w:top w:val="nil"/>
              <w:left w:val="nil"/>
              <w:bottom w:val="nil"/>
              <w:right w:val="nil"/>
            </w:tcBorders>
            <w:noWrap/>
            <w:vAlign w:val="center"/>
            <w:hideMark/>
          </w:tcPr>
          <w:p w14:paraId="0DC97E6A" w14:textId="77777777" w:rsidR="00303A11" w:rsidRPr="00F837E2" w:rsidRDefault="00303A11" w:rsidP="00303A11">
            <w:pPr>
              <w:spacing w:after="0" w:line="360" w:lineRule="auto"/>
              <w:jc w:val="right"/>
              <w:rPr>
                <w:rFonts w:ascii="Arial" w:eastAsia="Times New Roman" w:hAnsi="Arial" w:cs="Arial"/>
                <w:color w:val="008000"/>
                <w:sz w:val="24"/>
                <w:szCs w:val="24"/>
              </w:rPr>
            </w:pPr>
            <w:r w:rsidRPr="00F837E2">
              <w:rPr>
                <w:rFonts w:ascii="Arial" w:eastAsia="Times New Roman" w:hAnsi="Arial" w:cs="Arial"/>
                <w:color w:val="008000"/>
                <w:sz w:val="24"/>
                <w:szCs w:val="24"/>
              </w:rPr>
              <w:t>15.0%</w:t>
            </w:r>
          </w:p>
        </w:tc>
        <w:tc>
          <w:tcPr>
            <w:tcW w:w="3069" w:type="dxa"/>
            <w:tcBorders>
              <w:top w:val="nil"/>
              <w:left w:val="nil"/>
              <w:bottom w:val="nil"/>
              <w:right w:val="nil"/>
            </w:tcBorders>
            <w:noWrap/>
            <w:vAlign w:val="center"/>
            <w:hideMark/>
          </w:tcPr>
          <w:p w14:paraId="060351A6" w14:textId="77777777" w:rsidR="00303A11" w:rsidRPr="00F837E2" w:rsidRDefault="00303A11" w:rsidP="00303A11">
            <w:pPr>
              <w:spacing w:after="0" w:line="360" w:lineRule="auto"/>
              <w:jc w:val="right"/>
              <w:rPr>
                <w:rFonts w:ascii="Arial" w:eastAsia="Times New Roman" w:hAnsi="Arial" w:cs="Arial"/>
                <w:color w:val="008000"/>
                <w:sz w:val="24"/>
                <w:szCs w:val="24"/>
              </w:rPr>
            </w:pPr>
            <w:r w:rsidRPr="00F837E2">
              <w:rPr>
                <w:rFonts w:ascii="Arial" w:eastAsia="Times New Roman" w:hAnsi="Arial" w:cs="Arial"/>
                <w:color w:val="008000"/>
                <w:sz w:val="24"/>
                <w:szCs w:val="24"/>
              </w:rPr>
              <w:t>9.5%</w:t>
            </w:r>
          </w:p>
        </w:tc>
      </w:tr>
      <w:tr w:rsidR="00303A11" w:rsidRPr="00F837E2" w14:paraId="602D1C49" w14:textId="77777777" w:rsidTr="00303A11">
        <w:trPr>
          <w:trHeight w:val="527"/>
        </w:trPr>
        <w:tc>
          <w:tcPr>
            <w:tcW w:w="3922" w:type="dxa"/>
            <w:tcBorders>
              <w:top w:val="nil"/>
              <w:left w:val="nil"/>
              <w:bottom w:val="nil"/>
              <w:right w:val="nil"/>
            </w:tcBorders>
            <w:noWrap/>
            <w:vAlign w:val="center"/>
            <w:hideMark/>
          </w:tcPr>
          <w:p w14:paraId="246FBCD3" w14:textId="77777777" w:rsidR="00303A11" w:rsidRPr="00F837E2" w:rsidRDefault="00303A11" w:rsidP="00303A11">
            <w:pPr>
              <w:spacing w:after="0" w:line="360" w:lineRule="auto"/>
              <w:jc w:val="right"/>
              <w:rPr>
                <w:rFonts w:ascii="Arial" w:eastAsia="Times New Roman" w:hAnsi="Arial" w:cs="Arial"/>
                <w:sz w:val="24"/>
                <w:szCs w:val="24"/>
              </w:rPr>
            </w:pPr>
            <w:r w:rsidRPr="00F837E2">
              <w:rPr>
                <w:rFonts w:ascii="Arial" w:eastAsia="Times New Roman" w:hAnsi="Arial" w:cs="Arial"/>
                <w:sz w:val="24"/>
                <w:szCs w:val="24"/>
              </w:rPr>
              <w:t>2025</w:t>
            </w:r>
          </w:p>
        </w:tc>
        <w:tc>
          <w:tcPr>
            <w:tcW w:w="2217" w:type="dxa"/>
            <w:tcBorders>
              <w:top w:val="nil"/>
              <w:left w:val="nil"/>
              <w:bottom w:val="nil"/>
              <w:right w:val="nil"/>
            </w:tcBorders>
            <w:noWrap/>
            <w:vAlign w:val="center"/>
            <w:hideMark/>
          </w:tcPr>
          <w:p w14:paraId="6DABAB8A" w14:textId="77777777" w:rsidR="00303A11" w:rsidRPr="00F837E2" w:rsidRDefault="00303A11" w:rsidP="00303A11">
            <w:pPr>
              <w:spacing w:after="0" w:line="360" w:lineRule="auto"/>
              <w:jc w:val="right"/>
              <w:rPr>
                <w:rFonts w:ascii="Arial" w:eastAsia="Times New Roman" w:hAnsi="Arial" w:cs="Arial"/>
                <w:color w:val="008000"/>
                <w:sz w:val="24"/>
                <w:szCs w:val="24"/>
              </w:rPr>
            </w:pPr>
            <w:r w:rsidRPr="00F837E2">
              <w:rPr>
                <w:rFonts w:ascii="Arial" w:eastAsia="Times New Roman" w:hAnsi="Arial" w:cs="Arial"/>
                <w:color w:val="008000"/>
                <w:sz w:val="24"/>
                <w:szCs w:val="24"/>
              </w:rPr>
              <w:t>15.8%</w:t>
            </w:r>
          </w:p>
        </w:tc>
        <w:tc>
          <w:tcPr>
            <w:tcW w:w="3069" w:type="dxa"/>
            <w:tcBorders>
              <w:top w:val="nil"/>
              <w:left w:val="nil"/>
              <w:bottom w:val="nil"/>
              <w:right w:val="nil"/>
            </w:tcBorders>
            <w:noWrap/>
            <w:vAlign w:val="center"/>
            <w:hideMark/>
          </w:tcPr>
          <w:p w14:paraId="6DE0B282" w14:textId="77777777" w:rsidR="00303A11" w:rsidRPr="00F837E2" w:rsidRDefault="00303A11" w:rsidP="00303A11">
            <w:pPr>
              <w:spacing w:after="0" w:line="360" w:lineRule="auto"/>
              <w:jc w:val="right"/>
              <w:rPr>
                <w:rFonts w:ascii="Arial" w:eastAsia="Times New Roman" w:hAnsi="Arial" w:cs="Arial"/>
                <w:color w:val="008000"/>
                <w:sz w:val="24"/>
                <w:szCs w:val="24"/>
              </w:rPr>
            </w:pPr>
            <w:r w:rsidRPr="00F837E2">
              <w:rPr>
                <w:rFonts w:ascii="Arial" w:eastAsia="Times New Roman" w:hAnsi="Arial" w:cs="Arial"/>
                <w:color w:val="008000"/>
                <w:sz w:val="24"/>
                <w:szCs w:val="24"/>
              </w:rPr>
              <w:t>9.9%</w:t>
            </w:r>
          </w:p>
        </w:tc>
      </w:tr>
    </w:tbl>
    <w:p w14:paraId="391F3F63" w14:textId="77777777" w:rsidR="00303A11" w:rsidRPr="00F837E2" w:rsidRDefault="00303A11" w:rsidP="00303A11">
      <w:pPr>
        <w:spacing w:line="360" w:lineRule="auto"/>
        <w:rPr>
          <w:rFonts w:ascii="Arial" w:hAnsi="Arial" w:cs="Arial"/>
          <w:sz w:val="24"/>
          <w:szCs w:val="24"/>
        </w:rPr>
      </w:pPr>
    </w:p>
    <w:p w14:paraId="70DE3A76" w14:textId="37EF2657" w:rsidR="00303A11" w:rsidRPr="00F837E2" w:rsidRDefault="00303A11" w:rsidP="00303A11">
      <w:pPr>
        <w:spacing w:line="360" w:lineRule="auto"/>
        <w:rPr>
          <w:rFonts w:ascii="Arial" w:hAnsi="Arial" w:cs="Arial"/>
          <w:sz w:val="24"/>
          <w:szCs w:val="24"/>
        </w:rPr>
      </w:pPr>
      <w:r w:rsidRPr="00F837E2">
        <w:rPr>
          <w:rFonts w:ascii="Arial" w:hAnsi="Arial" w:cs="Arial"/>
          <w:noProof/>
          <w:sz w:val="24"/>
          <w:szCs w:val="24"/>
        </w:rPr>
        <w:drawing>
          <wp:inline distT="0" distB="0" distL="0" distR="0" wp14:anchorId="6C9E9738" wp14:editId="122924CF">
            <wp:extent cx="5887844" cy="3490332"/>
            <wp:effectExtent l="0" t="0" r="17780" b="15240"/>
            <wp:docPr id="845931973" name="Chart 1">
              <a:extLst xmlns:a="http://schemas.openxmlformats.org/drawingml/2006/main">
                <a:ext uri="{FF2B5EF4-FFF2-40B4-BE49-F238E27FC236}">
                  <a16:creationId xmlns:a16="http://schemas.microsoft.com/office/drawing/2014/main" id="{00000000-0008-0000-0000-000003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083D306D" w14:textId="77777777" w:rsidR="00303A11" w:rsidRPr="00F837E2" w:rsidRDefault="00303A11" w:rsidP="00303A11">
      <w:pPr>
        <w:spacing w:line="360" w:lineRule="auto"/>
        <w:rPr>
          <w:rFonts w:ascii="Arial" w:hAnsi="Arial" w:cs="Arial"/>
          <w:sz w:val="24"/>
          <w:szCs w:val="24"/>
        </w:rPr>
      </w:pPr>
    </w:p>
    <w:p w14:paraId="378F4988" w14:textId="77777777" w:rsidR="00303A11" w:rsidRPr="00F837E2" w:rsidRDefault="00303A11" w:rsidP="00303A11">
      <w:pPr>
        <w:spacing w:line="360" w:lineRule="auto"/>
        <w:rPr>
          <w:rFonts w:ascii="Arial" w:hAnsi="Arial" w:cs="Arial"/>
          <w:sz w:val="24"/>
          <w:szCs w:val="24"/>
        </w:rPr>
      </w:pPr>
    </w:p>
    <w:p w14:paraId="45CE515C" w14:textId="77777777" w:rsidR="00303A11" w:rsidRPr="00F837E2" w:rsidRDefault="00303A11" w:rsidP="00303A11">
      <w:pPr>
        <w:spacing w:line="360" w:lineRule="auto"/>
        <w:rPr>
          <w:rFonts w:ascii="Arial" w:hAnsi="Arial" w:cs="Arial"/>
          <w:sz w:val="24"/>
          <w:szCs w:val="24"/>
        </w:rPr>
      </w:pPr>
    </w:p>
    <w:p w14:paraId="7608DFCC" w14:textId="77777777" w:rsidR="00303A11" w:rsidRPr="00F837E2" w:rsidRDefault="00303A11" w:rsidP="00303A11">
      <w:pPr>
        <w:spacing w:line="360" w:lineRule="auto"/>
        <w:rPr>
          <w:rFonts w:ascii="Arial" w:hAnsi="Arial" w:cs="Arial"/>
          <w:sz w:val="24"/>
          <w:szCs w:val="24"/>
        </w:rPr>
      </w:pPr>
    </w:p>
    <w:p w14:paraId="08E2F5E4" w14:textId="77777777" w:rsidR="00303A11" w:rsidRPr="00F837E2" w:rsidRDefault="00303A11" w:rsidP="00303A11">
      <w:pPr>
        <w:spacing w:line="360" w:lineRule="auto"/>
        <w:rPr>
          <w:rFonts w:ascii="Arial" w:hAnsi="Arial" w:cs="Arial"/>
          <w:sz w:val="24"/>
          <w:szCs w:val="24"/>
        </w:rPr>
      </w:pPr>
    </w:p>
    <w:p w14:paraId="424C3A59" w14:textId="77777777" w:rsidR="00303A11" w:rsidRPr="00F837E2" w:rsidRDefault="00303A11" w:rsidP="00303A11">
      <w:pPr>
        <w:spacing w:line="360" w:lineRule="auto"/>
        <w:rPr>
          <w:rFonts w:ascii="Arial" w:hAnsi="Arial" w:cs="Arial"/>
          <w:sz w:val="24"/>
          <w:szCs w:val="24"/>
        </w:rPr>
      </w:pPr>
    </w:p>
    <w:p w14:paraId="6FBBD6AA" w14:textId="77777777" w:rsidR="00303A11" w:rsidRPr="00F837E2" w:rsidRDefault="00303A11" w:rsidP="00303A11">
      <w:pPr>
        <w:spacing w:line="360" w:lineRule="auto"/>
        <w:rPr>
          <w:rFonts w:ascii="Arial" w:hAnsi="Arial" w:cs="Arial"/>
          <w:sz w:val="24"/>
          <w:szCs w:val="24"/>
        </w:rPr>
      </w:pPr>
    </w:p>
    <w:tbl>
      <w:tblPr>
        <w:tblW w:w="9600" w:type="dxa"/>
        <w:tblLook w:val="04A0" w:firstRow="1" w:lastRow="0" w:firstColumn="1" w:lastColumn="0" w:noHBand="0" w:noVBand="1"/>
      </w:tblPr>
      <w:tblGrid>
        <w:gridCol w:w="2760"/>
        <w:gridCol w:w="1560"/>
        <w:gridCol w:w="2160"/>
        <w:gridCol w:w="1560"/>
        <w:gridCol w:w="1560"/>
      </w:tblGrid>
      <w:tr w:rsidR="00303A11" w:rsidRPr="00F837E2" w14:paraId="6AAE6821" w14:textId="77777777" w:rsidTr="00303A11">
        <w:trPr>
          <w:trHeight w:val="351"/>
        </w:trPr>
        <w:tc>
          <w:tcPr>
            <w:tcW w:w="2760" w:type="dxa"/>
            <w:tcBorders>
              <w:top w:val="nil"/>
              <w:left w:val="nil"/>
              <w:bottom w:val="nil"/>
              <w:right w:val="nil"/>
            </w:tcBorders>
            <w:shd w:val="clear" w:color="000000" w:fill="5B9BD5"/>
            <w:vAlign w:val="center"/>
            <w:hideMark/>
          </w:tcPr>
          <w:p w14:paraId="7A4BB55D" w14:textId="77777777" w:rsidR="00303A11" w:rsidRPr="00F837E2" w:rsidRDefault="00303A11" w:rsidP="00303A11">
            <w:pPr>
              <w:spacing w:after="0" w:line="360" w:lineRule="auto"/>
              <w:jc w:val="center"/>
              <w:rPr>
                <w:rFonts w:ascii="Arial" w:eastAsia="Times New Roman" w:hAnsi="Arial" w:cs="Arial"/>
                <w:b/>
                <w:bCs/>
                <w:color w:val="FFFFFF"/>
                <w:sz w:val="24"/>
                <w:szCs w:val="24"/>
              </w:rPr>
            </w:pPr>
            <w:r w:rsidRPr="00F837E2">
              <w:rPr>
                <w:rFonts w:ascii="Arial" w:eastAsia="Times New Roman" w:hAnsi="Arial" w:cs="Arial"/>
                <w:b/>
                <w:bCs/>
                <w:color w:val="FFFFFF"/>
                <w:sz w:val="24"/>
                <w:szCs w:val="24"/>
              </w:rPr>
              <w:lastRenderedPageBreak/>
              <w:t>Year</w:t>
            </w:r>
          </w:p>
        </w:tc>
        <w:tc>
          <w:tcPr>
            <w:tcW w:w="1560" w:type="dxa"/>
            <w:tcBorders>
              <w:top w:val="nil"/>
              <w:left w:val="nil"/>
              <w:bottom w:val="nil"/>
              <w:right w:val="nil"/>
            </w:tcBorders>
            <w:shd w:val="clear" w:color="000000" w:fill="5B9BD5"/>
            <w:vAlign w:val="center"/>
            <w:hideMark/>
          </w:tcPr>
          <w:p w14:paraId="4579BD5A" w14:textId="77777777" w:rsidR="00303A11" w:rsidRPr="00F837E2" w:rsidRDefault="00303A11" w:rsidP="00303A11">
            <w:pPr>
              <w:spacing w:after="0" w:line="360" w:lineRule="auto"/>
              <w:jc w:val="center"/>
              <w:rPr>
                <w:rFonts w:ascii="Arial" w:eastAsia="Times New Roman" w:hAnsi="Arial" w:cs="Arial"/>
                <w:b/>
                <w:bCs/>
                <w:color w:val="FFFFFF"/>
                <w:sz w:val="24"/>
                <w:szCs w:val="24"/>
              </w:rPr>
            </w:pPr>
            <w:r w:rsidRPr="00F837E2">
              <w:rPr>
                <w:rFonts w:ascii="Arial" w:eastAsia="Times New Roman" w:hAnsi="Arial" w:cs="Arial"/>
                <w:b/>
                <w:bCs/>
                <w:color w:val="FFFFFF"/>
                <w:sz w:val="24"/>
                <w:szCs w:val="24"/>
              </w:rPr>
              <w:t>Marriott current</w:t>
            </w:r>
          </w:p>
        </w:tc>
        <w:tc>
          <w:tcPr>
            <w:tcW w:w="2160" w:type="dxa"/>
            <w:tcBorders>
              <w:top w:val="nil"/>
              <w:left w:val="nil"/>
              <w:bottom w:val="nil"/>
              <w:right w:val="nil"/>
            </w:tcBorders>
            <w:shd w:val="clear" w:color="000000" w:fill="5B9BD5"/>
            <w:vAlign w:val="center"/>
            <w:hideMark/>
          </w:tcPr>
          <w:p w14:paraId="6A61F63E" w14:textId="77777777" w:rsidR="00303A11" w:rsidRPr="00F837E2" w:rsidRDefault="00303A11" w:rsidP="00303A11">
            <w:pPr>
              <w:spacing w:after="0" w:line="360" w:lineRule="auto"/>
              <w:jc w:val="center"/>
              <w:rPr>
                <w:rFonts w:ascii="Arial" w:eastAsia="Times New Roman" w:hAnsi="Arial" w:cs="Arial"/>
                <w:b/>
                <w:bCs/>
                <w:color w:val="FFFFFF"/>
                <w:sz w:val="24"/>
                <w:szCs w:val="24"/>
              </w:rPr>
            </w:pPr>
            <w:r w:rsidRPr="00F837E2">
              <w:rPr>
                <w:rFonts w:ascii="Arial" w:eastAsia="Times New Roman" w:hAnsi="Arial" w:cs="Arial"/>
                <w:b/>
                <w:bCs/>
                <w:color w:val="FFFFFF"/>
                <w:sz w:val="24"/>
                <w:szCs w:val="24"/>
              </w:rPr>
              <w:t>Industry current</w:t>
            </w:r>
          </w:p>
        </w:tc>
        <w:tc>
          <w:tcPr>
            <w:tcW w:w="1560" w:type="dxa"/>
            <w:tcBorders>
              <w:top w:val="nil"/>
              <w:left w:val="nil"/>
              <w:bottom w:val="nil"/>
              <w:right w:val="nil"/>
            </w:tcBorders>
            <w:shd w:val="clear" w:color="000000" w:fill="5B9BD5"/>
            <w:vAlign w:val="center"/>
            <w:hideMark/>
          </w:tcPr>
          <w:p w14:paraId="4B308C7A" w14:textId="77777777" w:rsidR="00303A11" w:rsidRPr="00F837E2" w:rsidRDefault="00303A11" w:rsidP="00303A11">
            <w:pPr>
              <w:spacing w:after="0" w:line="360" w:lineRule="auto"/>
              <w:jc w:val="center"/>
              <w:rPr>
                <w:rFonts w:ascii="Arial" w:eastAsia="Times New Roman" w:hAnsi="Arial" w:cs="Arial"/>
                <w:b/>
                <w:bCs/>
                <w:color w:val="FFFFFF"/>
                <w:sz w:val="24"/>
                <w:szCs w:val="24"/>
              </w:rPr>
            </w:pPr>
            <w:r w:rsidRPr="00F837E2">
              <w:rPr>
                <w:rFonts w:ascii="Arial" w:eastAsia="Times New Roman" w:hAnsi="Arial" w:cs="Arial"/>
                <w:b/>
                <w:bCs/>
                <w:color w:val="FFFFFF"/>
                <w:sz w:val="24"/>
                <w:szCs w:val="24"/>
              </w:rPr>
              <w:t>Marriott quick</w:t>
            </w:r>
          </w:p>
        </w:tc>
        <w:tc>
          <w:tcPr>
            <w:tcW w:w="1560" w:type="dxa"/>
            <w:tcBorders>
              <w:top w:val="nil"/>
              <w:left w:val="nil"/>
              <w:bottom w:val="nil"/>
              <w:right w:val="nil"/>
            </w:tcBorders>
            <w:shd w:val="clear" w:color="000000" w:fill="5B9BD5"/>
            <w:vAlign w:val="center"/>
            <w:hideMark/>
          </w:tcPr>
          <w:p w14:paraId="208A0A00" w14:textId="77777777" w:rsidR="00303A11" w:rsidRPr="00F837E2" w:rsidRDefault="00303A11" w:rsidP="00303A11">
            <w:pPr>
              <w:spacing w:after="0" w:line="360" w:lineRule="auto"/>
              <w:jc w:val="center"/>
              <w:rPr>
                <w:rFonts w:ascii="Arial" w:eastAsia="Times New Roman" w:hAnsi="Arial" w:cs="Arial"/>
                <w:b/>
                <w:bCs/>
                <w:color w:val="FFFFFF"/>
                <w:sz w:val="24"/>
                <w:szCs w:val="24"/>
              </w:rPr>
            </w:pPr>
            <w:r w:rsidRPr="00F837E2">
              <w:rPr>
                <w:rFonts w:ascii="Arial" w:eastAsia="Times New Roman" w:hAnsi="Arial" w:cs="Arial"/>
                <w:b/>
                <w:bCs/>
                <w:color w:val="FFFFFF"/>
                <w:sz w:val="24"/>
                <w:szCs w:val="24"/>
              </w:rPr>
              <w:t>Industry quick</w:t>
            </w:r>
          </w:p>
        </w:tc>
      </w:tr>
      <w:tr w:rsidR="00303A11" w:rsidRPr="00F837E2" w14:paraId="13DD679F" w14:textId="77777777" w:rsidTr="00303A11">
        <w:trPr>
          <w:trHeight w:val="276"/>
        </w:trPr>
        <w:tc>
          <w:tcPr>
            <w:tcW w:w="2760" w:type="dxa"/>
            <w:tcBorders>
              <w:top w:val="nil"/>
              <w:left w:val="nil"/>
              <w:bottom w:val="nil"/>
              <w:right w:val="nil"/>
            </w:tcBorders>
            <w:noWrap/>
            <w:vAlign w:val="center"/>
            <w:hideMark/>
          </w:tcPr>
          <w:p w14:paraId="3FDDBACA" w14:textId="77777777" w:rsidR="00303A11" w:rsidRPr="00F837E2" w:rsidRDefault="00303A11" w:rsidP="00303A11">
            <w:pPr>
              <w:spacing w:after="0" w:line="360" w:lineRule="auto"/>
              <w:jc w:val="right"/>
              <w:rPr>
                <w:rFonts w:ascii="Arial" w:eastAsia="Times New Roman" w:hAnsi="Arial" w:cs="Arial"/>
                <w:sz w:val="24"/>
                <w:szCs w:val="24"/>
              </w:rPr>
            </w:pPr>
            <w:r w:rsidRPr="00F837E2">
              <w:rPr>
                <w:rFonts w:ascii="Arial" w:eastAsia="Times New Roman" w:hAnsi="Arial" w:cs="Arial"/>
                <w:sz w:val="24"/>
                <w:szCs w:val="24"/>
              </w:rPr>
              <w:t>2021</w:t>
            </w:r>
          </w:p>
        </w:tc>
        <w:tc>
          <w:tcPr>
            <w:tcW w:w="1560" w:type="dxa"/>
            <w:tcBorders>
              <w:top w:val="nil"/>
              <w:left w:val="nil"/>
              <w:bottom w:val="nil"/>
              <w:right w:val="nil"/>
            </w:tcBorders>
            <w:noWrap/>
            <w:vAlign w:val="center"/>
            <w:hideMark/>
          </w:tcPr>
          <w:p w14:paraId="3853BA70" w14:textId="77777777" w:rsidR="00303A11" w:rsidRPr="00F837E2" w:rsidRDefault="00303A11" w:rsidP="00303A11">
            <w:pPr>
              <w:spacing w:after="0" w:line="360" w:lineRule="auto"/>
              <w:jc w:val="right"/>
              <w:rPr>
                <w:rFonts w:ascii="Arial" w:eastAsia="Times New Roman" w:hAnsi="Arial" w:cs="Arial"/>
                <w:color w:val="008000"/>
                <w:sz w:val="24"/>
                <w:szCs w:val="24"/>
              </w:rPr>
            </w:pPr>
            <w:r w:rsidRPr="00F837E2">
              <w:rPr>
                <w:rFonts w:ascii="Arial" w:eastAsia="Times New Roman" w:hAnsi="Arial" w:cs="Arial"/>
                <w:color w:val="008000"/>
                <w:sz w:val="24"/>
                <w:szCs w:val="24"/>
              </w:rPr>
              <w:t>0.57x</w:t>
            </w:r>
          </w:p>
        </w:tc>
        <w:tc>
          <w:tcPr>
            <w:tcW w:w="2160" w:type="dxa"/>
            <w:tcBorders>
              <w:top w:val="nil"/>
              <w:left w:val="nil"/>
              <w:bottom w:val="nil"/>
              <w:right w:val="nil"/>
            </w:tcBorders>
            <w:noWrap/>
            <w:vAlign w:val="center"/>
            <w:hideMark/>
          </w:tcPr>
          <w:p w14:paraId="7F243978" w14:textId="77777777" w:rsidR="00303A11" w:rsidRPr="00F837E2" w:rsidRDefault="00303A11" w:rsidP="00303A11">
            <w:pPr>
              <w:spacing w:after="0" w:line="360" w:lineRule="auto"/>
              <w:jc w:val="right"/>
              <w:rPr>
                <w:rFonts w:ascii="Arial" w:eastAsia="Times New Roman" w:hAnsi="Arial" w:cs="Arial"/>
                <w:color w:val="0000FF"/>
                <w:sz w:val="24"/>
                <w:szCs w:val="24"/>
              </w:rPr>
            </w:pPr>
            <w:r w:rsidRPr="00F837E2">
              <w:rPr>
                <w:rFonts w:ascii="Arial" w:eastAsia="Times New Roman" w:hAnsi="Arial" w:cs="Arial"/>
                <w:color w:val="0000FF"/>
                <w:sz w:val="24"/>
                <w:szCs w:val="24"/>
              </w:rPr>
              <w:t>1.92x</w:t>
            </w:r>
          </w:p>
        </w:tc>
        <w:tc>
          <w:tcPr>
            <w:tcW w:w="1560" w:type="dxa"/>
            <w:tcBorders>
              <w:top w:val="nil"/>
              <w:left w:val="nil"/>
              <w:bottom w:val="nil"/>
              <w:right w:val="nil"/>
            </w:tcBorders>
            <w:noWrap/>
            <w:vAlign w:val="center"/>
            <w:hideMark/>
          </w:tcPr>
          <w:p w14:paraId="2BBDA82E" w14:textId="77777777" w:rsidR="00303A11" w:rsidRPr="00F837E2" w:rsidRDefault="00303A11" w:rsidP="00303A11">
            <w:pPr>
              <w:spacing w:after="0" w:line="360" w:lineRule="auto"/>
              <w:jc w:val="right"/>
              <w:rPr>
                <w:rFonts w:ascii="Arial" w:eastAsia="Times New Roman" w:hAnsi="Arial" w:cs="Arial"/>
                <w:color w:val="008000"/>
                <w:sz w:val="24"/>
                <w:szCs w:val="24"/>
              </w:rPr>
            </w:pPr>
            <w:r w:rsidRPr="00F837E2">
              <w:rPr>
                <w:rFonts w:ascii="Arial" w:eastAsia="Times New Roman" w:hAnsi="Arial" w:cs="Arial"/>
                <w:color w:val="008000"/>
                <w:sz w:val="24"/>
                <w:szCs w:val="24"/>
              </w:rPr>
              <w:t>0.53x</w:t>
            </w:r>
          </w:p>
        </w:tc>
        <w:tc>
          <w:tcPr>
            <w:tcW w:w="1560" w:type="dxa"/>
            <w:tcBorders>
              <w:top w:val="nil"/>
              <w:left w:val="nil"/>
              <w:bottom w:val="nil"/>
              <w:right w:val="nil"/>
            </w:tcBorders>
            <w:noWrap/>
            <w:vAlign w:val="center"/>
            <w:hideMark/>
          </w:tcPr>
          <w:p w14:paraId="25E9C2A8" w14:textId="77777777" w:rsidR="00303A11" w:rsidRPr="00F837E2" w:rsidRDefault="00303A11" w:rsidP="00303A11">
            <w:pPr>
              <w:spacing w:after="0" w:line="360" w:lineRule="auto"/>
              <w:jc w:val="right"/>
              <w:rPr>
                <w:rFonts w:ascii="Arial" w:eastAsia="Times New Roman" w:hAnsi="Arial" w:cs="Arial"/>
                <w:color w:val="0000FF"/>
                <w:sz w:val="24"/>
                <w:szCs w:val="24"/>
              </w:rPr>
            </w:pPr>
            <w:r w:rsidRPr="00F837E2">
              <w:rPr>
                <w:rFonts w:ascii="Arial" w:eastAsia="Times New Roman" w:hAnsi="Arial" w:cs="Arial"/>
                <w:color w:val="0000FF"/>
                <w:sz w:val="24"/>
                <w:szCs w:val="24"/>
              </w:rPr>
              <w:t>1.42x</w:t>
            </w:r>
          </w:p>
        </w:tc>
      </w:tr>
      <w:tr w:rsidR="00303A11" w:rsidRPr="00F837E2" w14:paraId="36B3D9F9" w14:textId="77777777" w:rsidTr="00303A11">
        <w:trPr>
          <w:trHeight w:val="276"/>
        </w:trPr>
        <w:tc>
          <w:tcPr>
            <w:tcW w:w="2760" w:type="dxa"/>
            <w:tcBorders>
              <w:top w:val="nil"/>
              <w:left w:val="nil"/>
              <w:bottom w:val="nil"/>
              <w:right w:val="nil"/>
            </w:tcBorders>
            <w:noWrap/>
            <w:vAlign w:val="center"/>
            <w:hideMark/>
          </w:tcPr>
          <w:p w14:paraId="2FDD0845" w14:textId="77777777" w:rsidR="00303A11" w:rsidRPr="00F837E2" w:rsidRDefault="00303A11" w:rsidP="00303A11">
            <w:pPr>
              <w:spacing w:after="0" w:line="360" w:lineRule="auto"/>
              <w:jc w:val="right"/>
              <w:rPr>
                <w:rFonts w:ascii="Arial" w:eastAsia="Times New Roman" w:hAnsi="Arial" w:cs="Arial"/>
                <w:sz w:val="24"/>
                <w:szCs w:val="24"/>
              </w:rPr>
            </w:pPr>
            <w:r w:rsidRPr="00F837E2">
              <w:rPr>
                <w:rFonts w:ascii="Arial" w:eastAsia="Times New Roman" w:hAnsi="Arial" w:cs="Arial"/>
                <w:sz w:val="24"/>
                <w:szCs w:val="24"/>
              </w:rPr>
              <w:t>2022</w:t>
            </w:r>
          </w:p>
        </w:tc>
        <w:tc>
          <w:tcPr>
            <w:tcW w:w="1560" w:type="dxa"/>
            <w:tcBorders>
              <w:top w:val="nil"/>
              <w:left w:val="nil"/>
              <w:bottom w:val="nil"/>
              <w:right w:val="nil"/>
            </w:tcBorders>
            <w:noWrap/>
            <w:vAlign w:val="center"/>
            <w:hideMark/>
          </w:tcPr>
          <w:p w14:paraId="4D92F9CF" w14:textId="77777777" w:rsidR="00303A11" w:rsidRPr="00F837E2" w:rsidRDefault="00303A11" w:rsidP="00303A11">
            <w:pPr>
              <w:spacing w:after="0" w:line="360" w:lineRule="auto"/>
              <w:jc w:val="right"/>
              <w:rPr>
                <w:rFonts w:ascii="Arial" w:eastAsia="Times New Roman" w:hAnsi="Arial" w:cs="Arial"/>
                <w:color w:val="008000"/>
                <w:sz w:val="24"/>
                <w:szCs w:val="24"/>
              </w:rPr>
            </w:pPr>
            <w:r w:rsidRPr="00F837E2">
              <w:rPr>
                <w:rFonts w:ascii="Arial" w:eastAsia="Times New Roman" w:hAnsi="Arial" w:cs="Arial"/>
                <w:color w:val="008000"/>
                <w:sz w:val="24"/>
                <w:szCs w:val="24"/>
              </w:rPr>
              <w:t>0.45x</w:t>
            </w:r>
          </w:p>
        </w:tc>
        <w:tc>
          <w:tcPr>
            <w:tcW w:w="2160" w:type="dxa"/>
            <w:tcBorders>
              <w:top w:val="nil"/>
              <w:left w:val="nil"/>
              <w:bottom w:val="nil"/>
              <w:right w:val="nil"/>
            </w:tcBorders>
            <w:noWrap/>
            <w:vAlign w:val="center"/>
            <w:hideMark/>
          </w:tcPr>
          <w:p w14:paraId="1A8663A0" w14:textId="77777777" w:rsidR="00303A11" w:rsidRPr="00F837E2" w:rsidRDefault="00303A11" w:rsidP="00303A11">
            <w:pPr>
              <w:spacing w:after="0" w:line="360" w:lineRule="auto"/>
              <w:jc w:val="right"/>
              <w:rPr>
                <w:rFonts w:ascii="Arial" w:eastAsia="Times New Roman" w:hAnsi="Arial" w:cs="Arial"/>
                <w:color w:val="0000FF"/>
                <w:sz w:val="24"/>
                <w:szCs w:val="24"/>
              </w:rPr>
            </w:pPr>
            <w:r w:rsidRPr="00F837E2">
              <w:rPr>
                <w:rFonts w:ascii="Arial" w:eastAsia="Times New Roman" w:hAnsi="Arial" w:cs="Arial"/>
                <w:color w:val="0000FF"/>
                <w:sz w:val="24"/>
                <w:szCs w:val="24"/>
              </w:rPr>
              <w:t>1.47x</w:t>
            </w:r>
          </w:p>
        </w:tc>
        <w:tc>
          <w:tcPr>
            <w:tcW w:w="1560" w:type="dxa"/>
            <w:tcBorders>
              <w:top w:val="nil"/>
              <w:left w:val="nil"/>
              <w:bottom w:val="nil"/>
              <w:right w:val="nil"/>
            </w:tcBorders>
            <w:noWrap/>
            <w:vAlign w:val="center"/>
            <w:hideMark/>
          </w:tcPr>
          <w:p w14:paraId="30A8BA68" w14:textId="77777777" w:rsidR="00303A11" w:rsidRPr="00F837E2" w:rsidRDefault="00303A11" w:rsidP="00303A11">
            <w:pPr>
              <w:spacing w:after="0" w:line="360" w:lineRule="auto"/>
              <w:jc w:val="right"/>
              <w:rPr>
                <w:rFonts w:ascii="Arial" w:eastAsia="Times New Roman" w:hAnsi="Arial" w:cs="Arial"/>
                <w:color w:val="008000"/>
                <w:sz w:val="24"/>
                <w:szCs w:val="24"/>
              </w:rPr>
            </w:pPr>
            <w:r w:rsidRPr="00F837E2">
              <w:rPr>
                <w:rFonts w:ascii="Arial" w:eastAsia="Times New Roman" w:hAnsi="Arial" w:cs="Arial"/>
                <w:color w:val="008000"/>
                <w:sz w:val="24"/>
                <w:szCs w:val="24"/>
              </w:rPr>
              <w:t>0.42x</w:t>
            </w:r>
          </w:p>
        </w:tc>
        <w:tc>
          <w:tcPr>
            <w:tcW w:w="1560" w:type="dxa"/>
            <w:tcBorders>
              <w:top w:val="nil"/>
              <w:left w:val="nil"/>
              <w:bottom w:val="nil"/>
              <w:right w:val="nil"/>
            </w:tcBorders>
            <w:noWrap/>
            <w:vAlign w:val="center"/>
            <w:hideMark/>
          </w:tcPr>
          <w:p w14:paraId="5403F3FC" w14:textId="77777777" w:rsidR="00303A11" w:rsidRPr="00F837E2" w:rsidRDefault="00303A11" w:rsidP="00303A11">
            <w:pPr>
              <w:spacing w:after="0" w:line="360" w:lineRule="auto"/>
              <w:jc w:val="right"/>
              <w:rPr>
                <w:rFonts w:ascii="Arial" w:eastAsia="Times New Roman" w:hAnsi="Arial" w:cs="Arial"/>
                <w:color w:val="0000FF"/>
                <w:sz w:val="24"/>
                <w:szCs w:val="24"/>
              </w:rPr>
            </w:pPr>
            <w:r w:rsidRPr="00F837E2">
              <w:rPr>
                <w:rFonts w:ascii="Arial" w:eastAsia="Times New Roman" w:hAnsi="Arial" w:cs="Arial"/>
                <w:color w:val="0000FF"/>
                <w:sz w:val="24"/>
                <w:szCs w:val="24"/>
              </w:rPr>
              <w:t>0.85x</w:t>
            </w:r>
          </w:p>
        </w:tc>
      </w:tr>
      <w:tr w:rsidR="00303A11" w:rsidRPr="00F837E2" w14:paraId="641F7071" w14:textId="77777777" w:rsidTr="00303A11">
        <w:trPr>
          <w:trHeight w:val="276"/>
        </w:trPr>
        <w:tc>
          <w:tcPr>
            <w:tcW w:w="2760" w:type="dxa"/>
            <w:tcBorders>
              <w:top w:val="nil"/>
              <w:left w:val="nil"/>
              <w:bottom w:val="nil"/>
              <w:right w:val="nil"/>
            </w:tcBorders>
            <w:noWrap/>
            <w:vAlign w:val="center"/>
            <w:hideMark/>
          </w:tcPr>
          <w:p w14:paraId="2CBDED9D" w14:textId="77777777" w:rsidR="00303A11" w:rsidRPr="00F837E2" w:rsidRDefault="00303A11" w:rsidP="00303A11">
            <w:pPr>
              <w:spacing w:after="0" w:line="360" w:lineRule="auto"/>
              <w:jc w:val="right"/>
              <w:rPr>
                <w:rFonts w:ascii="Arial" w:eastAsia="Times New Roman" w:hAnsi="Arial" w:cs="Arial"/>
                <w:sz w:val="24"/>
                <w:szCs w:val="24"/>
              </w:rPr>
            </w:pPr>
            <w:r w:rsidRPr="00F837E2">
              <w:rPr>
                <w:rFonts w:ascii="Arial" w:eastAsia="Times New Roman" w:hAnsi="Arial" w:cs="Arial"/>
                <w:sz w:val="24"/>
                <w:szCs w:val="24"/>
              </w:rPr>
              <w:t>2023</w:t>
            </w:r>
          </w:p>
        </w:tc>
        <w:tc>
          <w:tcPr>
            <w:tcW w:w="1560" w:type="dxa"/>
            <w:tcBorders>
              <w:top w:val="nil"/>
              <w:left w:val="nil"/>
              <w:bottom w:val="nil"/>
              <w:right w:val="nil"/>
            </w:tcBorders>
            <w:noWrap/>
            <w:vAlign w:val="center"/>
            <w:hideMark/>
          </w:tcPr>
          <w:p w14:paraId="0D5176CE" w14:textId="77777777" w:rsidR="00303A11" w:rsidRPr="00F837E2" w:rsidRDefault="00303A11" w:rsidP="00303A11">
            <w:pPr>
              <w:spacing w:after="0" w:line="360" w:lineRule="auto"/>
              <w:jc w:val="right"/>
              <w:rPr>
                <w:rFonts w:ascii="Arial" w:eastAsia="Times New Roman" w:hAnsi="Arial" w:cs="Arial"/>
                <w:color w:val="008000"/>
                <w:sz w:val="24"/>
                <w:szCs w:val="24"/>
              </w:rPr>
            </w:pPr>
            <w:r w:rsidRPr="00F837E2">
              <w:rPr>
                <w:rFonts w:ascii="Arial" w:eastAsia="Times New Roman" w:hAnsi="Arial" w:cs="Arial"/>
                <w:color w:val="008000"/>
                <w:sz w:val="24"/>
                <w:szCs w:val="24"/>
              </w:rPr>
              <w:t>0.43x</w:t>
            </w:r>
          </w:p>
        </w:tc>
        <w:tc>
          <w:tcPr>
            <w:tcW w:w="2160" w:type="dxa"/>
            <w:tcBorders>
              <w:top w:val="nil"/>
              <w:left w:val="nil"/>
              <w:bottom w:val="nil"/>
              <w:right w:val="nil"/>
            </w:tcBorders>
            <w:noWrap/>
            <w:vAlign w:val="center"/>
            <w:hideMark/>
          </w:tcPr>
          <w:p w14:paraId="09477D5A" w14:textId="77777777" w:rsidR="00303A11" w:rsidRPr="00F837E2" w:rsidRDefault="00303A11" w:rsidP="00303A11">
            <w:pPr>
              <w:spacing w:after="0" w:line="360" w:lineRule="auto"/>
              <w:jc w:val="right"/>
              <w:rPr>
                <w:rFonts w:ascii="Arial" w:eastAsia="Times New Roman" w:hAnsi="Arial" w:cs="Arial"/>
                <w:color w:val="0000FF"/>
                <w:sz w:val="24"/>
                <w:szCs w:val="24"/>
              </w:rPr>
            </w:pPr>
            <w:r w:rsidRPr="00F837E2">
              <w:rPr>
                <w:rFonts w:ascii="Arial" w:eastAsia="Times New Roman" w:hAnsi="Arial" w:cs="Arial"/>
                <w:color w:val="0000FF"/>
                <w:sz w:val="24"/>
                <w:szCs w:val="24"/>
              </w:rPr>
              <w:t>0.89x</w:t>
            </w:r>
          </w:p>
        </w:tc>
        <w:tc>
          <w:tcPr>
            <w:tcW w:w="1560" w:type="dxa"/>
            <w:tcBorders>
              <w:top w:val="nil"/>
              <w:left w:val="nil"/>
              <w:bottom w:val="nil"/>
              <w:right w:val="nil"/>
            </w:tcBorders>
            <w:noWrap/>
            <w:vAlign w:val="center"/>
            <w:hideMark/>
          </w:tcPr>
          <w:p w14:paraId="16A0A83C" w14:textId="77777777" w:rsidR="00303A11" w:rsidRPr="00F837E2" w:rsidRDefault="00303A11" w:rsidP="00303A11">
            <w:pPr>
              <w:spacing w:after="0" w:line="360" w:lineRule="auto"/>
              <w:jc w:val="right"/>
              <w:rPr>
                <w:rFonts w:ascii="Arial" w:eastAsia="Times New Roman" w:hAnsi="Arial" w:cs="Arial"/>
                <w:color w:val="008000"/>
                <w:sz w:val="24"/>
                <w:szCs w:val="24"/>
              </w:rPr>
            </w:pPr>
            <w:r w:rsidRPr="00F837E2">
              <w:rPr>
                <w:rFonts w:ascii="Arial" w:eastAsia="Times New Roman" w:hAnsi="Arial" w:cs="Arial"/>
                <w:color w:val="008000"/>
                <w:sz w:val="24"/>
                <w:szCs w:val="24"/>
              </w:rPr>
              <w:t>0.39x</w:t>
            </w:r>
          </w:p>
        </w:tc>
        <w:tc>
          <w:tcPr>
            <w:tcW w:w="1560" w:type="dxa"/>
            <w:tcBorders>
              <w:top w:val="nil"/>
              <w:left w:val="nil"/>
              <w:bottom w:val="nil"/>
              <w:right w:val="nil"/>
            </w:tcBorders>
            <w:noWrap/>
            <w:vAlign w:val="center"/>
            <w:hideMark/>
          </w:tcPr>
          <w:p w14:paraId="2C62C4AA" w14:textId="77777777" w:rsidR="00303A11" w:rsidRPr="00F837E2" w:rsidRDefault="00303A11" w:rsidP="00303A11">
            <w:pPr>
              <w:spacing w:after="0" w:line="360" w:lineRule="auto"/>
              <w:jc w:val="right"/>
              <w:rPr>
                <w:rFonts w:ascii="Arial" w:eastAsia="Times New Roman" w:hAnsi="Arial" w:cs="Arial"/>
                <w:color w:val="0000FF"/>
                <w:sz w:val="24"/>
                <w:szCs w:val="24"/>
              </w:rPr>
            </w:pPr>
            <w:r w:rsidRPr="00F837E2">
              <w:rPr>
                <w:rFonts w:ascii="Arial" w:eastAsia="Times New Roman" w:hAnsi="Arial" w:cs="Arial"/>
                <w:color w:val="0000FF"/>
                <w:sz w:val="24"/>
                <w:szCs w:val="24"/>
              </w:rPr>
              <w:t>0.72x</w:t>
            </w:r>
          </w:p>
        </w:tc>
      </w:tr>
      <w:tr w:rsidR="00303A11" w:rsidRPr="00F837E2" w14:paraId="5F84A675" w14:textId="77777777" w:rsidTr="00303A11">
        <w:trPr>
          <w:trHeight w:val="276"/>
        </w:trPr>
        <w:tc>
          <w:tcPr>
            <w:tcW w:w="2760" w:type="dxa"/>
            <w:tcBorders>
              <w:top w:val="nil"/>
              <w:left w:val="nil"/>
              <w:bottom w:val="nil"/>
              <w:right w:val="nil"/>
            </w:tcBorders>
            <w:noWrap/>
            <w:vAlign w:val="center"/>
            <w:hideMark/>
          </w:tcPr>
          <w:p w14:paraId="25299238" w14:textId="77777777" w:rsidR="00303A11" w:rsidRPr="00F837E2" w:rsidRDefault="00303A11" w:rsidP="00303A11">
            <w:pPr>
              <w:spacing w:after="0" w:line="360" w:lineRule="auto"/>
              <w:jc w:val="right"/>
              <w:rPr>
                <w:rFonts w:ascii="Arial" w:eastAsia="Times New Roman" w:hAnsi="Arial" w:cs="Arial"/>
                <w:sz w:val="24"/>
                <w:szCs w:val="24"/>
              </w:rPr>
            </w:pPr>
            <w:r w:rsidRPr="00F837E2">
              <w:rPr>
                <w:rFonts w:ascii="Arial" w:eastAsia="Times New Roman" w:hAnsi="Arial" w:cs="Arial"/>
                <w:sz w:val="24"/>
                <w:szCs w:val="24"/>
              </w:rPr>
              <w:t>2024</w:t>
            </w:r>
          </w:p>
        </w:tc>
        <w:tc>
          <w:tcPr>
            <w:tcW w:w="1560" w:type="dxa"/>
            <w:tcBorders>
              <w:top w:val="nil"/>
              <w:left w:val="nil"/>
              <w:bottom w:val="nil"/>
              <w:right w:val="nil"/>
            </w:tcBorders>
            <w:noWrap/>
            <w:vAlign w:val="center"/>
            <w:hideMark/>
          </w:tcPr>
          <w:p w14:paraId="46DB28CA" w14:textId="77777777" w:rsidR="00303A11" w:rsidRPr="00F837E2" w:rsidRDefault="00303A11" w:rsidP="00303A11">
            <w:pPr>
              <w:spacing w:after="0" w:line="360" w:lineRule="auto"/>
              <w:jc w:val="right"/>
              <w:rPr>
                <w:rFonts w:ascii="Arial" w:eastAsia="Times New Roman" w:hAnsi="Arial" w:cs="Arial"/>
                <w:color w:val="008000"/>
                <w:sz w:val="24"/>
                <w:szCs w:val="24"/>
              </w:rPr>
            </w:pPr>
            <w:r w:rsidRPr="00F837E2">
              <w:rPr>
                <w:rFonts w:ascii="Arial" w:eastAsia="Times New Roman" w:hAnsi="Arial" w:cs="Arial"/>
                <w:color w:val="008000"/>
                <w:sz w:val="24"/>
                <w:szCs w:val="24"/>
              </w:rPr>
              <w:t>0.40x</w:t>
            </w:r>
          </w:p>
        </w:tc>
        <w:tc>
          <w:tcPr>
            <w:tcW w:w="2160" w:type="dxa"/>
            <w:tcBorders>
              <w:top w:val="nil"/>
              <w:left w:val="nil"/>
              <w:bottom w:val="nil"/>
              <w:right w:val="nil"/>
            </w:tcBorders>
            <w:noWrap/>
            <w:vAlign w:val="center"/>
            <w:hideMark/>
          </w:tcPr>
          <w:p w14:paraId="60B89AEF" w14:textId="77777777" w:rsidR="00303A11" w:rsidRPr="00F837E2" w:rsidRDefault="00303A11" w:rsidP="00303A11">
            <w:pPr>
              <w:spacing w:after="0" w:line="360" w:lineRule="auto"/>
              <w:jc w:val="right"/>
              <w:rPr>
                <w:rFonts w:ascii="Arial" w:eastAsia="Times New Roman" w:hAnsi="Arial" w:cs="Arial"/>
                <w:color w:val="0000FF"/>
                <w:sz w:val="24"/>
                <w:szCs w:val="24"/>
              </w:rPr>
            </w:pPr>
            <w:r w:rsidRPr="00F837E2">
              <w:rPr>
                <w:rFonts w:ascii="Arial" w:eastAsia="Times New Roman" w:hAnsi="Arial" w:cs="Arial"/>
                <w:color w:val="0000FF"/>
                <w:sz w:val="24"/>
                <w:szCs w:val="24"/>
              </w:rPr>
              <w:t>0.85x</w:t>
            </w:r>
          </w:p>
        </w:tc>
        <w:tc>
          <w:tcPr>
            <w:tcW w:w="1560" w:type="dxa"/>
            <w:tcBorders>
              <w:top w:val="nil"/>
              <w:left w:val="nil"/>
              <w:bottom w:val="nil"/>
              <w:right w:val="nil"/>
            </w:tcBorders>
            <w:noWrap/>
            <w:vAlign w:val="center"/>
            <w:hideMark/>
          </w:tcPr>
          <w:p w14:paraId="251C9C97" w14:textId="77777777" w:rsidR="00303A11" w:rsidRPr="00F837E2" w:rsidRDefault="00303A11" w:rsidP="00303A11">
            <w:pPr>
              <w:spacing w:after="0" w:line="360" w:lineRule="auto"/>
              <w:jc w:val="right"/>
              <w:rPr>
                <w:rFonts w:ascii="Arial" w:eastAsia="Times New Roman" w:hAnsi="Arial" w:cs="Arial"/>
                <w:color w:val="008000"/>
                <w:sz w:val="24"/>
                <w:szCs w:val="24"/>
              </w:rPr>
            </w:pPr>
            <w:r w:rsidRPr="00F837E2">
              <w:rPr>
                <w:rFonts w:ascii="Arial" w:eastAsia="Times New Roman" w:hAnsi="Arial" w:cs="Arial"/>
                <w:color w:val="008000"/>
                <w:sz w:val="24"/>
                <w:szCs w:val="24"/>
              </w:rPr>
              <w:t>0.37x</w:t>
            </w:r>
          </w:p>
        </w:tc>
        <w:tc>
          <w:tcPr>
            <w:tcW w:w="1560" w:type="dxa"/>
            <w:tcBorders>
              <w:top w:val="nil"/>
              <w:left w:val="nil"/>
              <w:bottom w:val="nil"/>
              <w:right w:val="nil"/>
            </w:tcBorders>
            <w:noWrap/>
            <w:vAlign w:val="center"/>
            <w:hideMark/>
          </w:tcPr>
          <w:p w14:paraId="55B0178F" w14:textId="77777777" w:rsidR="00303A11" w:rsidRPr="00F837E2" w:rsidRDefault="00303A11" w:rsidP="00303A11">
            <w:pPr>
              <w:spacing w:after="0" w:line="360" w:lineRule="auto"/>
              <w:jc w:val="right"/>
              <w:rPr>
                <w:rFonts w:ascii="Arial" w:eastAsia="Times New Roman" w:hAnsi="Arial" w:cs="Arial"/>
                <w:color w:val="0000FF"/>
                <w:sz w:val="24"/>
                <w:szCs w:val="24"/>
              </w:rPr>
            </w:pPr>
            <w:r w:rsidRPr="00F837E2">
              <w:rPr>
                <w:rFonts w:ascii="Arial" w:eastAsia="Times New Roman" w:hAnsi="Arial" w:cs="Arial"/>
                <w:color w:val="0000FF"/>
                <w:sz w:val="24"/>
                <w:szCs w:val="24"/>
              </w:rPr>
              <w:t>0.63x</w:t>
            </w:r>
          </w:p>
        </w:tc>
      </w:tr>
      <w:tr w:rsidR="00303A11" w:rsidRPr="00F837E2" w14:paraId="648E7605" w14:textId="77777777" w:rsidTr="00303A11">
        <w:trPr>
          <w:trHeight w:val="276"/>
        </w:trPr>
        <w:tc>
          <w:tcPr>
            <w:tcW w:w="2760" w:type="dxa"/>
            <w:tcBorders>
              <w:top w:val="nil"/>
              <w:left w:val="nil"/>
              <w:bottom w:val="nil"/>
              <w:right w:val="nil"/>
            </w:tcBorders>
            <w:noWrap/>
            <w:vAlign w:val="center"/>
            <w:hideMark/>
          </w:tcPr>
          <w:p w14:paraId="7EF2CAB7" w14:textId="77777777" w:rsidR="00303A11" w:rsidRPr="00F837E2" w:rsidRDefault="00303A11" w:rsidP="00303A11">
            <w:pPr>
              <w:spacing w:after="0" w:line="360" w:lineRule="auto"/>
              <w:jc w:val="right"/>
              <w:rPr>
                <w:rFonts w:ascii="Arial" w:eastAsia="Times New Roman" w:hAnsi="Arial" w:cs="Arial"/>
                <w:sz w:val="24"/>
                <w:szCs w:val="24"/>
              </w:rPr>
            </w:pPr>
            <w:r w:rsidRPr="00F837E2">
              <w:rPr>
                <w:rFonts w:ascii="Arial" w:eastAsia="Times New Roman" w:hAnsi="Arial" w:cs="Arial"/>
                <w:sz w:val="24"/>
                <w:szCs w:val="24"/>
              </w:rPr>
              <w:t>2025</w:t>
            </w:r>
          </w:p>
        </w:tc>
        <w:tc>
          <w:tcPr>
            <w:tcW w:w="1560" w:type="dxa"/>
            <w:tcBorders>
              <w:top w:val="nil"/>
              <w:left w:val="nil"/>
              <w:bottom w:val="nil"/>
              <w:right w:val="nil"/>
            </w:tcBorders>
            <w:noWrap/>
            <w:vAlign w:val="center"/>
            <w:hideMark/>
          </w:tcPr>
          <w:p w14:paraId="4357C41E" w14:textId="77777777" w:rsidR="00303A11" w:rsidRPr="00F837E2" w:rsidRDefault="00303A11" w:rsidP="00303A11">
            <w:pPr>
              <w:spacing w:after="0" w:line="360" w:lineRule="auto"/>
              <w:jc w:val="right"/>
              <w:rPr>
                <w:rFonts w:ascii="Arial" w:eastAsia="Times New Roman" w:hAnsi="Arial" w:cs="Arial"/>
                <w:color w:val="008000"/>
                <w:sz w:val="24"/>
                <w:szCs w:val="24"/>
              </w:rPr>
            </w:pPr>
            <w:r w:rsidRPr="00F837E2">
              <w:rPr>
                <w:rFonts w:ascii="Arial" w:eastAsia="Times New Roman" w:hAnsi="Arial" w:cs="Arial"/>
                <w:color w:val="008000"/>
                <w:sz w:val="24"/>
                <w:szCs w:val="24"/>
              </w:rPr>
              <w:t>0.43x</w:t>
            </w:r>
          </w:p>
        </w:tc>
        <w:tc>
          <w:tcPr>
            <w:tcW w:w="2160" w:type="dxa"/>
            <w:tcBorders>
              <w:top w:val="nil"/>
              <w:left w:val="nil"/>
              <w:bottom w:val="nil"/>
              <w:right w:val="nil"/>
            </w:tcBorders>
            <w:noWrap/>
            <w:vAlign w:val="center"/>
            <w:hideMark/>
          </w:tcPr>
          <w:p w14:paraId="190B93A2" w14:textId="77777777" w:rsidR="00303A11" w:rsidRPr="00F837E2" w:rsidRDefault="00303A11" w:rsidP="00303A11">
            <w:pPr>
              <w:spacing w:after="0" w:line="360" w:lineRule="auto"/>
              <w:jc w:val="right"/>
              <w:rPr>
                <w:rFonts w:ascii="Arial" w:eastAsia="Times New Roman" w:hAnsi="Arial" w:cs="Arial"/>
                <w:color w:val="0000FF"/>
                <w:sz w:val="24"/>
                <w:szCs w:val="24"/>
              </w:rPr>
            </w:pPr>
            <w:r w:rsidRPr="00F837E2">
              <w:rPr>
                <w:rFonts w:ascii="Arial" w:eastAsia="Times New Roman" w:hAnsi="Arial" w:cs="Arial"/>
                <w:color w:val="0000FF"/>
                <w:sz w:val="24"/>
                <w:szCs w:val="24"/>
              </w:rPr>
              <w:t>0.82x</w:t>
            </w:r>
          </w:p>
        </w:tc>
        <w:tc>
          <w:tcPr>
            <w:tcW w:w="1560" w:type="dxa"/>
            <w:tcBorders>
              <w:top w:val="nil"/>
              <w:left w:val="nil"/>
              <w:bottom w:val="nil"/>
              <w:right w:val="nil"/>
            </w:tcBorders>
            <w:noWrap/>
            <w:vAlign w:val="center"/>
            <w:hideMark/>
          </w:tcPr>
          <w:p w14:paraId="6C2B746F" w14:textId="77777777" w:rsidR="00303A11" w:rsidRPr="00F837E2" w:rsidRDefault="00303A11" w:rsidP="00303A11">
            <w:pPr>
              <w:spacing w:after="0" w:line="360" w:lineRule="auto"/>
              <w:jc w:val="right"/>
              <w:rPr>
                <w:rFonts w:ascii="Arial" w:eastAsia="Times New Roman" w:hAnsi="Arial" w:cs="Arial"/>
                <w:color w:val="008000"/>
                <w:sz w:val="24"/>
                <w:szCs w:val="24"/>
              </w:rPr>
            </w:pPr>
            <w:r w:rsidRPr="00F837E2">
              <w:rPr>
                <w:rFonts w:ascii="Arial" w:eastAsia="Times New Roman" w:hAnsi="Arial" w:cs="Arial"/>
                <w:color w:val="008000"/>
                <w:sz w:val="24"/>
                <w:szCs w:val="24"/>
              </w:rPr>
              <w:t>0.39x</w:t>
            </w:r>
          </w:p>
        </w:tc>
        <w:tc>
          <w:tcPr>
            <w:tcW w:w="1560" w:type="dxa"/>
            <w:tcBorders>
              <w:top w:val="nil"/>
              <w:left w:val="nil"/>
              <w:bottom w:val="nil"/>
              <w:right w:val="nil"/>
            </w:tcBorders>
            <w:noWrap/>
            <w:vAlign w:val="center"/>
            <w:hideMark/>
          </w:tcPr>
          <w:p w14:paraId="5A1EA435" w14:textId="77777777" w:rsidR="00303A11" w:rsidRPr="00F837E2" w:rsidRDefault="00303A11" w:rsidP="00303A11">
            <w:pPr>
              <w:spacing w:after="0" w:line="360" w:lineRule="auto"/>
              <w:jc w:val="right"/>
              <w:rPr>
                <w:rFonts w:ascii="Arial" w:eastAsia="Times New Roman" w:hAnsi="Arial" w:cs="Arial"/>
                <w:color w:val="0000FF"/>
                <w:sz w:val="24"/>
                <w:szCs w:val="24"/>
              </w:rPr>
            </w:pPr>
            <w:r w:rsidRPr="00F837E2">
              <w:rPr>
                <w:rFonts w:ascii="Arial" w:eastAsia="Times New Roman" w:hAnsi="Arial" w:cs="Arial"/>
                <w:color w:val="0000FF"/>
                <w:sz w:val="24"/>
                <w:szCs w:val="24"/>
              </w:rPr>
              <w:t>0.69x</w:t>
            </w:r>
          </w:p>
        </w:tc>
      </w:tr>
    </w:tbl>
    <w:p w14:paraId="4DE3381E" w14:textId="77777777" w:rsidR="00303A11" w:rsidRPr="00F837E2" w:rsidRDefault="00303A11" w:rsidP="00303A11">
      <w:pPr>
        <w:spacing w:line="360" w:lineRule="auto"/>
        <w:rPr>
          <w:rFonts w:ascii="Arial" w:hAnsi="Arial" w:cs="Arial"/>
          <w:sz w:val="24"/>
          <w:szCs w:val="24"/>
        </w:rPr>
      </w:pPr>
    </w:p>
    <w:p w14:paraId="7DE1E2E0" w14:textId="45251A06" w:rsidR="00303A11" w:rsidRPr="00F837E2" w:rsidRDefault="00303A11" w:rsidP="00303A11">
      <w:pPr>
        <w:spacing w:line="360" w:lineRule="auto"/>
        <w:rPr>
          <w:rFonts w:ascii="Arial" w:hAnsi="Arial" w:cs="Arial"/>
          <w:sz w:val="24"/>
          <w:szCs w:val="24"/>
        </w:rPr>
      </w:pPr>
      <w:r w:rsidRPr="00F837E2">
        <w:rPr>
          <w:rFonts w:ascii="Arial" w:hAnsi="Arial" w:cs="Arial"/>
          <w:noProof/>
          <w:sz w:val="24"/>
          <w:szCs w:val="24"/>
        </w:rPr>
        <w:drawing>
          <wp:inline distT="0" distB="0" distL="0" distR="0" wp14:anchorId="3B643684" wp14:editId="193649D6">
            <wp:extent cx="5887844" cy="3612995"/>
            <wp:effectExtent l="0" t="0" r="17780" b="6985"/>
            <wp:docPr id="785931265" name="Chart 1">
              <a:extLst xmlns:a="http://schemas.openxmlformats.org/drawingml/2006/main">
                <a:ext uri="{FF2B5EF4-FFF2-40B4-BE49-F238E27FC236}">
                  <a16:creationId xmlns:a16="http://schemas.microsoft.com/office/drawing/2014/main" id="{00000000-0008-0000-0000-000004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3E55E431" w14:textId="77777777" w:rsidR="00303A11" w:rsidRPr="00F837E2" w:rsidRDefault="00303A11" w:rsidP="00303A11">
      <w:pPr>
        <w:spacing w:line="360" w:lineRule="auto"/>
        <w:rPr>
          <w:rFonts w:ascii="Arial" w:hAnsi="Arial" w:cs="Arial"/>
          <w:sz w:val="24"/>
          <w:szCs w:val="24"/>
        </w:rPr>
      </w:pPr>
    </w:p>
    <w:p w14:paraId="6817CFA7" w14:textId="77777777" w:rsidR="00303A11" w:rsidRPr="00F837E2" w:rsidRDefault="00303A11" w:rsidP="00303A11">
      <w:pPr>
        <w:spacing w:line="360" w:lineRule="auto"/>
        <w:rPr>
          <w:rFonts w:ascii="Arial" w:hAnsi="Arial" w:cs="Arial"/>
          <w:sz w:val="24"/>
          <w:szCs w:val="24"/>
        </w:rPr>
      </w:pPr>
    </w:p>
    <w:p w14:paraId="59958088" w14:textId="77777777" w:rsidR="00303A11" w:rsidRPr="00F837E2" w:rsidRDefault="00303A11" w:rsidP="00303A11">
      <w:pPr>
        <w:spacing w:line="360" w:lineRule="auto"/>
        <w:rPr>
          <w:rFonts w:ascii="Arial" w:hAnsi="Arial" w:cs="Arial"/>
          <w:sz w:val="24"/>
          <w:szCs w:val="24"/>
        </w:rPr>
      </w:pPr>
    </w:p>
    <w:p w14:paraId="19CF3CF1" w14:textId="77777777" w:rsidR="00303A11" w:rsidRPr="00F837E2" w:rsidRDefault="00303A11" w:rsidP="00303A11">
      <w:pPr>
        <w:spacing w:line="360" w:lineRule="auto"/>
        <w:rPr>
          <w:rFonts w:ascii="Arial" w:hAnsi="Arial" w:cs="Arial"/>
          <w:sz w:val="24"/>
          <w:szCs w:val="24"/>
        </w:rPr>
      </w:pPr>
    </w:p>
    <w:p w14:paraId="445B89FD" w14:textId="77777777" w:rsidR="00303A11" w:rsidRPr="00F837E2" w:rsidRDefault="00303A11" w:rsidP="00303A11">
      <w:pPr>
        <w:spacing w:line="360" w:lineRule="auto"/>
        <w:rPr>
          <w:rFonts w:ascii="Arial" w:hAnsi="Arial" w:cs="Arial"/>
          <w:sz w:val="24"/>
          <w:szCs w:val="24"/>
        </w:rPr>
      </w:pPr>
    </w:p>
    <w:p w14:paraId="7AE6928F" w14:textId="77777777" w:rsidR="00303A11" w:rsidRPr="00F837E2" w:rsidRDefault="00303A11" w:rsidP="00303A11">
      <w:pPr>
        <w:spacing w:line="360" w:lineRule="auto"/>
        <w:rPr>
          <w:rFonts w:ascii="Arial" w:hAnsi="Arial" w:cs="Arial"/>
          <w:sz w:val="24"/>
          <w:szCs w:val="24"/>
        </w:rPr>
      </w:pPr>
    </w:p>
    <w:p w14:paraId="3914896B" w14:textId="77777777" w:rsidR="00303A11" w:rsidRPr="00F837E2" w:rsidRDefault="00303A11" w:rsidP="00303A11">
      <w:pPr>
        <w:spacing w:line="360" w:lineRule="auto"/>
        <w:rPr>
          <w:rFonts w:ascii="Arial" w:hAnsi="Arial" w:cs="Arial"/>
          <w:sz w:val="24"/>
          <w:szCs w:val="24"/>
        </w:rPr>
      </w:pPr>
    </w:p>
    <w:p w14:paraId="6C072A5C" w14:textId="77777777" w:rsidR="00303A11" w:rsidRPr="00F837E2" w:rsidRDefault="00303A11" w:rsidP="00303A11">
      <w:pPr>
        <w:spacing w:line="360" w:lineRule="auto"/>
        <w:rPr>
          <w:rFonts w:ascii="Arial" w:hAnsi="Arial" w:cs="Arial"/>
          <w:sz w:val="24"/>
          <w:szCs w:val="24"/>
        </w:rPr>
      </w:pPr>
    </w:p>
    <w:tbl>
      <w:tblPr>
        <w:tblW w:w="9181" w:type="dxa"/>
        <w:tblLook w:val="04A0" w:firstRow="1" w:lastRow="0" w:firstColumn="1" w:lastColumn="0" w:noHBand="0" w:noVBand="1"/>
      </w:tblPr>
      <w:tblGrid>
        <w:gridCol w:w="3152"/>
        <w:gridCol w:w="1781"/>
        <w:gridCol w:w="2467"/>
        <w:gridCol w:w="1781"/>
      </w:tblGrid>
      <w:tr w:rsidR="00303A11" w:rsidRPr="00F837E2" w14:paraId="142679DE" w14:textId="77777777" w:rsidTr="00303A11">
        <w:trPr>
          <w:trHeight w:val="427"/>
        </w:trPr>
        <w:tc>
          <w:tcPr>
            <w:tcW w:w="3152" w:type="dxa"/>
            <w:tcBorders>
              <w:top w:val="nil"/>
              <w:left w:val="nil"/>
              <w:bottom w:val="nil"/>
              <w:right w:val="nil"/>
            </w:tcBorders>
            <w:shd w:val="clear" w:color="000000" w:fill="5B9BD5"/>
            <w:vAlign w:val="center"/>
            <w:hideMark/>
          </w:tcPr>
          <w:p w14:paraId="0295B634" w14:textId="77777777" w:rsidR="00303A11" w:rsidRPr="00F837E2" w:rsidRDefault="00303A11" w:rsidP="00303A11">
            <w:pPr>
              <w:spacing w:after="0" w:line="360" w:lineRule="auto"/>
              <w:jc w:val="center"/>
              <w:rPr>
                <w:rFonts w:ascii="Arial" w:eastAsia="Times New Roman" w:hAnsi="Arial" w:cs="Arial"/>
                <w:b/>
                <w:bCs/>
                <w:color w:val="FFFFFF"/>
                <w:sz w:val="24"/>
                <w:szCs w:val="24"/>
              </w:rPr>
            </w:pPr>
            <w:r w:rsidRPr="00F837E2">
              <w:rPr>
                <w:rFonts w:ascii="Arial" w:eastAsia="Times New Roman" w:hAnsi="Arial" w:cs="Arial"/>
                <w:b/>
                <w:bCs/>
                <w:color w:val="FFFFFF"/>
                <w:sz w:val="24"/>
                <w:szCs w:val="24"/>
              </w:rPr>
              <w:lastRenderedPageBreak/>
              <w:t>Year</w:t>
            </w:r>
          </w:p>
        </w:tc>
        <w:tc>
          <w:tcPr>
            <w:tcW w:w="1781" w:type="dxa"/>
            <w:tcBorders>
              <w:top w:val="nil"/>
              <w:left w:val="nil"/>
              <w:bottom w:val="nil"/>
              <w:right w:val="nil"/>
            </w:tcBorders>
            <w:shd w:val="clear" w:color="000000" w:fill="5B9BD5"/>
            <w:vAlign w:val="center"/>
            <w:hideMark/>
          </w:tcPr>
          <w:p w14:paraId="447BA548" w14:textId="77777777" w:rsidR="00303A11" w:rsidRPr="00F837E2" w:rsidRDefault="00303A11" w:rsidP="00303A11">
            <w:pPr>
              <w:spacing w:after="0" w:line="360" w:lineRule="auto"/>
              <w:jc w:val="center"/>
              <w:rPr>
                <w:rFonts w:ascii="Arial" w:eastAsia="Times New Roman" w:hAnsi="Arial" w:cs="Arial"/>
                <w:b/>
                <w:bCs/>
                <w:color w:val="FFFFFF"/>
                <w:sz w:val="24"/>
                <w:szCs w:val="24"/>
              </w:rPr>
            </w:pPr>
            <w:r w:rsidRPr="00F837E2">
              <w:rPr>
                <w:rFonts w:ascii="Arial" w:eastAsia="Times New Roman" w:hAnsi="Arial" w:cs="Arial"/>
                <w:b/>
                <w:bCs/>
                <w:color w:val="FFFFFF"/>
                <w:sz w:val="24"/>
                <w:szCs w:val="24"/>
              </w:rPr>
              <w:t>Operating cash flow ($m)</w:t>
            </w:r>
          </w:p>
        </w:tc>
        <w:tc>
          <w:tcPr>
            <w:tcW w:w="2467" w:type="dxa"/>
            <w:tcBorders>
              <w:top w:val="nil"/>
              <w:left w:val="nil"/>
              <w:bottom w:val="nil"/>
              <w:right w:val="nil"/>
            </w:tcBorders>
            <w:shd w:val="clear" w:color="000000" w:fill="5B9BD5"/>
            <w:vAlign w:val="center"/>
            <w:hideMark/>
          </w:tcPr>
          <w:p w14:paraId="5680A46F" w14:textId="77777777" w:rsidR="00303A11" w:rsidRPr="00F837E2" w:rsidRDefault="00303A11" w:rsidP="00303A11">
            <w:pPr>
              <w:spacing w:after="0" w:line="360" w:lineRule="auto"/>
              <w:jc w:val="center"/>
              <w:rPr>
                <w:rFonts w:ascii="Arial" w:eastAsia="Times New Roman" w:hAnsi="Arial" w:cs="Arial"/>
                <w:b/>
                <w:bCs/>
                <w:color w:val="FFFFFF"/>
                <w:sz w:val="24"/>
                <w:szCs w:val="24"/>
              </w:rPr>
            </w:pPr>
            <w:r w:rsidRPr="00F837E2">
              <w:rPr>
                <w:rFonts w:ascii="Arial" w:eastAsia="Times New Roman" w:hAnsi="Arial" w:cs="Arial"/>
                <w:b/>
                <w:bCs/>
                <w:color w:val="FFFFFF"/>
                <w:sz w:val="24"/>
                <w:szCs w:val="24"/>
              </w:rPr>
              <w:t>Free cash flow ($m)</w:t>
            </w:r>
          </w:p>
        </w:tc>
        <w:tc>
          <w:tcPr>
            <w:tcW w:w="1781" w:type="dxa"/>
            <w:tcBorders>
              <w:top w:val="nil"/>
              <w:left w:val="nil"/>
              <w:bottom w:val="nil"/>
              <w:right w:val="nil"/>
            </w:tcBorders>
            <w:shd w:val="clear" w:color="000000" w:fill="5B9BD5"/>
            <w:vAlign w:val="center"/>
            <w:hideMark/>
          </w:tcPr>
          <w:p w14:paraId="203108AC" w14:textId="77777777" w:rsidR="00303A11" w:rsidRPr="00F837E2" w:rsidRDefault="00303A11" w:rsidP="00303A11">
            <w:pPr>
              <w:spacing w:after="0" w:line="360" w:lineRule="auto"/>
              <w:jc w:val="center"/>
              <w:rPr>
                <w:rFonts w:ascii="Arial" w:eastAsia="Times New Roman" w:hAnsi="Arial" w:cs="Arial"/>
                <w:b/>
                <w:bCs/>
                <w:color w:val="FFFFFF"/>
                <w:sz w:val="24"/>
                <w:szCs w:val="24"/>
              </w:rPr>
            </w:pPr>
            <w:r w:rsidRPr="00F837E2">
              <w:rPr>
                <w:rFonts w:ascii="Arial" w:eastAsia="Times New Roman" w:hAnsi="Arial" w:cs="Arial"/>
                <w:b/>
                <w:bCs/>
                <w:color w:val="FFFFFF"/>
                <w:sz w:val="24"/>
                <w:szCs w:val="24"/>
              </w:rPr>
              <w:t>Shareholder distributions ($m)</w:t>
            </w:r>
          </w:p>
        </w:tc>
      </w:tr>
      <w:tr w:rsidR="00303A11" w:rsidRPr="00F837E2" w14:paraId="7776ACE6" w14:textId="77777777" w:rsidTr="00303A11">
        <w:trPr>
          <w:trHeight w:val="336"/>
        </w:trPr>
        <w:tc>
          <w:tcPr>
            <w:tcW w:w="3152" w:type="dxa"/>
            <w:tcBorders>
              <w:top w:val="nil"/>
              <w:left w:val="nil"/>
              <w:bottom w:val="nil"/>
              <w:right w:val="nil"/>
            </w:tcBorders>
            <w:noWrap/>
            <w:vAlign w:val="center"/>
            <w:hideMark/>
          </w:tcPr>
          <w:p w14:paraId="231DE2C9" w14:textId="77777777" w:rsidR="00303A11" w:rsidRPr="00F837E2" w:rsidRDefault="00303A11" w:rsidP="00303A11">
            <w:pPr>
              <w:spacing w:after="0" w:line="360" w:lineRule="auto"/>
              <w:jc w:val="right"/>
              <w:rPr>
                <w:rFonts w:ascii="Arial" w:eastAsia="Times New Roman" w:hAnsi="Arial" w:cs="Arial"/>
                <w:sz w:val="24"/>
                <w:szCs w:val="24"/>
              </w:rPr>
            </w:pPr>
            <w:r w:rsidRPr="00F837E2">
              <w:rPr>
                <w:rFonts w:ascii="Arial" w:eastAsia="Times New Roman" w:hAnsi="Arial" w:cs="Arial"/>
                <w:sz w:val="24"/>
                <w:szCs w:val="24"/>
              </w:rPr>
              <w:t>2021</w:t>
            </w:r>
          </w:p>
        </w:tc>
        <w:tc>
          <w:tcPr>
            <w:tcW w:w="1781" w:type="dxa"/>
            <w:tcBorders>
              <w:top w:val="nil"/>
              <w:left w:val="nil"/>
              <w:bottom w:val="nil"/>
              <w:right w:val="nil"/>
            </w:tcBorders>
            <w:noWrap/>
            <w:vAlign w:val="center"/>
            <w:hideMark/>
          </w:tcPr>
          <w:p w14:paraId="4C920825" w14:textId="77777777" w:rsidR="00303A11" w:rsidRPr="00F837E2" w:rsidRDefault="00303A11" w:rsidP="00303A11">
            <w:pPr>
              <w:spacing w:after="0" w:line="360" w:lineRule="auto"/>
              <w:jc w:val="right"/>
              <w:rPr>
                <w:rFonts w:ascii="Arial" w:eastAsia="Times New Roman" w:hAnsi="Arial" w:cs="Arial"/>
                <w:color w:val="008000"/>
                <w:sz w:val="24"/>
                <w:szCs w:val="24"/>
              </w:rPr>
            </w:pPr>
            <w:r w:rsidRPr="00F837E2">
              <w:rPr>
                <w:rFonts w:ascii="Arial" w:eastAsia="Times New Roman" w:hAnsi="Arial" w:cs="Arial"/>
                <w:color w:val="008000"/>
                <w:sz w:val="24"/>
                <w:szCs w:val="24"/>
              </w:rPr>
              <w:t>1,177</w:t>
            </w:r>
          </w:p>
        </w:tc>
        <w:tc>
          <w:tcPr>
            <w:tcW w:w="2467" w:type="dxa"/>
            <w:tcBorders>
              <w:top w:val="nil"/>
              <w:left w:val="nil"/>
              <w:bottom w:val="nil"/>
              <w:right w:val="nil"/>
            </w:tcBorders>
            <w:noWrap/>
            <w:vAlign w:val="center"/>
            <w:hideMark/>
          </w:tcPr>
          <w:p w14:paraId="194F4617" w14:textId="77777777" w:rsidR="00303A11" w:rsidRPr="00F837E2" w:rsidRDefault="00303A11" w:rsidP="00303A11">
            <w:pPr>
              <w:spacing w:after="0" w:line="360" w:lineRule="auto"/>
              <w:jc w:val="right"/>
              <w:rPr>
                <w:rFonts w:ascii="Arial" w:eastAsia="Times New Roman" w:hAnsi="Arial" w:cs="Arial"/>
                <w:color w:val="008000"/>
                <w:sz w:val="24"/>
                <w:szCs w:val="24"/>
              </w:rPr>
            </w:pPr>
            <w:r w:rsidRPr="00F837E2">
              <w:rPr>
                <w:rFonts w:ascii="Arial" w:eastAsia="Times New Roman" w:hAnsi="Arial" w:cs="Arial"/>
                <w:color w:val="008000"/>
                <w:sz w:val="24"/>
                <w:szCs w:val="24"/>
              </w:rPr>
              <w:t>994</w:t>
            </w:r>
          </w:p>
        </w:tc>
        <w:tc>
          <w:tcPr>
            <w:tcW w:w="1781" w:type="dxa"/>
            <w:tcBorders>
              <w:top w:val="nil"/>
              <w:left w:val="nil"/>
              <w:bottom w:val="nil"/>
              <w:right w:val="nil"/>
            </w:tcBorders>
            <w:noWrap/>
            <w:vAlign w:val="center"/>
            <w:hideMark/>
          </w:tcPr>
          <w:p w14:paraId="1140A13F" w14:textId="77777777" w:rsidR="00303A11" w:rsidRPr="00F837E2" w:rsidRDefault="00303A11" w:rsidP="00303A11">
            <w:pPr>
              <w:spacing w:after="0" w:line="360" w:lineRule="auto"/>
              <w:jc w:val="right"/>
              <w:rPr>
                <w:rFonts w:ascii="Arial" w:eastAsia="Times New Roman" w:hAnsi="Arial" w:cs="Arial"/>
                <w:color w:val="008000"/>
                <w:sz w:val="24"/>
                <w:szCs w:val="24"/>
              </w:rPr>
            </w:pPr>
            <w:r w:rsidRPr="00F837E2">
              <w:rPr>
                <w:rFonts w:ascii="Arial" w:eastAsia="Times New Roman" w:hAnsi="Arial" w:cs="Arial"/>
                <w:color w:val="008000"/>
                <w:sz w:val="24"/>
                <w:szCs w:val="24"/>
              </w:rPr>
              <w:t>-</w:t>
            </w:r>
          </w:p>
        </w:tc>
      </w:tr>
      <w:tr w:rsidR="00303A11" w:rsidRPr="00F837E2" w14:paraId="6C69E3B1" w14:textId="77777777" w:rsidTr="00303A11">
        <w:trPr>
          <w:trHeight w:val="336"/>
        </w:trPr>
        <w:tc>
          <w:tcPr>
            <w:tcW w:w="3152" w:type="dxa"/>
            <w:tcBorders>
              <w:top w:val="nil"/>
              <w:left w:val="nil"/>
              <w:bottom w:val="nil"/>
              <w:right w:val="nil"/>
            </w:tcBorders>
            <w:noWrap/>
            <w:vAlign w:val="center"/>
            <w:hideMark/>
          </w:tcPr>
          <w:p w14:paraId="1ED3EA8B" w14:textId="77777777" w:rsidR="00303A11" w:rsidRPr="00F837E2" w:rsidRDefault="00303A11" w:rsidP="00303A11">
            <w:pPr>
              <w:spacing w:after="0" w:line="360" w:lineRule="auto"/>
              <w:jc w:val="right"/>
              <w:rPr>
                <w:rFonts w:ascii="Arial" w:eastAsia="Times New Roman" w:hAnsi="Arial" w:cs="Arial"/>
                <w:sz w:val="24"/>
                <w:szCs w:val="24"/>
              </w:rPr>
            </w:pPr>
            <w:r w:rsidRPr="00F837E2">
              <w:rPr>
                <w:rFonts w:ascii="Arial" w:eastAsia="Times New Roman" w:hAnsi="Arial" w:cs="Arial"/>
                <w:sz w:val="24"/>
                <w:szCs w:val="24"/>
              </w:rPr>
              <w:t>2022</w:t>
            </w:r>
          </w:p>
        </w:tc>
        <w:tc>
          <w:tcPr>
            <w:tcW w:w="1781" w:type="dxa"/>
            <w:tcBorders>
              <w:top w:val="nil"/>
              <w:left w:val="nil"/>
              <w:bottom w:val="nil"/>
              <w:right w:val="nil"/>
            </w:tcBorders>
            <w:noWrap/>
            <w:vAlign w:val="center"/>
            <w:hideMark/>
          </w:tcPr>
          <w:p w14:paraId="42D99B0E" w14:textId="77777777" w:rsidR="00303A11" w:rsidRPr="00F837E2" w:rsidRDefault="00303A11" w:rsidP="00303A11">
            <w:pPr>
              <w:spacing w:after="0" w:line="360" w:lineRule="auto"/>
              <w:jc w:val="right"/>
              <w:rPr>
                <w:rFonts w:ascii="Arial" w:eastAsia="Times New Roman" w:hAnsi="Arial" w:cs="Arial"/>
                <w:color w:val="008000"/>
                <w:sz w:val="24"/>
                <w:szCs w:val="24"/>
              </w:rPr>
            </w:pPr>
            <w:r w:rsidRPr="00F837E2">
              <w:rPr>
                <w:rFonts w:ascii="Arial" w:eastAsia="Times New Roman" w:hAnsi="Arial" w:cs="Arial"/>
                <w:color w:val="008000"/>
                <w:sz w:val="24"/>
                <w:szCs w:val="24"/>
              </w:rPr>
              <w:t>2,363</w:t>
            </w:r>
          </w:p>
        </w:tc>
        <w:tc>
          <w:tcPr>
            <w:tcW w:w="2467" w:type="dxa"/>
            <w:tcBorders>
              <w:top w:val="nil"/>
              <w:left w:val="nil"/>
              <w:bottom w:val="nil"/>
              <w:right w:val="nil"/>
            </w:tcBorders>
            <w:noWrap/>
            <w:vAlign w:val="center"/>
            <w:hideMark/>
          </w:tcPr>
          <w:p w14:paraId="311E49A5" w14:textId="77777777" w:rsidR="00303A11" w:rsidRPr="00F837E2" w:rsidRDefault="00303A11" w:rsidP="00303A11">
            <w:pPr>
              <w:spacing w:after="0" w:line="360" w:lineRule="auto"/>
              <w:jc w:val="right"/>
              <w:rPr>
                <w:rFonts w:ascii="Arial" w:eastAsia="Times New Roman" w:hAnsi="Arial" w:cs="Arial"/>
                <w:color w:val="008000"/>
                <w:sz w:val="24"/>
                <w:szCs w:val="24"/>
              </w:rPr>
            </w:pPr>
            <w:r w:rsidRPr="00F837E2">
              <w:rPr>
                <w:rFonts w:ascii="Arial" w:eastAsia="Times New Roman" w:hAnsi="Arial" w:cs="Arial"/>
                <w:color w:val="008000"/>
                <w:sz w:val="24"/>
                <w:szCs w:val="24"/>
              </w:rPr>
              <w:t>2,031</w:t>
            </w:r>
          </w:p>
        </w:tc>
        <w:tc>
          <w:tcPr>
            <w:tcW w:w="1781" w:type="dxa"/>
            <w:tcBorders>
              <w:top w:val="nil"/>
              <w:left w:val="nil"/>
              <w:bottom w:val="nil"/>
              <w:right w:val="nil"/>
            </w:tcBorders>
            <w:noWrap/>
            <w:vAlign w:val="center"/>
            <w:hideMark/>
          </w:tcPr>
          <w:p w14:paraId="71FC0572" w14:textId="77777777" w:rsidR="00303A11" w:rsidRPr="00F837E2" w:rsidRDefault="00303A11" w:rsidP="00303A11">
            <w:pPr>
              <w:spacing w:after="0" w:line="360" w:lineRule="auto"/>
              <w:jc w:val="right"/>
              <w:rPr>
                <w:rFonts w:ascii="Arial" w:eastAsia="Times New Roman" w:hAnsi="Arial" w:cs="Arial"/>
                <w:color w:val="008000"/>
                <w:sz w:val="24"/>
                <w:szCs w:val="24"/>
              </w:rPr>
            </w:pPr>
            <w:r w:rsidRPr="00F837E2">
              <w:rPr>
                <w:rFonts w:ascii="Arial" w:eastAsia="Times New Roman" w:hAnsi="Arial" w:cs="Arial"/>
                <w:color w:val="008000"/>
                <w:sz w:val="24"/>
                <w:szCs w:val="24"/>
              </w:rPr>
              <w:t>2,887</w:t>
            </w:r>
          </w:p>
        </w:tc>
      </w:tr>
      <w:tr w:rsidR="00303A11" w:rsidRPr="00F837E2" w14:paraId="59E45BDF" w14:textId="77777777" w:rsidTr="00303A11">
        <w:trPr>
          <w:trHeight w:val="336"/>
        </w:trPr>
        <w:tc>
          <w:tcPr>
            <w:tcW w:w="3152" w:type="dxa"/>
            <w:tcBorders>
              <w:top w:val="nil"/>
              <w:left w:val="nil"/>
              <w:bottom w:val="nil"/>
              <w:right w:val="nil"/>
            </w:tcBorders>
            <w:noWrap/>
            <w:vAlign w:val="center"/>
            <w:hideMark/>
          </w:tcPr>
          <w:p w14:paraId="3550F21D" w14:textId="77777777" w:rsidR="00303A11" w:rsidRPr="00F837E2" w:rsidRDefault="00303A11" w:rsidP="00303A11">
            <w:pPr>
              <w:spacing w:after="0" w:line="360" w:lineRule="auto"/>
              <w:jc w:val="right"/>
              <w:rPr>
                <w:rFonts w:ascii="Arial" w:eastAsia="Times New Roman" w:hAnsi="Arial" w:cs="Arial"/>
                <w:sz w:val="24"/>
                <w:szCs w:val="24"/>
              </w:rPr>
            </w:pPr>
            <w:r w:rsidRPr="00F837E2">
              <w:rPr>
                <w:rFonts w:ascii="Arial" w:eastAsia="Times New Roman" w:hAnsi="Arial" w:cs="Arial"/>
                <w:sz w:val="24"/>
                <w:szCs w:val="24"/>
              </w:rPr>
              <w:t>2023</w:t>
            </w:r>
          </w:p>
        </w:tc>
        <w:tc>
          <w:tcPr>
            <w:tcW w:w="1781" w:type="dxa"/>
            <w:tcBorders>
              <w:top w:val="nil"/>
              <w:left w:val="nil"/>
              <w:bottom w:val="nil"/>
              <w:right w:val="nil"/>
            </w:tcBorders>
            <w:noWrap/>
            <w:vAlign w:val="center"/>
            <w:hideMark/>
          </w:tcPr>
          <w:p w14:paraId="7D652344" w14:textId="77777777" w:rsidR="00303A11" w:rsidRPr="00F837E2" w:rsidRDefault="00303A11" w:rsidP="00303A11">
            <w:pPr>
              <w:spacing w:after="0" w:line="360" w:lineRule="auto"/>
              <w:jc w:val="right"/>
              <w:rPr>
                <w:rFonts w:ascii="Arial" w:eastAsia="Times New Roman" w:hAnsi="Arial" w:cs="Arial"/>
                <w:color w:val="008000"/>
                <w:sz w:val="24"/>
                <w:szCs w:val="24"/>
              </w:rPr>
            </w:pPr>
            <w:r w:rsidRPr="00F837E2">
              <w:rPr>
                <w:rFonts w:ascii="Arial" w:eastAsia="Times New Roman" w:hAnsi="Arial" w:cs="Arial"/>
                <w:color w:val="008000"/>
                <w:sz w:val="24"/>
                <w:szCs w:val="24"/>
              </w:rPr>
              <w:t>3,170</w:t>
            </w:r>
          </w:p>
        </w:tc>
        <w:tc>
          <w:tcPr>
            <w:tcW w:w="2467" w:type="dxa"/>
            <w:tcBorders>
              <w:top w:val="nil"/>
              <w:left w:val="nil"/>
              <w:bottom w:val="nil"/>
              <w:right w:val="nil"/>
            </w:tcBorders>
            <w:noWrap/>
            <w:vAlign w:val="center"/>
            <w:hideMark/>
          </w:tcPr>
          <w:p w14:paraId="2C06D4A7" w14:textId="77777777" w:rsidR="00303A11" w:rsidRPr="00F837E2" w:rsidRDefault="00303A11" w:rsidP="00303A11">
            <w:pPr>
              <w:spacing w:after="0" w:line="360" w:lineRule="auto"/>
              <w:jc w:val="right"/>
              <w:rPr>
                <w:rFonts w:ascii="Arial" w:eastAsia="Times New Roman" w:hAnsi="Arial" w:cs="Arial"/>
                <w:color w:val="008000"/>
                <w:sz w:val="24"/>
                <w:szCs w:val="24"/>
              </w:rPr>
            </w:pPr>
            <w:r w:rsidRPr="00F837E2">
              <w:rPr>
                <w:rFonts w:ascii="Arial" w:eastAsia="Times New Roman" w:hAnsi="Arial" w:cs="Arial"/>
                <w:color w:val="008000"/>
                <w:sz w:val="24"/>
                <w:szCs w:val="24"/>
              </w:rPr>
              <w:t>2,718</w:t>
            </w:r>
          </w:p>
        </w:tc>
        <w:tc>
          <w:tcPr>
            <w:tcW w:w="1781" w:type="dxa"/>
            <w:tcBorders>
              <w:top w:val="nil"/>
              <w:left w:val="nil"/>
              <w:bottom w:val="nil"/>
              <w:right w:val="nil"/>
            </w:tcBorders>
            <w:noWrap/>
            <w:vAlign w:val="center"/>
            <w:hideMark/>
          </w:tcPr>
          <w:p w14:paraId="1D18C258" w14:textId="77777777" w:rsidR="00303A11" w:rsidRPr="00F837E2" w:rsidRDefault="00303A11" w:rsidP="00303A11">
            <w:pPr>
              <w:spacing w:after="0" w:line="360" w:lineRule="auto"/>
              <w:jc w:val="right"/>
              <w:rPr>
                <w:rFonts w:ascii="Arial" w:eastAsia="Times New Roman" w:hAnsi="Arial" w:cs="Arial"/>
                <w:color w:val="008000"/>
                <w:sz w:val="24"/>
                <w:szCs w:val="24"/>
              </w:rPr>
            </w:pPr>
            <w:r w:rsidRPr="00F837E2">
              <w:rPr>
                <w:rFonts w:ascii="Arial" w:eastAsia="Times New Roman" w:hAnsi="Arial" w:cs="Arial"/>
                <w:color w:val="008000"/>
                <w:sz w:val="24"/>
                <w:szCs w:val="24"/>
              </w:rPr>
              <w:t>4,540</w:t>
            </w:r>
          </w:p>
        </w:tc>
      </w:tr>
      <w:tr w:rsidR="00303A11" w:rsidRPr="00F837E2" w14:paraId="4F7EB282" w14:textId="77777777" w:rsidTr="00303A11">
        <w:trPr>
          <w:trHeight w:val="336"/>
        </w:trPr>
        <w:tc>
          <w:tcPr>
            <w:tcW w:w="3152" w:type="dxa"/>
            <w:tcBorders>
              <w:top w:val="nil"/>
              <w:left w:val="nil"/>
              <w:bottom w:val="nil"/>
              <w:right w:val="nil"/>
            </w:tcBorders>
            <w:noWrap/>
            <w:vAlign w:val="center"/>
            <w:hideMark/>
          </w:tcPr>
          <w:p w14:paraId="28A552CE" w14:textId="77777777" w:rsidR="00303A11" w:rsidRPr="00F837E2" w:rsidRDefault="00303A11" w:rsidP="00303A11">
            <w:pPr>
              <w:spacing w:after="0" w:line="360" w:lineRule="auto"/>
              <w:jc w:val="right"/>
              <w:rPr>
                <w:rFonts w:ascii="Arial" w:eastAsia="Times New Roman" w:hAnsi="Arial" w:cs="Arial"/>
                <w:sz w:val="24"/>
                <w:szCs w:val="24"/>
              </w:rPr>
            </w:pPr>
            <w:r w:rsidRPr="00F837E2">
              <w:rPr>
                <w:rFonts w:ascii="Arial" w:eastAsia="Times New Roman" w:hAnsi="Arial" w:cs="Arial"/>
                <w:sz w:val="24"/>
                <w:szCs w:val="24"/>
              </w:rPr>
              <w:t>2024</w:t>
            </w:r>
          </w:p>
        </w:tc>
        <w:tc>
          <w:tcPr>
            <w:tcW w:w="1781" w:type="dxa"/>
            <w:tcBorders>
              <w:top w:val="nil"/>
              <w:left w:val="nil"/>
              <w:bottom w:val="nil"/>
              <w:right w:val="nil"/>
            </w:tcBorders>
            <w:noWrap/>
            <w:vAlign w:val="center"/>
            <w:hideMark/>
          </w:tcPr>
          <w:p w14:paraId="696665AD" w14:textId="77777777" w:rsidR="00303A11" w:rsidRPr="00F837E2" w:rsidRDefault="00303A11" w:rsidP="00303A11">
            <w:pPr>
              <w:spacing w:after="0" w:line="360" w:lineRule="auto"/>
              <w:jc w:val="right"/>
              <w:rPr>
                <w:rFonts w:ascii="Arial" w:eastAsia="Times New Roman" w:hAnsi="Arial" w:cs="Arial"/>
                <w:color w:val="008000"/>
                <w:sz w:val="24"/>
                <w:szCs w:val="24"/>
              </w:rPr>
            </w:pPr>
            <w:r w:rsidRPr="00F837E2">
              <w:rPr>
                <w:rFonts w:ascii="Arial" w:eastAsia="Times New Roman" w:hAnsi="Arial" w:cs="Arial"/>
                <w:color w:val="008000"/>
                <w:sz w:val="24"/>
                <w:szCs w:val="24"/>
              </w:rPr>
              <w:t>2,749</w:t>
            </w:r>
          </w:p>
        </w:tc>
        <w:tc>
          <w:tcPr>
            <w:tcW w:w="2467" w:type="dxa"/>
            <w:tcBorders>
              <w:top w:val="nil"/>
              <w:left w:val="nil"/>
              <w:bottom w:val="nil"/>
              <w:right w:val="nil"/>
            </w:tcBorders>
            <w:noWrap/>
            <w:vAlign w:val="center"/>
            <w:hideMark/>
          </w:tcPr>
          <w:p w14:paraId="18578A92" w14:textId="77777777" w:rsidR="00303A11" w:rsidRPr="00F837E2" w:rsidRDefault="00303A11" w:rsidP="00303A11">
            <w:pPr>
              <w:spacing w:after="0" w:line="360" w:lineRule="auto"/>
              <w:jc w:val="right"/>
              <w:rPr>
                <w:rFonts w:ascii="Arial" w:eastAsia="Times New Roman" w:hAnsi="Arial" w:cs="Arial"/>
                <w:color w:val="008000"/>
                <w:sz w:val="24"/>
                <w:szCs w:val="24"/>
              </w:rPr>
            </w:pPr>
            <w:r w:rsidRPr="00F837E2">
              <w:rPr>
                <w:rFonts w:ascii="Arial" w:eastAsia="Times New Roman" w:hAnsi="Arial" w:cs="Arial"/>
                <w:color w:val="008000"/>
                <w:sz w:val="24"/>
                <w:szCs w:val="24"/>
              </w:rPr>
              <w:t>1,999</w:t>
            </w:r>
          </w:p>
        </w:tc>
        <w:tc>
          <w:tcPr>
            <w:tcW w:w="1781" w:type="dxa"/>
            <w:tcBorders>
              <w:top w:val="nil"/>
              <w:left w:val="nil"/>
              <w:bottom w:val="nil"/>
              <w:right w:val="nil"/>
            </w:tcBorders>
            <w:noWrap/>
            <w:vAlign w:val="center"/>
            <w:hideMark/>
          </w:tcPr>
          <w:p w14:paraId="716BCC04" w14:textId="77777777" w:rsidR="00303A11" w:rsidRPr="00F837E2" w:rsidRDefault="00303A11" w:rsidP="00303A11">
            <w:pPr>
              <w:spacing w:after="0" w:line="360" w:lineRule="auto"/>
              <w:jc w:val="right"/>
              <w:rPr>
                <w:rFonts w:ascii="Arial" w:eastAsia="Times New Roman" w:hAnsi="Arial" w:cs="Arial"/>
                <w:color w:val="008000"/>
                <w:sz w:val="24"/>
                <w:szCs w:val="24"/>
              </w:rPr>
            </w:pPr>
            <w:r w:rsidRPr="00F837E2">
              <w:rPr>
                <w:rFonts w:ascii="Arial" w:eastAsia="Times New Roman" w:hAnsi="Arial" w:cs="Arial"/>
                <w:color w:val="008000"/>
                <w:sz w:val="24"/>
                <w:szCs w:val="24"/>
              </w:rPr>
              <w:t>4,444</w:t>
            </w:r>
          </w:p>
        </w:tc>
      </w:tr>
      <w:tr w:rsidR="00303A11" w:rsidRPr="00F837E2" w14:paraId="491B5ED6" w14:textId="77777777" w:rsidTr="00303A11">
        <w:trPr>
          <w:trHeight w:val="336"/>
        </w:trPr>
        <w:tc>
          <w:tcPr>
            <w:tcW w:w="3152" w:type="dxa"/>
            <w:tcBorders>
              <w:top w:val="nil"/>
              <w:left w:val="nil"/>
              <w:bottom w:val="nil"/>
              <w:right w:val="nil"/>
            </w:tcBorders>
            <w:noWrap/>
            <w:vAlign w:val="center"/>
            <w:hideMark/>
          </w:tcPr>
          <w:p w14:paraId="4A930536" w14:textId="77777777" w:rsidR="00303A11" w:rsidRPr="00F837E2" w:rsidRDefault="00303A11" w:rsidP="00303A11">
            <w:pPr>
              <w:spacing w:after="0" w:line="360" w:lineRule="auto"/>
              <w:jc w:val="right"/>
              <w:rPr>
                <w:rFonts w:ascii="Arial" w:eastAsia="Times New Roman" w:hAnsi="Arial" w:cs="Arial"/>
                <w:sz w:val="24"/>
                <w:szCs w:val="24"/>
              </w:rPr>
            </w:pPr>
            <w:r w:rsidRPr="00F837E2">
              <w:rPr>
                <w:rFonts w:ascii="Arial" w:eastAsia="Times New Roman" w:hAnsi="Arial" w:cs="Arial"/>
                <w:sz w:val="24"/>
                <w:szCs w:val="24"/>
              </w:rPr>
              <w:t>2025</w:t>
            </w:r>
          </w:p>
        </w:tc>
        <w:tc>
          <w:tcPr>
            <w:tcW w:w="1781" w:type="dxa"/>
            <w:tcBorders>
              <w:top w:val="nil"/>
              <w:left w:val="nil"/>
              <w:bottom w:val="nil"/>
              <w:right w:val="nil"/>
            </w:tcBorders>
            <w:noWrap/>
            <w:vAlign w:val="center"/>
            <w:hideMark/>
          </w:tcPr>
          <w:p w14:paraId="053BB63F" w14:textId="77777777" w:rsidR="00303A11" w:rsidRPr="00F837E2" w:rsidRDefault="00303A11" w:rsidP="00303A11">
            <w:pPr>
              <w:spacing w:after="0" w:line="360" w:lineRule="auto"/>
              <w:jc w:val="right"/>
              <w:rPr>
                <w:rFonts w:ascii="Arial" w:eastAsia="Times New Roman" w:hAnsi="Arial" w:cs="Arial"/>
                <w:color w:val="008000"/>
                <w:sz w:val="24"/>
                <w:szCs w:val="24"/>
              </w:rPr>
            </w:pPr>
            <w:r w:rsidRPr="00F837E2">
              <w:rPr>
                <w:rFonts w:ascii="Arial" w:eastAsia="Times New Roman" w:hAnsi="Arial" w:cs="Arial"/>
                <w:color w:val="008000"/>
                <w:sz w:val="24"/>
                <w:szCs w:val="24"/>
              </w:rPr>
              <w:t>3,212</w:t>
            </w:r>
          </w:p>
        </w:tc>
        <w:tc>
          <w:tcPr>
            <w:tcW w:w="2467" w:type="dxa"/>
            <w:tcBorders>
              <w:top w:val="nil"/>
              <w:left w:val="nil"/>
              <w:bottom w:val="nil"/>
              <w:right w:val="nil"/>
            </w:tcBorders>
            <w:noWrap/>
            <w:vAlign w:val="center"/>
            <w:hideMark/>
          </w:tcPr>
          <w:p w14:paraId="5ECB4941" w14:textId="77777777" w:rsidR="00303A11" w:rsidRPr="00F837E2" w:rsidRDefault="00303A11" w:rsidP="00303A11">
            <w:pPr>
              <w:spacing w:after="0" w:line="360" w:lineRule="auto"/>
              <w:jc w:val="right"/>
              <w:rPr>
                <w:rFonts w:ascii="Arial" w:eastAsia="Times New Roman" w:hAnsi="Arial" w:cs="Arial"/>
                <w:color w:val="008000"/>
                <w:sz w:val="24"/>
                <w:szCs w:val="24"/>
              </w:rPr>
            </w:pPr>
            <w:r w:rsidRPr="00F837E2">
              <w:rPr>
                <w:rFonts w:ascii="Arial" w:eastAsia="Times New Roman" w:hAnsi="Arial" w:cs="Arial"/>
                <w:color w:val="008000"/>
                <w:sz w:val="24"/>
                <w:szCs w:val="24"/>
              </w:rPr>
              <w:t>2,608</w:t>
            </w:r>
          </w:p>
        </w:tc>
        <w:tc>
          <w:tcPr>
            <w:tcW w:w="1781" w:type="dxa"/>
            <w:tcBorders>
              <w:top w:val="nil"/>
              <w:left w:val="nil"/>
              <w:bottom w:val="nil"/>
              <w:right w:val="nil"/>
            </w:tcBorders>
            <w:noWrap/>
            <w:vAlign w:val="center"/>
            <w:hideMark/>
          </w:tcPr>
          <w:p w14:paraId="37C62F8F" w14:textId="77777777" w:rsidR="00303A11" w:rsidRPr="00F837E2" w:rsidRDefault="00303A11" w:rsidP="00303A11">
            <w:pPr>
              <w:spacing w:after="0" w:line="360" w:lineRule="auto"/>
              <w:jc w:val="right"/>
              <w:rPr>
                <w:rFonts w:ascii="Arial" w:eastAsia="Times New Roman" w:hAnsi="Arial" w:cs="Arial"/>
                <w:color w:val="008000"/>
                <w:sz w:val="24"/>
                <w:szCs w:val="24"/>
              </w:rPr>
            </w:pPr>
            <w:r w:rsidRPr="00F837E2">
              <w:rPr>
                <w:rFonts w:ascii="Arial" w:eastAsia="Times New Roman" w:hAnsi="Arial" w:cs="Arial"/>
                <w:color w:val="008000"/>
                <w:sz w:val="24"/>
                <w:szCs w:val="24"/>
              </w:rPr>
              <w:t>4,018</w:t>
            </w:r>
          </w:p>
        </w:tc>
      </w:tr>
    </w:tbl>
    <w:p w14:paraId="24697904" w14:textId="77777777" w:rsidR="00303A11" w:rsidRPr="00F837E2" w:rsidRDefault="00303A11" w:rsidP="00303A11">
      <w:pPr>
        <w:spacing w:line="360" w:lineRule="auto"/>
        <w:rPr>
          <w:rFonts w:ascii="Arial" w:hAnsi="Arial" w:cs="Arial"/>
          <w:sz w:val="24"/>
          <w:szCs w:val="24"/>
        </w:rPr>
      </w:pPr>
    </w:p>
    <w:p w14:paraId="4808ECE6" w14:textId="55FF8E5E" w:rsidR="00303A11" w:rsidRPr="00F837E2" w:rsidRDefault="00303A11" w:rsidP="00303A11">
      <w:pPr>
        <w:spacing w:line="360" w:lineRule="auto"/>
        <w:rPr>
          <w:rFonts w:ascii="Arial" w:hAnsi="Arial" w:cs="Arial"/>
          <w:sz w:val="24"/>
          <w:szCs w:val="24"/>
        </w:rPr>
      </w:pPr>
      <w:r w:rsidRPr="00F837E2">
        <w:rPr>
          <w:rFonts w:ascii="Arial" w:hAnsi="Arial" w:cs="Arial"/>
          <w:noProof/>
          <w:sz w:val="24"/>
          <w:szCs w:val="24"/>
        </w:rPr>
        <w:drawing>
          <wp:inline distT="0" distB="0" distL="0" distR="0" wp14:anchorId="48058D7B" wp14:editId="4F75D6CA">
            <wp:extent cx="6032810" cy="3568390"/>
            <wp:effectExtent l="0" t="0" r="6350" b="13335"/>
            <wp:docPr id="1558256060" name="Chart 1">
              <a:extLst xmlns:a="http://schemas.openxmlformats.org/drawingml/2006/main">
                <a:ext uri="{FF2B5EF4-FFF2-40B4-BE49-F238E27FC236}">
                  <a16:creationId xmlns:a16="http://schemas.microsoft.com/office/drawing/2014/main" id="{00000000-0008-0000-0000-000005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268D7277" w14:textId="77777777" w:rsidR="00943CCC" w:rsidRPr="00F837E2" w:rsidRDefault="00943CCC" w:rsidP="00943CCC">
      <w:pPr>
        <w:pStyle w:val="Heading2"/>
        <w:numPr>
          <w:ilvl w:val="1"/>
          <w:numId w:val="1"/>
        </w:numPr>
        <w:rPr>
          <w:rFonts w:ascii="Arial" w:hAnsi="Arial" w:cs="Arial"/>
          <w:sz w:val="24"/>
          <w:szCs w:val="24"/>
        </w:rPr>
      </w:pPr>
      <w:bookmarkStart w:id="35" w:name="_Toc235687090"/>
      <w:r w:rsidRPr="00F837E2">
        <w:rPr>
          <w:rFonts w:ascii="Arial" w:hAnsi="Arial" w:cs="Arial"/>
          <w:sz w:val="24"/>
          <w:szCs w:val="24"/>
        </w:rPr>
        <w:lastRenderedPageBreak/>
        <w:t>Appendix E: Comparative Investment Appraisal Results</w:t>
      </w:r>
      <w:bookmarkEnd w:id="35"/>
    </w:p>
    <w:p w14:paraId="1B6CF4BB" w14:textId="77777777" w:rsidR="00943CCC" w:rsidRPr="00F837E2" w:rsidRDefault="00943CCC" w:rsidP="00943CCC">
      <w:pPr>
        <w:rPr>
          <w:rFonts w:ascii="Arial" w:hAnsi="Arial" w:cs="Arial"/>
          <w:sz w:val="24"/>
          <w:szCs w:val="24"/>
        </w:rPr>
      </w:pPr>
      <w:r w:rsidRPr="00F837E2">
        <w:rPr>
          <w:rFonts w:ascii="Arial" w:hAnsi="Arial" w:cs="Arial"/>
          <w:noProof/>
          <w:sz w:val="24"/>
          <w:szCs w:val="24"/>
        </w:rPr>
        <w:drawing>
          <wp:inline distT="0" distB="0" distL="0" distR="0" wp14:anchorId="72687BBB" wp14:editId="6977641E">
            <wp:extent cx="5883402" cy="2653468"/>
            <wp:effectExtent l="0" t="0" r="3175" b="0"/>
            <wp:docPr id="14221573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2157303" name=""/>
                    <pic:cNvPicPr/>
                  </pic:nvPicPr>
                  <pic:blipFill>
                    <a:blip r:embed="rId18"/>
                    <a:stretch>
                      <a:fillRect/>
                    </a:stretch>
                  </pic:blipFill>
                  <pic:spPr>
                    <a:xfrm>
                      <a:off x="0" y="0"/>
                      <a:ext cx="5887201" cy="2655181"/>
                    </a:xfrm>
                    <a:prstGeom prst="rect">
                      <a:avLst/>
                    </a:prstGeom>
                  </pic:spPr>
                </pic:pic>
              </a:graphicData>
            </a:graphic>
          </wp:inline>
        </w:drawing>
      </w:r>
    </w:p>
    <w:p w14:paraId="3DF577EF" w14:textId="77777777" w:rsidR="00943CCC" w:rsidRPr="00F837E2" w:rsidRDefault="00943CCC" w:rsidP="00943CCC">
      <w:pPr>
        <w:rPr>
          <w:rFonts w:ascii="Arial" w:hAnsi="Arial" w:cs="Arial"/>
          <w:sz w:val="24"/>
          <w:szCs w:val="24"/>
        </w:rPr>
      </w:pPr>
    </w:p>
    <w:p w14:paraId="0D06E90A" w14:textId="77777777" w:rsidR="00943CCC" w:rsidRPr="00F837E2" w:rsidRDefault="00943CCC" w:rsidP="00943CCC">
      <w:pPr>
        <w:rPr>
          <w:rFonts w:ascii="Arial" w:hAnsi="Arial" w:cs="Arial"/>
          <w:sz w:val="24"/>
          <w:szCs w:val="24"/>
        </w:rPr>
      </w:pPr>
      <w:r w:rsidRPr="00F837E2">
        <w:rPr>
          <w:rFonts w:ascii="Arial" w:hAnsi="Arial" w:cs="Arial"/>
          <w:noProof/>
          <w:sz w:val="24"/>
          <w:szCs w:val="24"/>
        </w:rPr>
        <w:drawing>
          <wp:inline distT="0" distB="0" distL="0" distR="0" wp14:anchorId="49450D9A" wp14:editId="500CD3F6">
            <wp:extent cx="5817064" cy="3419221"/>
            <wp:effectExtent l="0" t="0" r="0" b="0"/>
            <wp:docPr id="7918393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1839342" name=""/>
                    <pic:cNvPicPr/>
                  </pic:nvPicPr>
                  <pic:blipFill>
                    <a:blip r:embed="rId19"/>
                    <a:stretch>
                      <a:fillRect/>
                    </a:stretch>
                  </pic:blipFill>
                  <pic:spPr>
                    <a:xfrm>
                      <a:off x="0" y="0"/>
                      <a:ext cx="5820475" cy="3421226"/>
                    </a:xfrm>
                    <a:prstGeom prst="rect">
                      <a:avLst/>
                    </a:prstGeom>
                  </pic:spPr>
                </pic:pic>
              </a:graphicData>
            </a:graphic>
          </wp:inline>
        </w:drawing>
      </w:r>
    </w:p>
    <w:p w14:paraId="5D26D69C" w14:textId="77777777" w:rsidR="00943CCC" w:rsidRPr="00F837E2" w:rsidRDefault="00943CCC" w:rsidP="00943CCC">
      <w:pPr>
        <w:rPr>
          <w:rFonts w:ascii="Arial" w:hAnsi="Arial" w:cs="Arial"/>
          <w:sz w:val="24"/>
          <w:szCs w:val="24"/>
        </w:rPr>
      </w:pPr>
      <w:r w:rsidRPr="00F837E2">
        <w:rPr>
          <w:rFonts w:ascii="Arial" w:hAnsi="Arial" w:cs="Arial"/>
          <w:noProof/>
          <w:sz w:val="24"/>
          <w:szCs w:val="24"/>
        </w:rPr>
        <w:drawing>
          <wp:inline distT="0" distB="0" distL="0" distR="0" wp14:anchorId="7F44F510" wp14:editId="056D1703">
            <wp:extent cx="5871210" cy="1969726"/>
            <wp:effectExtent l="0" t="0" r="0" b="0"/>
            <wp:docPr id="19116364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1636403" name=""/>
                    <pic:cNvPicPr/>
                  </pic:nvPicPr>
                  <pic:blipFill>
                    <a:blip r:embed="rId20"/>
                    <a:stretch>
                      <a:fillRect/>
                    </a:stretch>
                  </pic:blipFill>
                  <pic:spPr>
                    <a:xfrm>
                      <a:off x="0" y="0"/>
                      <a:ext cx="5877114" cy="1971707"/>
                    </a:xfrm>
                    <a:prstGeom prst="rect">
                      <a:avLst/>
                    </a:prstGeom>
                  </pic:spPr>
                </pic:pic>
              </a:graphicData>
            </a:graphic>
          </wp:inline>
        </w:drawing>
      </w:r>
    </w:p>
    <w:p w14:paraId="3603FE6E" w14:textId="77777777" w:rsidR="00943CCC" w:rsidRPr="00F837E2" w:rsidRDefault="00943CCC" w:rsidP="00943CCC">
      <w:pPr>
        <w:rPr>
          <w:rFonts w:ascii="Arial" w:hAnsi="Arial" w:cs="Arial"/>
          <w:sz w:val="24"/>
          <w:szCs w:val="24"/>
        </w:rPr>
      </w:pPr>
    </w:p>
    <w:tbl>
      <w:tblPr>
        <w:tblStyle w:val="GridTable4-Accent4"/>
        <w:tblW w:w="0" w:type="auto"/>
        <w:tblLook w:val="04A0" w:firstRow="1" w:lastRow="0" w:firstColumn="1" w:lastColumn="0" w:noHBand="0" w:noVBand="1"/>
      </w:tblPr>
      <w:tblGrid>
        <w:gridCol w:w="1100"/>
        <w:gridCol w:w="1512"/>
        <w:gridCol w:w="878"/>
        <w:gridCol w:w="1053"/>
        <w:gridCol w:w="1339"/>
        <w:gridCol w:w="969"/>
        <w:gridCol w:w="933"/>
        <w:gridCol w:w="1232"/>
      </w:tblGrid>
      <w:tr w:rsidR="00943CCC" w:rsidRPr="00F837E2" w14:paraId="45DF8D24" w14:textId="77777777" w:rsidTr="005D7FC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01" w:type="dxa"/>
          </w:tcPr>
          <w:p w14:paraId="5244A10B" w14:textId="77777777" w:rsidR="00943CCC" w:rsidRPr="00F837E2" w:rsidRDefault="00943CCC" w:rsidP="00AA5684">
            <w:pPr>
              <w:jc w:val="center"/>
              <w:rPr>
                <w:rFonts w:ascii="Arial" w:hAnsi="Arial" w:cs="Arial"/>
                <w:sz w:val="24"/>
                <w:szCs w:val="24"/>
              </w:rPr>
            </w:pPr>
            <w:r w:rsidRPr="00F837E2">
              <w:rPr>
                <w:rFonts w:ascii="Arial" w:hAnsi="Arial" w:cs="Arial"/>
                <w:color w:val="FFFFFF"/>
                <w:sz w:val="24"/>
                <w:szCs w:val="24"/>
              </w:rPr>
              <w:t>Project</w:t>
            </w:r>
          </w:p>
        </w:tc>
        <w:tc>
          <w:tcPr>
            <w:tcW w:w="1757" w:type="dxa"/>
          </w:tcPr>
          <w:p w14:paraId="2DE31018" w14:textId="77777777" w:rsidR="00943CCC" w:rsidRPr="00F837E2" w:rsidRDefault="00943CCC" w:rsidP="00AA5684">
            <w:pPr>
              <w:jc w:val="cente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F837E2">
              <w:rPr>
                <w:rFonts w:ascii="Arial" w:hAnsi="Arial" w:cs="Arial"/>
                <w:color w:val="FFFFFF"/>
                <w:sz w:val="24"/>
                <w:szCs w:val="24"/>
              </w:rPr>
              <w:t>Initial investment</w:t>
            </w:r>
          </w:p>
        </w:tc>
        <w:tc>
          <w:tcPr>
            <w:tcW w:w="1531" w:type="dxa"/>
          </w:tcPr>
          <w:p w14:paraId="7AED2E2D" w14:textId="77777777" w:rsidR="00943CCC" w:rsidRPr="00F837E2" w:rsidRDefault="00943CCC" w:rsidP="00AA5684">
            <w:pPr>
              <w:jc w:val="cente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F837E2">
              <w:rPr>
                <w:rFonts w:ascii="Arial" w:hAnsi="Arial" w:cs="Arial"/>
                <w:color w:val="FFFFFF"/>
                <w:sz w:val="24"/>
                <w:szCs w:val="24"/>
              </w:rPr>
              <w:t>PBP</w:t>
            </w:r>
          </w:p>
        </w:tc>
        <w:tc>
          <w:tcPr>
            <w:tcW w:w="1247" w:type="dxa"/>
          </w:tcPr>
          <w:p w14:paraId="78115CCB" w14:textId="77777777" w:rsidR="00943CCC" w:rsidRPr="00F837E2" w:rsidRDefault="00943CCC" w:rsidP="00AA5684">
            <w:pPr>
              <w:jc w:val="cente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F837E2">
              <w:rPr>
                <w:rFonts w:ascii="Arial" w:hAnsi="Arial" w:cs="Arial"/>
                <w:color w:val="FFFFFF"/>
                <w:sz w:val="24"/>
                <w:szCs w:val="24"/>
              </w:rPr>
              <w:t>ARR</w:t>
            </w:r>
          </w:p>
        </w:tc>
        <w:tc>
          <w:tcPr>
            <w:tcW w:w="1587" w:type="dxa"/>
          </w:tcPr>
          <w:p w14:paraId="4D21E00A" w14:textId="77777777" w:rsidR="00943CCC" w:rsidRPr="00F837E2" w:rsidRDefault="00943CCC" w:rsidP="00AA5684">
            <w:pPr>
              <w:jc w:val="cente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F837E2">
              <w:rPr>
                <w:rFonts w:ascii="Arial" w:hAnsi="Arial" w:cs="Arial"/>
                <w:color w:val="FFFFFF"/>
                <w:sz w:val="24"/>
                <w:szCs w:val="24"/>
              </w:rPr>
              <w:t>NPV</w:t>
            </w:r>
          </w:p>
        </w:tc>
        <w:tc>
          <w:tcPr>
            <w:tcW w:w="1247" w:type="dxa"/>
          </w:tcPr>
          <w:p w14:paraId="279CC90F" w14:textId="77777777" w:rsidR="00943CCC" w:rsidRPr="00F837E2" w:rsidRDefault="00943CCC" w:rsidP="00AA5684">
            <w:pPr>
              <w:jc w:val="cente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F837E2">
              <w:rPr>
                <w:rFonts w:ascii="Arial" w:hAnsi="Arial" w:cs="Arial"/>
                <w:color w:val="FFFFFF"/>
                <w:sz w:val="24"/>
                <w:szCs w:val="24"/>
              </w:rPr>
              <w:t>PI</w:t>
            </w:r>
          </w:p>
        </w:tc>
        <w:tc>
          <w:tcPr>
            <w:tcW w:w="1247" w:type="dxa"/>
          </w:tcPr>
          <w:p w14:paraId="44DA0DBB" w14:textId="77777777" w:rsidR="00943CCC" w:rsidRPr="00F837E2" w:rsidRDefault="00943CCC" w:rsidP="00AA5684">
            <w:pPr>
              <w:jc w:val="cente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F837E2">
              <w:rPr>
                <w:rFonts w:ascii="Arial" w:hAnsi="Arial" w:cs="Arial"/>
                <w:color w:val="FFFFFF"/>
                <w:sz w:val="24"/>
                <w:szCs w:val="24"/>
              </w:rPr>
              <w:t>IRR</w:t>
            </w:r>
          </w:p>
        </w:tc>
        <w:tc>
          <w:tcPr>
            <w:tcW w:w="1361" w:type="dxa"/>
          </w:tcPr>
          <w:p w14:paraId="7C4D8B22" w14:textId="77777777" w:rsidR="00943CCC" w:rsidRPr="00F837E2" w:rsidRDefault="00943CCC" w:rsidP="00AA5684">
            <w:pPr>
              <w:jc w:val="cente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F837E2">
              <w:rPr>
                <w:rFonts w:ascii="Arial" w:hAnsi="Arial" w:cs="Arial"/>
                <w:color w:val="FFFFFF"/>
                <w:sz w:val="24"/>
                <w:szCs w:val="24"/>
              </w:rPr>
              <w:t>Decision</w:t>
            </w:r>
          </w:p>
        </w:tc>
      </w:tr>
      <w:tr w:rsidR="00943CCC" w:rsidRPr="00F837E2" w14:paraId="63416B24" w14:textId="77777777" w:rsidTr="005D7FC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01" w:type="dxa"/>
          </w:tcPr>
          <w:p w14:paraId="2C36663C" w14:textId="77777777" w:rsidR="00943CCC" w:rsidRPr="00F837E2" w:rsidRDefault="00943CCC" w:rsidP="00AA5684">
            <w:pPr>
              <w:rPr>
                <w:rFonts w:ascii="Arial" w:hAnsi="Arial" w:cs="Arial"/>
                <w:sz w:val="24"/>
                <w:szCs w:val="24"/>
              </w:rPr>
            </w:pPr>
            <w:r w:rsidRPr="00F837E2">
              <w:rPr>
                <w:rFonts w:ascii="Arial" w:hAnsi="Arial" w:cs="Arial"/>
                <w:sz w:val="24"/>
                <w:szCs w:val="24"/>
              </w:rPr>
              <w:t>Project A</w:t>
            </w:r>
          </w:p>
        </w:tc>
        <w:tc>
          <w:tcPr>
            <w:tcW w:w="1757" w:type="dxa"/>
          </w:tcPr>
          <w:p w14:paraId="3DFCE290" w14:textId="77777777" w:rsidR="00943CCC" w:rsidRPr="00F837E2" w:rsidRDefault="00943CCC" w:rsidP="00AA5684">
            <w:pPr>
              <w:jc w:val="right"/>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837E2">
              <w:rPr>
                <w:rFonts w:ascii="Arial" w:hAnsi="Arial" w:cs="Arial"/>
                <w:sz w:val="24"/>
                <w:szCs w:val="24"/>
              </w:rPr>
              <w:t>£50.000m</w:t>
            </w:r>
          </w:p>
        </w:tc>
        <w:tc>
          <w:tcPr>
            <w:tcW w:w="1531" w:type="dxa"/>
          </w:tcPr>
          <w:p w14:paraId="298C9531" w14:textId="77777777" w:rsidR="00943CCC" w:rsidRPr="00F837E2" w:rsidRDefault="00943CCC" w:rsidP="00AA5684">
            <w:pPr>
              <w:jc w:val="right"/>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837E2">
              <w:rPr>
                <w:rFonts w:ascii="Arial" w:hAnsi="Arial" w:cs="Arial"/>
                <w:sz w:val="24"/>
                <w:szCs w:val="24"/>
              </w:rPr>
              <w:t>4.50 years</w:t>
            </w:r>
          </w:p>
        </w:tc>
        <w:tc>
          <w:tcPr>
            <w:tcW w:w="1247" w:type="dxa"/>
          </w:tcPr>
          <w:p w14:paraId="11443B57" w14:textId="77777777" w:rsidR="00943CCC" w:rsidRPr="00F837E2" w:rsidRDefault="00943CCC" w:rsidP="00AA5684">
            <w:pPr>
              <w:jc w:val="right"/>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837E2">
              <w:rPr>
                <w:rFonts w:ascii="Arial" w:hAnsi="Arial" w:cs="Arial"/>
                <w:sz w:val="24"/>
                <w:szCs w:val="24"/>
              </w:rPr>
              <w:t>3.20%</w:t>
            </w:r>
          </w:p>
        </w:tc>
        <w:tc>
          <w:tcPr>
            <w:tcW w:w="1587" w:type="dxa"/>
          </w:tcPr>
          <w:p w14:paraId="01A53779" w14:textId="77777777" w:rsidR="00943CCC" w:rsidRPr="00F837E2" w:rsidRDefault="00943CCC" w:rsidP="00AA5684">
            <w:pPr>
              <w:jc w:val="right"/>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837E2">
              <w:rPr>
                <w:rFonts w:ascii="Arial" w:hAnsi="Arial" w:cs="Arial"/>
                <w:sz w:val="24"/>
                <w:szCs w:val="24"/>
              </w:rPr>
              <w:t>(£6.544m)</w:t>
            </w:r>
          </w:p>
        </w:tc>
        <w:tc>
          <w:tcPr>
            <w:tcW w:w="1247" w:type="dxa"/>
          </w:tcPr>
          <w:p w14:paraId="3A4DDFA5" w14:textId="77777777" w:rsidR="00943CCC" w:rsidRPr="00F837E2" w:rsidRDefault="00943CCC" w:rsidP="00AA5684">
            <w:pPr>
              <w:jc w:val="right"/>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837E2">
              <w:rPr>
                <w:rFonts w:ascii="Arial" w:hAnsi="Arial" w:cs="Arial"/>
                <w:sz w:val="24"/>
                <w:szCs w:val="24"/>
              </w:rPr>
              <w:t>0.869x</w:t>
            </w:r>
          </w:p>
        </w:tc>
        <w:tc>
          <w:tcPr>
            <w:tcW w:w="1247" w:type="dxa"/>
          </w:tcPr>
          <w:p w14:paraId="588989BE" w14:textId="77777777" w:rsidR="00943CCC" w:rsidRPr="00F837E2" w:rsidRDefault="00943CCC" w:rsidP="00AA5684">
            <w:pPr>
              <w:jc w:val="right"/>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837E2">
              <w:rPr>
                <w:rFonts w:ascii="Arial" w:hAnsi="Arial" w:cs="Arial"/>
                <w:sz w:val="24"/>
                <w:szCs w:val="24"/>
              </w:rPr>
              <w:t>2.72%</w:t>
            </w:r>
          </w:p>
        </w:tc>
        <w:tc>
          <w:tcPr>
            <w:tcW w:w="1361" w:type="dxa"/>
          </w:tcPr>
          <w:p w14:paraId="2F762A4C" w14:textId="77777777" w:rsidR="00943CCC" w:rsidRPr="00F837E2" w:rsidRDefault="00943CCC" w:rsidP="00AA5684">
            <w:pPr>
              <w:jc w:val="right"/>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837E2">
              <w:rPr>
                <w:rFonts w:ascii="Arial" w:hAnsi="Arial" w:cs="Arial"/>
                <w:sz w:val="24"/>
                <w:szCs w:val="24"/>
              </w:rPr>
              <w:t>Reject</w:t>
            </w:r>
          </w:p>
        </w:tc>
      </w:tr>
      <w:tr w:rsidR="00943CCC" w:rsidRPr="00F837E2" w14:paraId="4195B332" w14:textId="77777777" w:rsidTr="005D7FC1">
        <w:tc>
          <w:tcPr>
            <w:cnfStyle w:val="001000000000" w:firstRow="0" w:lastRow="0" w:firstColumn="1" w:lastColumn="0" w:oddVBand="0" w:evenVBand="0" w:oddHBand="0" w:evenHBand="0" w:firstRowFirstColumn="0" w:firstRowLastColumn="0" w:lastRowFirstColumn="0" w:lastRowLastColumn="0"/>
            <w:tcW w:w="1701" w:type="dxa"/>
          </w:tcPr>
          <w:p w14:paraId="5FB8337F" w14:textId="77777777" w:rsidR="00943CCC" w:rsidRPr="00F837E2" w:rsidRDefault="00943CCC" w:rsidP="00AA5684">
            <w:pPr>
              <w:rPr>
                <w:rFonts w:ascii="Arial" w:hAnsi="Arial" w:cs="Arial"/>
                <w:sz w:val="24"/>
                <w:szCs w:val="24"/>
              </w:rPr>
            </w:pPr>
            <w:r w:rsidRPr="00F837E2">
              <w:rPr>
                <w:rFonts w:ascii="Arial" w:hAnsi="Arial" w:cs="Arial"/>
                <w:sz w:val="24"/>
                <w:szCs w:val="24"/>
              </w:rPr>
              <w:t>Project B</w:t>
            </w:r>
          </w:p>
        </w:tc>
        <w:tc>
          <w:tcPr>
            <w:tcW w:w="1757" w:type="dxa"/>
          </w:tcPr>
          <w:p w14:paraId="389C6CCC" w14:textId="77777777" w:rsidR="00943CCC" w:rsidRPr="00F837E2" w:rsidRDefault="00943CCC" w:rsidP="00AA5684">
            <w:pPr>
              <w:jc w:val="right"/>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837E2">
              <w:rPr>
                <w:rFonts w:ascii="Arial" w:hAnsi="Arial" w:cs="Arial"/>
                <w:sz w:val="24"/>
                <w:szCs w:val="24"/>
              </w:rPr>
              <w:t>£50.000m</w:t>
            </w:r>
          </w:p>
        </w:tc>
        <w:tc>
          <w:tcPr>
            <w:tcW w:w="1531" w:type="dxa"/>
          </w:tcPr>
          <w:p w14:paraId="6406A9E5" w14:textId="77777777" w:rsidR="00943CCC" w:rsidRPr="00F837E2" w:rsidRDefault="00943CCC" w:rsidP="00AA5684">
            <w:pPr>
              <w:jc w:val="right"/>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837E2">
              <w:rPr>
                <w:rFonts w:ascii="Arial" w:hAnsi="Arial" w:cs="Arial"/>
                <w:sz w:val="24"/>
                <w:szCs w:val="24"/>
              </w:rPr>
              <w:t>4.55 years</w:t>
            </w:r>
          </w:p>
        </w:tc>
        <w:tc>
          <w:tcPr>
            <w:tcW w:w="1247" w:type="dxa"/>
          </w:tcPr>
          <w:p w14:paraId="6EB0A396" w14:textId="77777777" w:rsidR="00943CCC" w:rsidRPr="00F837E2" w:rsidRDefault="00943CCC" w:rsidP="00AA5684">
            <w:pPr>
              <w:jc w:val="right"/>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837E2">
              <w:rPr>
                <w:rFonts w:ascii="Arial" w:hAnsi="Arial" w:cs="Arial"/>
                <w:sz w:val="24"/>
                <w:szCs w:val="24"/>
              </w:rPr>
              <w:t>4.00%</w:t>
            </w:r>
          </w:p>
        </w:tc>
        <w:tc>
          <w:tcPr>
            <w:tcW w:w="1587" w:type="dxa"/>
          </w:tcPr>
          <w:p w14:paraId="098092D4" w14:textId="77777777" w:rsidR="00943CCC" w:rsidRPr="00F837E2" w:rsidRDefault="00943CCC" w:rsidP="00AA5684">
            <w:pPr>
              <w:jc w:val="right"/>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837E2">
              <w:rPr>
                <w:rFonts w:ascii="Arial" w:hAnsi="Arial" w:cs="Arial"/>
                <w:sz w:val="24"/>
                <w:szCs w:val="24"/>
              </w:rPr>
              <w:t>(£6.080m)</w:t>
            </w:r>
          </w:p>
        </w:tc>
        <w:tc>
          <w:tcPr>
            <w:tcW w:w="1247" w:type="dxa"/>
          </w:tcPr>
          <w:p w14:paraId="248D80B2" w14:textId="77777777" w:rsidR="00943CCC" w:rsidRPr="00F837E2" w:rsidRDefault="00943CCC" w:rsidP="00AA5684">
            <w:pPr>
              <w:jc w:val="right"/>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837E2">
              <w:rPr>
                <w:rFonts w:ascii="Arial" w:hAnsi="Arial" w:cs="Arial"/>
                <w:sz w:val="24"/>
                <w:szCs w:val="24"/>
              </w:rPr>
              <w:t>0.878x</w:t>
            </w:r>
          </w:p>
        </w:tc>
        <w:tc>
          <w:tcPr>
            <w:tcW w:w="1247" w:type="dxa"/>
          </w:tcPr>
          <w:p w14:paraId="638EF08C" w14:textId="77777777" w:rsidR="00943CCC" w:rsidRPr="00F837E2" w:rsidRDefault="00943CCC" w:rsidP="00AA5684">
            <w:pPr>
              <w:jc w:val="right"/>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837E2">
              <w:rPr>
                <w:rFonts w:ascii="Arial" w:hAnsi="Arial" w:cs="Arial"/>
                <w:sz w:val="24"/>
                <w:szCs w:val="24"/>
              </w:rPr>
              <w:t>3.26%</w:t>
            </w:r>
          </w:p>
        </w:tc>
        <w:tc>
          <w:tcPr>
            <w:tcW w:w="1361" w:type="dxa"/>
          </w:tcPr>
          <w:p w14:paraId="7DAF1A6D" w14:textId="77777777" w:rsidR="00943CCC" w:rsidRPr="00F837E2" w:rsidRDefault="00943CCC" w:rsidP="00AA5684">
            <w:pPr>
              <w:jc w:val="right"/>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837E2">
              <w:rPr>
                <w:rFonts w:ascii="Arial" w:hAnsi="Arial" w:cs="Arial"/>
                <w:sz w:val="24"/>
                <w:szCs w:val="24"/>
              </w:rPr>
              <w:t>Reject</w:t>
            </w:r>
          </w:p>
        </w:tc>
      </w:tr>
      <w:tr w:rsidR="00943CCC" w:rsidRPr="00F837E2" w14:paraId="3254F509" w14:textId="77777777" w:rsidTr="005D7FC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01" w:type="dxa"/>
          </w:tcPr>
          <w:p w14:paraId="270858B6" w14:textId="77777777" w:rsidR="00943CCC" w:rsidRPr="00F837E2" w:rsidRDefault="00943CCC" w:rsidP="00AA5684">
            <w:pPr>
              <w:rPr>
                <w:rFonts w:ascii="Arial" w:hAnsi="Arial" w:cs="Arial"/>
                <w:sz w:val="24"/>
                <w:szCs w:val="24"/>
              </w:rPr>
            </w:pPr>
            <w:r w:rsidRPr="00F837E2">
              <w:rPr>
                <w:rFonts w:ascii="Arial" w:hAnsi="Arial" w:cs="Arial"/>
                <w:sz w:val="24"/>
                <w:szCs w:val="24"/>
              </w:rPr>
              <w:t>Project C</w:t>
            </w:r>
          </w:p>
        </w:tc>
        <w:tc>
          <w:tcPr>
            <w:tcW w:w="1757" w:type="dxa"/>
          </w:tcPr>
          <w:p w14:paraId="064005E7" w14:textId="77777777" w:rsidR="00943CCC" w:rsidRPr="00F837E2" w:rsidRDefault="00943CCC" w:rsidP="00AA5684">
            <w:pPr>
              <w:jc w:val="right"/>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837E2">
              <w:rPr>
                <w:rFonts w:ascii="Arial" w:hAnsi="Arial" w:cs="Arial"/>
                <w:sz w:val="24"/>
                <w:szCs w:val="24"/>
              </w:rPr>
              <w:t>£50.000m</w:t>
            </w:r>
          </w:p>
        </w:tc>
        <w:tc>
          <w:tcPr>
            <w:tcW w:w="1531" w:type="dxa"/>
          </w:tcPr>
          <w:p w14:paraId="612F22D7" w14:textId="77777777" w:rsidR="00943CCC" w:rsidRPr="00F837E2" w:rsidRDefault="00943CCC" w:rsidP="00AA5684">
            <w:pPr>
              <w:jc w:val="right"/>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837E2">
              <w:rPr>
                <w:rFonts w:ascii="Arial" w:hAnsi="Arial" w:cs="Arial"/>
                <w:sz w:val="24"/>
                <w:szCs w:val="24"/>
              </w:rPr>
              <w:t>3.60 years</w:t>
            </w:r>
          </w:p>
        </w:tc>
        <w:tc>
          <w:tcPr>
            <w:tcW w:w="1247" w:type="dxa"/>
          </w:tcPr>
          <w:p w14:paraId="68588D96" w14:textId="77777777" w:rsidR="00943CCC" w:rsidRPr="00F837E2" w:rsidRDefault="00943CCC" w:rsidP="00AA5684">
            <w:pPr>
              <w:jc w:val="right"/>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837E2">
              <w:rPr>
                <w:rFonts w:ascii="Arial" w:hAnsi="Arial" w:cs="Arial"/>
                <w:sz w:val="24"/>
                <w:szCs w:val="24"/>
              </w:rPr>
              <w:t>12.00%</w:t>
            </w:r>
          </w:p>
        </w:tc>
        <w:tc>
          <w:tcPr>
            <w:tcW w:w="1587" w:type="dxa"/>
          </w:tcPr>
          <w:p w14:paraId="283C9A85" w14:textId="77777777" w:rsidR="00943CCC" w:rsidRPr="00F837E2" w:rsidRDefault="00943CCC" w:rsidP="00AA5684">
            <w:pPr>
              <w:jc w:val="right"/>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837E2">
              <w:rPr>
                <w:rFonts w:ascii="Arial" w:hAnsi="Arial" w:cs="Arial"/>
                <w:sz w:val="24"/>
                <w:szCs w:val="24"/>
              </w:rPr>
              <w:t>£0.858m</w:t>
            </w:r>
          </w:p>
        </w:tc>
        <w:tc>
          <w:tcPr>
            <w:tcW w:w="1247" w:type="dxa"/>
          </w:tcPr>
          <w:p w14:paraId="3800B0CA" w14:textId="77777777" w:rsidR="00943CCC" w:rsidRPr="00F837E2" w:rsidRDefault="00943CCC" w:rsidP="00AA5684">
            <w:pPr>
              <w:jc w:val="right"/>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837E2">
              <w:rPr>
                <w:rFonts w:ascii="Arial" w:hAnsi="Arial" w:cs="Arial"/>
                <w:sz w:val="24"/>
                <w:szCs w:val="24"/>
              </w:rPr>
              <w:t>1.017x</w:t>
            </w:r>
          </w:p>
        </w:tc>
        <w:tc>
          <w:tcPr>
            <w:tcW w:w="1247" w:type="dxa"/>
          </w:tcPr>
          <w:p w14:paraId="0D8B125F" w14:textId="77777777" w:rsidR="00943CCC" w:rsidRPr="00F837E2" w:rsidRDefault="00943CCC" w:rsidP="00AA5684">
            <w:pPr>
              <w:jc w:val="right"/>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837E2">
              <w:rPr>
                <w:rFonts w:ascii="Arial" w:hAnsi="Arial" w:cs="Arial"/>
                <w:sz w:val="24"/>
                <w:szCs w:val="24"/>
              </w:rPr>
              <w:t>8.59%</w:t>
            </w:r>
          </w:p>
        </w:tc>
        <w:tc>
          <w:tcPr>
            <w:tcW w:w="1361" w:type="dxa"/>
          </w:tcPr>
          <w:p w14:paraId="2B4C89F3" w14:textId="77777777" w:rsidR="00943CCC" w:rsidRPr="00F837E2" w:rsidRDefault="00943CCC" w:rsidP="00AA5684">
            <w:pPr>
              <w:jc w:val="right"/>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837E2">
              <w:rPr>
                <w:rFonts w:ascii="Arial" w:hAnsi="Arial" w:cs="Arial"/>
                <w:sz w:val="24"/>
                <w:szCs w:val="24"/>
              </w:rPr>
              <w:t>Accept</w:t>
            </w:r>
          </w:p>
        </w:tc>
      </w:tr>
    </w:tbl>
    <w:p w14:paraId="0049383C" w14:textId="77777777" w:rsidR="00943CCC" w:rsidRPr="00F837E2" w:rsidRDefault="00943CCC" w:rsidP="00943CCC">
      <w:pPr>
        <w:spacing w:before="40"/>
        <w:rPr>
          <w:rFonts w:ascii="Arial" w:hAnsi="Arial" w:cs="Arial"/>
          <w:sz w:val="24"/>
          <w:szCs w:val="24"/>
        </w:rPr>
      </w:pPr>
    </w:p>
    <w:p w14:paraId="13FF00BC" w14:textId="77777777" w:rsidR="00943CCC" w:rsidRPr="00F837E2" w:rsidRDefault="00943CCC" w:rsidP="00943CCC">
      <w:pPr>
        <w:pStyle w:val="Heading2"/>
        <w:numPr>
          <w:ilvl w:val="1"/>
          <w:numId w:val="1"/>
        </w:numPr>
        <w:rPr>
          <w:rFonts w:ascii="Arial" w:hAnsi="Arial" w:cs="Arial"/>
          <w:sz w:val="24"/>
          <w:szCs w:val="24"/>
        </w:rPr>
      </w:pPr>
      <w:bookmarkStart w:id="36" w:name="_Toc235687091"/>
      <w:r w:rsidRPr="00F837E2">
        <w:rPr>
          <w:rFonts w:ascii="Arial" w:hAnsi="Arial" w:cs="Arial"/>
          <w:sz w:val="24"/>
          <w:szCs w:val="24"/>
        </w:rPr>
        <w:t>Appendix F: Discounted Cash Flow at 8 Per Cent</w:t>
      </w:r>
      <w:bookmarkEnd w:id="36"/>
    </w:p>
    <w:tbl>
      <w:tblPr>
        <w:tblStyle w:val="GridTable4-Accent4"/>
        <w:tblW w:w="0" w:type="auto"/>
        <w:tblLook w:val="04A0" w:firstRow="1" w:lastRow="0" w:firstColumn="1" w:lastColumn="0" w:noHBand="0" w:noVBand="1"/>
      </w:tblPr>
      <w:tblGrid>
        <w:gridCol w:w="1675"/>
        <w:gridCol w:w="1611"/>
        <w:gridCol w:w="1910"/>
        <w:gridCol w:w="1910"/>
        <w:gridCol w:w="1910"/>
      </w:tblGrid>
      <w:tr w:rsidR="00943CCC" w:rsidRPr="00F837E2" w14:paraId="7AEB4F9C" w14:textId="77777777" w:rsidTr="005D7FC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71" w:type="dxa"/>
          </w:tcPr>
          <w:p w14:paraId="38CBE2D9" w14:textId="77777777" w:rsidR="00943CCC" w:rsidRPr="00F837E2" w:rsidRDefault="00943CCC" w:rsidP="00AA5684">
            <w:pPr>
              <w:jc w:val="center"/>
              <w:rPr>
                <w:rFonts w:ascii="Arial" w:hAnsi="Arial" w:cs="Arial"/>
                <w:sz w:val="24"/>
                <w:szCs w:val="24"/>
              </w:rPr>
            </w:pPr>
            <w:r w:rsidRPr="00F837E2">
              <w:rPr>
                <w:rFonts w:ascii="Arial" w:hAnsi="Arial" w:cs="Arial"/>
                <w:color w:val="FFFFFF"/>
                <w:sz w:val="24"/>
                <w:szCs w:val="24"/>
              </w:rPr>
              <w:t>Year</w:t>
            </w:r>
          </w:p>
        </w:tc>
        <w:tc>
          <w:tcPr>
            <w:tcW w:w="1984" w:type="dxa"/>
          </w:tcPr>
          <w:p w14:paraId="00CA69AC" w14:textId="77777777" w:rsidR="00943CCC" w:rsidRPr="00F837E2" w:rsidRDefault="00943CCC" w:rsidP="00AA5684">
            <w:pPr>
              <w:jc w:val="cente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F837E2">
              <w:rPr>
                <w:rFonts w:ascii="Arial" w:hAnsi="Arial" w:cs="Arial"/>
                <w:color w:val="FFFFFF"/>
                <w:sz w:val="24"/>
                <w:szCs w:val="24"/>
              </w:rPr>
              <w:t>Discount factor</w:t>
            </w:r>
          </w:p>
        </w:tc>
        <w:tc>
          <w:tcPr>
            <w:tcW w:w="2381" w:type="dxa"/>
          </w:tcPr>
          <w:p w14:paraId="70449212" w14:textId="77777777" w:rsidR="00943CCC" w:rsidRPr="00F837E2" w:rsidRDefault="00943CCC" w:rsidP="00AA5684">
            <w:pPr>
              <w:jc w:val="cente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F837E2">
              <w:rPr>
                <w:rFonts w:ascii="Arial" w:hAnsi="Arial" w:cs="Arial"/>
                <w:color w:val="FFFFFF"/>
                <w:sz w:val="24"/>
                <w:szCs w:val="24"/>
              </w:rPr>
              <w:t>Project A PV</w:t>
            </w:r>
          </w:p>
        </w:tc>
        <w:tc>
          <w:tcPr>
            <w:tcW w:w="2381" w:type="dxa"/>
          </w:tcPr>
          <w:p w14:paraId="11A4AB4A" w14:textId="77777777" w:rsidR="00943CCC" w:rsidRPr="00F837E2" w:rsidRDefault="00943CCC" w:rsidP="00AA5684">
            <w:pPr>
              <w:jc w:val="cente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F837E2">
              <w:rPr>
                <w:rFonts w:ascii="Arial" w:hAnsi="Arial" w:cs="Arial"/>
                <w:color w:val="FFFFFF"/>
                <w:sz w:val="24"/>
                <w:szCs w:val="24"/>
              </w:rPr>
              <w:t>Project B PV</w:t>
            </w:r>
          </w:p>
        </w:tc>
        <w:tc>
          <w:tcPr>
            <w:tcW w:w="2381" w:type="dxa"/>
          </w:tcPr>
          <w:p w14:paraId="754BE05D" w14:textId="77777777" w:rsidR="00943CCC" w:rsidRPr="00F837E2" w:rsidRDefault="00943CCC" w:rsidP="00AA5684">
            <w:pPr>
              <w:jc w:val="cente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F837E2">
              <w:rPr>
                <w:rFonts w:ascii="Arial" w:hAnsi="Arial" w:cs="Arial"/>
                <w:color w:val="FFFFFF"/>
                <w:sz w:val="24"/>
                <w:szCs w:val="24"/>
              </w:rPr>
              <w:t>Project C PV</w:t>
            </w:r>
          </w:p>
        </w:tc>
      </w:tr>
      <w:tr w:rsidR="00943CCC" w:rsidRPr="00F837E2" w14:paraId="3842045D" w14:textId="77777777" w:rsidTr="005D7FC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71" w:type="dxa"/>
          </w:tcPr>
          <w:p w14:paraId="305A0F61" w14:textId="77777777" w:rsidR="00943CCC" w:rsidRPr="00F837E2" w:rsidRDefault="00943CCC" w:rsidP="00AA5684">
            <w:pPr>
              <w:rPr>
                <w:rFonts w:ascii="Arial" w:hAnsi="Arial" w:cs="Arial"/>
                <w:sz w:val="24"/>
                <w:szCs w:val="24"/>
              </w:rPr>
            </w:pPr>
            <w:r w:rsidRPr="00F837E2">
              <w:rPr>
                <w:rFonts w:ascii="Arial" w:hAnsi="Arial" w:cs="Arial"/>
                <w:sz w:val="24"/>
                <w:szCs w:val="24"/>
              </w:rPr>
              <w:t>Year 1</w:t>
            </w:r>
          </w:p>
        </w:tc>
        <w:tc>
          <w:tcPr>
            <w:tcW w:w="1984" w:type="dxa"/>
          </w:tcPr>
          <w:p w14:paraId="0A0CD1E3" w14:textId="77777777" w:rsidR="00943CCC" w:rsidRPr="00F837E2" w:rsidRDefault="00943CCC" w:rsidP="00AA5684">
            <w:pPr>
              <w:jc w:val="right"/>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837E2">
              <w:rPr>
                <w:rFonts w:ascii="Arial" w:hAnsi="Arial" w:cs="Arial"/>
                <w:sz w:val="24"/>
                <w:szCs w:val="24"/>
              </w:rPr>
              <w:t>0.9259</w:t>
            </w:r>
          </w:p>
        </w:tc>
        <w:tc>
          <w:tcPr>
            <w:tcW w:w="2381" w:type="dxa"/>
          </w:tcPr>
          <w:p w14:paraId="28DC962E" w14:textId="77777777" w:rsidR="00943CCC" w:rsidRPr="00F837E2" w:rsidRDefault="00943CCC" w:rsidP="00AA5684">
            <w:pPr>
              <w:jc w:val="right"/>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837E2">
              <w:rPr>
                <w:rFonts w:ascii="Arial" w:hAnsi="Arial" w:cs="Arial"/>
                <w:sz w:val="24"/>
                <w:szCs w:val="24"/>
              </w:rPr>
              <w:t>£9.259m</w:t>
            </w:r>
          </w:p>
        </w:tc>
        <w:tc>
          <w:tcPr>
            <w:tcW w:w="2381" w:type="dxa"/>
          </w:tcPr>
          <w:p w14:paraId="317A3CB3" w14:textId="77777777" w:rsidR="00943CCC" w:rsidRPr="00F837E2" w:rsidRDefault="00943CCC" w:rsidP="00AA5684">
            <w:pPr>
              <w:jc w:val="right"/>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837E2">
              <w:rPr>
                <w:rFonts w:ascii="Arial" w:hAnsi="Arial" w:cs="Arial"/>
                <w:sz w:val="24"/>
                <w:szCs w:val="24"/>
              </w:rPr>
              <w:t>£10.185m</w:t>
            </w:r>
          </w:p>
        </w:tc>
        <w:tc>
          <w:tcPr>
            <w:tcW w:w="2381" w:type="dxa"/>
          </w:tcPr>
          <w:p w14:paraId="39777EA3" w14:textId="77777777" w:rsidR="00943CCC" w:rsidRPr="00F837E2" w:rsidRDefault="00943CCC" w:rsidP="00AA5684">
            <w:pPr>
              <w:jc w:val="right"/>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837E2">
              <w:rPr>
                <w:rFonts w:ascii="Arial" w:hAnsi="Arial" w:cs="Arial"/>
                <w:sz w:val="24"/>
                <w:szCs w:val="24"/>
              </w:rPr>
              <w:t>£4.630m</w:t>
            </w:r>
          </w:p>
        </w:tc>
      </w:tr>
      <w:tr w:rsidR="00943CCC" w:rsidRPr="00F837E2" w14:paraId="7FC37C90" w14:textId="77777777" w:rsidTr="005D7FC1">
        <w:tc>
          <w:tcPr>
            <w:cnfStyle w:val="001000000000" w:firstRow="0" w:lastRow="0" w:firstColumn="1" w:lastColumn="0" w:oddVBand="0" w:evenVBand="0" w:oddHBand="0" w:evenHBand="0" w:firstRowFirstColumn="0" w:firstRowLastColumn="0" w:lastRowFirstColumn="0" w:lastRowLastColumn="0"/>
            <w:tcW w:w="1871" w:type="dxa"/>
          </w:tcPr>
          <w:p w14:paraId="57AE32C2" w14:textId="77777777" w:rsidR="00943CCC" w:rsidRPr="00F837E2" w:rsidRDefault="00943CCC" w:rsidP="00AA5684">
            <w:pPr>
              <w:rPr>
                <w:rFonts w:ascii="Arial" w:hAnsi="Arial" w:cs="Arial"/>
                <w:sz w:val="24"/>
                <w:szCs w:val="24"/>
              </w:rPr>
            </w:pPr>
            <w:r w:rsidRPr="00F837E2">
              <w:rPr>
                <w:rFonts w:ascii="Arial" w:hAnsi="Arial" w:cs="Arial"/>
                <w:sz w:val="24"/>
                <w:szCs w:val="24"/>
              </w:rPr>
              <w:t>Year 2</w:t>
            </w:r>
          </w:p>
        </w:tc>
        <w:tc>
          <w:tcPr>
            <w:tcW w:w="1984" w:type="dxa"/>
          </w:tcPr>
          <w:p w14:paraId="50DE278C" w14:textId="77777777" w:rsidR="00943CCC" w:rsidRPr="00F837E2" w:rsidRDefault="00943CCC" w:rsidP="00AA5684">
            <w:pPr>
              <w:jc w:val="right"/>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837E2">
              <w:rPr>
                <w:rFonts w:ascii="Arial" w:hAnsi="Arial" w:cs="Arial"/>
                <w:sz w:val="24"/>
                <w:szCs w:val="24"/>
              </w:rPr>
              <w:t>0.8573</w:t>
            </w:r>
          </w:p>
        </w:tc>
        <w:tc>
          <w:tcPr>
            <w:tcW w:w="2381" w:type="dxa"/>
          </w:tcPr>
          <w:p w14:paraId="75A0155A" w14:textId="77777777" w:rsidR="00943CCC" w:rsidRPr="00F837E2" w:rsidRDefault="00943CCC" w:rsidP="00AA5684">
            <w:pPr>
              <w:jc w:val="right"/>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837E2">
              <w:rPr>
                <w:rFonts w:ascii="Arial" w:hAnsi="Arial" w:cs="Arial"/>
                <w:sz w:val="24"/>
                <w:szCs w:val="24"/>
              </w:rPr>
              <w:t>£10.288m</w:t>
            </w:r>
          </w:p>
        </w:tc>
        <w:tc>
          <w:tcPr>
            <w:tcW w:w="2381" w:type="dxa"/>
          </w:tcPr>
          <w:p w14:paraId="19600254" w14:textId="77777777" w:rsidR="00943CCC" w:rsidRPr="00F837E2" w:rsidRDefault="00943CCC" w:rsidP="00AA5684">
            <w:pPr>
              <w:jc w:val="right"/>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837E2">
              <w:rPr>
                <w:rFonts w:ascii="Arial" w:hAnsi="Arial" w:cs="Arial"/>
                <w:sz w:val="24"/>
                <w:szCs w:val="24"/>
              </w:rPr>
              <w:t>£9.431m</w:t>
            </w:r>
          </w:p>
        </w:tc>
        <w:tc>
          <w:tcPr>
            <w:tcW w:w="2381" w:type="dxa"/>
          </w:tcPr>
          <w:p w14:paraId="134601E5" w14:textId="77777777" w:rsidR="00943CCC" w:rsidRPr="00F837E2" w:rsidRDefault="00943CCC" w:rsidP="00AA5684">
            <w:pPr>
              <w:jc w:val="right"/>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837E2">
              <w:rPr>
                <w:rFonts w:ascii="Arial" w:hAnsi="Arial" w:cs="Arial"/>
                <w:sz w:val="24"/>
                <w:szCs w:val="24"/>
              </w:rPr>
              <w:t>£8.573m</w:t>
            </w:r>
          </w:p>
        </w:tc>
      </w:tr>
      <w:tr w:rsidR="00943CCC" w:rsidRPr="00F837E2" w14:paraId="07D3D0C5" w14:textId="77777777" w:rsidTr="005D7FC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71" w:type="dxa"/>
          </w:tcPr>
          <w:p w14:paraId="098EA05E" w14:textId="77777777" w:rsidR="00943CCC" w:rsidRPr="00F837E2" w:rsidRDefault="00943CCC" w:rsidP="00AA5684">
            <w:pPr>
              <w:rPr>
                <w:rFonts w:ascii="Arial" w:hAnsi="Arial" w:cs="Arial"/>
                <w:sz w:val="24"/>
                <w:szCs w:val="24"/>
              </w:rPr>
            </w:pPr>
            <w:r w:rsidRPr="00F837E2">
              <w:rPr>
                <w:rFonts w:ascii="Arial" w:hAnsi="Arial" w:cs="Arial"/>
                <w:sz w:val="24"/>
                <w:szCs w:val="24"/>
              </w:rPr>
              <w:t>Year 3</w:t>
            </w:r>
          </w:p>
        </w:tc>
        <w:tc>
          <w:tcPr>
            <w:tcW w:w="1984" w:type="dxa"/>
          </w:tcPr>
          <w:p w14:paraId="3FAAF9F5" w14:textId="77777777" w:rsidR="00943CCC" w:rsidRPr="00F837E2" w:rsidRDefault="00943CCC" w:rsidP="00AA5684">
            <w:pPr>
              <w:jc w:val="right"/>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837E2">
              <w:rPr>
                <w:rFonts w:ascii="Arial" w:hAnsi="Arial" w:cs="Arial"/>
                <w:sz w:val="24"/>
                <w:szCs w:val="24"/>
              </w:rPr>
              <w:t>0.7938</w:t>
            </w:r>
          </w:p>
        </w:tc>
        <w:tc>
          <w:tcPr>
            <w:tcW w:w="2381" w:type="dxa"/>
          </w:tcPr>
          <w:p w14:paraId="1D44149B" w14:textId="77777777" w:rsidR="00943CCC" w:rsidRPr="00F837E2" w:rsidRDefault="00943CCC" w:rsidP="00AA5684">
            <w:pPr>
              <w:jc w:val="right"/>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837E2">
              <w:rPr>
                <w:rFonts w:ascii="Arial" w:hAnsi="Arial" w:cs="Arial"/>
                <w:sz w:val="24"/>
                <w:szCs w:val="24"/>
              </w:rPr>
              <w:t>£11.114m</w:t>
            </w:r>
          </w:p>
        </w:tc>
        <w:tc>
          <w:tcPr>
            <w:tcW w:w="2381" w:type="dxa"/>
          </w:tcPr>
          <w:p w14:paraId="57D747AA" w14:textId="77777777" w:rsidR="00943CCC" w:rsidRPr="00F837E2" w:rsidRDefault="00943CCC" w:rsidP="00AA5684">
            <w:pPr>
              <w:jc w:val="right"/>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837E2">
              <w:rPr>
                <w:rFonts w:ascii="Arial" w:hAnsi="Arial" w:cs="Arial"/>
                <w:sz w:val="24"/>
                <w:szCs w:val="24"/>
              </w:rPr>
              <w:t>£8.732m</w:t>
            </w:r>
          </w:p>
        </w:tc>
        <w:tc>
          <w:tcPr>
            <w:tcW w:w="2381" w:type="dxa"/>
          </w:tcPr>
          <w:p w14:paraId="78E517ED" w14:textId="77777777" w:rsidR="00943CCC" w:rsidRPr="00F837E2" w:rsidRDefault="00943CCC" w:rsidP="00AA5684">
            <w:pPr>
              <w:jc w:val="right"/>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837E2">
              <w:rPr>
                <w:rFonts w:ascii="Arial" w:hAnsi="Arial" w:cs="Arial"/>
                <w:sz w:val="24"/>
                <w:szCs w:val="24"/>
              </w:rPr>
              <w:t>£15.877m</w:t>
            </w:r>
          </w:p>
        </w:tc>
      </w:tr>
      <w:tr w:rsidR="00943CCC" w:rsidRPr="00F837E2" w14:paraId="64E67598" w14:textId="77777777" w:rsidTr="005D7FC1">
        <w:tc>
          <w:tcPr>
            <w:cnfStyle w:val="001000000000" w:firstRow="0" w:lastRow="0" w:firstColumn="1" w:lastColumn="0" w:oddVBand="0" w:evenVBand="0" w:oddHBand="0" w:evenHBand="0" w:firstRowFirstColumn="0" w:firstRowLastColumn="0" w:lastRowFirstColumn="0" w:lastRowLastColumn="0"/>
            <w:tcW w:w="1871" w:type="dxa"/>
          </w:tcPr>
          <w:p w14:paraId="63FCB7CF" w14:textId="77777777" w:rsidR="00943CCC" w:rsidRPr="00F837E2" w:rsidRDefault="00943CCC" w:rsidP="00AA5684">
            <w:pPr>
              <w:rPr>
                <w:rFonts w:ascii="Arial" w:hAnsi="Arial" w:cs="Arial"/>
                <w:sz w:val="24"/>
                <w:szCs w:val="24"/>
              </w:rPr>
            </w:pPr>
            <w:r w:rsidRPr="00F837E2">
              <w:rPr>
                <w:rFonts w:ascii="Arial" w:hAnsi="Arial" w:cs="Arial"/>
                <w:sz w:val="24"/>
                <w:szCs w:val="24"/>
              </w:rPr>
              <w:t>Year 4</w:t>
            </w:r>
          </w:p>
        </w:tc>
        <w:tc>
          <w:tcPr>
            <w:tcW w:w="1984" w:type="dxa"/>
          </w:tcPr>
          <w:p w14:paraId="71245A69" w14:textId="77777777" w:rsidR="00943CCC" w:rsidRPr="00F837E2" w:rsidRDefault="00943CCC" w:rsidP="00AA5684">
            <w:pPr>
              <w:jc w:val="right"/>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837E2">
              <w:rPr>
                <w:rFonts w:ascii="Arial" w:hAnsi="Arial" w:cs="Arial"/>
                <w:sz w:val="24"/>
                <w:szCs w:val="24"/>
              </w:rPr>
              <w:t>0.7350</w:t>
            </w:r>
          </w:p>
        </w:tc>
        <w:tc>
          <w:tcPr>
            <w:tcW w:w="2381" w:type="dxa"/>
          </w:tcPr>
          <w:p w14:paraId="1AAD62A9" w14:textId="77777777" w:rsidR="00943CCC" w:rsidRPr="00F837E2" w:rsidRDefault="00943CCC" w:rsidP="00AA5684">
            <w:pPr>
              <w:jc w:val="right"/>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837E2">
              <w:rPr>
                <w:rFonts w:ascii="Arial" w:hAnsi="Arial" w:cs="Arial"/>
                <w:sz w:val="24"/>
                <w:szCs w:val="24"/>
              </w:rPr>
              <w:t>£7.350m</w:t>
            </w:r>
          </w:p>
        </w:tc>
        <w:tc>
          <w:tcPr>
            <w:tcW w:w="2381" w:type="dxa"/>
          </w:tcPr>
          <w:p w14:paraId="08AEB242" w14:textId="77777777" w:rsidR="00943CCC" w:rsidRPr="00F837E2" w:rsidRDefault="00943CCC" w:rsidP="00AA5684">
            <w:pPr>
              <w:jc w:val="right"/>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837E2">
              <w:rPr>
                <w:rFonts w:ascii="Arial" w:hAnsi="Arial" w:cs="Arial"/>
                <w:sz w:val="24"/>
                <w:szCs w:val="24"/>
              </w:rPr>
              <w:t>£8.085m</w:t>
            </w:r>
          </w:p>
        </w:tc>
        <w:tc>
          <w:tcPr>
            <w:tcW w:w="2381" w:type="dxa"/>
          </w:tcPr>
          <w:p w14:paraId="30F93EAE" w14:textId="77777777" w:rsidR="00943CCC" w:rsidRPr="00F837E2" w:rsidRDefault="00943CCC" w:rsidP="00AA5684">
            <w:pPr>
              <w:jc w:val="right"/>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837E2">
              <w:rPr>
                <w:rFonts w:ascii="Arial" w:hAnsi="Arial" w:cs="Arial"/>
                <w:sz w:val="24"/>
                <w:szCs w:val="24"/>
              </w:rPr>
              <w:t>£18.376m</w:t>
            </w:r>
          </w:p>
        </w:tc>
      </w:tr>
      <w:tr w:rsidR="00943CCC" w:rsidRPr="00F837E2" w14:paraId="2FE413DD" w14:textId="77777777" w:rsidTr="005D7FC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71" w:type="dxa"/>
          </w:tcPr>
          <w:p w14:paraId="783A46FF" w14:textId="77777777" w:rsidR="00943CCC" w:rsidRPr="00F837E2" w:rsidRDefault="00943CCC" w:rsidP="00AA5684">
            <w:pPr>
              <w:rPr>
                <w:rFonts w:ascii="Arial" w:hAnsi="Arial" w:cs="Arial"/>
                <w:sz w:val="24"/>
                <w:szCs w:val="24"/>
              </w:rPr>
            </w:pPr>
            <w:r w:rsidRPr="00F837E2">
              <w:rPr>
                <w:rFonts w:ascii="Arial" w:hAnsi="Arial" w:cs="Arial"/>
                <w:sz w:val="24"/>
                <w:szCs w:val="24"/>
              </w:rPr>
              <w:t>Year 5</w:t>
            </w:r>
          </w:p>
        </w:tc>
        <w:tc>
          <w:tcPr>
            <w:tcW w:w="1984" w:type="dxa"/>
          </w:tcPr>
          <w:p w14:paraId="6EC28B5C" w14:textId="77777777" w:rsidR="00943CCC" w:rsidRPr="00F837E2" w:rsidRDefault="00943CCC" w:rsidP="00AA5684">
            <w:pPr>
              <w:jc w:val="right"/>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837E2">
              <w:rPr>
                <w:rFonts w:ascii="Arial" w:hAnsi="Arial" w:cs="Arial"/>
                <w:sz w:val="24"/>
                <w:szCs w:val="24"/>
              </w:rPr>
              <w:t>0.6806</w:t>
            </w:r>
          </w:p>
        </w:tc>
        <w:tc>
          <w:tcPr>
            <w:tcW w:w="2381" w:type="dxa"/>
          </w:tcPr>
          <w:p w14:paraId="386949D3" w14:textId="77777777" w:rsidR="00943CCC" w:rsidRPr="00F837E2" w:rsidRDefault="00943CCC" w:rsidP="00AA5684">
            <w:pPr>
              <w:jc w:val="right"/>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837E2">
              <w:rPr>
                <w:rFonts w:ascii="Arial" w:hAnsi="Arial" w:cs="Arial"/>
                <w:sz w:val="24"/>
                <w:szCs w:val="24"/>
              </w:rPr>
              <w:t>£5.445m</w:t>
            </w:r>
          </w:p>
        </w:tc>
        <w:tc>
          <w:tcPr>
            <w:tcW w:w="2381" w:type="dxa"/>
          </w:tcPr>
          <w:p w14:paraId="3A41F1CE" w14:textId="77777777" w:rsidR="00943CCC" w:rsidRPr="00F837E2" w:rsidRDefault="00943CCC" w:rsidP="00AA5684">
            <w:pPr>
              <w:jc w:val="right"/>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837E2">
              <w:rPr>
                <w:rFonts w:ascii="Arial" w:hAnsi="Arial" w:cs="Arial"/>
                <w:sz w:val="24"/>
                <w:szCs w:val="24"/>
              </w:rPr>
              <w:t>£7.486m</w:t>
            </w:r>
          </w:p>
        </w:tc>
        <w:tc>
          <w:tcPr>
            <w:tcW w:w="2381" w:type="dxa"/>
          </w:tcPr>
          <w:p w14:paraId="0EE630A0" w14:textId="77777777" w:rsidR="00943CCC" w:rsidRPr="00F837E2" w:rsidRDefault="00943CCC" w:rsidP="00AA5684">
            <w:pPr>
              <w:jc w:val="right"/>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837E2">
              <w:rPr>
                <w:rFonts w:ascii="Arial" w:hAnsi="Arial" w:cs="Arial"/>
                <w:sz w:val="24"/>
                <w:szCs w:val="24"/>
              </w:rPr>
              <w:t>£3.403m</w:t>
            </w:r>
          </w:p>
        </w:tc>
      </w:tr>
      <w:tr w:rsidR="00943CCC" w:rsidRPr="00F837E2" w14:paraId="262F2BDC" w14:textId="77777777" w:rsidTr="005D7FC1">
        <w:tc>
          <w:tcPr>
            <w:cnfStyle w:val="001000000000" w:firstRow="0" w:lastRow="0" w:firstColumn="1" w:lastColumn="0" w:oddVBand="0" w:evenVBand="0" w:oddHBand="0" w:evenHBand="0" w:firstRowFirstColumn="0" w:firstRowLastColumn="0" w:lastRowFirstColumn="0" w:lastRowLastColumn="0"/>
            <w:tcW w:w="1871" w:type="dxa"/>
          </w:tcPr>
          <w:p w14:paraId="5BDABF6E" w14:textId="77777777" w:rsidR="00943CCC" w:rsidRPr="00F837E2" w:rsidRDefault="00943CCC" w:rsidP="00AA5684">
            <w:pPr>
              <w:rPr>
                <w:rFonts w:ascii="Arial" w:hAnsi="Arial" w:cs="Arial"/>
                <w:sz w:val="24"/>
                <w:szCs w:val="24"/>
              </w:rPr>
            </w:pPr>
            <w:r w:rsidRPr="00F837E2">
              <w:rPr>
                <w:rFonts w:ascii="Arial" w:hAnsi="Arial" w:cs="Arial"/>
                <w:sz w:val="24"/>
                <w:szCs w:val="24"/>
              </w:rPr>
              <w:t>PV of inflows</w:t>
            </w:r>
          </w:p>
        </w:tc>
        <w:tc>
          <w:tcPr>
            <w:tcW w:w="1984" w:type="dxa"/>
          </w:tcPr>
          <w:p w14:paraId="71EEB700" w14:textId="77777777" w:rsidR="00943CCC" w:rsidRPr="00F837E2" w:rsidRDefault="00943CCC" w:rsidP="00AA5684">
            <w:pPr>
              <w:jc w:val="right"/>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837E2">
              <w:rPr>
                <w:rFonts w:ascii="Arial" w:hAnsi="Arial" w:cs="Arial"/>
                <w:sz w:val="24"/>
                <w:szCs w:val="24"/>
              </w:rPr>
              <w:t>-</w:t>
            </w:r>
          </w:p>
        </w:tc>
        <w:tc>
          <w:tcPr>
            <w:tcW w:w="2381" w:type="dxa"/>
          </w:tcPr>
          <w:p w14:paraId="6DEF653F" w14:textId="77777777" w:rsidR="00943CCC" w:rsidRPr="00F837E2" w:rsidRDefault="00943CCC" w:rsidP="00AA5684">
            <w:pPr>
              <w:jc w:val="right"/>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837E2">
              <w:rPr>
                <w:rFonts w:ascii="Arial" w:hAnsi="Arial" w:cs="Arial"/>
                <w:sz w:val="24"/>
                <w:szCs w:val="24"/>
              </w:rPr>
              <w:t>£43.456m</w:t>
            </w:r>
          </w:p>
        </w:tc>
        <w:tc>
          <w:tcPr>
            <w:tcW w:w="2381" w:type="dxa"/>
          </w:tcPr>
          <w:p w14:paraId="140C119C" w14:textId="77777777" w:rsidR="00943CCC" w:rsidRPr="00F837E2" w:rsidRDefault="00943CCC" w:rsidP="00AA5684">
            <w:pPr>
              <w:jc w:val="right"/>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837E2">
              <w:rPr>
                <w:rFonts w:ascii="Arial" w:hAnsi="Arial" w:cs="Arial"/>
                <w:sz w:val="24"/>
                <w:szCs w:val="24"/>
              </w:rPr>
              <w:t>£43.920m</w:t>
            </w:r>
          </w:p>
        </w:tc>
        <w:tc>
          <w:tcPr>
            <w:tcW w:w="2381" w:type="dxa"/>
          </w:tcPr>
          <w:p w14:paraId="2E0C3A8E" w14:textId="77777777" w:rsidR="00943CCC" w:rsidRPr="00F837E2" w:rsidRDefault="00943CCC" w:rsidP="00AA5684">
            <w:pPr>
              <w:jc w:val="right"/>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837E2">
              <w:rPr>
                <w:rFonts w:ascii="Arial" w:hAnsi="Arial" w:cs="Arial"/>
                <w:sz w:val="24"/>
                <w:szCs w:val="24"/>
              </w:rPr>
              <w:t>£50.858m</w:t>
            </w:r>
          </w:p>
        </w:tc>
      </w:tr>
      <w:tr w:rsidR="00943CCC" w:rsidRPr="00F837E2" w14:paraId="44A8CE4A" w14:textId="77777777" w:rsidTr="005D7FC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71" w:type="dxa"/>
          </w:tcPr>
          <w:p w14:paraId="7AB25B54" w14:textId="77777777" w:rsidR="00943CCC" w:rsidRPr="00F837E2" w:rsidRDefault="00943CCC" w:rsidP="00AA5684">
            <w:pPr>
              <w:rPr>
                <w:rFonts w:ascii="Arial" w:hAnsi="Arial" w:cs="Arial"/>
                <w:sz w:val="24"/>
                <w:szCs w:val="24"/>
              </w:rPr>
            </w:pPr>
            <w:r w:rsidRPr="00F837E2">
              <w:rPr>
                <w:rFonts w:ascii="Arial" w:hAnsi="Arial" w:cs="Arial"/>
                <w:sz w:val="24"/>
                <w:szCs w:val="24"/>
              </w:rPr>
              <w:t>Initial investment</w:t>
            </w:r>
          </w:p>
        </w:tc>
        <w:tc>
          <w:tcPr>
            <w:tcW w:w="1984" w:type="dxa"/>
          </w:tcPr>
          <w:p w14:paraId="27669F80" w14:textId="77777777" w:rsidR="00943CCC" w:rsidRPr="00F837E2" w:rsidRDefault="00943CCC" w:rsidP="00AA5684">
            <w:pPr>
              <w:jc w:val="right"/>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837E2">
              <w:rPr>
                <w:rFonts w:ascii="Arial" w:hAnsi="Arial" w:cs="Arial"/>
                <w:sz w:val="24"/>
                <w:szCs w:val="24"/>
              </w:rPr>
              <w:t>-</w:t>
            </w:r>
          </w:p>
        </w:tc>
        <w:tc>
          <w:tcPr>
            <w:tcW w:w="2381" w:type="dxa"/>
          </w:tcPr>
          <w:p w14:paraId="2701C040" w14:textId="77777777" w:rsidR="00943CCC" w:rsidRPr="00F837E2" w:rsidRDefault="00943CCC" w:rsidP="00AA5684">
            <w:pPr>
              <w:jc w:val="right"/>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837E2">
              <w:rPr>
                <w:rFonts w:ascii="Arial" w:hAnsi="Arial" w:cs="Arial"/>
                <w:sz w:val="24"/>
                <w:szCs w:val="24"/>
              </w:rPr>
              <w:t>(£50.000m)</w:t>
            </w:r>
          </w:p>
        </w:tc>
        <w:tc>
          <w:tcPr>
            <w:tcW w:w="2381" w:type="dxa"/>
          </w:tcPr>
          <w:p w14:paraId="09392D6C" w14:textId="77777777" w:rsidR="00943CCC" w:rsidRPr="00F837E2" w:rsidRDefault="00943CCC" w:rsidP="00AA5684">
            <w:pPr>
              <w:jc w:val="right"/>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837E2">
              <w:rPr>
                <w:rFonts w:ascii="Arial" w:hAnsi="Arial" w:cs="Arial"/>
                <w:sz w:val="24"/>
                <w:szCs w:val="24"/>
              </w:rPr>
              <w:t>(£50.000m)</w:t>
            </w:r>
          </w:p>
        </w:tc>
        <w:tc>
          <w:tcPr>
            <w:tcW w:w="2381" w:type="dxa"/>
          </w:tcPr>
          <w:p w14:paraId="7190375D" w14:textId="77777777" w:rsidR="00943CCC" w:rsidRPr="00F837E2" w:rsidRDefault="00943CCC" w:rsidP="00AA5684">
            <w:pPr>
              <w:jc w:val="right"/>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837E2">
              <w:rPr>
                <w:rFonts w:ascii="Arial" w:hAnsi="Arial" w:cs="Arial"/>
                <w:sz w:val="24"/>
                <w:szCs w:val="24"/>
              </w:rPr>
              <w:t>(£50.000m)</w:t>
            </w:r>
          </w:p>
        </w:tc>
      </w:tr>
      <w:tr w:rsidR="00943CCC" w:rsidRPr="00F837E2" w14:paraId="2CA50FCC" w14:textId="77777777" w:rsidTr="005D7FC1">
        <w:tc>
          <w:tcPr>
            <w:cnfStyle w:val="001000000000" w:firstRow="0" w:lastRow="0" w:firstColumn="1" w:lastColumn="0" w:oddVBand="0" w:evenVBand="0" w:oddHBand="0" w:evenHBand="0" w:firstRowFirstColumn="0" w:firstRowLastColumn="0" w:lastRowFirstColumn="0" w:lastRowLastColumn="0"/>
            <w:tcW w:w="1871" w:type="dxa"/>
          </w:tcPr>
          <w:p w14:paraId="1AFECF1E" w14:textId="77777777" w:rsidR="00943CCC" w:rsidRPr="00F837E2" w:rsidRDefault="00943CCC" w:rsidP="00AA5684">
            <w:pPr>
              <w:rPr>
                <w:rFonts w:ascii="Arial" w:hAnsi="Arial" w:cs="Arial"/>
                <w:sz w:val="24"/>
                <w:szCs w:val="24"/>
              </w:rPr>
            </w:pPr>
            <w:r w:rsidRPr="00F837E2">
              <w:rPr>
                <w:rFonts w:ascii="Arial" w:hAnsi="Arial" w:cs="Arial"/>
                <w:sz w:val="24"/>
                <w:szCs w:val="24"/>
              </w:rPr>
              <w:t>NPV</w:t>
            </w:r>
          </w:p>
        </w:tc>
        <w:tc>
          <w:tcPr>
            <w:tcW w:w="1984" w:type="dxa"/>
          </w:tcPr>
          <w:p w14:paraId="3C5C6A65" w14:textId="77777777" w:rsidR="00943CCC" w:rsidRPr="00F837E2" w:rsidRDefault="00943CCC" w:rsidP="00AA5684">
            <w:pPr>
              <w:jc w:val="right"/>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837E2">
              <w:rPr>
                <w:rFonts w:ascii="Arial" w:hAnsi="Arial" w:cs="Arial"/>
                <w:sz w:val="24"/>
                <w:szCs w:val="24"/>
              </w:rPr>
              <w:t>-</w:t>
            </w:r>
          </w:p>
        </w:tc>
        <w:tc>
          <w:tcPr>
            <w:tcW w:w="2381" w:type="dxa"/>
          </w:tcPr>
          <w:p w14:paraId="406A7CE2" w14:textId="77777777" w:rsidR="00943CCC" w:rsidRPr="00F837E2" w:rsidRDefault="00943CCC" w:rsidP="00AA5684">
            <w:pPr>
              <w:jc w:val="right"/>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837E2">
              <w:rPr>
                <w:rFonts w:ascii="Arial" w:hAnsi="Arial" w:cs="Arial"/>
                <w:sz w:val="24"/>
                <w:szCs w:val="24"/>
              </w:rPr>
              <w:t>(£6.544m)</w:t>
            </w:r>
          </w:p>
        </w:tc>
        <w:tc>
          <w:tcPr>
            <w:tcW w:w="2381" w:type="dxa"/>
          </w:tcPr>
          <w:p w14:paraId="5045BBEC" w14:textId="77777777" w:rsidR="00943CCC" w:rsidRPr="00F837E2" w:rsidRDefault="00943CCC" w:rsidP="00AA5684">
            <w:pPr>
              <w:jc w:val="right"/>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837E2">
              <w:rPr>
                <w:rFonts w:ascii="Arial" w:hAnsi="Arial" w:cs="Arial"/>
                <w:sz w:val="24"/>
                <w:szCs w:val="24"/>
              </w:rPr>
              <w:t>(£6.080m)</w:t>
            </w:r>
          </w:p>
        </w:tc>
        <w:tc>
          <w:tcPr>
            <w:tcW w:w="2381" w:type="dxa"/>
          </w:tcPr>
          <w:p w14:paraId="1E473410" w14:textId="77777777" w:rsidR="00943CCC" w:rsidRPr="00F837E2" w:rsidRDefault="00943CCC" w:rsidP="00AA5684">
            <w:pPr>
              <w:jc w:val="right"/>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837E2">
              <w:rPr>
                <w:rFonts w:ascii="Arial" w:hAnsi="Arial" w:cs="Arial"/>
                <w:sz w:val="24"/>
                <w:szCs w:val="24"/>
              </w:rPr>
              <w:t>£0.858m</w:t>
            </w:r>
          </w:p>
        </w:tc>
      </w:tr>
    </w:tbl>
    <w:p w14:paraId="535BD19C" w14:textId="77777777" w:rsidR="00943CCC" w:rsidRPr="00F837E2" w:rsidRDefault="00943CCC" w:rsidP="00943CCC">
      <w:pPr>
        <w:spacing w:before="40"/>
        <w:rPr>
          <w:rFonts w:ascii="Arial" w:hAnsi="Arial" w:cs="Arial"/>
          <w:sz w:val="24"/>
          <w:szCs w:val="24"/>
        </w:rPr>
      </w:pPr>
    </w:p>
    <w:p w14:paraId="048538F9" w14:textId="77777777" w:rsidR="00943CCC" w:rsidRPr="00F837E2" w:rsidRDefault="00943CCC" w:rsidP="00943CCC">
      <w:pPr>
        <w:pStyle w:val="Heading2"/>
        <w:numPr>
          <w:ilvl w:val="1"/>
          <w:numId w:val="1"/>
        </w:numPr>
        <w:rPr>
          <w:rFonts w:ascii="Arial" w:hAnsi="Arial" w:cs="Arial"/>
          <w:sz w:val="24"/>
          <w:szCs w:val="24"/>
        </w:rPr>
      </w:pPr>
      <w:bookmarkStart w:id="37" w:name="_Toc235687092"/>
      <w:r w:rsidRPr="00F837E2">
        <w:rPr>
          <w:rFonts w:ascii="Arial" w:hAnsi="Arial" w:cs="Arial"/>
          <w:sz w:val="24"/>
          <w:szCs w:val="24"/>
        </w:rPr>
        <w:t>Appendix G: Capital Rationing Portfolio Analysis</w:t>
      </w:r>
      <w:bookmarkEnd w:id="37"/>
    </w:p>
    <w:p w14:paraId="05E76022" w14:textId="77777777" w:rsidR="00943CCC" w:rsidRPr="00F837E2" w:rsidRDefault="00943CCC" w:rsidP="00943CCC">
      <w:pPr>
        <w:rPr>
          <w:rFonts w:ascii="Arial" w:hAnsi="Arial" w:cs="Arial"/>
          <w:sz w:val="24"/>
          <w:szCs w:val="24"/>
        </w:rPr>
      </w:pPr>
      <w:r w:rsidRPr="00F837E2">
        <w:rPr>
          <w:rFonts w:ascii="Arial" w:hAnsi="Arial" w:cs="Arial"/>
          <w:noProof/>
          <w:sz w:val="24"/>
          <w:szCs w:val="24"/>
        </w:rPr>
        <w:drawing>
          <wp:inline distT="0" distB="0" distL="0" distR="0" wp14:anchorId="575C3264" wp14:editId="070616B9">
            <wp:extent cx="6548797" cy="1726100"/>
            <wp:effectExtent l="0" t="0" r="4445" b="7620"/>
            <wp:docPr id="6675804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7580460" name=""/>
                    <pic:cNvPicPr/>
                  </pic:nvPicPr>
                  <pic:blipFill>
                    <a:blip r:embed="rId21"/>
                    <a:stretch>
                      <a:fillRect/>
                    </a:stretch>
                  </pic:blipFill>
                  <pic:spPr>
                    <a:xfrm>
                      <a:off x="0" y="0"/>
                      <a:ext cx="6581850" cy="1734812"/>
                    </a:xfrm>
                    <a:prstGeom prst="rect">
                      <a:avLst/>
                    </a:prstGeom>
                  </pic:spPr>
                </pic:pic>
              </a:graphicData>
            </a:graphic>
          </wp:inline>
        </w:drawing>
      </w:r>
    </w:p>
    <w:tbl>
      <w:tblPr>
        <w:tblStyle w:val="GridTable4-Accent4"/>
        <w:tblW w:w="0" w:type="auto"/>
        <w:tblLook w:val="04A0" w:firstRow="1" w:lastRow="0" w:firstColumn="1" w:lastColumn="0" w:noHBand="0" w:noVBand="1"/>
      </w:tblPr>
      <w:tblGrid>
        <w:gridCol w:w="1496"/>
        <w:gridCol w:w="1538"/>
        <w:gridCol w:w="1579"/>
        <w:gridCol w:w="1327"/>
        <w:gridCol w:w="1286"/>
        <w:gridCol w:w="1790"/>
      </w:tblGrid>
      <w:tr w:rsidR="00943CCC" w:rsidRPr="00F837E2" w14:paraId="65374CB4" w14:textId="77777777" w:rsidTr="005D7FC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81" w:type="dxa"/>
          </w:tcPr>
          <w:p w14:paraId="185FAA42" w14:textId="77777777" w:rsidR="00943CCC" w:rsidRPr="00F837E2" w:rsidRDefault="00943CCC" w:rsidP="00AA5684">
            <w:pPr>
              <w:jc w:val="center"/>
              <w:rPr>
                <w:rFonts w:ascii="Arial" w:hAnsi="Arial" w:cs="Arial"/>
                <w:sz w:val="24"/>
                <w:szCs w:val="24"/>
              </w:rPr>
            </w:pPr>
            <w:r w:rsidRPr="00F837E2">
              <w:rPr>
                <w:rFonts w:ascii="Arial" w:hAnsi="Arial" w:cs="Arial"/>
                <w:color w:val="FFFFFF"/>
                <w:sz w:val="24"/>
                <w:szCs w:val="24"/>
              </w:rPr>
              <w:t>Portfolio</w:t>
            </w:r>
          </w:p>
        </w:tc>
        <w:tc>
          <w:tcPr>
            <w:tcW w:w="1701" w:type="dxa"/>
          </w:tcPr>
          <w:p w14:paraId="29135868" w14:textId="77777777" w:rsidR="00943CCC" w:rsidRPr="00F837E2" w:rsidRDefault="00943CCC" w:rsidP="00AA5684">
            <w:pPr>
              <w:jc w:val="cente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F837E2">
              <w:rPr>
                <w:rFonts w:ascii="Arial" w:hAnsi="Arial" w:cs="Arial"/>
                <w:color w:val="FFFFFF"/>
                <w:sz w:val="24"/>
                <w:szCs w:val="24"/>
              </w:rPr>
              <w:t>Investment</w:t>
            </w:r>
          </w:p>
        </w:tc>
        <w:tc>
          <w:tcPr>
            <w:tcW w:w="1984" w:type="dxa"/>
          </w:tcPr>
          <w:p w14:paraId="66334A9F" w14:textId="77777777" w:rsidR="00943CCC" w:rsidRPr="00F837E2" w:rsidRDefault="00943CCC" w:rsidP="00AA5684">
            <w:pPr>
              <w:jc w:val="cente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F837E2">
              <w:rPr>
                <w:rFonts w:ascii="Arial" w:hAnsi="Arial" w:cs="Arial"/>
                <w:color w:val="FFFFFF"/>
                <w:sz w:val="24"/>
                <w:szCs w:val="24"/>
              </w:rPr>
              <w:t>Combined NPV</w:t>
            </w:r>
          </w:p>
        </w:tc>
        <w:tc>
          <w:tcPr>
            <w:tcW w:w="1701" w:type="dxa"/>
          </w:tcPr>
          <w:p w14:paraId="58C2A27B" w14:textId="77777777" w:rsidR="00943CCC" w:rsidRPr="00F837E2" w:rsidRDefault="00943CCC" w:rsidP="00AA5684">
            <w:pPr>
              <w:jc w:val="cente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F837E2">
              <w:rPr>
                <w:rFonts w:ascii="Arial" w:hAnsi="Arial" w:cs="Arial"/>
                <w:color w:val="FFFFFF"/>
                <w:sz w:val="24"/>
                <w:szCs w:val="24"/>
              </w:rPr>
              <w:t>Portfolio PI</w:t>
            </w:r>
          </w:p>
        </w:tc>
        <w:tc>
          <w:tcPr>
            <w:tcW w:w="1814" w:type="dxa"/>
          </w:tcPr>
          <w:p w14:paraId="3DE03807" w14:textId="77777777" w:rsidR="00943CCC" w:rsidRPr="00F837E2" w:rsidRDefault="00943CCC" w:rsidP="00AA5684">
            <w:pPr>
              <w:jc w:val="cente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F837E2">
              <w:rPr>
                <w:rFonts w:ascii="Arial" w:hAnsi="Arial" w:cs="Arial"/>
                <w:color w:val="FFFFFF"/>
                <w:sz w:val="24"/>
                <w:szCs w:val="24"/>
              </w:rPr>
              <w:t>Within £100m?</w:t>
            </w:r>
          </w:p>
        </w:tc>
        <w:tc>
          <w:tcPr>
            <w:tcW w:w="2268" w:type="dxa"/>
          </w:tcPr>
          <w:p w14:paraId="5DD23B3C" w14:textId="77777777" w:rsidR="00943CCC" w:rsidRPr="00F837E2" w:rsidRDefault="00943CCC" w:rsidP="00AA5684">
            <w:pPr>
              <w:jc w:val="cente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F837E2">
              <w:rPr>
                <w:rFonts w:ascii="Arial" w:hAnsi="Arial" w:cs="Arial"/>
                <w:color w:val="FFFFFF"/>
                <w:sz w:val="24"/>
                <w:szCs w:val="24"/>
              </w:rPr>
              <w:t>Assessment</w:t>
            </w:r>
          </w:p>
        </w:tc>
      </w:tr>
      <w:tr w:rsidR="00943CCC" w:rsidRPr="00F837E2" w14:paraId="62BAFCB2" w14:textId="77777777" w:rsidTr="005D7FC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81" w:type="dxa"/>
          </w:tcPr>
          <w:p w14:paraId="1586826A" w14:textId="77777777" w:rsidR="00943CCC" w:rsidRPr="00F837E2" w:rsidRDefault="00943CCC" w:rsidP="00AA5684">
            <w:pPr>
              <w:rPr>
                <w:rFonts w:ascii="Arial" w:hAnsi="Arial" w:cs="Arial"/>
                <w:sz w:val="24"/>
                <w:szCs w:val="24"/>
              </w:rPr>
            </w:pPr>
            <w:r w:rsidRPr="00F837E2">
              <w:rPr>
                <w:rFonts w:ascii="Arial" w:hAnsi="Arial" w:cs="Arial"/>
                <w:sz w:val="24"/>
                <w:szCs w:val="24"/>
              </w:rPr>
              <w:t>No project</w:t>
            </w:r>
          </w:p>
        </w:tc>
        <w:tc>
          <w:tcPr>
            <w:tcW w:w="1701" w:type="dxa"/>
          </w:tcPr>
          <w:p w14:paraId="6445DAFF" w14:textId="77777777" w:rsidR="00943CCC" w:rsidRPr="00F837E2" w:rsidRDefault="00943CCC" w:rsidP="00AA5684">
            <w:pPr>
              <w:jc w:val="right"/>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837E2">
              <w:rPr>
                <w:rFonts w:ascii="Arial" w:hAnsi="Arial" w:cs="Arial"/>
                <w:sz w:val="24"/>
                <w:szCs w:val="24"/>
              </w:rPr>
              <w:t>£0m</w:t>
            </w:r>
          </w:p>
        </w:tc>
        <w:tc>
          <w:tcPr>
            <w:tcW w:w="1984" w:type="dxa"/>
          </w:tcPr>
          <w:p w14:paraId="66EF5535" w14:textId="77777777" w:rsidR="00943CCC" w:rsidRPr="00F837E2" w:rsidRDefault="00943CCC" w:rsidP="00AA5684">
            <w:pPr>
              <w:jc w:val="right"/>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837E2">
              <w:rPr>
                <w:rFonts w:ascii="Arial" w:hAnsi="Arial" w:cs="Arial"/>
                <w:sz w:val="24"/>
                <w:szCs w:val="24"/>
              </w:rPr>
              <w:t>£0.000m</w:t>
            </w:r>
          </w:p>
        </w:tc>
        <w:tc>
          <w:tcPr>
            <w:tcW w:w="1701" w:type="dxa"/>
          </w:tcPr>
          <w:p w14:paraId="06A4B3AA" w14:textId="77777777" w:rsidR="00943CCC" w:rsidRPr="00F837E2" w:rsidRDefault="00943CCC" w:rsidP="00AA5684">
            <w:pPr>
              <w:jc w:val="right"/>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837E2">
              <w:rPr>
                <w:rFonts w:ascii="Arial" w:hAnsi="Arial" w:cs="Arial"/>
                <w:sz w:val="24"/>
                <w:szCs w:val="24"/>
              </w:rPr>
              <w:t>-</w:t>
            </w:r>
          </w:p>
        </w:tc>
        <w:tc>
          <w:tcPr>
            <w:tcW w:w="1814" w:type="dxa"/>
          </w:tcPr>
          <w:p w14:paraId="778D3953" w14:textId="77777777" w:rsidR="00943CCC" w:rsidRPr="00F837E2" w:rsidRDefault="00943CCC" w:rsidP="00AA5684">
            <w:pPr>
              <w:jc w:val="right"/>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837E2">
              <w:rPr>
                <w:rFonts w:ascii="Arial" w:hAnsi="Arial" w:cs="Arial"/>
                <w:sz w:val="24"/>
                <w:szCs w:val="24"/>
              </w:rPr>
              <w:t>Yes</w:t>
            </w:r>
          </w:p>
        </w:tc>
        <w:tc>
          <w:tcPr>
            <w:tcW w:w="2268" w:type="dxa"/>
          </w:tcPr>
          <w:p w14:paraId="7FDD2AAC" w14:textId="77777777" w:rsidR="00943CCC" w:rsidRPr="00F837E2" w:rsidRDefault="00943CCC" w:rsidP="00AA5684">
            <w:pPr>
              <w:jc w:val="right"/>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837E2">
              <w:rPr>
                <w:rFonts w:ascii="Arial" w:hAnsi="Arial" w:cs="Arial"/>
                <w:sz w:val="24"/>
                <w:szCs w:val="24"/>
              </w:rPr>
              <w:t>Neutral</w:t>
            </w:r>
          </w:p>
        </w:tc>
      </w:tr>
      <w:tr w:rsidR="00943CCC" w:rsidRPr="00F837E2" w14:paraId="478B3094" w14:textId="77777777" w:rsidTr="005D7FC1">
        <w:tc>
          <w:tcPr>
            <w:cnfStyle w:val="001000000000" w:firstRow="0" w:lastRow="0" w:firstColumn="1" w:lastColumn="0" w:oddVBand="0" w:evenVBand="0" w:oddHBand="0" w:evenHBand="0" w:firstRowFirstColumn="0" w:firstRowLastColumn="0" w:lastRowFirstColumn="0" w:lastRowLastColumn="0"/>
            <w:tcW w:w="2381" w:type="dxa"/>
          </w:tcPr>
          <w:p w14:paraId="3A7D2E61" w14:textId="77777777" w:rsidR="00943CCC" w:rsidRPr="00F837E2" w:rsidRDefault="00943CCC" w:rsidP="00AA5684">
            <w:pPr>
              <w:rPr>
                <w:rFonts w:ascii="Arial" w:hAnsi="Arial" w:cs="Arial"/>
                <w:sz w:val="24"/>
                <w:szCs w:val="24"/>
              </w:rPr>
            </w:pPr>
            <w:proofErr w:type="gramStart"/>
            <w:r w:rsidRPr="00F837E2">
              <w:rPr>
                <w:rFonts w:ascii="Arial" w:hAnsi="Arial" w:cs="Arial"/>
                <w:sz w:val="24"/>
                <w:szCs w:val="24"/>
              </w:rPr>
              <w:t>A</w:t>
            </w:r>
            <w:proofErr w:type="gramEnd"/>
            <w:r w:rsidRPr="00F837E2">
              <w:rPr>
                <w:rFonts w:ascii="Arial" w:hAnsi="Arial" w:cs="Arial"/>
                <w:sz w:val="24"/>
                <w:szCs w:val="24"/>
              </w:rPr>
              <w:t xml:space="preserve"> only</w:t>
            </w:r>
          </w:p>
        </w:tc>
        <w:tc>
          <w:tcPr>
            <w:tcW w:w="1701" w:type="dxa"/>
          </w:tcPr>
          <w:p w14:paraId="6F69006C" w14:textId="77777777" w:rsidR="00943CCC" w:rsidRPr="00F837E2" w:rsidRDefault="00943CCC" w:rsidP="00AA5684">
            <w:pPr>
              <w:jc w:val="right"/>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837E2">
              <w:rPr>
                <w:rFonts w:ascii="Arial" w:hAnsi="Arial" w:cs="Arial"/>
                <w:sz w:val="24"/>
                <w:szCs w:val="24"/>
              </w:rPr>
              <w:t>£50m</w:t>
            </w:r>
          </w:p>
        </w:tc>
        <w:tc>
          <w:tcPr>
            <w:tcW w:w="1984" w:type="dxa"/>
          </w:tcPr>
          <w:p w14:paraId="2A42307D" w14:textId="77777777" w:rsidR="00943CCC" w:rsidRPr="00F837E2" w:rsidRDefault="00943CCC" w:rsidP="00AA5684">
            <w:pPr>
              <w:jc w:val="right"/>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837E2">
              <w:rPr>
                <w:rFonts w:ascii="Arial" w:hAnsi="Arial" w:cs="Arial"/>
                <w:sz w:val="24"/>
                <w:szCs w:val="24"/>
              </w:rPr>
              <w:t>(£6.544m)</w:t>
            </w:r>
          </w:p>
        </w:tc>
        <w:tc>
          <w:tcPr>
            <w:tcW w:w="1701" w:type="dxa"/>
          </w:tcPr>
          <w:p w14:paraId="484AEBA0" w14:textId="77777777" w:rsidR="00943CCC" w:rsidRPr="00F837E2" w:rsidRDefault="00943CCC" w:rsidP="00AA5684">
            <w:pPr>
              <w:jc w:val="right"/>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837E2">
              <w:rPr>
                <w:rFonts w:ascii="Arial" w:hAnsi="Arial" w:cs="Arial"/>
                <w:sz w:val="24"/>
                <w:szCs w:val="24"/>
              </w:rPr>
              <w:t>0.869x</w:t>
            </w:r>
          </w:p>
        </w:tc>
        <w:tc>
          <w:tcPr>
            <w:tcW w:w="1814" w:type="dxa"/>
          </w:tcPr>
          <w:p w14:paraId="7D3E2626" w14:textId="77777777" w:rsidR="00943CCC" w:rsidRPr="00F837E2" w:rsidRDefault="00943CCC" w:rsidP="00AA5684">
            <w:pPr>
              <w:jc w:val="right"/>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837E2">
              <w:rPr>
                <w:rFonts w:ascii="Arial" w:hAnsi="Arial" w:cs="Arial"/>
                <w:sz w:val="24"/>
                <w:szCs w:val="24"/>
              </w:rPr>
              <w:t>Yes</w:t>
            </w:r>
          </w:p>
        </w:tc>
        <w:tc>
          <w:tcPr>
            <w:tcW w:w="2268" w:type="dxa"/>
          </w:tcPr>
          <w:p w14:paraId="544A7584" w14:textId="77777777" w:rsidR="00943CCC" w:rsidRPr="00F837E2" w:rsidRDefault="00943CCC" w:rsidP="00AA5684">
            <w:pPr>
              <w:jc w:val="right"/>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837E2">
              <w:rPr>
                <w:rFonts w:ascii="Arial" w:hAnsi="Arial" w:cs="Arial"/>
                <w:sz w:val="24"/>
                <w:szCs w:val="24"/>
              </w:rPr>
              <w:t>Destroys value</w:t>
            </w:r>
          </w:p>
        </w:tc>
      </w:tr>
      <w:tr w:rsidR="00943CCC" w:rsidRPr="00F837E2" w14:paraId="722160CC" w14:textId="77777777" w:rsidTr="005D7FC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81" w:type="dxa"/>
          </w:tcPr>
          <w:p w14:paraId="41D37F9F" w14:textId="77777777" w:rsidR="00943CCC" w:rsidRPr="00F837E2" w:rsidRDefault="00943CCC" w:rsidP="00AA5684">
            <w:pPr>
              <w:rPr>
                <w:rFonts w:ascii="Arial" w:hAnsi="Arial" w:cs="Arial"/>
                <w:sz w:val="24"/>
                <w:szCs w:val="24"/>
              </w:rPr>
            </w:pPr>
            <w:r w:rsidRPr="00F837E2">
              <w:rPr>
                <w:rFonts w:ascii="Arial" w:hAnsi="Arial" w:cs="Arial"/>
                <w:sz w:val="24"/>
                <w:szCs w:val="24"/>
              </w:rPr>
              <w:t>B only</w:t>
            </w:r>
          </w:p>
        </w:tc>
        <w:tc>
          <w:tcPr>
            <w:tcW w:w="1701" w:type="dxa"/>
          </w:tcPr>
          <w:p w14:paraId="69D3D924" w14:textId="77777777" w:rsidR="00943CCC" w:rsidRPr="00F837E2" w:rsidRDefault="00943CCC" w:rsidP="00AA5684">
            <w:pPr>
              <w:jc w:val="right"/>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837E2">
              <w:rPr>
                <w:rFonts w:ascii="Arial" w:hAnsi="Arial" w:cs="Arial"/>
                <w:sz w:val="24"/>
                <w:szCs w:val="24"/>
              </w:rPr>
              <w:t>£50m</w:t>
            </w:r>
          </w:p>
        </w:tc>
        <w:tc>
          <w:tcPr>
            <w:tcW w:w="1984" w:type="dxa"/>
          </w:tcPr>
          <w:p w14:paraId="7F3E26DF" w14:textId="77777777" w:rsidR="00943CCC" w:rsidRPr="00F837E2" w:rsidRDefault="00943CCC" w:rsidP="00AA5684">
            <w:pPr>
              <w:jc w:val="right"/>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837E2">
              <w:rPr>
                <w:rFonts w:ascii="Arial" w:hAnsi="Arial" w:cs="Arial"/>
                <w:sz w:val="24"/>
                <w:szCs w:val="24"/>
              </w:rPr>
              <w:t>(£6.080m)</w:t>
            </w:r>
          </w:p>
        </w:tc>
        <w:tc>
          <w:tcPr>
            <w:tcW w:w="1701" w:type="dxa"/>
          </w:tcPr>
          <w:p w14:paraId="0E662F54" w14:textId="77777777" w:rsidR="00943CCC" w:rsidRPr="00F837E2" w:rsidRDefault="00943CCC" w:rsidP="00AA5684">
            <w:pPr>
              <w:jc w:val="right"/>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837E2">
              <w:rPr>
                <w:rFonts w:ascii="Arial" w:hAnsi="Arial" w:cs="Arial"/>
                <w:sz w:val="24"/>
                <w:szCs w:val="24"/>
              </w:rPr>
              <w:t>0.878x</w:t>
            </w:r>
          </w:p>
        </w:tc>
        <w:tc>
          <w:tcPr>
            <w:tcW w:w="1814" w:type="dxa"/>
          </w:tcPr>
          <w:p w14:paraId="013255CD" w14:textId="77777777" w:rsidR="00943CCC" w:rsidRPr="00F837E2" w:rsidRDefault="00943CCC" w:rsidP="00AA5684">
            <w:pPr>
              <w:jc w:val="right"/>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837E2">
              <w:rPr>
                <w:rFonts w:ascii="Arial" w:hAnsi="Arial" w:cs="Arial"/>
                <w:sz w:val="24"/>
                <w:szCs w:val="24"/>
              </w:rPr>
              <w:t>Yes</w:t>
            </w:r>
          </w:p>
        </w:tc>
        <w:tc>
          <w:tcPr>
            <w:tcW w:w="2268" w:type="dxa"/>
          </w:tcPr>
          <w:p w14:paraId="03125A5D" w14:textId="77777777" w:rsidR="00943CCC" w:rsidRPr="00F837E2" w:rsidRDefault="00943CCC" w:rsidP="00AA5684">
            <w:pPr>
              <w:jc w:val="right"/>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837E2">
              <w:rPr>
                <w:rFonts w:ascii="Arial" w:hAnsi="Arial" w:cs="Arial"/>
                <w:sz w:val="24"/>
                <w:szCs w:val="24"/>
              </w:rPr>
              <w:t>Destroys value</w:t>
            </w:r>
          </w:p>
        </w:tc>
      </w:tr>
      <w:tr w:rsidR="00943CCC" w:rsidRPr="00F837E2" w14:paraId="6AD23ED9" w14:textId="77777777" w:rsidTr="005D7FC1">
        <w:tc>
          <w:tcPr>
            <w:cnfStyle w:val="001000000000" w:firstRow="0" w:lastRow="0" w:firstColumn="1" w:lastColumn="0" w:oddVBand="0" w:evenVBand="0" w:oddHBand="0" w:evenHBand="0" w:firstRowFirstColumn="0" w:firstRowLastColumn="0" w:lastRowFirstColumn="0" w:lastRowLastColumn="0"/>
            <w:tcW w:w="2381" w:type="dxa"/>
          </w:tcPr>
          <w:p w14:paraId="058B7499" w14:textId="77777777" w:rsidR="00943CCC" w:rsidRPr="00F837E2" w:rsidRDefault="00943CCC" w:rsidP="00AA5684">
            <w:pPr>
              <w:rPr>
                <w:rFonts w:ascii="Arial" w:hAnsi="Arial" w:cs="Arial"/>
                <w:sz w:val="24"/>
                <w:szCs w:val="24"/>
              </w:rPr>
            </w:pPr>
            <w:r w:rsidRPr="00F837E2">
              <w:rPr>
                <w:rFonts w:ascii="Arial" w:hAnsi="Arial" w:cs="Arial"/>
                <w:sz w:val="24"/>
                <w:szCs w:val="24"/>
              </w:rPr>
              <w:t>C only</w:t>
            </w:r>
          </w:p>
        </w:tc>
        <w:tc>
          <w:tcPr>
            <w:tcW w:w="1701" w:type="dxa"/>
          </w:tcPr>
          <w:p w14:paraId="5204CDE6" w14:textId="77777777" w:rsidR="00943CCC" w:rsidRPr="00F837E2" w:rsidRDefault="00943CCC" w:rsidP="00AA5684">
            <w:pPr>
              <w:jc w:val="right"/>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837E2">
              <w:rPr>
                <w:rFonts w:ascii="Arial" w:hAnsi="Arial" w:cs="Arial"/>
                <w:sz w:val="24"/>
                <w:szCs w:val="24"/>
              </w:rPr>
              <w:t>£50m</w:t>
            </w:r>
          </w:p>
        </w:tc>
        <w:tc>
          <w:tcPr>
            <w:tcW w:w="1984" w:type="dxa"/>
          </w:tcPr>
          <w:p w14:paraId="1D5BD2DD" w14:textId="77777777" w:rsidR="00943CCC" w:rsidRPr="00F837E2" w:rsidRDefault="00943CCC" w:rsidP="00AA5684">
            <w:pPr>
              <w:jc w:val="right"/>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837E2">
              <w:rPr>
                <w:rFonts w:ascii="Arial" w:hAnsi="Arial" w:cs="Arial"/>
                <w:sz w:val="24"/>
                <w:szCs w:val="24"/>
              </w:rPr>
              <w:t>£0.858m</w:t>
            </w:r>
          </w:p>
        </w:tc>
        <w:tc>
          <w:tcPr>
            <w:tcW w:w="1701" w:type="dxa"/>
          </w:tcPr>
          <w:p w14:paraId="66B527BF" w14:textId="77777777" w:rsidR="00943CCC" w:rsidRPr="00F837E2" w:rsidRDefault="00943CCC" w:rsidP="00AA5684">
            <w:pPr>
              <w:jc w:val="right"/>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837E2">
              <w:rPr>
                <w:rFonts w:ascii="Arial" w:hAnsi="Arial" w:cs="Arial"/>
                <w:sz w:val="24"/>
                <w:szCs w:val="24"/>
              </w:rPr>
              <w:t>1.017x</w:t>
            </w:r>
          </w:p>
        </w:tc>
        <w:tc>
          <w:tcPr>
            <w:tcW w:w="1814" w:type="dxa"/>
          </w:tcPr>
          <w:p w14:paraId="4EC2C4D2" w14:textId="77777777" w:rsidR="00943CCC" w:rsidRPr="00F837E2" w:rsidRDefault="00943CCC" w:rsidP="00AA5684">
            <w:pPr>
              <w:jc w:val="right"/>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837E2">
              <w:rPr>
                <w:rFonts w:ascii="Arial" w:hAnsi="Arial" w:cs="Arial"/>
                <w:sz w:val="24"/>
                <w:szCs w:val="24"/>
              </w:rPr>
              <w:t>Yes</w:t>
            </w:r>
          </w:p>
        </w:tc>
        <w:tc>
          <w:tcPr>
            <w:tcW w:w="2268" w:type="dxa"/>
          </w:tcPr>
          <w:p w14:paraId="21057E7D" w14:textId="77777777" w:rsidR="00943CCC" w:rsidRPr="00F837E2" w:rsidRDefault="00943CCC" w:rsidP="00AA5684">
            <w:pPr>
              <w:jc w:val="right"/>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837E2">
              <w:rPr>
                <w:rFonts w:ascii="Arial" w:hAnsi="Arial" w:cs="Arial"/>
                <w:sz w:val="24"/>
                <w:szCs w:val="24"/>
              </w:rPr>
              <w:t>Creates value</w:t>
            </w:r>
          </w:p>
        </w:tc>
      </w:tr>
      <w:tr w:rsidR="00943CCC" w:rsidRPr="00F837E2" w14:paraId="0F8BAAB6" w14:textId="77777777" w:rsidTr="005D7FC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81" w:type="dxa"/>
          </w:tcPr>
          <w:p w14:paraId="1EC208F0" w14:textId="77777777" w:rsidR="00943CCC" w:rsidRPr="00F837E2" w:rsidRDefault="00943CCC" w:rsidP="00AA5684">
            <w:pPr>
              <w:rPr>
                <w:rFonts w:ascii="Arial" w:hAnsi="Arial" w:cs="Arial"/>
                <w:sz w:val="24"/>
                <w:szCs w:val="24"/>
              </w:rPr>
            </w:pPr>
            <w:r w:rsidRPr="00F837E2">
              <w:rPr>
                <w:rFonts w:ascii="Arial" w:hAnsi="Arial" w:cs="Arial"/>
                <w:sz w:val="24"/>
                <w:szCs w:val="24"/>
              </w:rPr>
              <w:t>A + B</w:t>
            </w:r>
          </w:p>
        </w:tc>
        <w:tc>
          <w:tcPr>
            <w:tcW w:w="1701" w:type="dxa"/>
          </w:tcPr>
          <w:p w14:paraId="14DDADA4" w14:textId="77777777" w:rsidR="00943CCC" w:rsidRPr="00F837E2" w:rsidRDefault="00943CCC" w:rsidP="00AA5684">
            <w:pPr>
              <w:jc w:val="right"/>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837E2">
              <w:rPr>
                <w:rFonts w:ascii="Arial" w:hAnsi="Arial" w:cs="Arial"/>
                <w:sz w:val="24"/>
                <w:szCs w:val="24"/>
              </w:rPr>
              <w:t>£100m</w:t>
            </w:r>
          </w:p>
        </w:tc>
        <w:tc>
          <w:tcPr>
            <w:tcW w:w="1984" w:type="dxa"/>
          </w:tcPr>
          <w:p w14:paraId="175B26E0" w14:textId="77777777" w:rsidR="00943CCC" w:rsidRPr="00F837E2" w:rsidRDefault="00943CCC" w:rsidP="00AA5684">
            <w:pPr>
              <w:jc w:val="right"/>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837E2">
              <w:rPr>
                <w:rFonts w:ascii="Arial" w:hAnsi="Arial" w:cs="Arial"/>
                <w:sz w:val="24"/>
                <w:szCs w:val="24"/>
              </w:rPr>
              <w:t>(£12.624m)</w:t>
            </w:r>
          </w:p>
        </w:tc>
        <w:tc>
          <w:tcPr>
            <w:tcW w:w="1701" w:type="dxa"/>
          </w:tcPr>
          <w:p w14:paraId="1EEF1EFE" w14:textId="77777777" w:rsidR="00943CCC" w:rsidRPr="00F837E2" w:rsidRDefault="00943CCC" w:rsidP="00AA5684">
            <w:pPr>
              <w:jc w:val="right"/>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837E2">
              <w:rPr>
                <w:rFonts w:ascii="Arial" w:hAnsi="Arial" w:cs="Arial"/>
                <w:sz w:val="24"/>
                <w:szCs w:val="24"/>
              </w:rPr>
              <w:t>0.874x</w:t>
            </w:r>
          </w:p>
        </w:tc>
        <w:tc>
          <w:tcPr>
            <w:tcW w:w="1814" w:type="dxa"/>
          </w:tcPr>
          <w:p w14:paraId="5684B1EA" w14:textId="77777777" w:rsidR="00943CCC" w:rsidRPr="00F837E2" w:rsidRDefault="00943CCC" w:rsidP="00AA5684">
            <w:pPr>
              <w:jc w:val="right"/>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837E2">
              <w:rPr>
                <w:rFonts w:ascii="Arial" w:hAnsi="Arial" w:cs="Arial"/>
                <w:sz w:val="24"/>
                <w:szCs w:val="24"/>
              </w:rPr>
              <w:t>Yes</w:t>
            </w:r>
          </w:p>
        </w:tc>
        <w:tc>
          <w:tcPr>
            <w:tcW w:w="2268" w:type="dxa"/>
          </w:tcPr>
          <w:p w14:paraId="3BAA4E53" w14:textId="77777777" w:rsidR="00943CCC" w:rsidRPr="00F837E2" w:rsidRDefault="00943CCC" w:rsidP="00AA5684">
            <w:pPr>
              <w:jc w:val="right"/>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837E2">
              <w:rPr>
                <w:rFonts w:ascii="Arial" w:hAnsi="Arial" w:cs="Arial"/>
                <w:sz w:val="24"/>
                <w:szCs w:val="24"/>
              </w:rPr>
              <w:t>Destroys value</w:t>
            </w:r>
          </w:p>
        </w:tc>
      </w:tr>
      <w:tr w:rsidR="00943CCC" w:rsidRPr="00F837E2" w14:paraId="518552C9" w14:textId="77777777" w:rsidTr="005D7FC1">
        <w:tc>
          <w:tcPr>
            <w:cnfStyle w:val="001000000000" w:firstRow="0" w:lastRow="0" w:firstColumn="1" w:lastColumn="0" w:oddVBand="0" w:evenVBand="0" w:oddHBand="0" w:evenHBand="0" w:firstRowFirstColumn="0" w:firstRowLastColumn="0" w:lastRowFirstColumn="0" w:lastRowLastColumn="0"/>
            <w:tcW w:w="2381" w:type="dxa"/>
          </w:tcPr>
          <w:p w14:paraId="7C20B273" w14:textId="77777777" w:rsidR="00943CCC" w:rsidRPr="00F837E2" w:rsidRDefault="00943CCC" w:rsidP="00AA5684">
            <w:pPr>
              <w:rPr>
                <w:rFonts w:ascii="Arial" w:hAnsi="Arial" w:cs="Arial"/>
                <w:sz w:val="24"/>
                <w:szCs w:val="24"/>
              </w:rPr>
            </w:pPr>
            <w:r w:rsidRPr="00F837E2">
              <w:rPr>
                <w:rFonts w:ascii="Arial" w:hAnsi="Arial" w:cs="Arial"/>
                <w:sz w:val="24"/>
                <w:szCs w:val="24"/>
              </w:rPr>
              <w:lastRenderedPageBreak/>
              <w:t>A + C</w:t>
            </w:r>
          </w:p>
        </w:tc>
        <w:tc>
          <w:tcPr>
            <w:tcW w:w="1701" w:type="dxa"/>
          </w:tcPr>
          <w:p w14:paraId="0D6AD7AC" w14:textId="77777777" w:rsidR="00943CCC" w:rsidRPr="00F837E2" w:rsidRDefault="00943CCC" w:rsidP="00AA5684">
            <w:pPr>
              <w:jc w:val="right"/>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837E2">
              <w:rPr>
                <w:rFonts w:ascii="Arial" w:hAnsi="Arial" w:cs="Arial"/>
                <w:sz w:val="24"/>
                <w:szCs w:val="24"/>
              </w:rPr>
              <w:t>£100m</w:t>
            </w:r>
          </w:p>
        </w:tc>
        <w:tc>
          <w:tcPr>
            <w:tcW w:w="1984" w:type="dxa"/>
          </w:tcPr>
          <w:p w14:paraId="56E0988E" w14:textId="77777777" w:rsidR="00943CCC" w:rsidRPr="00F837E2" w:rsidRDefault="00943CCC" w:rsidP="00AA5684">
            <w:pPr>
              <w:jc w:val="right"/>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837E2">
              <w:rPr>
                <w:rFonts w:ascii="Arial" w:hAnsi="Arial" w:cs="Arial"/>
                <w:sz w:val="24"/>
                <w:szCs w:val="24"/>
              </w:rPr>
              <w:t>(£5.686m)</w:t>
            </w:r>
          </w:p>
        </w:tc>
        <w:tc>
          <w:tcPr>
            <w:tcW w:w="1701" w:type="dxa"/>
          </w:tcPr>
          <w:p w14:paraId="01496CD6" w14:textId="77777777" w:rsidR="00943CCC" w:rsidRPr="00F837E2" w:rsidRDefault="00943CCC" w:rsidP="00AA5684">
            <w:pPr>
              <w:jc w:val="right"/>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837E2">
              <w:rPr>
                <w:rFonts w:ascii="Arial" w:hAnsi="Arial" w:cs="Arial"/>
                <w:sz w:val="24"/>
                <w:szCs w:val="24"/>
              </w:rPr>
              <w:t>0.943x</w:t>
            </w:r>
          </w:p>
        </w:tc>
        <w:tc>
          <w:tcPr>
            <w:tcW w:w="1814" w:type="dxa"/>
          </w:tcPr>
          <w:p w14:paraId="78E0FAC5" w14:textId="77777777" w:rsidR="00943CCC" w:rsidRPr="00F837E2" w:rsidRDefault="00943CCC" w:rsidP="00AA5684">
            <w:pPr>
              <w:jc w:val="right"/>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837E2">
              <w:rPr>
                <w:rFonts w:ascii="Arial" w:hAnsi="Arial" w:cs="Arial"/>
                <w:sz w:val="24"/>
                <w:szCs w:val="24"/>
              </w:rPr>
              <w:t>Yes</w:t>
            </w:r>
          </w:p>
        </w:tc>
        <w:tc>
          <w:tcPr>
            <w:tcW w:w="2268" w:type="dxa"/>
          </w:tcPr>
          <w:p w14:paraId="6A015E23" w14:textId="77777777" w:rsidR="00943CCC" w:rsidRPr="00F837E2" w:rsidRDefault="00943CCC" w:rsidP="00AA5684">
            <w:pPr>
              <w:jc w:val="right"/>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837E2">
              <w:rPr>
                <w:rFonts w:ascii="Arial" w:hAnsi="Arial" w:cs="Arial"/>
                <w:sz w:val="24"/>
                <w:szCs w:val="24"/>
              </w:rPr>
              <w:t>Destroys value</w:t>
            </w:r>
          </w:p>
        </w:tc>
      </w:tr>
      <w:tr w:rsidR="00943CCC" w:rsidRPr="00F837E2" w14:paraId="4F8500BE" w14:textId="77777777" w:rsidTr="005D7FC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81" w:type="dxa"/>
          </w:tcPr>
          <w:p w14:paraId="02C5BC58" w14:textId="77777777" w:rsidR="00943CCC" w:rsidRPr="00F837E2" w:rsidRDefault="00943CCC" w:rsidP="00AA5684">
            <w:pPr>
              <w:rPr>
                <w:rFonts w:ascii="Arial" w:hAnsi="Arial" w:cs="Arial"/>
                <w:sz w:val="24"/>
                <w:szCs w:val="24"/>
              </w:rPr>
            </w:pPr>
            <w:r w:rsidRPr="00F837E2">
              <w:rPr>
                <w:rFonts w:ascii="Arial" w:hAnsi="Arial" w:cs="Arial"/>
                <w:sz w:val="24"/>
                <w:szCs w:val="24"/>
              </w:rPr>
              <w:t>B + C</w:t>
            </w:r>
          </w:p>
        </w:tc>
        <w:tc>
          <w:tcPr>
            <w:tcW w:w="1701" w:type="dxa"/>
          </w:tcPr>
          <w:p w14:paraId="76D72ED8" w14:textId="77777777" w:rsidR="00943CCC" w:rsidRPr="00F837E2" w:rsidRDefault="00943CCC" w:rsidP="00AA5684">
            <w:pPr>
              <w:jc w:val="right"/>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837E2">
              <w:rPr>
                <w:rFonts w:ascii="Arial" w:hAnsi="Arial" w:cs="Arial"/>
                <w:sz w:val="24"/>
                <w:szCs w:val="24"/>
              </w:rPr>
              <w:t>£100m</w:t>
            </w:r>
          </w:p>
        </w:tc>
        <w:tc>
          <w:tcPr>
            <w:tcW w:w="1984" w:type="dxa"/>
          </w:tcPr>
          <w:p w14:paraId="382CFB20" w14:textId="77777777" w:rsidR="00943CCC" w:rsidRPr="00F837E2" w:rsidRDefault="00943CCC" w:rsidP="00AA5684">
            <w:pPr>
              <w:jc w:val="right"/>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837E2">
              <w:rPr>
                <w:rFonts w:ascii="Arial" w:hAnsi="Arial" w:cs="Arial"/>
                <w:sz w:val="24"/>
                <w:szCs w:val="24"/>
              </w:rPr>
              <w:t>(£5.222m)</w:t>
            </w:r>
          </w:p>
        </w:tc>
        <w:tc>
          <w:tcPr>
            <w:tcW w:w="1701" w:type="dxa"/>
          </w:tcPr>
          <w:p w14:paraId="30AABF56" w14:textId="77777777" w:rsidR="00943CCC" w:rsidRPr="00F837E2" w:rsidRDefault="00943CCC" w:rsidP="00AA5684">
            <w:pPr>
              <w:jc w:val="right"/>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837E2">
              <w:rPr>
                <w:rFonts w:ascii="Arial" w:hAnsi="Arial" w:cs="Arial"/>
                <w:sz w:val="24"/>
                <w:szCs w:val="24"/>
              </w:rPr>
              <w:t>0.948x</w:t>
            </w:r>
          </w:p>
        </w:tc>
        <w:tc>
          <w:tcPr>
            <w:tcW w:w="1814" w:type="dxa"/>
          </w:tcPr>
          <w:p w14:paraId="217B0F60" w14:textId="77777777" w:rsidR="00943CCC" w:rsidRPr="00F837E2" w:rsidRDefault="00943CCC" w:rsidP="00AA5684">
            <w:pPr>
              <w:jc w:val="right"/>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837E2">
              <w:rPr>
                <w:rFonts w:ascii="Arial" w:hAnsi="Arial" w:cs="Arial"/>
                <w:sz w:val="24"/>
                <w:szCs w:val="24"/>
              </w:rPr>
              <w:t>Yes</w:t>
            </w:r>
          </w:p>
        </w:tc>
        <w:tc>
          <w:tcPr>
            <w:tcW w:w="2268" w:type="dxa"/>
          </w:tcPr>
          <w:p w14:paraId="09099425" w14:textId="77777777" w:rsidR="00943CCC" w:rsidRPr="00F837E2" w:rsidRDefault="00943CCC" w:rsidP="00AA5684">
            <w:pPr>
              <w:jc w:val="right"/>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837E2">
              <w:rPr>
                <w:rFonts w:ascii="Arial" w:hAnsi="Arial" w:cs="Arial"/>
                <w:sz w:val="24"/>
                <w:szCs w:val="24"/>
              </w:rPr>
              <w:t>Destroys value</w:t>
            </w:r>
          </w:p>
        </w:tc>
      </w:tr>
      <w:tr w:rsidR="00943CCC" w:rsidRPr="00F837E2" w14:paraId="037958EB" w14:textId="77777777" w:rsidTr="005D7FC1">
        <w:tc>
          <w:tcPr>
            <w:cnfStyle w:val="001000000000" w:firstRow="0" w:lastRow="0" w:firstColumn="1" w:lastColumn="0" w:oddVBand="0" w:evenVBand="0" w:oddHBand="0" w:evenHBand="0" w:firstRowFirstColumn="0" w:firstRowLastColumn="0" w:lastRowFirstColumn="0" w:lastRowLastColumn="0"/>
            <w:tcW w:w="2381" w:type="dxa"/>
          </w:tcPr>
          <w:p w14:paraId="3C7A66CB" w14:textId="77777777" w:rsidR="00943CCC" w:rsidRPr="00F837E2" w:rsidRDefault="00943CCC" w:rsidP="00AA5684">
            <w:pPr>
              <w:rPr>
                <w:rFonts w:ascii="Arial" w:hAnsi="Arial" w:cs="Arial"/>
                <w:sz w:val="24"/>
                <w:szCs w:val="24"/>
              </w:rPr>
            </w:pPr>
            <w:r w:rsidRPr="00F837E2">
              <w:rPr>
                <w:rFonts w:ascii="Arial" w:hAnsi="Arial" w:cs="Arial"/>
                <w:sz w:val="24"/>
                <w:szCs w:val="24"/>
              </w:rPr>
              <w:t>A + B + C</w:t>
            </w:r>
          </w:p>
        </w:tc>
        <w:tc>
          <w:tcPr>
            <w:tcW w:w="1701" w:type="dxa"/>
          </w:tcPr>
          <w:p w14:paraId="3EC6578F" w14:textId="77777777" w:rsidR="00943CCC" w:rsidRPr="00F837E2" w:rsidRDefault="00943CCC" w:rsidP="00AA5684">
            <w:pPr>
              <w:jc w:val="right"/>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837E2">
              <w:rPr>
                <w:rFonts w:ascii="Arial" w:hAnsi="Arial" w:cs="Arial"/>
                <w:sz w:val="24"/>
                <w:szCs w:val="24"/>
              </w:rPr>
              <w:t>£150m</w:t>
            </w:r>
          </w:p>
        </w:tc>
        <w:tc>
          <w:tcPr>
            <w:tcW w:w="1984" w:type="dxa"/>
          </w:tcPr>
          <w:p w14:paraId="5A19CC4F" w14:textId="77777777" w:rsidR="00943CCC" w:rsidRPr="00F837E2" w:rsidRDefault="00943CCC" w:rsidP="00AA5684">
            <w:pPr>
              <w:jc w:val="right"/>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837E2">
              <w:rPr>
                <w:rFonts w:ascii="Arial" w:hAnsi="Arial" w:cs="Arial"/>
                <w:sz w:val="24"/>
                <w:szCs w:val="24"/>
              </w:rPr>
              <w:t>(£11.766m)</w:t>
            </w:r>
          </w:p>
        </w:tc>
        <w:tc>
          <w:tcPr>
            <w:tcW w:w="1701" w:type="dxa"/>
          </w:tcPr>
          <w:p w14:paraId="2ABFD7DB" w14:textId="77777777" w:rsidR="00943CCC" w:rsidRPr="00F837E2" w:rsidRDefault="00943CCC" w:rsidP="00AA5684">
            <w:pPr>
              <w:jc w:val="right"/>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837E2">
              <w:rPr>
                <w:rFonts w:ascii="Arial" w:hAnsi="Arial" w:cs="Arial"/>
                <w:sz w:val="24"/>
                <w:szCs w:val="24"/>
              </w:rPr>
              <w:t>0.922x</w:t>
            </w:r>
          </w:p>
        </w:tc>
        <w:tc>
          <w:tcPr>
            <w:tcW w:w="1814" w:type="dxa"/>
          </w:tcPr>
          <w:p w14:paraId="1CC8A847" w14:textId="77777777" w:rsidR="00943CCC" w:rsidRPr="00F837E2" w:rsidRDefault="00943CCC" w:rsidP="00AA5684">
            <w:pPr>
              <w:jc w:val="right"/>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837E2">
              <w:rPr>
                <w:rFonts w:ascii="Arial" w:hAnsi="Arial" w:cs="Arial"/>
                <w:sz w:val="24"/>
                <w:szCs w:val="24"/>
              </w:rPr>
              <w:t>No</w:t>
            </w:r>
          </w:p>
        </w:tc>
        <w:tc>
          <w:tcPr>
            <w:tcW w:w="2268" w:type="dxa"/>
          </w:tcPr>
          <w:p w14:paraId="58EC7CB7" w14:textId="77777777" w:rsidR="00943CCC" w:rsidRPr="00F837E2" w:rsidRDefault="00943CCC" w:rsidP="00AA5684">
            <w:pPr>
              <w:jc w:val="right"/>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837E2">
              <w:rPr>
                <w:rFonts w:ascii="Arial" w:hAnsi="Arial" w:cs="Arial"/>
                <w:sz w:val="24"/>
                <w:szCs w:val="24"/>
              </w:rPr>
              <w:t>Destroys value</w:t>
            </w:r>
          </w:p>
        </w:tc>
      </w:tr>
    </w:tbl>
    <w:p w14:paraId="6154DA14" w14:textId="77777777" w:rsidR="00943CCC" w:rsidRPr="00F837E2" w:rsidRDefault="00943CCC" w:rsidP="00943CCC">
      <w:pPr>
        <w:spacing w:before="40"/>
        <w:rPr>
          <w:rFonts w:ascii="Arial" w:hAnsi="Arial" w:cs="Arial"/>
          <w:sz w:val="24"/>
          <w:szCs w:val="24"/>
        </w:rPr>
      </w:pPr>
    </w:p>
    <w:p w14:paraId="0F3F1FA3" w14:textId="77777777" w:rsidR="00943CCC" w:rsidRPr="00F837E2" w:rsidRDefault="00943CCC" w:rsidP="00943CCC">
      <w:pPr>
        <w:pStyle w:val="Heading2"/>
        <w:numPr>
          <w:ilvl w:val="1"/>
          <w:numId w:val="1"/>
        </w:numPr>
        <w:rPr>
          <w:rFonts w:ascii="Arial" w:hAnsi="Arial" w:cs="Arial"/>
          <w:sz w:val="24"/>
          <w:szCs w:val="24"/>
        </w:rPr>
      </w:pPr>
      <w:bookmarkStart w:id="38" w:name="_Toc235687093"/>
      <w:r w:rsidRPr="00F837E2">
        <w:rPr>
          <w:rFonts w:ascii="Arial" w:hAnsi="Arial" w:cs="Arial"/>
          <w:sz w:val="24"/>
          <w:szCs w:val="24"/>
        </w:rPr>
        <w:t>Appendix H: NPV Sensitivity Analysis</w:t>
      </w:r>
      <w:bookmarkEnd w:id="38"/>
    </w:p>
    <w:tbl>
      <w:tblPr>
        <w:tblStyle w:val="GridTable4-Accent4"/>
        <w:tblW w:w="0" w:type="auto"/>
        <w:tblLook w:val="04A0" w:firstRow="1" w:lastRow="0" w:firstColumn="1" w:lastColumn="0" w:noHBand="0" w:noVBand="1"/>
      </w:tblPr>
      <w:tblGrid>
        <w:gridCol w:w="1930"/>
        <w:gridCol w:w="2377"/>
        <w:gridCol w:w="2377"/>
        <w:gridCol w:w="2332"/>
      </w:tblGrid>
      <w:tr w:rsidR="00943CCC" w:rsidRPr="00F837E2" w14:paraId="2BAEAD5E" w14:textId="77777777" w:rsidTr="005D7FC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68" w:type="dxa"/>
          </w:tcPr>
          <w:p w14:paraId="03AD790D" w14:textId="77777777" w:rsidR="00943CCC" w:rsidRPr="00F837E2" w:rsidRDefault="00943CCC" w:rsidP="00AA5684">
            <w:pPr>
              <w:jc w:val="center"/>
              <w:rPr>
                <w:rFonts w:ascii="Arial" w:hAnsi="Arial" w:cs="Arial"/>
                <w:sz w:val="24"/>
                <w:szCs w:val="24"/>
              </w:rPr>
            </w:pPr>
            <w:r w:rsidRPr="00F837E2">
              <w:rPr>
                <w:rFonts w:ascii="Arial" w:hAnsi="Arial" w:cs="Arial"/>
                <w:color w:val="FFFFFF"/>
                <w:sz w:val="24"/>
                <w:szCs w:val="24"/>
              </w:rPr>
              <w:t>Discount rate</w:t>
            </w:r>
          </w:p>
        </w:tc>
        <w:tc>
          <w:tcPr>
            <w:tcW w:w="2835" w:type="dxa"/>
          </w:tcPr>
          <w:p w14:paraId="31098A1E" w14:textId="77777777" w:rsidR="00943CCC" w:rsidRPr="00F837E2" w:rsidRDefault="00943CCC" w:rsidP="00AA5684">
            <w:pPr>
              <w:jc w:val="cente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F837E2">
              <w:rPr>
                <w:rFonts w:ascii="Arial" w:hAnsi="Arial" w:cs="Arial"/>
                <w:color w:val="FFFFFF"/>
                <w:sz w:val="24"/>
                <w:szCs w:val="24"/>
              </w:rPr>
              <w:t xml:space="preserve">Project </w:t>
            </w:r>
            <w:proofErr w:type="gramStart"/>
            <w:r w:rsidRPr="00F837E2">
              <w:rPr>
                <w:rFonts w:ascii="Arial" w:hAnsi="Arial" w:cs="Arial"/>
                <w:color w:val="FFFFFF"/>
                <w:sz w:val="24"/>
                <w:szCs w:val="24"/>
              </w:rPr>
              <w:t>A</w:t>
            </w:r>
            <w:proofErr w:type="gramEnd"/>
            <w:r w:rsidRPr="00F837E2">
              <w:rPr>
                <w:rFonts w:ascii="Arial" w:hAnsi="Arial" w:cs="Arial"/>
                <w:color w:val="FFFFFF"/>
                <w:sz w:val="24"/>
                <w:szCs w:val="24"/>
              </w:rPr>
              <w:t xml:space="preserve"> NPV</w:t>
            </w:r>
          </w:p>
        </w:tc>
        <w:tc>
          <w:tcPr>
            <w:tcW w:w="2835" w:type="dxa"/>
          </w:tcPr>
          <w:p w14:paraId="560462AF" w14:textId="77777777" w:rsidR="00943CCC" w:rsidRPr="00F837E2" w:rsidRDefault="00943CCC" w:rsidP="00AA5684">
            <w:pPr>
              <w:jc w:val="cente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F837E2">
              <w:rPr>
                <w:rFonts w:ascii="Arial" w:hAnsi="Arial" w:cs="Arial"/>
                <w:color w:val="FFFFFF"/>
                <w:sz w:val="24"/>
                <w:szCs w:val="24"/>
              </w:rPr>
              <w:t>Project B NPV</w:t>
            </w:r>
          </w:p>
        </w:tc>
        <w:tc>
          <w:tcPr>
            <w:tcW w:w="2835" w:type="dxa"/>
          </w:tcPr>
          <w:p w14:paraId="014ABFDA" w14:textId="77777777" w:rsidR="00943CCC" w:rsidRPr="00F837E2" w:rsidRDefault="00943CCC" w:rsidP="00AA5684">
            <w:pPr>
              <w:jc w:val="cente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F837E2">
              <w:rPr>
                <w:rFonts w:ascii="Arial" w:hAnsi="Arial" w:cs="Arial"/>
                <w:color w:val="FFFFFF"/>
                <w:sz w:val="24"/>
                <w:szCs w:val="24"/>
              </w:rPr>
              <w:t>Project C NPV</w:t>
            </w:r>
          </w:p>
        </w:tc>
      </w:tr>
      <w:tr w:rsidR="00943CCC" w:rsidRPr="00F837E2" w14:paraId="52259FD9" w14:textId="77777777" w:rsidTr="005D7FC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68" w:type="dxa"/>
          </w:tcPr>
          <w:p w14:paraId="673DB834" w14:textId="77777777" w:rsidR="00943CCC" w:rsidRPr="00F837E2" w:rsidRDefault="00943CCC" w:rsidP="00AA5684">
            <w:pPr>
              <w:rPr>
                <w:rFonts w:ascii="Arial" w:hAnsi="Arial" w:cs="Arial"/>
                <w:sz w:val="24"/>
                <w:szCs w:val="24"/>
              </w:rPr>
            </w:pPr>
            <w:r w:rsidRPr="00F837E2">
              <w:rPr>
                <w:rFonts w:ascii="Arial" w:hAnsi="Arial" w:cs="Arial"/>
                <w:sz w:val="24"/>
                <w:szCs w:val="24"/>
              </w:rPr>
              <w:t>4%</w:t>
            </w:r>
          </w:p>
        </w:tc>
        <w:tc>
          <w:tcPr>
            <w:tcW w:w="2835" w:type="dxa"/>
          </w:tcPr>
          <w:p w14:paraId="45D08C0D" w14:textId="77777777" w:rsidR="00943CCC" w:rsidRPr="00F837E2" w:rsidRDefault="00943CCC" w:rsidP="00AA5684">
            <w:pPr>
              <w:jc w:val="right"/>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837E2">
              <w:rPr>
                <w:rFonts w:ascii="Arial" w:hAnsi="Arial" w:cs="Arial"/>
                <w:sz w:val="24"/>
                <w:szCs w:val="24"/>
              </w:rPr>
              <w:t>(£1.721m)</w:t>
            </w:r>
          </w:p>
        </w:tc>
        <w:tc>
          <w:tcPr>
            <w:tcW w:w="2835" w:type="dxa"/>
          </w:tcPr>
          <w:p w14:paraId="6C99B91E" w14:textId="77777777" w:rsidR="00943CCC" w:rsidRPr="00F837E2" w:rsidRDefault="00943CCC" w:rsidP="00AA5684">
            <w:pPr>
              <w:jc w:val="right"/>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837E2">
              <w:rPr>
                <w:rFonts w:ascii="Arial" w:hAnsi="Arial" w:cs="Arial"/>
                <w:sz w:val="24"/>
                <w:szCs w:val="24"/>
              </w:rPr>
              <w:t>(£1.030m)</w:t>
            </w:r>
          </w:p>
        </w:tc>
        <w:tc>
          <w:tcPr>
            <w:tcW w:w="2835" w:type="dxa"/>
          </w:tcPr>
          <w:p w14:paraId="605FB167" w14:textId="77777777" w:rsidR="00943CCC" w:rsidRPr="00F837E2" w:rsidRDefault="00943CCC" w:rsidP="00AA5684">
            <w:pPr>
              <w:jc w:val="right"/>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837E2">
              <w:rPr>
                <w:rFonts w:ascii="Arial" w:hAnsi="Arial" w:cs="Arial"/>
                <w:sz w:val="24"/>
                <w:szCs w:val="24"/>
              </w:rPr>
              <w:t>£7.313m</w:t>
            </w:r>
          </w:p>
        </w:tc>
      </w:tr>
      <w:tr w:rsidR="00943CCC" w:rsidRPr="00F837E2" w14:paraId="1A7DFC22" w14:textId="77777777" w:rsidTr="005D7FC1">
        <w:tc>
          <w:tcPr>
            <w:cnfStyle w:val="001000000000" w:firstRow="0" w:lastRow="0" w:firstColumn="1" w:lastColumn="0" w:oddVBand="0" w:evenVBand="0" w:oddHBand="0" w:evenHBand="0" w:firstRowFirstColumn="0" w:firstRowLastColumn="0" w:lastRowFirstColumn="0" w:lastRowLastColumn="0"/>
            <w:tcW w:w="2268" w:type="dxa"/>
          </w:tcPr>
          <w:p w14:paraId="08722319" w14:textId="77777777" w:rsidR="00943CCC" w:rsidRPr="00F837E2" w:rsidRDefault="00943CCC" w:rsidP="00AA5684">
            <w:pPr>
              <w:rPr>
                <w:rFonts w:ascii="Arial" w:hAnsi="Arial" w:cs="Arial"/>
                <w:sz w:val="24"/>
                <w:szCs w:val="24"/>
              </w:rPr>
            </w:pPr>
            <w:r w:rsidRPr="00F837E2">
              <w:rPr>
                <w:rFonts w:ascii="Arial" w:hAnsi="Arial" w:cs="Arial"/>
                <w:sz w:val="24"/>
                <w:szCs w:val="24"/>
              </w:rPr>
              <w:t>6%</w:t>
            </w:r>
          </w:p>
        </w:tc>
        <w:tc>
          <w:tcPr>
            <w:tcW w:w="2835" w:type="dxa"/>
          </w:tcPr>
          <w:p w14:paraId="1DB932B4" w14:textId="77777777" w:rsidR="00943CCC" w:rsidRPr="00F837E2" w:rsidRDefault="00943CCC" w:rsidP="00AA5684">
            <w:pPr>
              <w:jc w:val="right"/>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837E2">
              <w:rPr>
                <w:rFonts w:ascii="Arial" w:hAnsi="Arial" w:cs="Arial"/>
                <w:sz w:val="24"/>
                <w:szCs w:val="24"/>
              </w:rPr>
              <w:t>(£4.232m)</w:t>
            </w:r>
          </w:p>
        </w:tc>
        <w:tc>
          <w:tcPr>
            <w:tcW w:w="2835" w:type="dxa"/>
          </w:tcPr>
          <w:p w14:paraId="64DAD4D7" w14:textId="77777777" w:rsidR="00943CCC" w:rsidRPr="00F837E2" w:rsidRDefault="00943CCC" w:rsidP="00AA5684">
            <w:pPr>
              <w:jc w:val="right"/>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837E2">
              <w:rPr>
                <w:rFonts w:ascii="Arial" w:hAnsi="Arial" w:cs="Arial"/>
                <w:sz w:val="24"/>
                <w:szCs w:val="24"/>
              </w:rPr>
              <w:t>(£3.664m)</w:t>
            </w:r>
          </w:p>
        </w:tc>
        <w:tc>
          <w:tcPr>
            <w:tcW w:w="2835" w:type="dxa"/>
          </w:tcPr>
          <w:p w14:paraId="3A2437D0" w14:textId="77777777" w:rsidR="00943CCC" w:rsidRPr="00F837E2" w:rsidRDefault="00943CCC" w:rsidP="00AA5684">
            <w:pPr>
              <w:jc w:val="right"/>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837E2">
              <w:rPr>
                <w:rFonts w:ascii="Arial" w:hAnsi="Arial" w:cs="Arial"/>
                <w:sz w:val="24"/>
                <w:szCs w:val="24"/>
              </w:rPr>
              <w:t>£3.948m</w:t>
            </w:r>
          </w:p>
        </w:tc>
      </w:tr>
      <w:tr w:rsidR="00943CCC" w:rsidRPr="00F837E2" w14:paraId="3A8DF290" w14:textId="77777777" w:rsidTr="005D7FC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68" w:type="dxa"/>
          </w:tcPr>
          <w:p w14:paraId="6E3E6875" w14:textId="77777777" w:rsidR="00943CCC" w:rsidRPr="00F837E2" w:rsidRDefault="00943CCC" w:rsidP="00AA5684">
            <w:pPr>
              <w:rPr>
                <w:rFonts w:ascii="Arial" w:hAnsi="Arial" w:cs="Arial"/>
                <w:sz w:val="24"/>
                <w:szCs w:val="24"/>
              </w:rPr>
            </w:pPr>
            <w:r w:rsidRPr="00F837E2">
              <w:rPr>
                <w:rFonts w:ascii="Arial" w:hAnsi="Arial" w:cs="Arial"/>
                <w:sz w:val="24"/>
                <w:szCs w:val="24"/>
              </w:rPr>
              <w:t>8%</w:t>
            </w:r>
          </w:p>
        </w:tc>
        <w:tc>
          <w:tcPr>
            <w:tcW w:w="2835" w:type="dxa"/>
          </w:tcPr>
          <w:p w14:paraId="6B3A54FA" w14:textId="77777777" w:rsidR="00943CCC" w:rsidRPr="00F837E2" w:rsidRDefault="00943CCC" w:rsidP="00AA5684">
            <w:pPr>
              <w:jc w:val="right"/>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837E2">
              <w:rPr>
                <w:rFonts w:ascii="Arial" w:hAnsi="Arial" w:cs="Arial"/>
                <w:sz w:val="24"/>
                <w:szCs w:val="24"/>
              </w:rPr>
              <w:t>(£6.544m)</w:t>
            </w:r>
          </w:p>
        </w:tc>
        <w:tc>
          <w:tcPr>
            <w:tcW w:w="2835" w:type="dxa"/>
          </w:tcPr>
          <w:p w14:paraId="37DADA0E" w14:textId="77777777" w:rsidR="00943CCC" w:rsidRPr="00F837E2" w:rsidRDefault="00943CCC" w:rsidP="00AA5684">
            <w:pPr>
              <w:jc w:val="right"/>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837E2">
              <w:rPr>
                <w:rFonts w:ascii="Arial" w:hAnsi="Arial" w:cs="Arial"/>
                <w:sz w:val="24"/>
                <w:szCs w:val="24"/>
              </w:rPr>
              <w:t>(£6.080m)</w:t>
            </w:r>
          </w:p>
        </w:tc>
        <w:tc>
          <w:tcPr>
            <w:tcW w:w="2835" w:type="dxa"/>
          </w:tcPr>
          <w:p w14:paraId="61EC1FD4" w14:textId="77777777" w:rsidR="00943CCC" w:rsidRPr="00F837E2" w:rsidRDefault="00943CCC" w:rsidP="00AA5684">
            <w:pPr>
              <w:jc w:val="right"/>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837E2">
              <w:rPr>
                <w:rFonts w:ascii="Arial" w:hAnsi="Arial" w:cs="Arial"/>
                <w:sz w:val="24"/>
                <w:szCs w:val="24"/>
              </w:rPr>
              <w:t>£0.858m</w:t>
            </w:r>
          </w:p>
        </w:tc>
      </w:tr>
      <w:tr w:rsidR="00943CCC" w:rsidRPr="00F837E2" w14:paraId="738128E2" w14:textId="77777777" w:rsidTr="005D7FC1">
        <w:tc>
          <w:tcPr>
            <w:cnfStyle w:val="001000000000" w:firstRow="0" w:lastRow="0" w:firstColumn="1" w:lastColumn="0" w:oddVBand="0" w:evenVBand="0" w:oddHBand="0" w:evenHBand="0" w:firstRowFirstColumn="0" w:firstRowLastColumn="0" w:lastRowFirstColumn="0" w:lastRowLastColumn="0"/>
            <w:tcW w:w="2268" w:type="dxa"/>
          </w:tcPr>
          <w:p w14:paraId="729F6363" w14:textId="77777777" w:rsidR="00943CCC" w:rsidRPr="00F837E2" w:rsidRDefault="00943CCC" w:rsidP="00AA5684">
            <w:pPr>
              <w:rPr>
                <w:rFonts w:ascii="Arial" w:hAnsi="Arial" w:cs="Arial"/>
                <w:sz w:val="24"/>
                <w:szCs w:val="24"/>
              </w:rPr>
            </w:pPr>
            <w:r w:rsidRPr="00F837E2">
              <w:rPr>
                <w:rFonts w:ascii="Arial" w:hAnsi="Arial" w:cs="Arial"/>
                <w:sz w:val="24"/>
                <w:szCs w:val="24"/>
              </w:rPr>
              <w:t>10%</w:t>
            </w:r>
          </w:p>
        </w:tc>
        <w:tc>
          <w:tcPr>
            <w:tcW w:w="2835" w:type="dxa"/>
          </w:tcPr>
          <w:p w14:paraId="67B4CE70" w14:textId="77777777" w:rsidR="00943CCC" w:rsidRPr="00F837E2" w:rsidRDefault="00943CCC" w:rsidP="00AA5684">
            <w:pPr>
              <w:jc w:val="right"/>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837E2">
              <w:rPr>
                <w:rFonts w:ascii="Arial" w:hAnsi="Arial" w:cs="Arial"/>
                <w:sz w:val="24"/>
                <w:szCs w:val="24"/>
              </w:rPr>
              <w:t>(£8.676m)</w:t>
            </w:r>
          </w:p>
        </w:tc>
        <w:tc>
          <w:tcPr>
            <w:tcW w:w="2835" w:type="dxa"/>
          </w:tcPr>
          <w:p w14:paraId="1E609A19" w14:textId="77777777" w:rsidR="00943CCC" w:rsidRPr="00F837E2" w:rsidRDefault="00943CCC" w:rsidP="00AA5684">
            <w:pPr>
              <w:jc w:val="right"/>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837E2">
              <w:rPr>
                <w:rFonts w:ascii="Arial" w:hAnsi="Arial" w:cs="Arial"/>
                <w:sz w:val="24"/>
                <w:szCs w:val="24"/>
              </w:rPr>
              <w:t>(£8.301m)</w:t>
            </w:r>
          </w:p>
        </w:tc>
        <w:tc>
          <w:tcPr>
            <w:tcW w:w="2835" w:type="dxa"/>
          </w:tcPr>
          <w:p w14:paraId="7B046AC6" w14:textId="77777777" w:rsidR="00943CCC" w:rsidRPr="00F837E2" w:rsidRDefault="00943CCC" w:rsidP="00AA5684">
            <w:pPr>
              <w:jc w:val="right"/>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837E2">
              <w:rPr>
                <w:rFonts w:ascii="Arial" w:hAnsi="Arial" w:cs="Arial"/>
                <w:sz w:val="24"/>
                <w:szCs w:val="24"/>
              </w:rPr>
              <w:t>(£1.984m)</w:t>
            </w:r>
          </w:p>
        </w:tc>
      </w:tr>
      <w:tr w:rsidR="00943CCC" w:rsidRPr="00F837E2" w14:paraId="64E77E9A" w14:textId="77777777" w:rsidTr="005D7FC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68" w:type="dxa"/>
          </w:tcPr>
          <w:p w14:paraId="3D0A6927" w14:textId="77777777" w:rsidR="00943CCC" w:rsidRPr="00F837E2" w:rsidRDefault="00943CCC" w:rsidP="00AA5684">
            <w:pPr>
              <w:rPr>
                <w:rFonts w:ascii="Arial" w:hAnsi="Arial" w:cs="Arial"/>
                <w:sz w:val="24"/>
                <w:szCs w:val="24"/>
              </w:rPr>
            </w:pPr>
            <w:r w:rsidRPr="00F837E2">
              <w:rPr>
                <w:rFonts w:ascii="Arial" w:hAnsi="Arial" w:cs="Arial"/>
                <w:sz w:val="24"/>
                <w:szCs w:val="24"/>
              </w:rPr>
              <w:t>12%</w:t>
            </w:r>
          </w:p>
        </w:tc>
        <w:tc>
          <w:tcPr>
            <w:tcW w:w="2835" w:type="dxa"/>
          </w:tcPr>
          <w:p w14:paraId="5370CB2B" w14:textId="77777777" w:rsidR="00943CCC" w:rsidRPr="00F837E2" w:rsidRDefault="00943CCC" w:rsidP="00AA5684">
            <w:pPr>
              <w:jc w:val="right"/>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837E2">
              <w:rPr>
                <w:rFonts w:ascii="Arial" w:hAnsi="Arial" w:cs="Arial"/>
                <w:sz w:val="24"/>
                <w:szCs w:val="24"/>
              </w:rPr>
              <w:t>(£10.646m)</w:t>
            </w:r>
          </w:p>
        </w:tc>
        <w:tc>
          <w:tcPr>
            <w:tcW w:w="2835" w:type="dxa"/>
          </w:tcPr>
          <w:p w14:paraId="292F0DD5" w14:textId="77777777" w:rsidR="00943CCC" w:rsidRPr="00F837E2" w:rsidRDefault="00943CCC" w:rsidP="00AA5684">
            <w:pPr>
              <w:jc w:val="right"/>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837E2">
              <w:rPr>
                <w:rFonts w:ascii="Arial" w:hAnsi="Arial" w:cs="Arial"/>
                <w:sz w:val="24"/>
                <w:szCs w:val="24"/>
              </w:rPr>
              <w:t>(£10.347m)</w:t>
            </w:r>
          </w:p>
        </w:tc>
        <w:tc>
          <w:tcPr>
            <w:tcW w:w="2835" w:type="dxa"/>
          </w:tcPr>
          <w:p w14:paraId="0D327CB9" w14:textId="77777777" w:rsidR="00943CCC" w:rsidRPr="00F837E2" w:rsidRDefault="00943CCC" w:rsidP="00AA5684">
            <w:pPr>
              <w:jc w:val="right"/>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837E2">
              <w:rPr>
                <w:rFonts w:ascii="Arial" w:hAnsi="Arial" w:cs="Arial"/>
                <w:sz w:val="24"/>
                <w:szCs w:val="24"/>
              </w:rPr>
              <w:t>(£4.603m)</w:t>
            </w:r>
          </w:p>
        </w:tc>
      </w:tr>
      <w:tr w:rsidR="00943CCC" w:rsidRPr="00F837E2" w14:paraId="11CAB880" w14:textId="77777777" w:rsidTr="005D7FC1">
        <w:tc>
          <w:tcPr>
            <w:cnfStyle w:val="001000000000" w:firstRow="0" w:lastRow="0" w:firstColumn="1" w:lastColumn="0" w:oddVBand="0" w:evenVBand="0" w:oddHBand="0" w:evenHBand="0" w:firstRowFirstColumn="0" w:firstRowLastColumn="0" w:lastRowFirstColumn="0" w:lastRowLastColumn="0"/>
            <w:tcW w:w="2268" w:type="dxa"/>
          </w:tcPr>
          <w:p w14:paraId="1FF0B908" w14:textId="77777777" w:rsidR="00943CCC" w:rsidRPr="00F837E2" w:rsidRDefault="00943CCC" w:rsidP="00AA5684">
            <w:pPr>
              <w:rPr>
                <w:rFonts w:ascii="Arial" w:hAnsi="Arial" w:cs="Arial"/>
                <w:sz w:val="24"/>
                <w:szCs w:val="24"/>
              </w:rPr>
            </w:pPr>
            <w:r w:rsidRPr="00F837E2">
              <w:rPr>
                <w:rFonts w:ascii="Arial" w:hAnsi="Arial" w:cs="Arial"/>
                <w:sz w:val="24"/>
                <w:szCs w:val="24"/>
              </w:rPr>
              <w:t>14%</w:t>
            </w:r>
          </w:p>
        </w:tc>
        <w:tc>
          <w:tcPr>
            <w:tcW w:w="2835" w:type="dxa"/>
          </w:tcPr>
          <w:p w14:paraId="70F72EA3" w14:textId="77777777" w:rsidR="00943CCC" w:rsidRPr="00F837E2" w:rsidRDefault="00943CCC" w:rsidP="00AA5684">
            <w:pPr>
              <w:jc w:val="right"/>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837E2">
              <w:rPr>
                <w:rFonts w:ascii="Arial" w:hAnsi="Arial" w:cs="Arial"/>
                <w:sz w:val="24"/>
                <w:szCs w:val="24"/>
              </w:rPr>
              <w:t>(£12.469m)</w:t>
            </w:r>
          </w:p>
        </w:tc>
        <w:tc>
          <w:tcPr>
            <w:tcW w:w="2835" w:type="dxa"/>
          </w:tcPr>
          <w:p w14:paraId="55C50F09" w14:textId="77777777" w:rsidR="00943CCC" w:rsidRPr="00F837E2" w:rsidRDefault="00943CCC" w:rsidP="00AA5684">
            <w:pPr>
              <w:jc w:val="right"/>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837E2">
              <w:rPr>
                <w:rFonts w:ascii="Arial" w:hAnsi="Arial" w:cs="Arial"/>
                <w:sz w:val="24"/>
                <w:szCs w:val="24"/>
              </w:rPr>
              <w:t>(£12.236m)</w:t>
            </w:r>
          </w:p>
        </w:tc>
        <w:tc>
          <w:tcPr>
            <w:tcW w:w="2835" w:type="dxa"/>
          </w:tcPr>
          <w:p w14:paraId="03DEB4CC" w14:textId="77777777" w:rsidR="00943CCC" w:rsidRPr="00F837E2" w:rsidRDefault="00943CCC" w:rsidP="00AA5684">
            <w:pPr>
              <w:jc w:val="right"/>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837E2">
              <w:rPr>
                <w:rFonts w:ascii="Arial" w:hAnsi="Arial" w:cs="Arial"/>
                <w:sz w:val="24"/>
                <w:szCs w:val="24"/>
              </w:rPr>
              <w:t>(£7.021m)</w:t>
            </w:r>
          </w:p>
        </w:tc>
      </w:tr>
    </w:tbl>
    <w:p w14:paraId="2914B76E" w14:textId="77777777" w:rsidR="00943CCC" w:rsidRPr="00F837E2" w:rsidRDefault="00943CCC" w:rsidP="00943CCC">
      <w:pPr>
        <w:rPr>
          <w:rFonts w:ascii="Arial" w:hAnsi="Arial" w:cs="Arial"/>
          <w:sz w:val="24"/>
          <w:szCs w:val="24"/>
        </w:rPr>
      </w:pPr>
      <w:r w:rsidRPr="00F837E2">
        <w:rPr>
          <w:rFonts w:ascii="Arial" w:hAnsi="Arial" w:cs="Arial"/>
          <w:noProof/>
          <w:sz w:val="24"/>
          <w:szCs w:val="24"/>
        </w:rPr>
        <w:drawing>
          <wp:inline distT="0" distB="0" distL="0" distR="0" wp14:anchorId="0FA27C5E" wp14:editId="20C0C4CD">
            <wp:extent cx="5802920" cy="2066557"/>
            <wp:effectExtent l="0" t="0" r="7620" b="0"/>
            <wp:docPr id="789138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913864" name=""/>
                    <pic:cNvPicPr/>
                  </pic:nvPicPr>
                  <pic:blipFill>
                    <a:blip r:embed="rId22"/>
                    <a:stretch>
                      <a:fillRect/>
                    </a:stretch>
                  </pic:blipFill>
                  <pic:spPr>
                    <a:xfrm>
                      <a:off x="0" y="0"/>
                      <a:ext cx="5832860" cy="2077219"/>
                    </a:xfrm>
                    <a:prstGeom prst="rect">
                      <a:avLst/>
                    </a:prstGeom>
                  </pic:spPr>
                </pic:pic>
              </a:graphicData>
            </a:graphic>
          </wp:inline>
        </w:drawing>
      </w:r>
    </w:p>
    <w:p w14:paraId="1ACDC1E4" w14:textId="77777777" w:rsidR="00943CCC" w:rsidRPr="00F837E2" w:rsidRDefault="00943CCC" w:rsidP="00943CCC">
      <w:pPr>
        <w:pStyle w:val="Heading2"/>
        <w:numPr>
          <w:ilvl w:val="1"/>
          <w:numId w:val="1"/>
        </w:numPr>
        <w:rPr>
          <w:rFonts w:ascii="Arial" w:hAnsi="Arial" w:cs="Arial"/>
          <w:sz w:val="24"/>
          <w:szCs w:val="24"/>
        </w:rPr>
      </w:pPr>
      <w:bookmarkStart w:id="39" w:name="_Toc235687094"/>
      <w:r w:rsidRPr="00F837E2">
        <w:rPr>
          <w:rFonts w:ascii="Arial" w:hAnsi="Arial" w:cs="Arial"/>
          <w:sz w:val="24"/>
          <w:szCs w:val="24"/>
        </w:rPr>
        <w:t>Appendix I: Graphical Analysis</w:t>
      </w:r>
      <w:bookmarkEnd w:id="39"/>
    </w:p>
    <w:p w14:paraId="629413E1" w14:textId="77777777" w:rsidR="00943CCC" w:rsidRPr="00F837E2" w:rsidRDefault="00943CCC" w:rsidP="00943CCC">
      <w:pPr>
        <w:rPr>
          <w:rFonts w:ascii="Arial" w:hAnsi="Arial" w:cs="Arial"/>
          <w:sz w:val="24"/>
          <w:szCs w:val="24"/>
        </w:rPr>
      </w:pPr>
      <w:r w:rsidRPr="00F837E2">
        <w:rPr>
          <w:rFonts w:ascii="Arial" w:hAnsi="Arial" w:cs="Arial"/>
          <w:noProof/>
          <w:sz w:val="24"/>
          <w:szCs w:val="24"/>
        </w:rPr>
        <w:drawing>
          <wp:inline distT="0" distB="0" distL="0" distR="0" wp14:anchorId="31982179" wp14:editId="09FACF81">
            <wp:extent cx="5845936" cy="2933277"/>
            <wp:effectExtent l="0" t="0" r="2540" b="635"/>
            <wp:docPr id="13415279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1527929" name=""/>
                    <pic:cNvPicPr/>
                  </pic:nvPicPr>
                  <pic:blipFill>
                    <a:blip r:embed="rId23"/>
                    <a:stretch>
                      <a:fillRect/>
                    </a:stretch>
                  </pic:blipFill>
                  <pic:spPr>
                    <a:xfrm>
                      <a:off x="0" y="0"/>
                      <a:ext cx="5851268" cy="2935952"/>
                    </a:xfrm>
                    <a:prstGeom prst="rect">
                      <a:avLst/>
                    </a:prstGeom>
                  </pic:spPr>
                </pic:pic>
              </a:graphicData>
            </a:graphic>
          </wp:inline>
        </w:drawing>
      </w:r>
    </w:p>
    <w:p w14:paraId="65CB8696" w14:textId="77777777" w:rsidR="00943CCC" w:rsidRPr="00F837E2" w:rsidRDefault="00943CCC" w:rsidP="00943CCC">
      <w:pPr>
        <w:jc w:val="center"/>
        <w:rPr>
          <w:rFonts w:ascii="Arial" w:hAnsi="Arial" w:cs="Arial"/>
          <w:sz w:val="24"/>
          <w:szCs w:val="24"/>
        </w:rPr>
      </w:pPr>
      <w:r w:rsidRPr="00F837E2">
        <w:rPr>
          <w:rFonts w:ascii="Arial" w:hAnsi="Arial" w:cs="Arial"/>
          <w:noProof/>
          <w:sz w:val="24"/>
          <w:szCs w:val="24"/>
        </w:rPr>
        <w:lastRenderedPageBreak/>
        <w:drawing>
          <wp:inline distT="0" distB="0" distL="0" distR="0" wp14:anchorId="6E805BA6" wp14:editId="6206BBAF">
            <wp:extent cx="5669280" cy="4072128"/>
            <wp:effectExtent l="0" t="0" r="7620" b="5080"/>
            <wp:docPr id="1825312916" name="Chart 1">
              <a:extLst xmlns:a="http://schemas.openxmlformats.org/drawingml/2006/main">
                <a:ext uri="{FF2B5EF4-FFF2-40B4-BE49-F238E27FC236}">
                  <a16:creationId xmlns:a16="http://schemas.microsoft.com/office/drawing/2014/main" id="{00000000-0008-0000-0400-000002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p>
    <w:p w14:paraId="4BF71F41" w14:textId="77777777" w:rsidR="00943CCC" w:rsidRPr="00F837E2" w:rsidRDefault="00943CCC" w:rsidP="00943CCC">
      <w:pPr>
        <w:spacing w:before="80"/>
        <w:jc w:val="center"/>
        <w:rPr>
          <w:rFonts w:ascii="Arial" w:hAnsi="Arial" w:cs="Arial"/>
          <w:sz w:val="24"/>
          <w:szCs w:val="24"/>
        </w:rPr>
      </w:pPr>
      <w:r w:rsidRPr="00F837E2">
        <w:rPr>
          <w:rFonts w:ascii="Arial" w:hAnsi="Arial" w:cs="Arial"/>
          <w:b/>
          <w:color w:val="595959"/>
          <w:sz w:val="24"/>
          <w:szCs w:val="24"/>
        </w:rPr>
        <w:t>Figure I1: Net present value comparison. Project C is the only project with a positive NPV.</w:t>
      </w:r>
    </w:p>
    <w:p w14:paraId="6276D6A1" w14:textId="77777777" w:rsidR="00943CCC" w:rsidRPr="00F837E2" w:rsidRDefault="00943CCC" w:rsidP="00943CCC">
      <w:pPr>
        <w:spacing w:before="40"/>
        <w:rPr>
          <w:rFonts w:ascii="Arial" w:hAnsi="Arial" w:cs="Arial"/>
          <w:sz w:val="24"/>
          <w:szCs w:val="24"/>
        </w:rPr>
      </w:pPr>
    </w:p>
    <w:p w14:paraId="0414CC69" w14:textId="77777777" w:rsidR="00943CCC" w:rsidRPr="00F837E2" w:rsidRDefault="00943CCC" w:rsidP="00943CCC">
      <w:pPr>
        <w:jc w:val="center"/>
        <w:rPr>
          <w:rFonts w:ascii="Arial" w:hAnsi="Arial" w:cs="Arial"/>
          <w:sz w:val="24"/>
          <w:szCs w:val="24"/>
        </w:rPr>
      </w:pPr>
      <w:r w:rsidRPr="00F837E2">
        <w:rPr>
          <w:rFonts w:ascii="Arial" w:hAnsi="Arial" w:cs="Arial"/>
          <w:noProof/>
          <w:sz w:val="24"/>
          <w:szCs w:val="24"/>
        </w:rPr>
        <w:drawing>
          <wp:inline distT="0" distB="0" distL="0" distR="0" wp14:anchorId="0169C7F1" wp14:editId="1F4A77D3">
            <wp:extent cx="5303520" cy="3877056"/>
            <wp:effectExtent l="0" t="0" r="11430" b="9525"/>
            <wp:docPr id="936387263" name="Chart 1">
              <a:extLst xmlns:a="http://schemas.openxmlformats.org/drawingml/2006/main">
                <a:ext uri="{FF2B5EF4-FFF2-40B4-BE49-F238E27FC236}">
                  <a16:creationId xmlns:a16="http://schemas.microsoft.com/office/drawing/2014/main" id="{00000000-0008-0000-0400-000005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inline>
        </w:drawing>
      </w:r>
    </w:p>
    <w:p w14:paraId="2CF29D88" w14:textId="77777777" w:rsidR="00943CCC" w:rsidRPr="00F837E2" w:rsidRDefault="00943CCC" w:rsidP="00943CCC">
      <w:pPr>
        <w:spacing w:before="80"/>
        <w:jc w:val="center"/>
        <w:rPr>
          <w:rFonts w:ascii="Arial" w:hAnsi="Arial" w:cs="Arial"/>
          <w:sz w:val="24"/>
          <w:szCs w:val="24"/>
        </w:rPr>
      </w:pPr>
      <w:r w:rsidRPr="00F837E2">
        <w:rPr>
          <w:rFonts w:ascii="Arial" w:hAnsi="Arial" w:cs="Arial"/>
          <w:b/>
          <w:color w:val="595959"/>
          <w:sz w:val="24"/>
          <w:szCs w:val="24"/>
        </w:rPr>
        <w:lastRenderedPageBreak/>
        <w:t>Figure I2: IRR comparison against the 8 per cent required return.</w:t>
      </w:r>
    </w:p>
    <w:p w14:paraId="72922586" w14:textId="77777777" w:rsidR="00943CCC" w:rsidRPr="00F837E2" w:rsidRDefault="00943CCC" w:rsidP="00943CCC">
      <w:pPr>
        <w:spacing w:before="40"/>
        <w:rPr>
          <w:rFonts w:ascii="Arial" w:hAnsi="Arial" w:cs="Arial"/>
          <w:sz w:val="24"/>
          <w:szCs w:val="24"/>
        </w:rPr>
      </w:pPr>
    </w:p>
    <w:p w14:paraId="6BB66B94" w14:textId="77777777" w:rsidR="00943CCC" w:rsidRPr="00F837E2" w:rsidRDefault="00943CCC" w:rsidP="00943CCC">
      <w:pPr>
        <w:jc w:val="center"/>
        <w:rPr>
          <w:rFonts w:ascii="Arial" w:hAnsi="Arial" w:cs="Arial"/>
          <w:sz w:val="24"/>
          <w:szCs w:val="24"/>
        </w:rPr>
      </w:pPr>
      <w:r w:rsidRPr="00F837E2">
        <w:rPr>
          <w:rFonts w:ascii="Arial" w:hAnsi="Arial" w:cs="Arial"/>
          <w:noProof/>
          <w:sz w:val="24"/>
          <w:szCs w:val="24"/>
        </w:rPr>
        <w:drawing>
          <wp:inline distT="0" distB="0" distL="0" distR="0" wp14:anchorId="673B308D" wp14:editId="4CA0EDD3">
            <wp:extent cx="6071616" cy="4474464"/>
            <wp:effectExtent l="0" t="0" r="5715" b="2540"/>
            <wp:docPr id="307160763" name="Chart 1">
              <a:extLst xmlns:a="http://schemas.openxmlformats.org/drawingml/2006/main">
                <a:ext uri="{FF2B5EF4-FFF2-40B4-BE49-F238E27FC236}">
                  <a16:creationId xmlns:a16="http://schemas.microsoft.com/office/drawing/2014/main" id="{00000000-0008-0000-0400-000003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inline>
        </w:drawing>
      </w:r>
    </w:p>
    <w:p w14:paraId="504A0E2B" w14:textId="77777777" w:rsidR="00943CCC" w:rsidRPr="00F837E2" w:rsidRDefault="00943CCC" w:rsidP="00943CCC">
      <w:pPr>
        <w:spacing w:before="80"/>
        <w:jc w:val="center"/>
        <w:rPr>
          <w:rFonts w:ascii="Arial" w:hAnsi="Arial" w:cs="Arial"/>
          <w:sz w:val="24"/>
          <w:szCs w:val="24"/>
        </w:rPr>
      </w:pPr>
      <w:r w:rsidRPr="00F837E2">
        <w:rPr>
          <w:rFonts w:ascii="Arial" w:hAnsi="Arial" w:cs="Arial"/>
          <w:b/>
          <w:color w:val="595959"/>
          <w:sz w:val="24"/>
          <w:szCs w:val="24"/>
        </w:rPr>
        <w:t>Figure I3: Cumulative cash flow and payback profiles for Projects A, B and C.</w:t>
      </w:r>
    </w:p>
    <w:p w14:paraId="440E55C5" w14:textId="77777777" w:rsidR="00943CCC" w:rsidRPr="00F837E2" w:rsidRDefault="00943CCC" w:rsidP="00943CCC">
      <w:pPr>
        <w:spacing w:before="40"/>
        <w:rPr>
          <w:rFonts w:ascii="Arial" w:hAnsi="Arial" w:cs="Arial"/>
          <w:sz w:val="24"/>
          <w:szCs w:val="24"/>
        </w:rPr>
      </w:pPr>
    </w:p>
    <w:p w14:paraId="74FD51B6" w14:textId="77777777" w:rsidR="00943CCC" w:rsidRPr="00F837E2" w:rsidRDefault="00943CCC" w:rsidP="00943CCC">
      <w:pPr>
        <w:jc w:val="center"/>
        <w:rPr>
          <w:rFonts w:ascii="Arial" w:hAnsi="Arial" w:cs="Arial"/>
          <w:sz w:val="24"/>
          <w:szCs w:val="24"/>
        </w:rPr>
      </w:pPr>
      <w:r w:rsidRPr="00F837E2">
        <w:rPr>
          <w:rFonts w:ascii="Arial" w:hAnsi="Arial" w:cs="Arial"/>
          <w:noProof/>
          <w:sz w:val="24"/>
          <w:szCs w:val="24"/>
        </w:rPr>
        <w:lastRenderedPageBreak/>
        <w:drawing>
          <wp:inline distT="0" distB="0" distL="0" distR="0" wp14:anchorId="14BCB204" wp14:editId="1C9EFB43">
            <wp:extent cx="5998464" cy="4194048"/>
            <wp:effectExtent l="0" t="0" r="2540" b="16510"/>
            <wp:docPr id="729448282" name="Chart 1">
              <a:extLst xmlns:a="http://schemas.openxmlformats.org/drawingml/2006/main">
                <a:ext uri="{FF2B5EF4-FFF2-40B4-BE49-F238E27FC236}">
                  <a16:creationId xmlns:a16="http://schemas.microsoft.com/office/drawing/2014/main" id="{00000000-0008-0000-0400-000004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7"/>
              </a:graphicData>
            </a:graphic>
          </wp:inline>
        </w:drawing>
      </w:r>
    </w:p>
    <w:p w14:paraId="3534A994" w14:textId="77777777" w:rsidR="00943CCC" w:rsidRPr="00F837E2" w:rsidRDefault="00943CCC" w:rsidP="00943CCC">
      <w:pPr>
        <w:spacing w:before="80"/>
        <w:jc w:val="center"/>
        <w:rPr>
          <w:rFonts w:ascii="Arial" w:hAnsi="Arial" w:cs="Arial"/>
          <w:sz w:val="24"/>
          <w:szCs w:val="24"/>
        </w:rPr>
      </w:pPr>
      <w:r w:rsidRPr="00F837E2">
        <w:rPr>
          <w:rFonts w:ascii="Arial" w:hAnsi="Arial" w:cs="Arial"/>
          <w:b/>
          <w:color w:val="595959"/>
          <w:sz w:val="24"/>
          <w:szCs w:val="24"/>
        </w:rPr>
        <w:t>Figure I4: NPV outcomes for all capital rationing portfolios.</w:t>
      </w:r>
    </w:p>
    <w:p w14:paraId="405A7359" w14:textId="77777777" w:rsidR="00943CCC" w:rsidRPr="00F837E2" w:rsidRDefault="00943CCC" w:rsidP="00943CCC">
      <w:pPr>
        <w:rPr>
          <w:rFonts w:ascii="Arial" w:hAnsi="Arial" w:cs="Arial"/>
          <w:sz w:val="24"/>
          <w:szCs w:val="24"/>
        </w:rPr>
      </w:pPr>
      <w:r w:rsidRPr="00F837E2">
        <w:rPr>
          <w:rFonts w:ascii="Arial" w:hAnsi="Arial" w:cs="Arial"/>
          <w:noProof/>
          <w:sz w:val="24"/>
          <w:szCs w:val="24"/>
        </w:rPr>
        <w:drawing>
          <wp:inline distT="0" distB="0" distL="0" distR="0" wp14:anchorId="51DE2C18" wp14:editId="15B7DB2B">
            <wp:extent cx="5718048" cy="3742944"/>
            <wp:effectExtent l="0" t="0" r="16510" b="10160"/>
            <wp:docPr id="145144277" name="Chart 1">
              <a:extLst xmlns:a="http://schemas.openxmlformats.org/drawingml/2006/main">
                <a:ext uri="{FF2B5EF4-FFF2-40B4-BE49-F238E27FC236}">
                  <a16:creationId xmlns:a16="http://schemas.microsoft.com/office/drawing/2014/main" id="{00000000-0008-0000-0300-000002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8"/>
              </a:graphicData>
            </a:graphic>
          </wp:inline>
        </w:drawing>
      </w:r>
    </w:p>
    <w:p w14:paraId="33681537" w14:textId="4A43E33D" w:rsidR="00943CCC" w:rsidRPr="00F837E2" w:rsidRDefault="00943CCC" w:rsidP="005D7FC1">
      <w:pPr>
        <w:spacing w:before="80"/>
        <w:jc w:val="center"/>
        <w:rPr>
          <w:rFonts w:ascii="Arial" w:hAnsi="Arial" w:cs="Arial"/>
          <w:sz w:val="24"/>
          <w:szCs w:val="24"/>
        </w:rPr>
      </w:pPr>
      <w:r w:rsidRPr="00F837E2">
        <w:rPr>
          <w:rFonts w:ascii="Arial" w:hAnsi="Arial" w:cs="Arial"/>
          <w:b/>
          <w:color w:val="595959"/>
          <w:sz w:val="24"/>
          <w:szCs w:val="24"/>
        </w:rPr>
        <w:t>Figure I5: NPV sensitivity to changes in the discount rate.</w:t>
      </w:r>
    </w:p>
    <w:sectPr w:rsidR="00943CCC" w:rsidRPr="00F837E2" w:rsidSect="001476AF">
      <w:footerReference w:type="default" r:id="rId29"/>
      <w:pgSz w:w="11906" w:h="16838" w:code="9"/>
      <w:pgMar w:top="1440" w:right="1440" w:bottom="1440" w:left="1440" w:header="720" w:footer="720" w:gutter="0"/>
      <w:pgBorders w:offsetFrom="page">
        <w:top w:val="single" w:sz="18" w:space="24" w:color="auto"/>
        <w:left w:val="single" w:sz="18" w:space="24" w:color="auto"/>
        <w:bottom w:val="single" w:sz="18" w:space="24" w:color="auto"/>
        <w:right w:val="single" w:sz="18"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68AF9A9" w14:textId="77777777" w:rsidR="00042DAE" w:rsidRDefault="00042DAE" w:rsidP="001476AF">
      <w:pPr>
        <w:spacing w:after="0" w:line="240" w:lineRule="auto"/>
      </w:pPr>
      <w:r>
        <w:separator/>
      </w:r>
    </w:p>
  </w:endnote>
  <w:endnote w:type="continuationSeparator" w:id="0">
    <w:p w14:paraId="767DAA80" w14:textId="77777777" w:rsidR="00042DAE" w:rsidRDefault="00042DAE" w:rsidP="001476A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ptos">
    <w:altName w:val="Calibri"/>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altName w:val="Calibri"/>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b/>
        <w:bCs/>
        <w:sz w:val="28"/>
        <w:szCs w:val="28"/>
      </w:rPr>
      <w:id w:val="-193021"/>
      <w:docPartObj>
        <w:docPartGallery w:val="Page Numbers (Bottom of Page)"/>
        <w:docPartUnique/>
      </w:docPartObj>
    </w:sdtPr>
    <w:sdtEndPr/>
    <w:sdtContent>
      <w:sdt>
        <w:sdtPr>
          <w:rPr>
            <w:b/>
            <w:bCs/>
            <w:sz w:val="28"/>
            <w:szCs w:val="28"/>
          </w:rPr>
          <w:id w:val="1728636285"/>
          <w:docPartObj>
            <w:docPartGallery w:val="Page Numbers (Top of Page)"/>
            <w:docPartUnique/>
          </w:docPartObj>
        </w:sdtPr>
        <w:sdtEndPr/>
        <w:sdtContent>
          <w:p w14:paraId="52E806DA" w14:textId="1E1DAD58" w:rsidR="001476AF" w:rsidRPr="001476AF" w:rsidRDefault="001476AF">
            <w:pPr>
              <w:pStyle w:val="Footer"/>
              <w:jc w:val="center"/>
              <w:rPr>
                <w:b/>
                <w:bCs/>
                <w:sz w:val="28"/>
                <w:szCs w:val="28"/>
              </w:rPr>
            </w:pPr>
            <w:r w:rsidRPr="001476AF">
              <w:rPr>
                <w:b/>
                <w:bCs/>
                <w:sz w:val="28"/>
                <w:szCs w:val="28"/>
              </w:rPr>
              <w:t xml:space="preserve">Page </w:t>
            </w:r>
            <w:r w:rsidRPr="001476AF">
              <w:rPr>
                <w:b/>
                <w:bCs/>
                <w:sz w:val="28"/>
                <w:szCs w:val="28"/>
              </w:rPr>
              <w:fldChar w:fldCharType="begin"/>
            </w:r>
            <w:r w:rsidRPr="001476AF">
              <w:rPr>
                <w:b/>
                <w:bCs/>
                <w:sz w:val="28"/>
                <w:szCs w:val="28"/>
              </w:rPr>
              <w:instrText xml:space="preserve"> PAGE </w:instrText>
            </w:r>
            <w:r w:rsidRPr="001476AF">
              <w:rPr>
                <w:b/>
                <w:bCs/>
                <w:sz w:val="28"/>
                <w:szCs w:val="28"/>
              </w:rPr>
              <w:fldChar w:fldCharType="separate"/>
            </w:r>
            <w:r w:rsidRPr="001476AF">
              <w:rPr>
                <w:b/>
                <w:bCs/>
                <w:noProof/>
                <w:sz w:val="28"/>
                <w:szCs w:val="28"/>
              </w:rPr>
              <w:t>2</w:t>
            </w:r>
            <w:r w:rsidRPr="001476AF">
              <w:rPr>
                <w:b/>
                <w:bCs/>
                <w:sz w:val="28"/>
                <w:szCs w:val="28"/>
              </w:rPr>
              <w:fldChar w:fldCharType="end"/>
            </w:r>
            <w:r w:rsidRPr="001476AF">
              <w:rPr>
                <w:b/>
                <w:bCs/>
                <w:sz w:val="28"/>
                <w:szCs w:val="28"/>
              </w:rPr>
              <w:t xml:space="preserve"> of </w:t>
            </w:r>
            <w:r w:rsidRPr="001476AF">
              <w:rPr>
                <w:b/>
                <w:bCs/>
                <w:sz w:val="28"/>
                <w:szCs w:val="28"/>
              </w:rPr>
              <w:fldChar w:fldCharType="begin"/>
            </w:r>
            <w:r w:rsidRPr="001476AF">
              <w:rPr>
                <w:b/>
                <w:bCs/>
                <w:sz w:val="28"/>
                <w:szCs w:val="28"/>
              </w:rPr>
              <w:instrText xml:space="preserve"> NUMPAGES  </w:instrText>
            </w:r>
            <w:r w:rsidRPr="001476AF">
              <w:rPr>
                <w:b/>
                <w:bCs/>
                <w:sz w:val="28"/>
                <w:szCs w:val="28"/>
              </w:rPr>
              <w:fldChar w:fldCharType="separate"/>
            </w:r>
            <w:r w:rsidRPr="001476AF">
              <w:rPr>
                <w:b/>
                <w:bCs/>
                <w:noProof/>
                <w:sz w:val="28"/>
                <w:szCs w:val="28"/>
              </w:rPr>
              <w:t>2</w:t>
            </w:r>
            <w:r w:rsidRPr="001476AF">
              <w:rPr>
                <w:b/>
                <w:bCs/>
                <w:sz w:val="28"/>
                <w:szCs w:val="28"/>
              </w:rPr>
              <w:fldChar w:fldCharType="end"/>
            </w:r>
          </w:p>
        </w:sdtContent>
      </w:sdt>
    </w:sdtContent>
  </w:sdt>
  <w:p w14:paraId="255A57F2" w14:textId="77777777" w:rsidR="001476AF" w:rsidRPr="001476AF" w:rsidRDefault="001476AF">
    <w:pPr>
      <w:pStyle w:val="Footer"/>
      <w:rPr>
        <w:b/>
        <w:bCs/>
        <w:sz w:val="28"/>
        <w:szCs w:val="28"/>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3B8C527" w14:textId="77777777" w:rsidR="00042DAE" w:rsidRDefault="00042DAE" w:rsidP="001476AF">
      <w:pPr>
        <w:spacing w:after="0" w:line="240" w:lineRule="auto"/>
      </w:pPr>
      <w:r>
        <w:separator/>
      </w:r>
    </w:p>
  </w:footnote>
  <w:footnote w:type="continuationSeparator" w:id="0">
    <w:p w14:paraId="23CB0350" w14:textId="77777777" w:rsidR="00042DAE" w:rsidRDefault="00042DAE" w:rsidP="001476A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482775B"/>
    <w:multiLevelType w:val="multilevel"/>
    <w:tmpl w:val="0EBA3C40"/>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abstractNumId w:val="0"/>
  </w:num>
  <w:num w:numId="2">
    <w:abstractNumId w:val="0"/>
  </w:num>
  <w:num w:numId="3">
    <w:abstractNumId w:val="0"/>
  </w:num>
  <w:num w:numId="4">
    <w:abstractNumId w:val="0"/>
  </w:num>
  <w:num w:numId="5">
    <w:abstractNumId w:val="0"/>
  </w:num>
  <w:num w:numId="6">
    <w:abstractNumId w:val="0"/>
  </w:num>
  <w:num w:numId="7">
    <w:abstractNumId w:val="0"/>
  </w:num>
  <w:num w:numId="8">
    <w:abstractNumId w:val="0"/>
  </w:num>
  <w:num w:numId="9">
    <w:abstractNumId w:val="0"/>
  </w:num>
  <w:num w:numId="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76AF"/>
    <w:rsid w:val="000076B2"/>
    <w:rsid w:val="0002272F"/>
    <w:rsid w:val="00024EE4"/>
    <w:rsid w:val="00036690"/>
    <w:rsid w:val="000372EC"/>
    <w:rsid w:val="00042DAE"/>
    <w:rsid w:val="0005678F"/>
    <w:rsid w:val="0007038F"/>
    <w:rsid w:val="00072738"/>
    <w:rsid w:val="00084584"/>
    <w:rsid w:val="000C7840"/>
    <w:rsid w:val="000C7D62"/>
    <w:rsid w:val="000E4A99"/>
    <w:rsid w:val="000F45BE"/>
    <w:rsid w:val="0011370F"/>
    <w:rsid w:val="00135B9B"/>
    <w:rsid w:val="001371F4"/>
    <w:rsid w:val="0013776F"/>
    <w:rsid w:val="001476AF"/>
    <w:rsid w:val="00154C69"/>
    <w:rsid w:val="00161A79"/>
    <w:rsid w:val="001941E5"/>
    <w:rsid w:val="0019719F"/>
    <w:rsid w:val="001A3B50"/>
    <w:rsid w:val="001A69E6"/>
    <w:rsid w:val="001A773C"/>
    <w:rsid w:val="001C62C1"/>
    <w:rsid w:val="001C7F24"/>
    <w:rsid w:val="001D3C9C"/>
    <w:rsid w:val="001D4EB8"/>
    <w:rsid w:val="00211183"/>
    <w:rsid w:val="00211746"/>
    <w:rsid w:val="0022207D"/>
    <w:rsid w:val="00227629"/>
    <w:rsid w:val="0023716A"/>
    <w:rsid w:val="00253ED1"/>
    <w:rsid w:val="00267580"/>
    <w:rsid w:val="00276C18"/>
    <w:rsid w:val="00291B25"/>
    <w:rsid w:val="002B395F"/>
    <w:rsid w:val="002E102D"/>
    <w:rsid w:val="002F02AD"/>
    <w:rsid w:val="00303A11"/>
    <w:rsid w:val="00310099"/>
    <w:rsid w:val="00334710"/>
    <w:rsid w:val="003445EC"/>
    <w:rsid w:val="003446E9"/>
    <w:rsid w:val="003465E9"/>
    <w:rsid w:val="003504B8"/>
    <w:rsid w:val="00352079"/>
    <w:rsid w:val="0038458E"/>
    <w:rsid w:val="00390B11"/>
    <w:rsid w:val="00391C3C"/>
    <w:rsid w:val="00393D01"/>
    <w:rsid w:val="003A095E"/>
    <w:rsid w:val="003A1796"/>
    <w:rsid w:val="003B472D"/>
    <w:rsid w:val="003B4A19"/>
    <w:rsid w:val="003C1D83"/>
    <w:rsid w:val="003C5CE6"/>
    <w:rsid w:val="003D4D7C"/>
    <w:rsid w:val="003F51DD"/>
    <w:rsid w:val="004127A5"/>
    <w:rsid w:val="00415AA8"/>
    <w:rsid w:val="004236E7"/>
    <w:rsid w:val="00423E10"/>
    <w:rsid w:val="00427566"/>
    <w:rsid w:val="004332C3"/>
    <w:rsid w:val="004362D4"/>
    <w:rsid w:val="00437947"/>
    <w:rsid w:val="00450AED"/>
    <w:rsid w:val="004520FD"/>
    <w:rsid w:val="004703B0"/>
    <w:rsid w:val="00494A5F"/>
    <w:rsid w:val="004D18D3"/>
    <w:rsid w:val="004D3AC8"/>
    <w:rsid w:val="004E2CDA"/>
    <w:rsid w:val="004E64B8"/>
    <w:rsid w:val="0050202D"/>
    <w:rsid w:val="00503713"/>
    <w:rsid w:val="005465CD"/>
    <w:rsid w:val="00551389"/>
    <w:rsid w:val="005539CF"/>
    <w:rsid w:val="005569B5"/>
    <w:rsid w:val="00574516"/>
    <w:rsid w:val="005970AE"/>
    <w:rsid w:val="005A2E41"/>
    <w:rsid w:val="005C5E7B"/>
    <w:rsid w:val="005C7100"/>
    <w:rsid w:val="005D0142"/>
    <w:rsid w:val="005D7FC1"/>
    <w:rsid w:val="005E4332"/>
    <w:rsid w:val="005F2FEB"/>
    <w:rsid w:val="005F4509"/>
    <w:rsid w:val="005F5B83"/>
    <w:rsid w:val="006408D4"/>
    <w:rsid w:val="00644068"/>
    <w:rsid w:val="0066158C"/>
    <w:rsid w:val="00670982"/>
    <w:rsid w:val="006959F8"/>
    <w:rsid w:val="006A7FA3"/>
    <w:rsid w:val="006B58AC"/>
    <w:rsid w:val="006C46C8"/>
    <w:rsid w:val="006D4E35"/>
    <w:rsid w:val="006E6109"/>
    <w:rsid w:val="006F3C19"/>
    <w:rsid w:val="006F67B5"/>
    <w:rsid w:val="0070183F"/>
    <w:rsid w:val="00705532"/>
    <w:rsid w:val="00706794"/>
    <w:rsid w:val="00743C83"/>
    <w:rsid w:val="00744D34"/>
    <w:rsid w:val="0074553A"/>
    <w:rsid w:val="00755236"/>
    <w:rsid w:val="00772DEA"/>
    <w:rsid w:val="00773874"/>
    <w:rsid w:val="00781D1E"/>
    <w:rsid w:val="00782DA9"/>
    <w:rsid w:val="00794771"/>
    <w:rsid w:val="007B569C"/>
    <w:rsid w:val="007D184F"/>
    <w:rsid w:val="007F23F1"/>
    <w:rsid w:val="00800184"/>
    <w:rsid w:val="00821EB4"/>
    <w:rsid w:val="0082291E"/>
    <w:rsid w:val="00824B2C"/>
    <w:rsid w:val="00831416"/>
    <w:rsid w:val="00845408"/>
    <w:rsid w:val="008526F0"/>
    <w:rsid w:val="00860AFE"/>
    <w:rsid w:val="00860F3C"/>
    <w:rsid w:val="008610ED"/>
    <w:rsid w:val="00882950"/>
    <w:rsid w:val="00895831"/>
    <w:rsid w:val="008C2E5F"/>
    <w:rsid w:val="008D6264"/>
    <w:rsid w:val="008E3363"/>
    <w:rsid w:val="008E4480"/>
    <w:rsid w:val="00907DBB"/>
    <w:rsid w:val="00927222"/>
    <w:rsid w:val="00936921"/>
    <w:rsid w:val="00937C00"/>
    <w:rsid w:val="00943CCC"/>
    <w:rsid w:val="00951297"/>
    <w:rsid w:val="00966AA8"/>
    <w:rsid w:val="009861EE"/>
    <w:rsid w:val="00995CB0"/>
    <w:rsid w:val="009A2ADA"/>
    <w:rsid w:val="009B0A73"/>
    <w:rsid w:val="009B1059"/>
    <w:rsid w:val="009B1121"/>
    <w:rsid w:val="009B1559"/>
    <w:rsid w:val="009B6F9A"/>
    <w:rsid w:val="009C0B7F"/>
    <w:rsid w:val="009C6082"/>
    <w:rsid w:val="009C753C"/>
    <w:rsid w:val="009C7AE3"/>
    <w:rsid w:val="009D2F9D"/>
    <w:rsid w:val="009D76BD"/>
    <w:rsid w:val="00A1171B"/>
    <w:rsid w:val="00A15243"/>
    <w:rsid w:val="00A17AAF"/>
    <w:rsid w:val="00A21B50"/>
    <w:rsid w:val="00A2480D"/>
    <w:rsid w:val="00A30966"/>
    <w:rsid w:val="00A3357D"/>
    <w:rsid w:val="00A57CC9"/>
    <w:rsid w:val="00A623DB"/>
    <w:rsid w:val="00A647DB"/>
    <w:rsid w:val="00A742CF"/>
    <w:rsid w:val="00A778B4"/>
    <w:rsid w:val="00A94BE9"/>
    <w:rsid w:val="00AA189C"/>
    <w:rsid w:val="00AA275B"/>
    <w:rsid w:val="00AA5BC9"/>
    <w:rsid w:val="00AB5220"/>
    <w:rsid w:val="00AB54E0"/>
    <w:rsid w:val="00AC5FCB"/>
    <w:rsid w:val="00B00A3F"/>
    <w:rsid w:val="00B0765F"/>
    <w:rsid w:val="00B1676B"/>
    <w:rsid w:val="00B34A77"/>
    <w:rsid w:val="00B37AD2"/>
    <w:rsid w:val="00B45188"/>
    <w:rsid w:val="00B46083"/>
    <w:rsid w:val="00B509D5"/>
    <w:rsid w:val="00B54F80"/>
    <w:rsid w:val="00B71A9B"/>
    <w:rsid w:val="00B75F10"/>
    <w:rsid w:val="00B77158"/>
    <w:rsid w:val="00B80543"/>
    <w:rsid w:val="00B93A17"/>
    <w:rsid w:val="00B94E9D"/>
    <w:rsid w:val="00B96358"/>
    <w:rsid w:val="00BA30EC"/>
    <w:rsid w:val="00BA49EB"/>
    <w:rsid w:val="00BC5346"/>
    <w:rsid w:val="00BD0B33"/>
    <w:rsid w:val="00BF5ABF"/>
    <w:rsid w:val="00C057A0"/>
    <w:rsid w:val="00C07F0E"/>
    <w:rsid w:val="00C13585"/>
    <w:rsid w:val="00C464AE"/>
    <w:rsid w:val="00C55ECE"/>
    <w:rsid w:val="00C61CB4"/>
    <w:rsid w:val="00C86A82"/>
    <w:rsid w:val="00C907F0"/>
    <w:rsid w:val="00C91604"/>
    <w:rsid w:val="00CA6748"/>
    <w:rsid w:val="00CB0068"/>
    <w:rsid w:val="00CB5928"/>
    <w:rsid w:val="00CC43CA"/>
    <w:rsid w:val="00CC4C9E"/>
    <w:rsid w:val="00CC6C69"/>
    <w:rsid w:val="00CE2875"/>
    <w:rsid w:val="00CE70FE"/>
    <w:rsid w:val="00D03201"/>
    <w:rsid w:val="00D05C71"/>
    <w:rsid w:val="00D116C0"/>
    <w:rsid w:val="00D1439D"/>
    <w:rsid w:val="00D57589"/>
    <w:rsid w:val="00D639D8"/>
    <w:rsid w:val="00D73CD1"/>
    <w:rsid w:val="00D92368"/>
    <w:rsid w:val="00D963E5"/>
    <w:rsid w:val="00DA07B8"/>
    <w:rsid w:val="00DA0DDB"/>
    <w:rsid w:val="00DB4F17"/>
    <w:rsid w:val="00DB7428"/>
    <w:rsid w:val="00DD2901"/>
    <w:rsid w:val="00DD5798"/>
    <w:rsid w:val="00DE2D3D"/>
    <w:rsid w:val="00DF732C"/>
    <w:rsid w:val="00E06081"/>
    <w:rsid w:val="00E219C7"/>
    <w:rsid w:val="00E35567"/>
    <w:rsid w:val="00E40D93"/>
    <w:rsid w:val="00E551E7"/>
    <w:rsid w:val="00E73DC0"/>
    <w:rsid w:val="00E7595D"/>
    <w:rsid w:val="00E95FF0"/>
    <w:rsid w:val="00E97DE7"/>
    <w:rsid w:val="00E97FE1"/>
    <w:rsid w:val="00ED1CDD"/>
    <w:rsid w:val="00EE06C9"/>
    <w:rsid w:val="00EE5BE6"/>
    <w:rsid w:val="00EF1C07"/>
    <w:rsid w:val="00EF2E4C"/>
    <w:rsid w:val="00EF6169"/>
    <w:rsid w:val="00F03691"/>
    <w:rsid w:val="00F067B2"/>
    <w:rsid w:val="00F14466"/>
    <w:rsid w:val="00F145B6"/>
    <w:rsid w:val="00F14A4E"/>
    <w:rsid w:val="00F26CAD"/>
    <w:rsid w:val="00F33110"/>
    <w:rsid w:val="00F42937"/>
    <w:rsid w:val="00F51ABE"/>
    <w:rsid w:val="00F63BE5"/>
    <w:rsid w:val="00F7080E"/>
    <w:rsid w:val="00F837E2"/>
    <w:rsid w:val="00F95178"/>
    <w:rsid w:val="00FA3557"/>
    <w:rsid w:val="00FB0D82"/>
    <w:rsid w:val="00FB4AC9"/>
    <w:rsid w:val="00FB50A7"/>
    <w:rsid w:val="00FB6A37"/>
    <w:rsid w:val="00FC2FC8"/>
    <w:rsid w:val="00FC41E7"/>
    <w:rsid w:val="00FD1B47"/>
    <w:rsid w:val="00FE110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028E98"/>
  <w15:chartTrackingRefBased/>
  <w15:docId w15:val="{C5D0A86C-FA2E-4CE5-A473-EB1007BB36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1476AF"/>
  </w:style>
  <w:style w:type="paragraph" w:styleId="Heading1">
    <w:name w:val="heading 1"/>
    <w:basedOn w:val="Normal"/>
    <w:next w:val="Normal"/>
    <w:link w:val="Heading1Char"/>
    <w:uiPriority w:val="9"/>
    <w:qFormat/>
    <w:rsid w:val="001476AF"/>
    <w:pPr>
      <w:keepNext/>
      <w:keepLines/>
      <w:numPr>
        <w:numId w:val="10"/>
      </w:numPr>
      <w:pBdr>
        <w:bottom w:val="single" w:sz="4" w:space="1" w:color="595959" w:themeColor="text1" w:themeTint="A6"/>
      </w:pBdr>
      <w:spacing w:before="360"/>
      <w:outlineLvl w:val="0"/>
    </w:pPr>
    <w:rPr>
      <w:rFonts w:asciiTheme="majorHAnsi" w:eastAsiaTheme="majorEastAsia" w:hAnsiTheme="majorHAnsi" w:cstheme="majorBidi"/>
      <w:b/>
      <w:bCs/>
      <w:smallCaps/>
      <w:color w:val="000000" w:themeColor="text1"/>
      <w:sz w:val="36"/>
      <w:szCs w:val="36"/>
    </w:rPr>
  </w:style>
  <w:style w:type="paragraph" w:styleId="Heading2">
    <w:name w:val="heading 2"/>
    <w:basedOn w:val="Normal"/>
    <w:next w:val="Normal"/>
    <w:link w:val="Heading2Char"/>
    <w:uiPriority w:val="9"/>
    <w:unhideWhenUsed/>
    <w:qFormat/>
    <w:rsid w:val="001476AF"/>
    <w:pPr>
      <w:keepNext/>
      <w:keepLines/>
      <w:numPr>
        <w:ilvl w:val="1"/>
        <w:numId w:val="10"/>
      </w:numPr>
      <w:spacing w:before="360" w:after="0"/>
      <w:outlineLvl w:val="1"/>
    </w:pPr>
    <w:rPr>
      <w:rFonts w:asciiTheme="majorHAnsi" w:eastAsiaTheme="majorEastAsia" w:hAnsiTheme="majorHAnsi" w:cstheme="majorBidi"/>
      <w:b/>
      <w:bCs/>
      <w:smallCaps/>
      <w:color w:val="000000" w:themeColor="text1"/>
      <w:sz w:val="28"/>
      <w:szCs w:val="28"/>
    </w:rPr>
  </w:style>
  <w:style w:type="paragraph" w:styleId="Heading3">
    <w:name w:val="heading 3"/>
    <w:basedOn w:val="Normal"/>
    <w:next w:val="Normal"/>
    <w:link w:val="Heading3Char"/>
    <w:uiPriority w:val="9"/>
    <w:unhideWhenUsed/>
    <w:qFormat/>
    <w:rsid w:val="001476AF"/>
    <w:pPr>
      <w:keepNext/>
      <w:keepLines/>
      <w:numPr>
        <w:ilvl w:val="2"/>
        <w:numId w:val="10"/>
      </w:numPr>
      <w:spacing w:before="200" w:after="0"/>
      <w:outlineLvl w:val="2"/>
    </w:pPr>
    <w:rPr>
      <w:rFonts w:asciiTheme="majorHAnsi" w:eastAsiaTheme="majorEastAsia" w:hAnsiTheme="majorHAnsi" w:cstheme="majorBidi"/>
      <w:b/>
      <w:bCs/>
      <w:color w:val="000000" w:themeColor="text1"/>
    </w:rPr>
  </w:style>
  <w:style w:type="paragraph" w:styleId="Heading4">
    <w:name w:val="heading 4"/>
    <w:basedOn w:val="Normal"/>
    <w:next w:val="Normal"/>
    <w:link w:val="Heading4Char"/>
    <w:uiPriority w:val="9"/>
    <w:semiHidden/>
    <w:unhideWhenUsed/>
    <w:qFormat/>
    <w:rsid w:val="001476AF"/>
    <w:pPr>
      <w:keepNext/>
      <w:keepLines/>
      <w:numPr>
        <w:ilvl w:val="3"/>
        <w:numId w:val="10"/>
      </w:numPr>
      <w:spacing w:before="200" w:after="0"/>
      <w:outlineLvl w:val="3"/>
    </w:pPr>
    <w:rPr>
      <w:rFonts w:asciiTheme="majorHAnsi" w:eastAsiaTheme="majorEastAsia" w:hAnsiTheme="majorHAnsi" w:cstheme="majorBidi"/>
      <w:b/>
      <w:bCs/>
      <w:i/>
      <w:iCs/>
      <w:color w:val="000000" w:themeColor="text1"/>
    </w:rPr>
  </w:style>
  <w:style w:type="paragraph" w:styleId="Heading5">
    <w:name w:val="heading 5"/>
    <w:basedOn w:val="Normal"/>
    <w:next w:val="Normal"/>
    <w:link w:val="Heading5Char"/>
    <w:uiPriority w:val="9"/>
    <w:semiHidden/>
    <w:unhideWhenUsed/>
    <w:qFormat/>
    <w:rsid w:val="001476AF"/>
    <w:pPr>
      <w:keepNext/>
      <w:keepLines/>
      <w:numPr>
        <w:ilvl w:val="4"/>
        <w:numId w:val="10"/>
      </w:numPr>
      <w:spacing w:before="200" w:after="0"/>
      <w:outlineLvl w:val="4"/>
    </w:pPr>
    <w:rPr>
      <w:rFonts w:asciiTheme="majorHAnsi" w:eastAsiaTheme="majorEastAsia" w:hAnsiTheme="majorHAnsi" w:cstheme="majorBidi"/>
      <w:color w:val="17365D" w:themeColor="text2" w:themeShade="BF"/>
    </w:rPr>
  </w:style>
  <w:style w:type="paragraph" w:styleId="Heading6">
    <w:name w:val="heading 6"/>
    <w:basedOn w:val="Normal"/>
    <w:next w:val="Normal"/>
    <w:link w:val="Heading6Char"/>
    <w:uiPriority w:val="9"/>
    <w:semiHidden/>
    <w:unhideWhenUsed/>
    <w:qFormat/>
    <w:rsid w:val="001476AF"/>
    <w:pPr>
      <w:keepNext/>
      <w:keepLines/>
      <w:numPr>
        <w:ilvl w:val="5"/>
        <w:numId w:val="10"/>
      </w:numPr>
      <w:spacing w:before="200" w:after="0"/>
      <w:outlineLvl w:val="5"/>
    </w:pPr>
    <w:rPr>
      <w:rFonts w:asciiTheme="majorHAnsi" w:eastAsiaTheme="majorEastAsia" w:hAnsiTheme="majorHAnsi" w:cstheme="majorBidi"/>
      <w:i/>
      <w:iCs/>
      <w:color w:val="17365D" w:themeColor="text2" w:themeShade="BF"/>
    </w:rPr>
  </w:style>
  <w:style w:type="paragraph" w:styleId="Heading7">
    <w:name w:val="heading 7"/>
    <w:basedOn w:val="Normal"/>
    <w:next w:val="Normal"/>
    <w:link w:val="Heading7Char"/>
    <w:uiPriority w:val="9"/>
    <w:semiHidden/>
    <w:unhideWhenUsed/>
    <w:qFormat/>
    <w:rsid w:val="001476AF"/>
    <w:pPr>
      <w:keepNext/>
      <w:keepLines/>
      <w:numPr>
        <w:ilvl w:val="6"/>
        <w:numId w:val="10"/>
      </w:numPr>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1476AF"/>
    <w:pPr>
      <w:keepNext/>
      <w:keepLines/>
      <w:numPr>
        <w:ilvl w:val="7"/>
        <w:numId w:val="10"/>
      </w:numPr>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1476AF"/>
    <w:pPr>
      <w:keepNext/>
      <w:keepLines/>
      <w:numPr>
        <w:ilvl w:val="8"/>
        <w:numId w:val="10"/>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476AF"/>
    <w:rPr>
      <w:rFonts w:asciiTheme="majorHAnsi" w:eastAsiaTheme="majorEastAsia" w:hAnsiTheme="majorHAnsi" w:cstheme="majorBidi"/>
      <w:b/>
      <w:bCs/>
      <w:smallCaps/>
      <w:color w:val="000000" w:themeColor="text1"/>
      <w:sz w:val="36"/>
      <w:szCs w:val="36"/>
    </w:rPr>
  </w:style>
  <w:style w:type="character" w:customStyle="1" w:styleId="Heading2Char">
    <w:name w:val="Heading 2 Char"/>
    <w:basedOn w:val="DefaultParagraphFont"/>
    <w:link w:val="Heading2"/>
    <w:uiPriority w:val="9"/>
    <w:rsid w:val="001476AF"/>
    <w:rPr>
      <w:rFonts w:asciiTheme="majorHAnsi" w:eastAsiaTheme="majorEastAsia" w:hAnsiTheme="majorHAnsi" w:cstheme="majorBidi"/>
      <w:b/>
      <w:bCs/>
      <w:smallCaps/>
      <w:color w:val="000000" w:themeColor="text1"/>
      <w:sz w:val="28"/>
      <w:szCs w:val="28"/>
    </w:rPr>
  </w:style>
  <w:style w:type="character" w:customStyle="1" w:styleId="Heading3Char">
    <w:name w:val="Heading 3 Char"/>
    <w:basedOn w:val="DefaultParagraphFont"/>
    <w:link w:val="Heading3"/>
    <w:uiPriority w:val="9"/>
    <w:semiHidden/>
    <w:rsid w:val="001476AF"/>
    <w:rPr>
      <w:rFonts w:asciiTheme="majorHAnsi" w:eastAsiaTheme="majorEastAsia" w:hAnsiTheme="majorHAnsi" w:cstheme="majorBidi"/>
      <w:b/>
      <w:bCs/>
      <w:color w:val="000000" w:themeColor="text1"/>
    </w:rPr>
  </w:style>
  <w:style w:type="character" w:customStyle="1" w:styleId="Heading4Char">
    <w:name w:val="Heading 4 Char"/>
    <w:basedOn w:val="DefaultParagraphFont"/>
    <w:link w:val="Heading4"/>
    <w:uiPriority w:val="9"/>
    <w:semiHidden/>
    <w:rsid w:val="001476AF"/>
    <w:rPr>
      <w:rFonts w:asciiTheme="majorHAnsi" w:eastAsiaTheme="majorEastAsia" w:hAnsiTheme="majorHAnsi" w:cstheme="majorBidi"/>
      <w:b/>
      <w:bCs/>
      <w:i/>
      <w:iCs/>
      <w:color w:val="000000" w:themeColor="text1"/>
    </w:rPr>
  </w:style>
  <w:style w:type="character" w:customStyle="1" w:styleId="Heading5Char">
    <w:name w:val="Heading 5 Char"/>
    <w:basedOn w:val="DefaultParagraphFont"/>
    <w:link w:val="Heading5"/>
    <w:uiPriority w:val="9"/>
    <w:semiHidden/>
    <w:rsid w:val="001476AF"/>
    <w:rPr>
      <w:rFonts w:asciiTheme="majorHAnsi" w:eastAsiaTheme="majorEastAsia" w:hAnsiTheme="majorHAnsi" w:cstheme="majorBidi"/>
      <w:color w:val="17365D" w:themeColor="text2" w:themeShade="BF"/>
    </w:rPr>
  </w:style>
  <w:style w:type="character" w:customStyle="1" w:styleId="Heading6Char">
    <w:name w:val="Heading 6 Char"/>
    <w:basedOn w:val="DefaultParagraphFont"/>
    <w:link w:val="Heading6"/>
    <w:uiPriority w:val="9"/>
    <w:semiHidden/>
    <w:rsid w:val="001476AF"/>
    <w:rPr>
      <w:rFonts w:asciiTheme="majorHAnsi" w:eastAsiaTheme="majorEastAsia" w:hAnsiTheme="majorHAnsi" w:cstheme="majorBidi"/>
      <w:i/>
      <w:iCs/>
      <w:color w:val="17365D" w:themeColor="text2" w:themeShade="BF"/>
    </w:rPr>
  </w:style>
  <w:style w:type="character" w:customStyle="1" w:styleId="Heading7Char">
    <w:name w:val="Heading 7 Char"/>
    <w:basedOn w:val="DefaultParagraphFont"/>
    <w:link w:val="Heading7"/>
    <w:uiPriority w:val="9"/>
    <w:semiHidden/>
    <w:rsid w:val="001476A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1476AF"/>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semiHidden/>
    <w:rsid w:val="001476AF"/>
    <w:rPr>
      <w:rFonts w:asciiTheme="majorHAnsi" w:eastAsiaTheme="majorEastAsia" w:hAnsiTheme="majorHAnsi" w:cstheme="majorBidi"/>
      <w:i/>
      <w:iCs/>
      <w:color w:val="404040" w:themeColor="text1" w:themeTint="BF"/>
      <w:sz w:val="20"/>
      <w:szCs w:val="20"/>
    </w:rPr>
  </w:style>
  <w:style w:type="paragraph" w:styleId="Title">
    <w:name w:val="Title"/>
    <w:basedOn w:val="Normal"/>
    <w:next w:val="Normal"/>
    <w:link w:val="TitleChar"/>
    <w:uiPriority w:val="10"/>
    <w:qFormat/>
    <w:rsid w:val="001476AF"/>
    <w:pPr>
      <w:spacing w:after="0" w:line="240" w:lineRule="auto"/>
      <w:contextualSpacing/>
    </w:pPr>
    <w:rPr>
      <w:rFonts w:asciiTheme="majorHAnsi" w:eastAsiaTheme="majorEastAsia" w:hAnsiTheme="majorHAnsi" w:cstheme="majorBidi"/>
      <w:color w:val="000000" w:themeColor="text1"/>
      <w:sz w:val="56"/>
      <w:szCs w:val="56"/>
    </w:rPr>
  </w:style>
  <w:style w:type="character" w:customStyle="1" w:styleId="TitleChar">
    <w:name w:val="Title Char"/>
    <w:basedOn w:val="DefaultParagraphFont"/>
    <w:link w:val="Title"/>
    <w:uiPriority w:val="10"/>
    <w:rsid w:val="001476AF"/>
    <w:rPr>
      <w:rFonts w:asciiTheme="majorHAnsi" w:eastAsiaTheme="majorEastAsia" w:hAnsiTheme="majorHAnsi" w:cstheme="majorBidi"/>
      <w:color w:val="000000" w:themeColor="text1"/>
      <w:sz w:val="56"/>
      <w:szCs w:val="56"/>
    </w:rPr>
  </w:style>
  <w:style w:type="paragraph" w:styleId="Subtitle">
    <w:name w:val="Subtitle"/>
    <w:basedOn w:val="Normal"/>
    <w:next w:val="Normal"/>
    <w:link w:val="SubtitleChar"/>
    <w:uiPriority w:val="11"/>
    <w:qFormat/>
    <w:rsid w:val="001476AF"/>
    <w:pPr>
      <w:numPr>
        <w:ilvl w:val="1"/>
      </w:numPr>
    </w:pPr>
    <w:rPr>
      <w:color w:val="5A5A5A" w:themeColor="text1" w:themeTint="A5"/>
      <w:spacing w:val="10"/>
    </w:rPr>
  </w:style>
  <w:style w:type="character" w:customStyle="1" w:styleId="SubtitleChar">
    <w:name w:val="Subtitle Char"/>
    <w:basedOn w:val="DefaultParagraphFont"/>
    <w:link w:val="Subtitle"/>
    <w:uiPriority w:val="11"/>
    <w:rsid w:val="001476AF"/>
    <w:rPr>
      <w:color w:val="5A5A5A" w:themeColor="text1" w:themeTint="A5"/>
      <w:spacing w:val="10"/>
    </w:rPr>
  </w:style>
  <w:style w:type="paragraph" w:styleId="Quote">
    <w:name w:val="Quote"/>
    <w:basedOn w:val="Normal"/>
    <w:next w:val="Normal"/>
    <w:link w:val="QuoteChar"/>
    <w:uiPriority w:val="29"/>
    <w:qFormat/>
    <w:rsid w:val="001476AF"/>
    <w:pPr>
      <w:spacing w:before="160"/>
      <w:ind w:left="720" w:right="720"/>
    </w:pPr>
    <w:rPr>
      <w:i/>
      <w:iCs/>
      <w:color w:val="000000" w:themeColor="text1"/>
    </w:rPr>
  </w:style>
  <w:style w:type="character" w:customStyle="1" w:styleId="QuoteChar">
    <w:name w:val="Quote Char"/>
    <w:basedOn w:val="DefaultParagraphFont"/>
    <w:link w:val="Quote"/>
    <w:uiPriority w:val="29"/>
    <w:rsid w:val="001476AF"/>
    <w:rPr>
      <w:i/>
      <w:iCs/>
      <w:color w:val="000000" w:themeColor="text1"/>
    </w:rPr>
  </w:style>
  <w:style w:type="paragraph" w:styleId="ListParagraph">
    <w:name w:val="List Paragraph"/>
    <w:basedOn w:val="Normal"/>
    <w:uiPriority w:val="34"/>
    <w:qFormat/>
    <w:rsid w:val="001476AF"/>
    <w:pPr>
      <w:ind w:left="720"/>
      <w:contextualSpacing/>
    </w:pPr>
  </w:style>
  <w:style w:type="character" w:styleId="IntenseEmphasis">
    <w:name w:val="Intense Emphasis"/>
    <w:basedOn w:val="DefaultParagraphFont"/>
    <w:uiPriority w:val="21"/>
    <w:qFormat/>
    <w:rsid w:val="001476AF"/>
    <w:rPr>
      <w:b/>
      <w:bCs/>
      <w:i/>
      <w:iCs/>
      <w:caps/>
    </w:rPr>
  </w:style>
  <w:style w:type="paragraph" w:styleId="IntenseQuote">
    <w:name w:val="Intense Quote"/>
    <w:basedOn w:val="Normal"/>
    <w:next w:val="Normal"/>
    <w:link w:val="IntenseQuoteChar"/>
    <w:uiPriority w:val="30"/>
    <w:qFormat/>
    <w:rsid w:val="001476AF"/>
    <w:pPr>
      <w:pBdr>
        <w:top w:val="single" w:sz="24" w:space="1" w:color="F2F2F2" w:themeColor="background1" w:themeShade="F2"/>
        <w:bottom w:val="single" w:sz="24" w:space="1" w:color="F2F2F2" w:themeColor="background1" w:themeShade="F2"/>
      </w:pBdr>
      <w:shd w:val="clear" w:color="auto" w:fill="F2F2F2" w:themeFill="background1" w:themeFillShade="F2"/>
      <w:spacing w:before="240" w:after="240"/>
      <w:ind w:left="936" w:right="936"/>
      <w:jc w:val="center"/>
    </w:pPr>
    <w:rPr>
      <w:color w:val="000000" w:themeColor="text1"/>
    </w:rPr>
  </w:style>
  <w:style w:type="character" w:customStyle="1" w:styleId="IntenseQuoteChar">
    <w:name w:val="Intense Quote Char"/>
    <w:basedOn w:val="DefaultParagraphFont"/>
    <w:link w:val="IntenseQuote"/>
    <w:uiPriority w:val="30"/>
    <w:rsid w:val="001476AF"/>
    <w:rPr>
      <w:color w:val="000000" w:themeColor="text1"/>
      <w:shd w:val="clear" w:color="auto" w:fill="F2F2F2" w:themeFill="background1" w:themeFillShade="F2"/>
    </w:rPr>
  </w:style>
  <w:style w:type="character" w:styleId="IntenseReference">
    <w:name w:val="Intense Reference"/>
    <w:basedOn w:val="DefaultParagraphFont"/>
    <w:uiPriority w:val="32"/>
    <w:qFormat/>
    <w:rsid w:val="001476AF"/>
    <w:rPr>
      <w:b/>
      <w:bCs/>
      <w:smallCaps/>
      <w:u w:val="single"/>
    </w:rPr>
  </w:style>
  <w:style w:type="paragraph" w:styleId="Header">
    <w:name w:val="header"/>
    <w:basedOn w:val="Normal"/>
    <w:link w:val="HeaderChar"/>
    <w:uiPriority w:val="99"/>
    <w:unhideWhenUsed/>
    <w:rsid w:val="001476AF"/>
    <w:pPr>
      <w:tabs>
        <w:tab w:val="center" w:pos="4680"/>
        <w:tab w:val="right" w:pos="9360"/>
      </w:tabs>
      <w:spacing w:after="0" w:line="240" w:lineRule="auto"/>
    </w:pPr>
  </w:style>
  <w:style w:type="character" w:customStyle="1" w:styleId="HeaderChar">
    <w:name w:val="Header Char"/>
    <w:basedOn w:val="DefaultParagraphFont"/>
    <w:link w:val="Header"/>
    <w:uiPriority w:val="99"/>
    <w:rsid w:val="001476AF"/>
    <w:rPr>
      <w:lang w:val="en-GB"/>
    </w:rPr>
  </w:style>
  <w:style w:type="paragraph" w:styleId="Footer">
    <w:name w:val="footer"/>
    <w:basedOn w:val="Normal"/>
    <w:link w:val="FooterChar"/>
    <w:uiPriority w:val="99"/>
    <w:unhideWhenUsed/>
    <w:rsid w:val="001476AF"/>
    <w:pPr>
      <w:tabs>
        <w:tab w:val="center" w:pos="4680"/>
        <w:tab w:val="right" w:pos="9360"/>
      </w:tabs>
      <w:spacing w:after="0" w:line="240" w:lineRule="auto"/>
    </w:pPr>
  </w:style>
  <w:style w:type="character" w:customStyle="1" w:styleId="FooterChar">
    <w:name w:val="Footer Char"/>
    <w:basedOn w:val="DefaultParagraphFont"/>
    <w:link w:val="Footer"/>
    <w:uiPriority w:val="99"/>
    <w:rsid w:val="001476AF"/>
    <w:rPr>
      <w:lang w:val="en-GB"/>
    </w:rPr>
  </w:style>
  <w:style w:type="paragraph" w:styleId="Caption">
    <w:name w:val="caption"/>
    <w:basedOn w:val="Normal"/>
    <w:next w:val="Normal"/>
    <w:uiPriority w:val="35"/>
    <w:semiHidden/>
    <w:unhideWhenUsed/>
    <w:qFormat/>
    <w:rsid w:val="001476AF"/>
    <w:pPr>
      <w:spacing w:after="200" w:line="240" w:lineRule="auto"/>
    </w:pPr>
    <w:rPr>
      <w:i/>
      <w:iCs/>
      <w:color w:val="1F497D" w:themeColor="text2"/>
      <w:sz w:val="18"/>
      <w:szCs w:val="18"/>
    </w:rPr>
  </w:style>
  <w:style w:type="character" w:styleId="Strong">
    <w:name w:val="Strong"/>
    <w:basedOn w:val="DefaultParagraphFont"/>
    <w:uiPriority w:val="22"/>
    <w:qFormat/>
    <w:rsid w:val="001476AF"/>
    <w:rPr>
      <w:b/>
      <w:bCs/>
      <w:color w:val="000000" w:themeColor="text1"/>
    </w:rPr>
  </w:style>
  <w:style w:type="character" w:styleId="Emphasis">
    <w:name w:val="Emphasis"/>
    <w:basedOn w:val="DefaultParagraphFont"/>
    <w:uiPriority w:val="20"/>
    <w:qFormat/>
    <w:rsid w:val="001476AF"/>
    <w:rPr>
      <w:i/>
      <w:iCs/>
      <w:color w:val="auto"/>
    </w:rPr>
  </w:style>
  <w:style w:type="paragraph" w:styleId="NoSpacing">
    <w:name w:val="No Spacing"/>
    <w:uiPriority w:val="1"/>
    <w:qFormat/>
    <w:rsid w:val="001476AF"/>
    <w:pPr>
      <w:spacing w:after="0" w:line="240" w:lineRule="auto"/>
    </w:pPr>
  </w:style>
  <w:style w:type="character" w:styleId="SubtleEmphasis">
    <w:name w:val="Subtle Emphasis"/>
    <w:basedOn w:val="DefaultParagraphFont"/>
    <w:uiPriority w:val="19"/>
    <w:qFormat/>
    <w:rsid w:val="001476AF"/>
    <w:rPr>
      <w:i/>
      <w:iCs/>
      <w:color w:val="404040" w:themeColor="text1" w:themeTint="BF"/>
    </w:rPr>
  </w:style>
  <w:style w:type="character" w:styleId="SubtleReference">
    <w:name w:val="Subtle Reference"/>
    <w:basedOn w:val="DefaultParagraphFont"/>
    <w:uiPriority w:val="31"/>
    <w:qFormat/>
    <w:rsid w:val="001476AF"/>
    <w:rPr>
      <w:smallCaps/>
      <w:color w:val="404040" w:themeColor="text1" w:themeTint="BF"/>
      <w:u w:val="single" w:color="7F7F7F" w:themeColor="text1" w:themeTint="80"/>
    </w:rPr>
  </w:style>
  <w:style w:type="character" w:styleId="BookTitle">
    <w:name w:val="Book Title"/>
    <w:basedOn w:val="DefaultParagraphFont"/>
    <w:uiPriority w:val="33"/>
    <w:qFormat/>
    <w:rsid w:val="001476AF"/>
    <w:rPr>
      <w:b w:val="0"/>
      <w:bCs w:val="0"/>
      <w:smallCaps/>
      <w:spacing w:val="5"/>
    </w:rPr>
  </w:style>
  <w:style w:type="paragraph" w:styleId="TOCHeading">
    <w:name w:val="TOC Heading"/>
    <w:basedOn w:val="Heading1"/>
    <w:next w:val="Normal"/>
    <w:uiPriority w:val="39"/>
    <w:unhideWhenUsed/>
    <w:qFormat/>
    <w:rsid w:val="001476AF"/>
    <w:pPr>
      <w:outlineLvl w:val="9"/>
    </w:pPr>
  </w:style>
  <w:style w:type="table" w:styleId="GridTable4-Accent4">
    <w:name w:val="Grid Table 4 Accent 4"/>
    <w:basedOn w:val="TableNormal"/>
    <w:uiPriority w:val="49"/>
    <w:rsid w:val="00393D01"/>
    <w:pPr>
      <w:spacing w:after="0" w:line="240" w:lineRule="auto"/>
    </w:pPr>
    <w:tblPr>
      <w:tblStyleRowBandSize w:val="1"/>
      <w:tblStyleColBandSize w:val="1"/>
      <w:tblBorders>
        <w:top w:val="single" w:sz="4" w:space="0" w:color="B2A1C7" w:themeColor="accent4" w:themeTint="99"/>
        <w:left w:val="single" w:sz="4" w:space="0" w:color="B2A1C7" w:themeColor="accent4" w:themeTint="99"/>
        <w:bottom w:val="single" w:sz="4" w:space="0" w:color="B2A1C7" w:themeColor="accent4" w:themeTint="99"/>
        <w:right w:val="single" w:sz="4" w:space="0" w:color="B2A1C7" w:themeColor="accent4" w:themeTint="99"/>
        <w:insideH w:val="single" w:sz="4" w:space="0" w:color="B2A1C7" w:themeColor="accent4" w:themeTint="99"/>
        <w:insideV w:val="single" w:sz="4" w:space="0" w:color="B2A1C7" w:themeColor="accent4" w:themeTint="99"/>
      </w:tblBorders>
    </w:tblPr>
    <w:tblStylePr w:type="firstRow">
      <w:rPr>
        <w:b/>
        <w:bCs/>
        <w:color w:val="FFFFFF" w:themeColor="background1"/>
      </w:rPr>
      <w:tblPr/>
      <w:tcPr>
        <w:tcBorders>
          <w:top w:val="single" w:sz="4" w:space="0" w:color="8064A2" w:themeColor="accent4"/>
          <w:left w:val="single" w:sz="4" w:space="0" w:color="8064A2" w:themeColor="accent4"/>
          <w:bottom w:val="single" w:sz="4" w:space="0" w:color="8064A2" w:themeColor="accent4"/>
          <w:right w:val="single" w:sz="4" w:space="0" w:color="8064A2" w:themeColor="accent4"/>
          <w:insideH w:val="nil"/>
          <w:insideV w:val="nil"/>
        </w:tcBorders>
        <w:shd w:val="clear" w:color="auto" w:fill="8064A2" w:themeFill="accent4"/>
      </w:tcPr>
    </w:tblStylePr>
    <w:tblStylePr w:type="lastRow">
      <w:rPr>
        <w:b/>
        <w:bCs/>
      </w:rPr>
      <w:tblPr/>
      <w:tcPr>
        <w:tcBorders>
          <w:top w:val="double" w:sz="4" w:space="0" w:color="8064A2" w:themeColor="accent4"/>
        </w:tcBorders>
      </w:tcPr>
    </w:tblStylePr>
    <w:tblStylePr w:type="firstCol">
      <w:rPr>
        <w:b/>
        <w:bCs/>
      </w:rPr>
    </w:tblStylePr>
    <w:tblStylePr w:type="lastCol">
      <w:rPr>
        <w:b/>
        <w:bCs/>
      </w:rPr>
    </w:tblStylePr>
    <w:tblStylePr w:type="band1Vert">
      <w:tblPr/>
      <w:tcPr>
        <w:shd w:val="clear" w:color="auto" w:fill="E5DFEC" w:themeFill="accent4" w:themeFillTint="33"/>
      </w:tcPr>
    </w:tblStylePr>
    <w:tblStylePr w:type="band1Horz">
      <w:tblPr/>
      <w:tcPr>
        <w:shd w:val="clear" w:color="auto" w:fill="E5DFEC" w:themeFill="accent4" w:themeFillTint="33"/>
      </w:tcPr>
    </w:tblStylePr>
  </w:style>
  <w:style w:type="table" w:styleId="GridTable4-Accent5">
    <w:name w:val="Grid Table 4 Accent 5"/>
    <w:basedOn w:val="TableNormal"/>
    <w:uiPriority w:val="49"/>
    <w:rsid w:val="00393D01"/>
    <w:pPr>
      <w:spacing w:after="0" w:line="240" w:lineRule="auto"/>
    </w:pPr>
    <w:tblPr>
      <w:tblStyleRowBandSize w:val="1"/>
      <w:tblStyleColBandSize w:val="1"/>
      <w:tblBorders>
        <w:top w:val="single" w:sz="4" w:space="0" w:color="92CDDC" w:themeColor="accent5" w:themeTint="99"/>
        <w:left w:val="single" w:sz="4" w:space="0" w:color="92CDDC" w:themeColor="accent5" w:themeTint="99"/>
        <w:bottom w:val="single" w:sz="4" w:space="0" w:color="92CDDC" w:themeColor="accent5" w:themeTint="99"/>
        <w:right w:val="single" w:sz="4" w:space="0" w:color="92CDDC" w:themeColor="accent5" w:themeTint="99"/>
        <w:insideH w:val="single" w:sz="4" w:space="0" w:color="92CDDC" w:themeColor="accent5" w:themeTint="99"/>
        <w:insideV w:val="single" w:sz="4" w:space="0" w:color="92CDDC" w:themeColor="accent5" w:themeTint="99"/>
      </w:tblBorders>
    </w:tblPr>
    <w:tblStylePr w:type="firstRow">
      <w:rPr>
        <w:b/>
        <w:bCs/>
        <w:color w:val="FFFFFF" w:themeColor="background1"/>
      </w:rPr>
      <w:tblPr/>
      <w:tcPr>
        <w:tcBorders>
          <w:top w:val="single" w:sz="4" w:space="0" w:color="4BACC6" w:themeColor="accent5"/>
          <w:left w:val="single" w:sz="4" w:space="0" w:color="4BACC6" w:themeColor="accent5"/>
          <w:bottom w:val="single" w:sz="4" w:space="0" w:color="4BACC6" w:themeColor="accent5"/>
          <w:right w:val="single" w:sz="4" w:space="0" w:color="4BACC6" w:themeColor="accent5"/>
          <w:insideH w:val="nil"/>
          <w:insideV w:val="nil"/>
        </w:tcBorders>
        <w:shd w:val="clear" w:color="auto" w:fill="4BACC6" w:themeFill="accent5"/>
      </w:tcPr>
    </w:tblStylePr>
    <w:tblStylePr w:type="lastRow">
      <w:rPr>
        <w:b/>
        <w:bCs/>
      </w:rPr>
      <w:tblPr/>
      <w:tcPr>
        <w:tcBorders>
          <w:top w:val="double" w:sz="4" w:space="0" w:color="4BACC6" w:themeColor="accent5"/>
        </w:tcBorders>
      </w:tcPr>
    </w:tblStylePr>
    <w:tblStylePr w:type="firstCol">
      <w:rPr>
        <w:b/>
        <w:bCs/>
      </w:rPr>
    </w:tblStylePr>
    <w:tblStylePr w:type="lastCol">
      <w:rPr>
        <w:b/>
        <w:bCs/>
      </w:rPr>
    </w:tblStylePr>
    <w:tblStylePr w:type="band1Vert">
      <w:tblPr/>
      <w:tcPr>
        <w:shd w:val="clear" w:color="auto" w:fill="DAEEF3" w:themeFill="accent5" w:themeFillTint="33"/>
      </w:tcPr>
    </w:tblStylePr>
    <w:tblStylePr w:type="band1Horz">
      <w:tblPr/>
      <w:tcPr>
        <w:shd w:val="clear" w:color="auto" w:fill="DAEEF3" w:themeFill="accent5" w:themeFillTint="33"/>
      </w:tcPr>
    </w:tblStylePr>
  </w:style>
  <w:style w:type="paragraph" w:styleId="TOC1">
    <w:name w:val="toc 1"/>
    <w:basedOn w:val="Normal"/>
    <w:next w:val="Normal"/>
    <w:autoRedefine/>
    <w:uiPriority w:val="39"/>
    <w:unhideWhenUsed/>
    <w:rsid w:val="00C464AE"/>
    <w:pPr>
      <w:spacing w:after="100"/>
    </w:pPr>
  </w:style>
  <w:style w:type="paragraph" w:styleId="TOC2">
    <w:name w:val="toc 2"/>
    <w:basedOn w:val="Normal"/>
    <w:next w:val="Normal"/>
    <w:autoRedefine/>
    <w:uiPriority w:val="39"/>
    <w:unhideWhenUsed/>
    <w:rsid w:val="00C464AE"/>
    <w:pPr>
      <w:spacing w:after="100"/>
      <w:ind w:left="220"/>
    </w:pPr>
  </w:style>
  <w:style w:type="character" w:styleId="Hyperlink">
    <w:name w:val="Hyperlink"/>
    <w:basedOn w:val="DefaultParagraphFont"/>
    <w:uiPriority w:val="99"/>
    <w:unhideWhenUsed/>
    <w:rsid w:val="00C464AE"/>
    <w:rPr>
      <w:color w:val="0000FF" w:themeColor="hyperlink"/>
      <w:u w:val="single"/>
    </w:rPr>
  </w:style>
  <w:style w:type="table" w:styleId="TableGrid">
    <w:name w:val="Table Grid"/>
    <w:basedOn w:val="TableNormal"/>
    <w:uiPriority w:val="59"/>
    <w:rsid w:val="00943CC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6B58AC"/>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oecd.org/en/topics/ai-principles.html?utm_source" TargetMode="External"/><Relationship Id="rId18" Type="http://schemas.openxmlformats.org/officeDocument/2006/relationships/image" Target="media/image4.png"/><Relationship Id="rId26" Type="http://schemas.openxmlformats.org/officeDocument/2006/relationships/chart" Target="charts/chart7.xml"/><Relationship Id="rId3" Type="http://schemas.openxmlformats.org/officeDocument/2006/relationships/styles" Target="styles.xml"/><Relationship Id="rId21" Type="http://schemas.openxmlformats.org/officeDocument/2006/relationships/image" Target="media/image7.png"/><Relationship Id="rId7" Type="http://schemas.openxmlformats.org/officeDocument/2006/relationships/endnotes" Target="endnotes.xml"/><Relationship Id="rId12" Type="http://schemas.openxmlformats.org/officeDocument/2006/relationships/hyperlink" Target="https://doi.org/10.6028/NIST.AI.100-1" TargetMode="External"/><Relationship Id="rId17" Type="http://schemas.openxmlformats.org/officeDocument/2006/relationships/chart" Target="charts/chart4.xml"/><Relationship Id="rId25" Type="http://schemas.openxmlformats.org/officeDocument/2006/relationships/chart" Target="charts/chart6.xml"/><Relationship Id="rId2" Type="http://schemas.openxmlformats.org/officeDocument/2006/relationships/numbering" Target="numbering.xml"/><Relationship Id="rId16" Type="http://schemas.openxmlformats.org/officeDocument/2006/relationships/chart" Target="charts/chart3.xml"/><Relationship Id="rId20" Type="http://schemas.openxmlformats.org/officeDocument/2006/relationships/image" Target="media/image6.png"/><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icaew.com/insights/viewpoints-on-the-news/2025/apr-2025/icaew-publishes-2025-update-to-code-of-ethics?utm_source" TargetMode="External"/><Relationship Id="rId24" Type="http://schemas.openxmlformats.org/officeDocument/2006/relationships/chart" Target="charts/chart5.xml"/><Relationship Id="rId5" Type="http://schemas.openxmlformats.org/officeDocument/2006/relationships/webSettings" Target="webSettings.xml"/><Relationship Id="rId15" Type="http://schemas.openxmlformats.org/officeDocument/2006/relationships/chart" Target="charts/chart2.xml"/><Relationship Id="rId23" Type="http://schemas.openxmlformats.org/officeDocument/2006/relationships/image" Target="media/image9.png"/><Relationship Id="rId28" Type="http://schemas.openxmlformats.org/officeDocument/2006/relationships/chart" Target="charts/chart9.xml"/><Relationship Id="rId10" Type="http://schemas.openxmlformats.org/officeDocument/2006/relationships/image" Target="media/image3.png"/><Relationship Id="rId19" Type="http://schemas.openxmlformats.org/officeDocument/2006/relationships/image" Target="media/image5.png"/><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chart" Target="charts/chart1.xml"/><Relationship Id="rId22" Type="http://schemas.openxmlformats.org/officeDocument/2006/relationships/image" Target="media/image8.png"/><Relationship Id="rId27" Type="http://schemas.openxmlformats.org/officeDocument/2006/relationships/chart" Target="charts/chart8.xml"/><Relationship Id="rId30" Type="http://schemas.openxmlformats.org/officeDocument/2006/relationships/fontTable" Target="fontTable.xml"/></Relationships>
</file>

<file path=word/charts/_rels/chart1.xml.rels><?xml version="1.0" encoding="UTF-8" standalone="yes"?>
<Relationships xmlns="http://schemas.openxmlformats.org/package/2006/relationships"><Relationship Id="rId1" Type="http://schemas.openxmlformats.org/officeDocument/2006/relationships/oleObject" Target="file:///C:\Users\HP\Desktop\FILE\Marriott_Five_Year_Financial_Analysis_2021_2025.xlsx"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file:///C:\Users\HP\Desktop\FILE\Marriott_Five_Year_Financial_Analysis_2021_2025.xlsx"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file:///C:\Users\HP\Desktop\FILE\Marriott_Five_Year_Financial_Analysis_2021_2025.xlsx" TargetMode="External"/></Relationships>
</file>

<file path=word/charts/_rels/chart4.xml.rels><?xml version="1.0" encoding="UTF-8" standalone="yes"?>
<Relationships xmlns="http://schemas.openxmlformats.org/package/2006/relationships"><Relationship Id="rId1" Type="http://schemas.openxmlformats.org/officeDocument/2006/relationships/oleObject" Target="file:///C:\Users\HP\Desktop\FILE\Marriott_Five_Year_Financial_Analysis_2021_2025.xlsx" TargetMode="External"/></Relationships>
</file>

<file path=word/charts/_rels/chart5.xml.rels><?xml version="1.0" encoding="UTF-8" standalone="yes"?>
<Relationships xmlns="http://schemas.openxmlformats.org/package/2006/relationships"><Relationship Id="rId1" Type="http://schemas.openxmlformats.org/officeDocument/2006/relationships/oleObject" Target="file:///C:\Users\HP\Desktop\FILE\Marriott_Investment_Appraisal_and_Capital_Budgeting.xlsx" TargetMode="External"/></Relationships>
</file>

<file path=word/charts/_rels/chart6.xml.rels><?xml version="1.0" encoding="UTF-8" standalone="yes"?>
<Relationships xmlns="http://schemas.openxmlformats.org/package/2006/relationships"><Relationship Id="rId1" Type="http://schemas.openxmlformats.org/officeDocument/2006/relationships/oleObject" Target="file:///C:\Users\HP\Desktop\FILE\Marriott_Investment_Appraisal_and_Capital_Budgeting.xlsx" TargetMode="External"/></Relationships>
</file>

<file path=word/charts/_rels/chart7.xml.rels><?xml version="1.0" encoding="UTF-8" standalone="yes"?>
<Relationships xmlns="http://schemas.openxmlformats.org/package/2006/relationships"><Relationship Id="rId1" Type="http://schemas.openxmlformats.org/officeDocument/2006/relationships/oleObject" Target="file:///C:\Users\HP\Desktop\FILE\Marriott_Investment_Appraisal_and_Capital_Budgeting.xlsx" TargetMode="External"/></Relationships>
</file>

<file path=word/charts/_rels/chart8.xml.rels><?xml version="1.0" encoding="UTF-8" standalone="yes"?>
<Relationships xmlns="http://schemas.openxmlformats.org/package/2006/relationships"><Relationship Id="rId1" Type="http://schemas.openxmlformats.org/officeDocument/2006/relationships/oleObject" Target="file:///C:\Users\HP\Desktop\FILE\Marriott_Investment_Appraisal_and_Capital_Budgeting.xlsx" TargetMode="External"/></Relationships>
</file>

<file path=word/charts/_rels/chart9.xml.rels><?xml version="1.0" encoding="UTF-8" standalone="yes"?>
<Relationships xmlns="http://schemas.openxmlformats.org/package/2006/relationships"><Relationship Id="rId1" Type="http://schemas.openxmlformats.org/officeDocument/2006/relationships/oleObject" Target="file:///C:\Users\HP\Desktop\FILE\Marriott_Investment_Appraisal_and_Capital_Budgeting.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r>
              <a:rPr lang="en-US" b="1"/>
              <a:t>Revenue and Earnings Trend</a:t>
            </a:r>
          </a:p>
        </c:rich>
      </c:tx>
      <c:overlay val="0"/>
    </c:title>
    <c:autoTitleDeleted val="0"/>
    <c:plotArea>
      <c:layout/>
      <c:lineChart>
        <c:grouping val="standard"/>
        <c:varyColors val="1"/>
        <c:ser>
          <c:idx val="0"/>
          <c:order val="0"/>
          <c:tx>
            <c:v>Revenue ($m)</c:v>
          </c:tx>
          <c:dLbls>
            <c:spPr>
              <a:noFill/>
              <a:ln>
                <a:noFill/>
              </a:ln>
              <a:effectLst/>
            </c:spPr>
            <c:dLblPos val="t"/>
            <c:showLegendKey val="0"/>
            <c:showVal val="1"/>
            <c:showCatName val="0"/>
            <c:showSerName val="0"/>
            <c:showPercent val="0"/>
            <c:showBubbleSize val="0"/>
            <c:showLeaderLines val="0"/>
            <c:extLst>
              <c:ext xmlns:c15="http://schemas.microsoft.com/office/drawing/2012/chart" uri="{CE6537A1-D6FC-4f65-9D91-7224C49458BB}">
                <c15:showLeaderLines val="1"/>
              </c:ext>
            </c:extLst>
          </c:dLbls>
          <c:cat>
            <c:numRef>
              <c:f>Dashboard!$A$19:$A$23</c:f>
              <c:numCache>
                <c:formatCode>General</c:formatCode>
                <c:ptCount val="5"/>
                <c:pt idx="0">
                  <c:v>2021</c:v>
                </c:pt>
                <c:pt idx="1">
                  <c:v>2022</c:v>
                </c:pt>
                <c:pt idx="2">
                  <c:v>2023</c:v>
                </c:pt>
                <c:pt idx="3">
                  <c:v>2024</c:v>
                </c:pt>
                <c:pt idx="4">
                  <c:v>2025</c:v>
                </c:pt>
              </c:numCache>
            </c:numRef>
          </c:cat>
          <c:val>
            <c:numRef>
              <c:f>Dashboard!$B$19:$B$23</c:f>
              <c:numCache>
                <c:formatCode>#,##0;[Red]\(#,##0\);\-</c:formatCode>
                <c:ptCount val="5"/>
                <c:pt idx="0">
                  <c:v>13857</c:v>
                </c:pt>
                <c:pt idx="1">
                  <c:v>20773</c:v>
                </c:pt>
                <c:pt idx="2">
                  <c:v>23713</c:v>
                </c:pt>
                <c:pt idx="3">
                  <c:v>25100</c:v>
                </c:pt>
                <c:pt idx="4">
                  <c:v>26186</c:v>
                </c:pt>
              </c:numCache>
            </c:numRef>
          </c:val>
          <c:smooth val="0"/>
          <c:extLst>
            <c:ext xmlns:c16="http://schemas.microsoft.com/office/drawing/2014/chart" uri="{C3380CC4-5D6E-409C-BE32-E72D297353CC}">
              <c16:uniqueId val="{00000000-48BC-4683-9192-1B8AE6B6369E}"/>
            </c:ext>
          </c:extLst>
        </c:ser>
        <c:ser>
          <c:idx val="1"/>
          <c:order val="1"/>
          <c:tx>
            <c:v>Operating income ($m)</c:v>
          </c:tx>
          <c:dLbls>
            <c:spPr>
              <a:noFill/>
              <a:ln>
                <a:noFill/>
              </a:ln>
              <a:effectLst/>
            </c:spPr>
            <c:dLblPos val="t"/>
            <c:showLegendKey val="0"/>
            <c:showVal val="1"/>
            <c:showCatName val="0"/>
            <c:showSerName val="0"/>
            <c:showPercent val="0"/>
            <c:showBubbleSize val="0"/>
            <c:showLeaderLines val="0"/>
            <c:extLst>
              <c:ext xmlns:c15="http://schemas.microsoft.com/office/drawing/2012/chart" uri="{CE6537A1-D6FC-4f65-9D91-7224C49458BB}">
                <c15:showLeaderLines val="1"/>
              </c:ext>
            </c:extLst>
          </c:dLbls>
          <c:cat>
            <c:numRef>
              <c:f>Dashboard!$A$19:$A$23</c:f>
              <c:numCache>
                <c:formatCode>General</c:formatCode>
                <c:ptCount val="5"/>
                <c:pt idx="0">
                  <c:v>2021</c:v>
                </c:pt>
                <c:pt idx="1">
                  <c:v>2022</c:v>
                </c:pt>
                <c:pt idx="2">
                  <c:v>2023</c:v>
                </c:pt>
                <c:pt idx="3">
                  <c:v>2024</c:v>
                </c:pt>
                <c:pt idx="4">
                  <c:v>2025</c:v>
                </c:pt>
              </c:numCache>
            </c:numRef>
          </c:cat>
          <c:val>
            <c:numRef>
              <c:f>Dashboard!$C$19:$C$23</c:f>
              <c:numCache>
                <c:formatCode>#,##0;[Red]\(#,##0\);\-</c:formatCode>
                <c:ptCount val="5"/>
                <c:pt idx="0">
                  <c:v>1750</c:v>
                </c:pt>
                <c:pt idx="1">
                  <c:v>3462</c:v>
                </c:pt>
                <c:pt idx="2">
                  <c:v>3864</c:v>
                </c:pt>
                <c:pt idx="3">
                  <c:v>3767</c:v>
                </c:pt>
                <c:pt idx="4">
                  <c:v>4141</c:v>
                </c:pt>
              </c:numCache>
            </c:numRef>
          </c:val>
          <c:smooth val="0"/>
          <c:extLst>
            <c:ext xmlns:c16="http://schemas.microsoft.com/office/drawing/2014/chart" uri="{C3380CC4-5D6E-409C-BE32-E72D297353CC}">
              <c16:uniqueId val="{00000001-48BC-4683-9192-1B8AE6B6369E}"/>
            </c:ext>
          </c:extLst>
        </c:ser>
        <c:ser>
          <c:idx val="2"/>
          <c:order val="2"/>
          <c:tx>
            <c:v>Net income ($m)</c:v>
          </c:tx>
          <c:dLbls>
            <c:spPr>
              <a:noFill/>
              <a:ln>
                <a:noFill/>
              </a:ln>
              <a:effectLst/>
            </c:spPr>
            <c:dLblPos val="t"/>
            <c:showLegendKey val="0"/>
            <c:showVal val="1"/>
            <c:showCatName val="0"/>
            <c:showSerName val="0"/>
            <c:showPercent val="0"/>
            <c:showBubbleSize val="0"/>
            <c:showLeaderLines val="0"/>
            <c:extLst>
              <c:ext xmlns:c15="http://schemas.microsoft.com/office/drawing/2012/chart" uri="{CE6537A1-D6FC-4f65-9D91-7224C49458BB}">
                <c15:showLeaderLines val="1"/>
              </c:ext>
            </c:extLst>
          </c:dLbls>
          <c:cat>
            <c:numRef>
              <c:f>Dashboard!$A$19:$A$23</c:f>
              <c:numCache>
                <c:formatCode>General</c:formatCode>
                <c:ptCount val="5"/>
                <c:pt idx="0">
                  <c:v>2021</c:v>
                </c:pt>
                <c:pt idx="1">
                  <c:v>2022</c:v>
                </c:pt>
                <c:pt idx="2">
                  <c:v>2023</c:v>
                </c:pt>
                <c:pt idx="3">
                  <c:v>2024</c:v>
                </c:pt>
                <c:pt idx="4">
                  <c:v>2025</c:v>
                </c:pt>
              </c:numCache>
            </c:numRef>
          </c:cat>
          <c:val>
            <c:numRef>
              <c:f>Dashboard!$D$19:$D$23</c:f>
              <c:numCache>
                <c:formatCode>#,##0;[Red]\(#,##0\);\-</c:formatCode>
                <c:ptCount val="5"/>
                <c:pt idx="0">
                  <c:v>1099</c:v>
                </c:pt>
                <c:pt idx="1">
                  <c:v>2358</c:v>
                </c:pt>
                <c:pt idx="2">
                  <c:v>3083</c:v>
                </c:pt>
                <c:pt idx="3">
                  <c:v>2375</c:v>
                </c:pt>
                <c:pt idx="4">
                  <c:v>2601</c:v>
                </c:pt>
              </c:numCache>
            </c:numRef>
          </c:val>
          <c:smooth val="0"/>
          <c:extLst>
            <c:ext xmlns:c16="http://schemas.microsoft.com/office/drawing/2014/chart" uri="{C3380CC4-5D6E-409C-BE32-E72D297353CC}">
              <c16:uniqueId val="{00000002-48BC-4683-9192-1B8AE6B6369E}"/>
            </c:ext>
          </c:extLst>
        </c:ser>
        <c:dLbls>
          <c:dLblPos val="t"/>
          <c:showLegendKey val="0"/>
          <c:showVal val="1"/>
          <c:showCatName val="0"/>
          <c:showSerName val="0"/>
          <c:showPercent val="0"/>
          <c:showBubbleSize val="0"/>
        </c:dLbls>
        <c:marker val="1"/>
        <c:smooth val="0"/>
        <c:axId val="48650112"/>
        <c:axId val="48672768"/>
      </c:lineChart>
      <c:catAx>
        <c:axId val="48650112"/>
        <c:scaling>
          <c:orientation val="minMax"/>
        </c:scaling>
        <c:delete val="0"/>
        <c:axPos val="b"/>
        <c:majorGridlines>
          <c:spPr>
            <a:ln w="9525">
              <a:solidFill>
                <a:srgbClr val="CCCCCC"/>
              </a:solidFill>
              <a:prstDash val="dash"/>
            </a:ln>
          </c:spPr>
        </c:majorGridlines>
        <c:numFmt formatCode="General" sourceLinked="1"/>
        <c:majorTickMark val="none"/>
        <c:minorTickMark val="none"/>
        <c:tickLblPos val="nextTo"/>
        <c:crossAx val="48672768"/>
        <c:crosses val="autoZero"/>
        <c:auto val="1"/>
        <c:lblAlgn val="ctr"/>
        <c:lblOffset val="100"/>
        <c:noMultiLvlLbl val="0"/>
      </c:catAx>
      <c:valAx>
        <c:axId val="48672768"/>
        <c:scaling>
          <c:orientation val="minMax"/>
        </c:scaling>
        <c:delete val="0"/>
        <c:axPos val="l"/>
        <c:majorGridlines>
          <c:spPr>
            <a:ln w="9525">
              <a:solidFill>
                <a:srgbClr val="CCCCCC"/>
              </a:solidFill>
              <a:prstDash val="dash"/>
            </a:ln>
          </c:spPr>
        </c:majorGridlines>
        <c:numFmt formatCode="#,##0" sourceLinked="0"/>
        <c:majorTickMark val="none"/>
        <c:minorTickMark val="none"/>
        <c:tickLblPos val="nextTo"/>
        <c:crossAx val="48650112"/>
        <c:crosses val="autoZero"/>
        <c:crossBetween val="between"/>
      </c:valAx>
    </c:plotArea>
    <c:legend>
      <c:legendPos val="b"/>
      <c:overlay val="0"/>
    </c:legend>
    <c:plotVisOnly val="1"/>
    <c:dispBlanksAs val="zero"/>
    <c:showDLblsOverMax val="1"/>
  </c:chart>
  <c:spPr>
    <a:ln w="9525">
      <a:solidFill>
        <a:srgbClr val="D9D9D9"/>
      </a:solidFill>
      <a:prstDash val="solid"/>
    </a:ln>
  </c:spPr>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r>
              <a:rPr lang="en-US" b="1"/>
              <a:t>Profitability Margins</a:t>
            </a:r>
          </a:p>
        </c:rich>
      </c:tx>
      <c:overlay val="0"/>
    </c:title>
    <c:autoTitleDeleted val="0"/>
    <c:plotArea>
      <c:layout/>
      <c:lineChart>
        <c:grouping val="standard"/>
        <c:varyColors val="1"/>
        <c:ser>
          <c:idx val="0"/>
          <c:order val="0"/>
          <c:tx>
            <c:v>Operating margin</c:v>
          </c:tx>
          <c:dLbls>
            <c:spPr>
              <a:noFill/>
              <a:ln>
                <a:noFill/>
              </a:ln>
              <a:effectLst/>
            </c:spPr>
            <c:dLblPos val="t"/>
            <c:showLegendKey val="0"/>
            <c:showVal val="1"/>
            <c:showCatName val="0"/>
            <c:showSerName val="0"/>
            <c:showPercent val="0"/>
            <c:showBubbleSize val="0"/>
            <c:showLeaderLines val="0"/>
            <c:extLst>
              <c:ext xmlns:c15="http://schemas.microsoft.com/office/drawing/2012/chart" uri="{CE6537A1-D6FC-4f65-9D91-7224C49458BB}">
                <c15:showLeaderLines val="1"/>
              </c:ext>
            </c:extLst>
          </c:dLbls>
          <c:cat>
            <c:numRef>
              <c:f>Dashboard!$A$27:$A$31</c:f>
              <c:numCache>
                <c:formatCode>General</c:formatCode>
                <c:ptCount val="5"/>
                <c:pt idx="0">
                  <c:v>2021</c:v>
                </c:pt>
                <c:pt idx="1">
                  <c:v>2022</c:v>
                </c:pt>
                <c:pt idx="2">
                  <c:v>2023</c:v>
                </c:pt>
                <c:pt idx="3">
                  <c:v>2024</c:v>
                </c:pt>
                <c:pt idx="4">
                  <c:v>2025</c:v>
                </c:pt>
              </c:numCache>
            </c:numRef>
          </c:cat>
          <c:val>
            <c:numRef>
              <c:f>Dashboard!$B$27:$B$31</c:f>
              <c:numCache>
                <c:formatCode>0.0%;[Red]\(0.0%\);\-</c:formatCode>
                <c:ptCount val="5"/>
                <c:pt idx="0">
                  <c:v>0.12628996175218302</c:v>
                </c:pt>
                <c:pt idx="1">
                  <c:v>0.16665864343137726</c:v>
                </c:pt>
                <c:pt idx="2">
                  <c:v>0.1629485935984481</c:v>
                </c:pt>
                <c:pt idx="3">
                  <c:v>0.1500796812749004</c:v>
                </c:pt>
                <c:pt idx="4">
                  <c:v>0.15813793630184067</c:v>
                </c:pt>
              </c:numCache>
            </c:numRef>
          </c:val>
          <c:smooth val="0"/>
          <c:extLst>
            <c:ext xmlns:c16="http://schemas.microsoft.com/office/drawing/2014/chart" uri="{C3380CC4-5D6E-409C-BE32-E72D297353CC}">
              <c16:uniqueId val="{00000000-0F3F-4867-84DA-C5F4159B3917}"/>
            </c:ext>
          </c:extLst>
        </c:ser>
        <c:ser>
          <c:idx val="1"/>
          <c:order val="1"/>
          <c:tx>
            <c:v>Net margin</c:v>
          </c:tx>
          <c:dLbls>
            <c:spPr>
              <a:noFill/>
              <a:ln>
                <a:noFill/>
              </a:ln>
              <a:effectLst/>
            </c:spPr>
            <c:dLblPos val="t"/>
            <c:showLegendKey val="0"/>
            <c:showVal val="1"/>
            <c:showCatName val="0"/>
            <c:showSerName val="0"/>
            <c:showPercent val="0"/>
            <c:showBubbleSize val="0"/>
            <c:showLeaderLines val="0"/>
            <c:extLst>
              <c:ext xmlns:c15="http://schemas.microsoft.com/office/drawing/2012/chart" uri="{CE6537A1-D6FC-4f65-9D91-7224C49458BB}">
                <c15:showLeaderLines val="1"/>
              </c:ext>
            </c:extLst>
          </c:dLbls>
          <c:cat>
            <c:numRef>
              <c:f>Dashboard!$A$27:$A$31</c:f>
              <c:numCache>
                <c:formatCode>General</c:formatCode>
                <c:ptCount val="5"/>
                <c:pt idx="0">
                  <c:v>2021</c:v>
                </c:pt>
                <c:pt idx="1">
                  <c:v>2022</c:v>
                </c:pt>
                <c:pt idx="2">
                  <c:v>2023</c:v>
                </c:pt>
                <c:pt idx="3">
                  <c:v>2024</c:v>
                </c:pt>
                <c:pt idx="4">
                  <c:v>2025</c:v>
                </c:pt>
              </c:numCache>
            </c:numRef>
          </c:cat>
          <c:val>
            <c:numRef>
              <c:f>Dashboard!$C$27:$C$31</c:f>
              <c:numCache>
                <c:formatCode>0.0%;[Red]\(0.0%\);\-</c:formatCode>
                <c:ptCount val="5"/>
                <c:pt idx="0">
                  <c:v>7.9310095980370934E-2</c:v>
                </c:pt>
                <c:pt idx="1">
                  <c:v>0.11351273287440428</c:v>
                </c:pt>
                <c:pt idx="2">
                  <c:v>0.13001307299793363</c:v>
                </c:pt>
                <c:pt idx="3">
                  <c:v>9.4621513944223107E-2</c:v>
                </c:pt>
                <c:pt idx="4">
                  <c:v>9.932788512945849E-2</c:v>
                </c:pt>
              </c:numCache>
            </c:numRef>
          </c:val>
          <c:smooth val="0"/>
          <c:extLst>
            <c:ext xmlns:c16="http://schemas.microsoft.com/office/drawing/2014/chart" uri="{C3380CC4-5D6E-409C-BE32-E72D297353CC}">
              <c16:uniqueId val="{00000001-0F3F-4867-84DA-C5F4159B3917}"/>
            </c:ext>
          </c:extLst>
        </c:ser>
        <c:dLbls>
          <c:dLblPos val="t"/>
          <c:showLegendKey val="0"/>
          <c:showVal val="1"/>
          <c:showCatName val="0"/>
          <c:showSerName val="0"/>
          <c:showPercent val="0"/>
          <c:showBubbleSize val="0"/>
        </c:dLbls>
        <c:marker val="1"/>
        <c:smooth val="0"/>
        <c:axId val="48650112"/>
        <c:axId val="48672768"/>
      </c:lineChart>
      <c:catAx>
        <c:axId val="48650112"/>
        <c:scaling>
          <c:orientation val="minMax"/>
        </c:scaling>
        <c:delete val="0"/>
        <c:axPos val="b"/>
        <c:majorGridlines>
          <c:spPr>
            <a:ln w="9525">
              <a:solidFill>
                <a:srgbClr val="CCCCCC"/>
              </a:solidFill>
              <a:prstDash val="dash"/>
            </a:ln>
          </c:spPr>
        </c:majorGridlines>
        <c:numFmt formatCode="General" sourceLinked="1"/>
        <c:majorTickMark val="none"/>
        <c:minorTickMark val="none"/>
        <c:tickLblPos val="nextTo"/>
        <c:crossAx val="48672768"/>
        <c:crosses val="autoZero"/>
        <c:auto val="1"/>
        <c:lblAlgn val="ctr"/>
        <c:lblOffset val="100"/>
        <c:noMultiLvlLbl val="0"/>
      </c:catAx>
      <c:valAx>
        <c:axId val="48672768"/>
        <c:scaling>
          <c:orientation val="minMax"/>
        </c:scaling>
        <c:delete val="0"/>
        <c:axPos val="l"/>
        <c:majorGridlines>
          <c:spPr>
            <a:ln w="9525">
              <a:solidFill>
                <a:srgbClr val="CCCCCC"/>
              </a:solidFill>
              <a:prstDash val="dash"/>
            </a:ln>
          </c:spPr>
        </c:majorGridlines>
        <c:numFmt formatCode="0.0%" sourceLinked="0"/>
        <c:majorTickMark val="none"/>
        <c:minorTickMark val="none"/>
        <c:tickLblPos val="nextTo"/>
        <c:crossAx val="48650112"/>
        <c:crosses val="autoZero"/>
        <c:crossBetween val="between"/>
      </c:valAx>
    </c:plotArea>
    <c:legend>
      <c:legendPos val="b"/>
      <c:overlay val="0"/>
    </c:legend>
    <c:plotVisOnly val="1"/>
    <c:dispBlanksAs val="zero"/>
    <c:showDLblsOverMax val="1"/>
  </c:chart>
  <c:spPr>
    <a:ln w="9525">
      <a:solidFill>
        <a:srgbClr val="D9D9D9"/>
      </a:solidFill>
      <a:prstDash val="solid"/>
    </a:ln>
  </c:spPr>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r>
              <a:rPr lang="en-US" b="1"/>
              <a:t>Liquidity versus Industry</a:t>
            </a:r>
          </a:p>
        </c:rich>
      </c:tx>
      <c:overlay val="0"/>
    </c:title>
    <c:autoTitleDeleted val="0"/>
    <c:plotArea>
      <c:layout/>
      <c:lineChart>
        <c:grouping val="standard"/>
        <c:varyColors val="1"/>
        <c:ser>
          <c:idx val="0"/>
          <c:order val="0"/>
          <c:tx>
            <c:v>Marriott current</c:v>
          </c:tx>
          <c:dLbls>
            <c:spPr>
              <a:noFill/>
              <a:ln>
                <a:noFill/>
              </a:ln>
              <a:effectLst/>
            </c:spPr>
            <c:dLblPos val="t"/>
            <c:showLegendKey val="0"/>
            <c:showVal val="1"/>
            <c:showCatName val="0"/>
            <c:showSerName val="0"/>
            <c:showPercent val="0"/>
            <c:showBubbleSize val="0"/>
            <c:showLeaderLines val="0"/>
            <c:extLst>
              <c:ext xmlns:c15="http://schemas.microsoft.com/office/drawing/2012/chart" uri="{CE6537A1-D6FC-4f65-9D91-7224C49458BB}">
                <c15:showLeaderLines val="1"/>
              </c:ext>
            </c:extLst>
          </c:dLbls>
          <c:cat>
            <c:numRef>
              <c:f>Dashboard!$A$35:$A$39</c:f>
              <c:numCache>
                <c:formatCode>General</c:formatCode>
                <c:ptCount val="5"/>
                <c:pt idx="0">
                  <c:v>2021</c:v>
                </c:pt>
                <c:pt idx="1">
                  <c:v>2022</c:v>
                </c:pt>
                <c:pt idx="2">
                  <c:v>2023</c:v>
                </c:pt>
                <c:pt idx="3">
                  <c:v>2024</c:v>
                </c:pt>
                <c:pt idx="4">
                  <c:v>2025</c:v>
                </c:pt>
              </c:numCache>
            </c:numRef>
          </c:cat>
          <c:val>
            <c:numRef>
              <c:f>Dashboard!$B$35:$B$39</c:f>
              <c:numCache>
                <c:formatCode>0.00\x;[Red]\(0.00\x\);\-</c:formatCode>
                <c:ptCount val="5"/>
                <c:pt idx="0">
                  <c:v>0.5659434992976432</c:v>
                </c:pt>
                <c:pt idx="1">
                  <c:v>0.45142389971385749</c:v>
                </c:pt>
                <c:pt idx="2">
                  <c:v>0.42656531821695437</c:v>
                </c:pt>
                <c:pt idx="3">
                  <c:v>0.40293675569429993</c:v>
                </c:pt>
                <c:pt idx="4">
                  <c:v>0.42676827816146701</c:v>
                </c:pt>
              </c:numCache>
            </c:numRef>
          </c:val>
          <c:smooth val="0"/>
          <c:extLst>
            <c:ext xmlns:c16="http://schemas.microsoft.com/office/drawing/2014/chart" uri="{C3380CC4-5D6E-409C-BE32-E72D297353CC}">
              <c16:uniqueId val="{00000000-4251-4C82-9DE8-7B70E39DD954}"/>
            </c:ext>
          </c:extLst>
        </c:ser>
        <c:ser>
          <c:idx val="1"/>
          <c:order val="1"/>
          <c:tx>
            <c:v>Industry current</c:v>
          </c:tx>
          <c:dLbls>
            <c:spPr>
              <a:noFill/>
              <a:ln>
                <a:noFill/>
              </a:ln>
              <a:effectLst/>
            </c:spPr>
            <c:dLblPos val="t"/>
            <c:showLegendKey val="0"/>
            <c:showVal val="1"/>
            <c:showCatName val="0"/>
            <c:showSerName val="0"/>
            <c:showPercent val="0"/>
            <c:showBubbleSize val="0"/>
            <c:showLeaderLines val="0"/>
            <c:extLst>
              <c:ext xmlns:c15="http://schemas.microsoft.com/office/drawing/2012/chart" uri="{CE6537A1-D6FC-4f65-9D91-7224C49458BB}">
                <c15:showLeaderLines val="1"/>
              </c:ext>
            </c:extLst>
          </c:dLbls>
          <c:cat>
            <c:numRef>
              <c:f>Dashboard!$A$35:$A$39</c:f>
              <c:numCache>
                <c:formatCode>General</c:formatCode>
                <c:ptCount val="5"/>
                <c:pt idx="0">
                  <c:v>2021</c:v>
                </c:pt>
                <c:pt idx="1">
                  <c:v>2022</c:v>
                </c:pt>
                <c:pt idx="2">
                  <c:v>2023</c:v>
                </c:pt>
                <c:pt idx="3">
                  <c:v>2024</c:v>
                </c:pt>
                <c:pt idx="4">
                  <c:v>2025</c:v>
                </c:pt>
              </c:numCache>
            </c:numRef>
          </c:cat>
          <c:val>
            <c:numRef>
              <c:f>Dashboard!$C$35:$C$39</c:f>
              <c:numCache>
                <c:formatCode>0.00\x;[Red]\(0.00\x\);\-</c:formatCode>
                <c:ptCount val="5"/>
                <c:pt idx="0">
                  <c:v>1.92</c:v>
                </c:pt>
                <c:pt idx="1">
                  <c:v>1.47</c:v>
                </c:pt>
                <c:pt idx="2">
                  <c:v>0.89</c:v>
                </c:pt>
                <c:pt idx="3">
                  <c:v>0.85</c:v>
                </c:pt>
                <c:pt idx="4">
                  <c:v>0.82</c:v>
                </c:pt>
              </c:numCache>
            </c:numRef>
          </c:val>
          <c:smooth val="0"/>
          <c:extLst>
            <c:ext xmlns:c16="http://schemas.microsoft.com/office/drawing/2014/chart" uri="{C3380CC4-5D6E-409C-BE32-E72D297353CC}">
              <c16:uniqueId val="{00000001-4251-4C82-9DE8-7B70E39DD954}"/>
            </c:ext>
          </c:extLst>
        </c:ser>
        <c:ser>
          <c:idx val="2"/>
          <c:order val="2"/>
          <c:tx>
            <c:v>Marriott quick</c:v>
          </c:tx>
          <c:dLbls>
            <c:spPr>
              <a:noFill/>
              <a:ln>
                <a:noFill/>
              </a:ln>
              <a:effectLst/>
            </c:spPr>
            <c:dLblPos val="t"/>
            <c:showLegendKey val="0"/>
            <c:showVal val="1"/>
            <c:showCatName val="0"/>
            <c:showSerName val="0"/>
            <c:showPercent val="0"/>
            <c:showBubbleSize val="0"/>
            <c:showLeaderLines val="0"/>
            <c:extLst>
              <c:ext xmlns:c15="http://schemas.microsoft.com/office/drawing/2012/chart" uri="{CE6537A1-D6FC-4f65-9D91-7224C49458BB}">
                <c15:showLeaderLines val="1"/>
              </c:ext>
            </c:extLst>
          </c:dLbls>
          <c:cat>
            <c:numRef>
              <c:f>Dashboard!$A$35:$A$39</c:f>
              <c:numCache>
                <c:formatCode>General</c:formatCode>
                <c:ptCount val="5"/>
                <c:pt idx="0">
                  <c:v>2021</c:v>
                </c:pt>
                <c:pt idx="1">
                  <c:v>2022</c:v>
                </c:pt>
                <c:pt idx="2">
                  <c:v>2023</c:v>
                </c:pt>
                <c:pt idx="3">
                  <c:v>2024</c:v>
                </c:pt>
                <c:pt idx="4">
                  <c:v>2025</c:v>
                </c:pt>
              </c:numCache>
            </c:numRef>
          </c:cat>
          <c:val>
            <c:numRef>
              <c:f>Dashboard!$D$35:$D$39</c:f>
              <c:numCache>
                <c:formatCode>0.00\x;[Red]\(0.00\x\);\-</c:formatCode>
                <c:ptCount val="5"/>
                <c:pt idx="0">
                  <c:v>0.52676759793975336</c:v>
                </c:pt>
                <c:pt idx="1">
                  <c:v>0.41940318844529229</c:v>
                </c:pt>
                <c:pt idx="2">
                  <c:v>0.39293996392682301</c:v>
                </c:pt>
                <c:pt idx="3">
                  <c:v>0.36894438663429296</c:v>
                </c:pt>
                <c:pt idx="4">
                  <c:v>0.3890211955227435</c:v>
                </c:pt>
              </c:numCache>
            </c:numRef>
          </c:val>
          <c:smooth val="0"/>
          <c:extLst>
            <c:ext xmlns:c16="http://schemas.microsoft.com/office/drawing/2014/chart" uri="{C3380CC4-5D6E-409C-BE32-E72D297353CC}">
              <c16:uniqueId val="{00000002-4251-4C82-9DE8-7B70E39DD954}"/>
            </c:ext>
          </c:extLst>
        </c:ser>
        <c:ser>
          <c:idx val="3"/>
          <c:order val="3"/>
          <c:tx>
            <c:v>Industry quick</c:v>
          </c:tx>
          <c:dLbls>
            <c:spPr>
              <a:noFill/>
              <a:ln>
                <a:noFill/>
              </a:ln>
              <a:effectLst/>
            </c:spPr>
            <c:dLblPos val="t"/>
            <c:showLegendKey val="0"/>
            <c:showVal val="1"/>
            <c:showCatName val="0"/>
            <c:showSerName val="0"/>
            <c:showPercent val="0"/>
            <c:showBubbleSize val="0"/>
            <c:showLeaderLines val="0"/>
            <c:extLst>
              <c:ext xmlns:c15="http://schemas.microsoft.com/office/drawing/2012/chart" uri="{CE6537A1-D6FC-4f65-9D91-7224C49458BB}">
                <c15:showLeaderLines val="1"/>
              </c:ext>
            </c:extLst>
          </c:dLbls>
          <c:cat>
            <c:numRef>
              <c:f>Dashboard!$A$35:$A$39</c:f>
              <c:numCache>
                <c:formatCode>General</c:formatCode>
                <c:ptCount val="5"/>
                <c:pt idx="0">
                  <c:v>2021</c:v>
                </c:pt>
                <c:pt idx="1">
                  <c:v>2022</c:v>
                </c:pt>
                <c:pt idx="2">
                  <c:v>2023</c:v>
                </c:pt>
                <c:pt idx="3">
                  <c:v>2024</c:v>
                </c:pt>
                <c:pt idx="4">
                  <c:v>2025</c:v>
                </c:pt>
              </c:numCache>
            </c:numRef>
          </c:cat>
          <c:val>
            <c:numRef>
              <c:f>Dashboard!$E$35:$E$39</c:f>
              <c:numCache>
                <c:formatCode>0.00\x;[Red]\(0.00\x\);\-</c:formatCode>
                <c:ptCount val="5"/>
                <c:pt idx="0">
                  <c:v>1.42</c:v>
                </c:pt>
                <c:pt idx="1">
                  <c:v>0.85</c:v>
                </c:pt>
                <c:pt idx="2">
                  <c:v>0.72</c:v>
                </c:pt>
                <c:pt idx="3">
                  <c:v>0.63</c:v>
                </c:pt>
                <c:pt idx="4">
                  <c:v>0.69</c:v>
                </c:pt>
              </c:numCache>
            </c:numRef>
          </c:val>
          <c:smooth val="0"/>
          <c:extLst>
            <c:ext xmlns:c16="http://schemas.microsoft.com/office/drawing/2014/chart" uri="{C3380CC4-5D6E-409C-BE32-E72D297353CC}">
              <c16:uniqueId val="{00000003-4251-4C82-9DE8-7B70E39DD954}"/>
            </c:ext>
          </c:extLst>
        </c:ser>
        <c:dLbls>
          <c:dLblPos val="t"/>
          <c:showLegendKey val="0"/>
          <c:showVal val="1"/>
          <c:showCatName val="0"/>
          <c:showSerName val="0"/>
          <c:showPercent val="0"/>
          <c:showBubbleSize val="0"/>
        </c:dLbls>
        <c:marker val="1"/>
        <c:smooth val="0"/>
        <c:axId val="48650112"/>
        <c:axId val="48672768"/>
      </c:lineChart>
      <c:catAx>
        <c:axId val="48650112"/>
        <c:scaling>
          <c:orientation val="minMax"/>
        </c:scaling>
        <c:delete val="0"/>
        <c:axPos val="b"/>
        <c:majorGridlines>
          <c:spPr>
            <a:ln w="9525">
              <a:solidFill>
                <a:srgbClr val="CCCCCC"/>
              </a:solidFill>
              <a:prstDash val="dash"/>
            </a:ln>
          </c:spPr>
        </c:majorGridlines>
        <c:numFmt formatCode="General" sourceLinked="1"/>
        <c:majorTickMark val="none"/>
        <c:minorTickMark val="none"/>
        <c:tickLblPos val="nextTo"/>
        <c:crossAx val="48672768"/>
        <c:crosses val="autoZero"/>
        <c:auto val="1"/>
        <c:lblAlgn val="ctr"/>
        <c:lblOffset val="100"/>
        <c:noMultiLvlLbl val="0"/>
      </c:catAx>
      <c:valAx>
        <c:axId val="48672768"/>
        <c:scaling>
          <c:orientation val="minMax"/>
        </c:scaling>
        <c:delete val="0"/>
        <c:axPos val="l"/>
        <c:majorGridlines>
          <c:spPr>
            <a:ln w="9525">
              <a:solidFill>
                <a:srgbClr val="CCCCCC"/>
              </a:solidFill>
              <a:prstDash val="dash"/>
            </a:ln>
          </c:spPr>
        </c:majorGridlines>
        <c:numFmt formatCode="0.00\x" sourceLinked="0"/>
        <c:majorTickMark val="none"/>
        <c:minorTickMark val="none"/>
        <c:tickLblPos val="nextTo"/>
        <c:crossAx val="48650112"/>
        <c:crosses val="autoZero"/>
        <c:crossBetween val="between"/>
      </c:valAx>
    </c:plotArea>
    <c:legend>
      <c:legendPos val="b"/>
      <c:overlay val="0"/>
    </c:legend>
    <c:plotVisOnly val="1"/>
    <c:dispBlanksAs val="zero"/>
    <c:showDLblsOverMax val="1"/>
  </c:chart>
  <c:spPr>
    <a:ln w="9525">
      <a:solidFill>
        <a:srgbClr val="D9D9D9"/>
      </a:solidFill>
      <a:prstDash val="solid"/>
    </a:ln>
  </c:spPr>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r>
              <a:rPr lang="en-US" b="1"/>
              <a:t>Cash Flow versus Shareholder Distributions</a:t>
            </a:r>
          </a:p>
        </c:rich>
      </c:tx>
      <c:overlay val="0"/>
    </c:title>
    <c:autoTitleDeleted val="0"/>
    <c:plotArea>
      <c:layout/>
      <c:lineChart>
        <c:grouping val="standard"/>
        <c:varyColors val="1"/>
        <c:ser>
          <c:idx val="0"/>
          <c:order val="0"/>
          <c:tx>
            <c:v>Operating cash flow ($m)</c:v>
          </c:tx>
          <c:dLbls>
            <c:spPr>
              <a:noFill/>
              <a:ln>
                <a:noFill/>
              </a:ln>
              <a:effectLst/>
            </c:spPr>
            <c:dLblPos val="t"/>
            <c:showLegendKey val="0"/>
            <c:showVal val="1"/>
            <c:showCatName val="0"/>
            <c:showSerName val="0"/>
            <c:showPercent val="0"/>
            <c:showBubbleSize val="0"/>
            <c:showLeaderLines val="0"/>
            <c:extLst>
              <c:ext xmlns:c15="http://schemas.microsoft.com/office/drawing/2012/chart" uri="{CE6537A1-D6FC-4f65-9D91-7224C49458BB}">
                <c15:showLeaderLines val="1"/>
              </c:ext>
            </c:extLst>
          </c:dLbls>
          <c:cat>
            <c:numRef>
              <c:f>Dashboard!$A$43:$A$47</c:f>
              <c:numCache>
                <c:formatCode>General</c:formatCode>
                <c:ptCount val="5"/>
                <c:pt idx="0">
                  <c:v>2021</c:v>
                </c:pt>
                <c:pt idx="1">
                  <c:v>2022</c:v>
                </c:pt>
                <c:pt idx="2">
                  <c:v>2023</c:v>
                </c:pt>
                <c:pt idx="3">
                  <c:v>2024</c:v>
                </c:pt>
                <c:pt idx="4">
                  <c:v>2025</c:v>
                </c:pt>
              </c:numCache>
            </c:numRef>
          </c:cat>
          <c:val>
            <c:numRef>
              <c:f>Dashboard!$B$43:$B$47</c:f>
              <c:numCache>
                <c:formatCode>#,##0;[Red]\(#,##0\);\-</c:formatCode>
                <c:ptCount val="5"/>
                <c:pt idx="0">
                  <c:v>1177</c:v>
                </c:pt>
                <c:pt idx="1">
                  <c:v>2363</c:v>
                </c:pt>
                <c:pt idx="2">
                  <c:v>3170</c:v>
                </c:pt>
                <c:pt idx="3">
                  <c:v>2749</c:v>
                </c:pt>
                <c:pt idx="4">
                  <c:v>3212</c:v>
                </c:pt>
              </c:numCache>
            </c:numRef>
          </c:val>
          <c:smooth val="0"/>
          <c:extLst>
            <c:ext xmlns:c16="http://schemas.microsoft.com/office/drawing/2014/chart" uri="{C3380CC4-5D6E-409C-BE32-E72D297353CC}">
              <c16:uniqueId val="{00000000-D47A-428F-9AB4-6B8AF3F2B456}"/>
            </c:ext>
          </c:extLst>
        </c:ser>
        <c:ser>
          <c:idx val="1"/>
          <c:order val="1"/>
          <c:tx>
            <c:v>Free cash flow ($m)</c:v>
          </c:tx>
          <c:dLbls>
            <c:spPr>
              <a:noFill/>
              <a:ln>
                <a:noFill/>
              </a:ln>
              <a:effectLst/>
            </c:spPr>
            <c:dLblPos val="t"/>
            <c:showLegendKey val="0"/>
            <c:showVal val="1"/>
            <c:showCatName val="0"/>
            <c:showSerName val="0"/>
            <c:showPercent val="0"/>
            <c:showBubbleSize val="0"/>
            <c:showLeaderLines val="0"/>
            <c:extLst>
              <c:ext xmlns:c15="http://schemas.microsoft.com/office/drawing/2012/chart" uri="{CE6537A1-D6FC-4f65-9D91-7224C49458BB}">
                <c15:showLeaderLines val="1"/>
              </c:ext>
            </c:extLst>
          </c:dLbls>
          <c:cat>
            <c:numRef>
              <c:f>Dashboard!$A$43:$A$47</c:f>
              <c:numCache>
                <c:formatCode>General</c:formatCode>
                <c:ptCount val="5"/>
                <c:pt idx="0">
                  <c:v>2021</c:v>
                </c:pt>
                <c:pt idx="1">
                  <c:v>2022</c:v>
                </c:pt>
                <c:pt idx="2">
                  <c:v>2023</c:v>
                </c:pt>
                <c:pt idx="3">
                  <c:v>2024</c:v>
                </c:pt>
                <c:pt idx="4">
                  <c:v>2025</c:v>
                </c:pt>
              </c:numCache>
            </c:numRef>
          </c:cat>
          <c:val>
            <c:numRef>
              <c:f>Dashboard!$C$43:$C$47</c:f>
              <c:numCache>
                <c:formatCode>#,##0;[Red]\(#,##0\);\-</c:formatCode>
                <c:ptCount val="5"/>
                <c:pt idx="0">
                  <c:v>994</c:v>
                </c:pt>
                <c:pt idx="1">
                  <c:v>2031</c:v>
                </c:pt>
                <c:pt idx="2">
                  <c:v>2718</c:v>
                </c:pt>
                <c:pt idx="3">
                  <c:v>1999</c:v>
                </c:pt>
                <c:pt idx="4">
                  <c:v>2608</c:v>
                </c:pt>
              </c:numCache>
            </c:numRef>
          </c:val>
          <c:smooth val="0"/>
          <c:extLst>
            <c:ext xmlns:c16="http://schemas.microsoft.com/office/drawing/2014/chart" uri="{C3380CC4-5D6E-409C-BE32-E72D297353CC}">
              <c16:uniqueId val="{00000001-D47A-428F-9AB4-6B8AF3F2B456}"/>
            </c:ext>
          </c:extLst>
        </c:ser>
        <c:ser>
          <c:idx val="2"/>
          <c:order val="2"/>
          <c:tx>
            <c:v>Shareholder distributions ($m)</c:v>
          </c:tx>
          <c:dLbls>
            <c:spPr>
              <a:noFill/>
              <a:ln>
                <a:noFill/>
              </a:ln>
              <a:effectLst/>
            </c:spPr>
            <c:dLblPos val="t"/>
            <c:showLegendKey val="0"/>
            <c:showVal val="1"/>
            <c:showCatName val="0"/>
            <c:showSerName val="0"/>
            <c:showPercent val="0"/>
            <c:showBubbleSize val="0"/>
            <c:showLeaderLines val="0"/>
            <c:extLst>
              <c:ext xmlns:c15="http://schemas.microsoft.com/office/drawing/2012/chart" uri="{CE6537A1-D6FC-4f65-9D91-7224C49458BB}">
                <c15:showLeaderLines val="1"/>
              </c:ext>
            </c:extLst>
          </c:dLbls>
          <c:cat>
            <c:numRef>
              <c:f>Dashboard!$A$43:$A$47</c:f>
              <c:numCache>
                <c:formatCode>General</c:formatCode>
                <c:ptCount val="5"/>
                <c:pt idx="0">
                  <c:v>2021</c:v>
                </c:pt>
                <c:pt idx="1">
                  <c:v>2022</c:v>
                </c:pt>
                <c:pt idx="2">
                  <c:v>2023</c:v>
                </c:pt>
                <c:pt idx="3">
                  <c:v>2024</c:v>
                </c:pt>
                <c:pt idx="4">
                  <c:v>2025</c:v>
                </c:pt>
              </c:numCache>
            </c:numRef>
          </c:cat>
          <c:val>
            <c:numRef>
              <c:f>Dashboard!$D$43:$D$47</c:f>
              <c:numCache>
                <c:formatCode>#,##0;[Red]\(#,##0\);\-</c:formatCode>
                <c:ptCount val="5"/>
                <c:pt idx="0">
                  <c:v>0</c:v>
                </c:pt>
                <c:pt idx="1">
                  <c:v>2887</c:v>
                </c:pt>
                <c:pt idx="2">
                  <c:v>4540</c:v>
                </c:pt>
                <c:pt idx="3">
                  <c:v>4444</c:v>
                </c:pt>
                <c:pt idx="4">
                  <c:v>4018</c:v>
                </c:pt>
              </c:numCache>
            </c:numRef>
          </c:val>
          <c:smooth val="0"/>
          <c:extLst>
            <c:ext xmlns:c16="http://schemas.microsoft.com/office/drawing/2014/chart" uri="{C3380CC4-5D6E-409C-BE32-E72D297353CC}">
              <c16:uniqueId val="{00000002-D47A-428F-9AB4-6B8AF3F2B456}"/>
            </c:ext>
          </c:extLst>
        </c:ser>
        <c:dLbls>
          <c:dLblPos val="t"/>
          <c:showLegendKey val="0"/>
          <c:showVal val="1"/>
          <c:showCatName val="0"/>
          <c:showSerName val="0"/>
          <c:showPercent val="0"/>
          <c:showBubbleSize val="0"/>
        </c:dLbls>
        <c:marker val="1"/>
        <c:smooth val="0"/>
        <c:axId val="48650112"/>
        <c:axId val="48672768"/>
      </c:lineChart>
      <c:catAx>
        <c:axId val="48650112"/>
        <c:scaling>
          <c:orientation val="minMax"/>
        </c:scaling>
        <c:delete val="0"/>
        <c:axPos val="b"/>
        <c:majorGridlines>
          <c:spPr>
            <a:ln w="9525">
              <a:solidFill>
                <a:srgbClr val="CCCCCC"/>
              </a:solidFill>
              <a:prstDash val="dash"/>
            </a:ln>
          </c:spPr>
        </c:majorGridlines>
        <c:numFmt formatCode="General" sourceLinked="1"/>
        <c:majorTickMark val="none"/>
        <c:minorTickMark val="none"/>
        <c:tickLblPos val="nextTo"/>
        <c:crossAx val="48672768"/>
        <c:crosses val="autoZero"/>
        <c:auto val="1"/>
        <c:lblAlgn val="ctr"/>
        <c:lblOffset val="100"/>
        <c:noMultiLvlLbl val="0"/>
      </c:catAx>
      <c:valAx>
        <c:axId val="48672768"/>
        <c:scaling>
          <c:orientation val="minMax"/>
        </c:scaling>
        <c:delete val="0"/>
        <c:axPos val="l"/>
        <c:majorGridlines>
          <c:spPr>
            <a:ln w="9525">
              <a:solidFill>
                <a:srgbClr val="CCCCCC"/>
              </a:solidFill>
              <a:prstDash val="dash"/>
            </a:ln>
          </c:spPr>
        </c:majorGridlines>
        <c:numFmt formatCode="#,##0" sourceLinked="0"/>
        <c:majorTickMark val="none"/>
        <c:minorTickMark val="none"/>
        <c:tickLblPos val="nextTo"/>
        <c:crossAx val="48650112"/>
        <c:crosses val="autoZero"/>
        <c:crossBetween val="between"/>
      </c:valAx>
    </c:plotArea>
    <c:legend>
      <c:legendPos val="b"/>
      <c:overlay val="0"/>
    </c:legend>
    <c:plotVisOnly val="1"/>
    <c:dispBlanksAs val="zero"/>
    <c:showDLblsOverMax val="1"/>
  </c:chart>
  <c:spPr>
    <a:ln w="9525">
      <a:solidFill>
        <a:srgbClr val="D9D9D9"/>
      </a:solidFill>
      <a:prstDash val="solid"/>
    </a:ln>
  </c:spPr>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r>
              <a:rPr lang="en-US"/>
              <a:t>Net Present Value by Project</a:t>
            </a:r>
          </a:p>
        </c:rich>
      </c:tx>
      <c:overlay val="0"/>
      <c:spPr>
        <a:noFill/>
        <a:ln>
          <a:noFill/>
        </a:ln>
        <a:effectLst/>
      </c:spPr>
    </c:title>
    <c:autoTitleDeleted val="0"/>
    <c:plotArea>
      <c:layout/>
      <c:barChart>
        <c:barDir val="col"/>
        <c:grouping val="clustered"/>
        <c:varyColors val="0"/>
        <c:ser>
          <c:idx val="0"/>
          <c:order val="0"/>
          <c:tx>
            <c:v>NPV (£m)</c:v>
          </c:tx>
          <c:spPr>
            <a:solidFill>
              <a:srgbClr val="4F81BD"/>
            </a:solidFill>
            <a:ln>
              <a:noFill/>
            </a:ln>
            <a:effectLst>
              <a:outerShdw blurRad="76200" dir="18900000" sy="23000" kx="-1200000" algn="bl" rotWithShape="0">
                <a:prstClr val="black">
                  <a:alpha val="20000"/>
                </a:prstClr>
              </a:outerShdw>
            </a:effectLst>
          </c:spPr>
          <c:invertIfNegative val="1"/>
          <c:dLbls>
            <c:spPr>
              <a:noFill/>
              <a:ln>
                <a:noFill/>
              </a:ln>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dk1">
                          <a:lumMod val="50000"/>
                          <a:lumOff val="50000"/>
                        </a:schemeClr>
                      </a:solidFill>
                      <a:prstDash val="solid"/>
                      <a:round/>
                    </a:ln>
                    <a:effectLst/>
                  </c:spPr>
                </c15:leaderLines>
              </c:ext>
            </c:extLst>
          </c:dLbls>
          <c:cat>
            <c:strRef>
              <c:f>Dashboard!$A$51:$A$53</c:f>
              <c:strCache>
                <c:ptCount val="3"/>
                <c:pt idx="0">
                  <c:v>Project A</c:v>
                </c:pt>
                <c:pt idx="1">
                  <c:v>Project B</c:v>
                </c:pt>
                <c:pt idx="2">
                  <c:v>Project C</c:v>
                </c:pt>
              </c:strCache>
            </c:strRef>
          </c:cat>
          <c:val>
            <c:numRef>
              <c:f>Dashboard!$B$51:$B$53</c:f>
              <c:numCache>
                <c:formatCode>\£0.00"m";[Red]\(\£0.00"m"\);\-</c:formatCode>
                <c:ptCount val="3"/>
                <c:pt idx="0">
                  <c:v>-6.5440594186024157</c:v>
                </c:pt>
                <c:pt idx="1">
                  <c:v>-6.0801895921410676</c:v>
                </c:pt>
                <c:pt idx="2">
                  <c:v>0.85832495813094312</c:v>
                </c:pt>
              </c:numCache>
            </c:numRef>
          </c:val>
          <c:extLst>
            <c:ext xmlns:c14="http://schemas.microsoft.com/office/drawing/2007/8/2/chart" uri="{6F2FDCE9-48DA-4B69-8628-5D25D57E5C99}">
              <c14:invertSolidFillFmt>
                <c14:spPr xmlns:c14="http://schemas.microsoft.com/office/drawing/2007/8/2/chart">
                  <a:solidFill>
                    <a:srgbClr val="FFFFFF"/>
                  </a:solidFill>
                  <a:ln>
                    <a:noFill/>
                  </a:ln>
                  <a:effectLst>
                    <a:outerShdw blurRad="76200" dir="18900000" sy="23000" kx="-1200000" algn="bl" rotWithShape="0">
                      <a:prstClr val="black">
                        <a:alpha val="20000"/>
                      </a:prstClr>
                    </a:outerShdw>
                  </a:effectLst>
                </c14:spPr>
              </c14:invertSolidFillFmt>
            </c:ext>
            <c:ext xmlns:c16="http://schemas.microsoft.com/office/drawing/2014/chart" uri="{C3380CC4-5D6E-409C-BE32-E72D297353CC}">
              <c16:uniqueId val="{00000000-7A81-4592-B90F-020A860E48D4}"/>
            </c:ext>
          </c:extLst>
        </c:ser>
        <c:dLbls>
          <c:dLblPos val="inEnd"/>
          <c:showLegendKey val="0"/>
          <c:showVal val="1"/>
          <c:showCatName val="0"/>
          <c:showSerName val="0"/>
          <c:showPercent val="0"/>
          <c:showBubbleSize val="0"/>
        </c:dLbls>
        <c:gapWidth val="41"/>
        <c:axId val="48650112"/>
        <c:axId val="48672768"/>
      </c:barChart>
      <c:catAx>
        <c:axId val="48650112"/>
        <c:scaling>
          <c:orientation val="minMax"/>
        </c:scaling>
        <c:delete val="0"/>
        <c:axPos val="b"/>
        <c:numFmt formatCode="General" sourceLinked="1"/>
        <c:majorTickMark val="none"/>
        <c:minorTickMark val="none"/>
        <c:tickLblPos val="nextTo"/>
        <c:spPr>
          <a:noFill/>
          <a:ln w="12700" cap="flat" cmpd="sng" algn="ctr">
            <a:noFill/>
            <a:prstDash val="solid"/>
            <a:round/>
          </a:ln>
          <a:effectLst/>
        </c:spPr>
        <c:txPr>
          <a:bodyPr rot="-60000000" spcFirstLastPara="1" vertOverflow="ellipsis" vert="horz" wrap="square" anchor="ctr" anchorCtr="1"/>
          <a:lstStyle/>
          <a:p>
            <a:pPr>
              <a:defRPr sz="900" b="0" i="0" u="none" strike="noStrike" kern="1200" baseline="0">
                <a:solidFill>
                  <a:schemeClr val="dk1">
                    <a:lumMod val="65000"/>
                    <a:lumOff val="35000"/>
                  </a:schemeClr>
                </a:solidFill>
                <a:effectLst/>
                <a:latin typeface="+mn-lt"/>
                <a:ea typeface="+mn-ea"/>
                <a:cs typeface="+mn-cs"/>
              </a:defRPr>
            </a:pPr>
            <a:endParaRPr lang="en-US"/>
          </a:p>
        </c:txPr>
        <c:crossAx val="48672768"/>
        <c:crosses val="autoZero"/>
        <c:auto val="1"/>
        <c:lblAlgn val="ctr"/>
        <c:lblOffset val="100"/>
        <c:noMultiLvlLbl val="0"/>
      </c:catAx>
      <c:valAx>
        <c:axId val="48672768"/>
        <c:scaling>
          <c:orientation val="minMax"/>
        </c:scaling>
        <c:delete val="1"/>
        <c:axPos val="l"/>
        <c:numFmt formatCode="General" sourceLinked="0"/>
        <c:majorTickMark val="none"/>
        <c:minorTickMark val="none"/>
        <c:tickLblPos val="nextTo"/>
        <c:crossAx val="48650112"/>
        <c:crosses val="autoZero"/>
        <c:crossBetween val="between"/>
      </c:valAx>
      <c:spPr>
        <a:noFill/>
        <a:ln>
          <a:noFill/>
        </a:ln>
        <a:effectLst/>
      </c:spPr>
    </c:plotArea>
    <c:plotVisOnly val="1"/>
    <c:dispBlanksAs val="zero"/>
    <c:showDLblsOverMax val="1"/>
  </c:chart>
  <c:spPr>
    <a:gradFill flip="none" rotWithShape="1">
      <a:gsLst>
        <a:gs pos="0">
          <a:schemeClr val="lt1"/>
        </a:gs>
        <a:gs pos="68000">
          <a:schemeClr val="lt1">
            <a:lumMod val="85000"/>
          </a:schemeClr>
        </a:gs>
        <a:gs pos="100000">
          <a:schemeClr val="lt1"/>
        </a:gs>
      </a:gsLst>
      <a:lin ang="5400000" scaled="1"/>
      <a:tileRect/>
    </a:gradFill>
    <a:ln w="9525" cap="flat" cmpd="sng" algn="ctr">
      <a:solidFill>
        <a:schemeClr val="dk1">
          <a:lumMod val="15000"/>
          <a:lumOff val="85000"/>
        </a:schemeClr>
      </a:solidFill>
      <a:prstDash val="solid"/>
      <a:round/>
    </a:ln>
    <a:effectLst/>
  </c:spPr>
  <c:txPr>
    <a:bodyPr/>
    <a:lstStyle/>
    <a:p>
      <a:pPr>
        <a:defRPr/>
      </a:pPr>
      <a:endParaRPr lang="en-US"/>
    </a:p>
  </c:txPr>
  <c:externalData r:id="rId1">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r>
              <a:rPr lang="en-US"/>
              <a:t>IRR versus 8% Required Return</a:t>
            </a:r>
          </a:p>
        </c:rich>
      </c:tx>
      <c:overlay val="0"/>
      <c:spPr>
        <a:noFill/>
        <a:ln>
          <a:noFill/>
        </a:ln>
        <a:effectLst/>
      </c:spPr>
    </c:title>
    <c:autoTitleDeleted val="0"/>
    <c:plotArea>
      <c:layout/>
      <c:barChart>
        <c:barDir val="col"/>
        <c:grouping val="clustered"/>
        <c:varyColors val="0"/>
        <c:ser>
          <c:idx val="0"/>
          <c:order val="0"/>
          <c:tx>
            <c:v>IRR</c:v>
          </c:tx>
          <c:spPr>
            <a:solidFill>
              <a:srgbClr val="C0504D"/>
            </a:solidFill>
            <a:ln>
              <a:noFill/>
            </a:ln>
            <a:effectLst/>
          </c:spPr>
          <c:invertIfNegative val="1"/>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Dashboard!$D$51:$D$53</c:f>
              <c:strCache>
                <c:ptCount val="3"/>
                <c:pt idx="0">
                  <c:v>Project A</c:v>
                </c:pt>
                <c:pt idx="1">
                  <c:v>Project B</c:v>
                </c:pt>
                <c:pt idx="2">
                  <c:v>Project C</c:v>
                </c:pt>
              </c:strCache>
            </c:strRef>
          </c:cat>
          <c:val>
            <c:numRef>
              <c:f>Dashboard!$E$51:$E$53</c:f>
              <c:numCache>
                <c:formatCode>0.00%;[Red]\(0.00%\);\-</c:formatCode>
                <c:ptCount val="3"/>
                <c:pt idx="0">
                  <c:v>2.7219684840601444E-2</c:v>
                </c:pt>
                <c:pt idx="1">
                  <c:v>3.2634958177834239E-2</c:v>
                </c:pt>
                <c:pt idx="2">
                  <c:v>8.5867557437232289E-2</c:v>
                </c:pt>
              </c:numCache>
            </c:numRef>
          </c:val>
          <c:extLst>
            <c:ext xmlns:c14="http://schemas.microsoft.com/office/drawing/2007/8/2/chart" uri="{6F2FDCE9-48DA-4B69-8628-5D25D57E5C99}">
              <c14:invertSolidFillFmt>
                <c14:spPr xmlns:c14="http://schemas.microsoft.com/office/drawing/2007/8/2/chart">
                  <a:solidFill>
                    <a:srgbClr val="FFFFFF"/>
                  </a:solidFill>
                  <a:ln>
                    <a:noFill/>
                  </a:ln>
                  <a:effectLst/>
                </c14:spPr>
              </c14:invertSolidFillFmt>
            </c:ext>
            <c:ext xmlns:c16="http://schemas.microsoft.com/office/drawing/2014/chart" uri="{C3380CC4-5D6E-409C-BE32-E72D297353CC}">
              <c16:uniqueId val="{00000000-3CC2-4BE4-BE43-259110C18AF4}"/>
            </c:ext>
          </c:extLst>
        </c:ser>
        <c:ser>
          <c:idx val="1"/>
          <c:order val="1"/>
          <c:tx>
            <c:v>Required return</c:v>
          </c:tx>
          <c:spPr>
            <a:solidFill>
              <a:srgbClr val="8064A2"/>
            </a:solidFill>
            <a:ln>
              <a:noFill/>
            </a:ln>
            <a:effectLst/>
          </c:spPr>
          <c:invertIfNegative val="1"/>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Dashboard!$D$51:$D$53</c:f>
              <c:strCache>
                <c:ptCount val="3"/>
                <c:pt idx="0">
                  <c:v>Project A</c:v>
                </c:pt>
                <c:pt idx="1">
                  <c:v>Project B</c:v>
                </c:pt>
                <c:pt idx="2">
                  <c:v>Project C</c:v>
                </c:pt>
              </c:strCache>
            </c:strRef>
          </c:cat>
          <c:val>
            <c:numRef>
              <c:f>Dashboard!$F$51:$F$53</c:f>
              <c:numCache>
                <c:formatCode>0.00%;[Red]\(0.00%\);\-</c:formatCode>
                <c:ptCount val="3"/>
                <c:pt idx="0">
                  <c:v>0.08</c:v>
                </c:pt>
                <c:pt idx="1">
                  <c:v>0.08</c:v>
                </c:pt>
                <c:pt idx="2">
                  <c:v>0.08</c:v>
                </c:pt>
              </c:numCache>
            </c:numRef>
          </c:val>
          <c:extLst>
            <c:ext xmlns:c14="http://schemas.microsoft.com/office/drawing/2007/8/2/chart" uri="{6F2FDCE9-48DA-4B69-8628-5D25D57E5C99}">
              <c14:invertSolidFillFmt>
                <c14:spPr xmlns:c14="http://schemas.microsoft.com/office/drawing/2007/8/2/chart">
                  <a:solidFill>
                    <a:srgbClr val="FFFFFF"/>
                  </a:solidFill>
                  <a:ln>
                    <a:noFill/>
                  </a:ln>
                  <a:effectLst/>
                </c14:spPr>
              </c14:invertSolidFillFmt>
            </c:ext>
            <c:ext xmlns:c16="http://schemas.microsoft.com/office/drawing/2014/chart" uri="{C3380CC4-5D6E-409C-BE32-E72D297353CC}">
              <c16:uniqueId val="{00000001-3CC2-4BE4-BE43-259110C18AF4}"/>
            </c:ext>
          </c:extLst>
        </c:ser>
        <c:dLbls>
          <c:dLblPos val="outEnd"/>
          <c:showLegendKey val="0"/>
          <c:showVal val="1"/>
          <c:showCatName val="0"/>
          <c:showSerName val="0"/>
          <c:showPercent val="0"/>
          <c:showBubbleSize val="0"/>
        </c:dLbls>
        <c:gapWidth val="219"/>
        <c:overlap val="-27"/>
        <c:axId val="48650112"/>
        <c:axId val="48672768"/>
      </c:barChart>
      <c:catAx>
        <c:axId val="4865011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8672768"/>
        <c:crosses val="autoZero"/>
        <c:auto val="1"/>
        <c:lblAlgn val="ctr"/>
        <c:lblOffset val="100"/>
        <c:noMultiLvlLbl val="0"/>
      </c:catAx>
      <c:valAx>
        <c:axId val="48672768"/>
        <c:scaling>
          <c:orientation val="minMax"/>
        </c:scaling>
        <c:delete val="0"/>
        <c:axPos val="l"/>
        <c:majorGridlines>
          <c:spPr>
            <a:ln w="9525" cap="flat" cmpd="sng" algn="ctr">
              <a:solidFill>
                <a:schemeClr val="tx1">
                  <a:lumMod val="15000"/>
                  <a:lumOff val="85000"/>
                </a:schemeClr>
              </a:solidFill>
              <a:round/>
            </a:ln>
            <a:effectLst/>
          </c:spPr>
        </c:majorGridlines>
        <c:numFmt formatCode="0.0%" sourceLinked="0"/>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865011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zero"/>
    <c:showDLblsOverMax val="1"/>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r>
              <a:rPr lang="en-US"/>
              <a:t>Cumulative Cash Flow and Payback</a:t>
            </a:r>
          </a:p>
        </c:rich>
      </c:tx>
      <c:overlay val="0"/>
      <c:spPr>
        <a:noFill/>
        <a:ln>
          <a:noFill/>
        </a:ln>
        <a:effectLst/>
      </c:spPr>
    </c:title>
    <c:autoTitleDeleted val="0"/>
    <c:plotArea>
      <c:layout/>
      <c:lineChart>
        <c:grouping val="standard"/>
        <c:varyColors val="1"/>
        <c:ser>
          <c:idx val="0"/>
          <c:order val="0"/>
          <c:tx>
            <c:v>Year 0</c:v>
          </c:tx>
          <c:spPr>
            <a:ln w="28575" cap="rnd">
              <a:solidFill>
                <a:schemeClr val="accent1"/>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Dashboard!$A$17:$A$19</c:f>
              <c:strCache>
                <c:ptCount val="3"/>
                <c:pt idx="0">
                  <c:v>Project A</c:v>
                </c:pt>
                <c:pt idx="1">
                  <c:v>Project B</c:v>
                </c:pt>
                <c:pt idx="2">
                  <c:v>Project C</c:v>
                </c:pt>
              </c:strCache>
            </c:strRef>
          </c:cat>
          <c:val>
            <c:numRef>
              <c:f>Dashboard!$B$17:$B$19</c:f>
              <c:numCache>
                <c:formatCode>\£0.00"m";[Red]\(\£0.00"m"\);\-</c:formatCode>
                <c:ptCount val="3"/>
                <c:pt idx="0">
                  <c:v>-50</c:v>
                </c:pt>
                <c:pt idx="1">
                  <c:v>-50</c:v>
                </c:pt>
                <c:pt idx="2">
                  <c:v>-50</c:v>
                </c:pt>
              </c:numCache>
            </c:numRef>
          </c:val>
          <c:smooth val="0"/>
          <c:extLst>
            <c:ext xmlns:c16="http://schemas.microsoft.com/office/drawing/2014/chart" uri="{C3380CC4-5D6E-409C-BE32-E72D297353CC}">
              <c16:uniqueId val="{00000000-798F-49BF-ABD0-4F24BEE55D7D}"/>
            </c:ext>
          </c:extLst>
        </c:ser>
        <c:ser>
          <c:idx val="1"/>
          <c:order val="1"/>
          <c:tx>
            <c:v>Year 1</c:v>
          </c:tx>
          <c:spPr>
            <a:ln w="28575" cap="rnd">
              <a:solidFill>
                <a:schemeClr val="accent2"/>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Dashboard!$A$17:$A$19</c:f>
              <c:strCache>
                <c:ptCount val="3"/>
                <c:pt idx="0">
                  <c:v>Project A</c:v>
                </c:pt>
                <c:pt idx="1">
                  <c:v>Project B</c:v>
                </c:pt>
                <c:pt idx="2">
                  <c:v>Project C</c:v>
                </c:pt>
              </c:strCache>
            </c:strRef>
          </c:cat>
          <c:val>
            <c:numRef>
              <c:f>Dashboard!$C$17:$C$19</c:f>
              <c:numCache>
                <c:formatCode>\£0.00"m";[Red]\(\£0.00"m"\);\-</c:formatCode>
                <c:ptCount val="3"/>
                <c:pt idx="0">
                  <c:v>-40</c:v>
                </c:pt>
                <c:pt idx="1">
                  <c:v>-39</c:v>
                </c:pt>
                <c:pt idx="2">
                  <c:v>-45</c:v>
                </c:pt>
              </c:numCache>
            </c:numRef>
          </c:val>
          <c:smooth val="0"/>
          <c:extLst>
            <c:ext xmlns:c16="http://schemas.microsoft.com/office/drawing/2014/chart" uri="{C3380CC4-5D6E-409C-BE32-E72D297353CC}">
              <c16:uniqueId val="{00000001-798F-49BF-ABD0-4F24BEE55D7D}"/>
            </c:ext>
          </c:extLst>
        </c:ser>
        <c:ser>
          <c:idx val="2"/>
          <c:order val="2"/>
          <c:tx>
            <c:v>Year 2</c:v>
          </c:tx>
          <c:spPr>
            <a:ln w="28575" cap="rnd">
              <a:solidFill>
                <a:schemeClr val="accent3"/>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Dashboard!$A$17:$A$19</c:f>
              <c:strCache>
                <c:ptCount val="3"/>
                <c:pt idx="0">
                  <c:v>Project A</c:v>
                </c:pt>
                <c:pt idx="1">
                  <c:v>Project B</c:v>
                </c:pt>
                <c:pt idx="2">
                  <c:v>Project C</c:v>
                </c:pt>
              </c:strCache>
            </c:strRef>
          </c:cat>
          <c:val>
            <c:numRef>
              <c:f>Dashboard!$D$17:$D$19</c:f>
              <c:numCache>
                <c:formatCode>\£0.00"m";[Red]\(\£0.00"m"\);\-</c:formatCode>
                <c:ptCount val="3"/>
                <c:pt idx="0">
                  <c:v>-28</c:v>
                </c:pt>
                <c:pt idx="1">
                  <c:v>-28</c:v>
                </c:pt>
                <c:pt idx="2">
                  <c:v>-35</c:v>
                </c:pt>
              </c:numCache>
            </c:numRef>
          </c:val>
          <c:smooth val="0"/>
          <c:extLst>
            <c:ext xmlns:c16="http://schemas.microsoft.com/office/drawing/2014/chart" uri="{C3380CC4-5D6E-409C-BE32-E72D297353CC}">
              <c16:uniqueId val="{00000002-798F-49BF-ABD0-4F24BEE55D7D}"/>
            </c:ext>
          </c:extLst>
        </c:ser>
        <c:ser>
          <c:idx val="3"/>
          <c:order val="3"/>
          <c:tx>
            <c:v>Year 3</c:v>
          </c:tx>
          <c:spPr>
            <a:ln w="28575" cap="rnd">
              <a:solidFill>
                <a:schemeClr val="accent4"/>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Dashboard!$A$17:$A$19</c:f>
              <c:strCache>
                <c:ptCount val="3"/>
                <c:pt idx="0">
                  <c:v>Project A</c:v>
                </c:pt>
                <c:pt idx="1">
                  <c:v>Project B</c:v>
                </c:pt>
                <c:pt idx="2">
                  <c:v>Project C</c:v>
                </c:pt>
              </c:strCache>
            </c:strRef>
          </c:cat>
          <c:val>
            <c:numRef>
              <c:f>Dashboard!$E$17:$E$19</c:f>
              <c:numCache>
                <c:formatCode>\£0.00"m";[Red]\(\£0.00"m"\);\-</c:formatCode>
                <c:ptCount val="3"/>
                <c:pt idx="0">
                  <c:v>-14</c:v>
                </c:pt>
                <c:pt idx="1">
                  <c:v>-17</c:v>
                </c:pt>
                <c:pt idx="2">
                  <c:v>-15</c:v>
                </c:pt>
              </c:numCache>
            </c:numRef>
          </c:val>
          <c:smooth val="0"/>
          <c:extLst>
            <c:ext xmlns:c16="http://schemas.microsoft.com/office/drawing/2014/chart" uri="{C3380CC4-5D6E-409C-BE32-E72D297353CC}">
              <c16:uniqueId val="{00000003-798F-49BF-ABD0-4F24BEE55D7D}"/>
            </c:ext>
          </c:extLst>
        </c:ser>
        <c:ser>
          <c:idx val="4"/>
          <c:order val="4"/>
          <c:tx>
            <c:v>Year 4</c:v>
          </c:tx>
          <c:spPr>
            <a:ln w="28575" cap="rnd">
              <a:solidFill>
                <a:schemeClr val="accent5"/>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Dashboard!$A$17:$A$19</c:f>
              <c:strCache>
                <c:ptCount val="3"/>
                <c:pt idx="0">
                  <c:v>Project A</c:v>
                </c:pt>
                <c:pt idx="1">
                  <c:v>Project B</c:v>
                </c:pt>
                <c:pt idx="2">
                  <c:v>Project C</c:v>
                </c:pt>
              </c:strCache>
            </c:strRef>
          </c:cat>
          <c:val>
            <c:numRef>
              <c:f>Dashboard!$F$17:$F$19</c:f>
              <c:numCache>
                <c:formatCode>\£0.00"m";[Red]\(\£0.00"m"\);\-</c:formatCode>
                <c:ptCount val="3"/>
                <c:pt idx="0">
                  <c:v>-4</c:v>
                </c:pt>
                <c:pt idx="1">
                  <c:v>-6</c:v>
                </c:pt>
                <c:pt idx="2">
                  <c:v>10</c:v>
                </c:pt>
              </c:numCache>
            </c:numRef>
          </c:val>
          <c:smooth val="0"/>
          <c:extLst>
            <c:ext xmlns:c16="http://schemas.microsoft.com/office/drawing/2014/chart" uri="{C3380CC4-5D6E-409C-BE32-E72D297353CC}">
              <c16:uniqueId val="{00000004-798F-49BF-ABD0-4F24BEE55D7D}"/>
            </c:ext>
          </c:extLst>
        </c:ser>
        <c:ser>
          <c:idx val="5"/>
          <c:order val="5"/>
          <c:tx>
            <c:v>Year 5</c:v>
          </c:tx>
          <c:spPr>
            <a:ln w="28575" cap="rnd">
              <a:solidFill>
                <a:schemeClr val="accent6"/>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Dashboard!$A$17:$A$19</c:f>
              <c:strCache>
                <c:ptCount val="3"/>
                <c:pt idx="0">
                  <c:v>Project A</c:v>
                </c:pt>
                <c:pt idx="1">
                  <c:v>Project B</c:v>
                </c:pt>
                <c:pt idx="2">
                  <c:v>Project C</c:v>
                </c:pt>
              </c:strCache>
            </c:strRef>
          </c:cat>
          <c:val>
            <c:numRef>
              <c:f>Dashboard!$G$17:$G$19</c:f>
              <c:numCache>
                <c:formatCode>\£0.00"m";[Red]\(\£0.00"m"\);\-</c:formatCode>
                <c:ptCount val="3"/>
                <c:pt idx="0">
                  <c:v>4</c:v>
                </c:pt>
                <c:pt idx="1">
                  <c:v>5</c:v>
                </c:pt>
                <c:pt idx="2">
                  <c:v>15</c:v>
                </c:pt>
              </c:numCache>
            </c:numRef>
          </c:val>
          <c:smooth val="0"/>
          <c:extLst>
            <c:ext xmlns:c16="http://schemas.microsoft.com/office/drawing/2014/chart" uri="{C3380CC4-5D6E-409C-BE32-E72D297353CC}">
              <c16:uniqueId val="{00000005-798F-49BF-ABD0-4F24BEE55D7D}"/>
            </c:ext>
          </c:extLst>
        </c:ser>
        <c:dLbls>
          <c:dLblPos val="t"/>
          <c:showLegendKey val="0"/>
          <c:showVal val="1"/>
          <c:showCatName val="0"/>
          <c:showSerName val="0"/>
          <c:showPercent val="0"/>
          <c:showBubbleSize val="0"/>
        </c:dLbls>
        <c:smooth val="0"/>
        <c:axId val="48650112"/>
        <c:axId val="48672768"/>
      </c:lineChart>
      <c:catAx>
        <c:axId val="4865011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8672768"/>
        <c:crosses val="autoZero"/>
        <c:auto val="1"/>
        <c:lblAlgn val="ctr"/>
        <c:lblOffset val="100"/>
        <c:noMultiLvlLbl val="0"/>
      </c:catAx>
      <c:valAx>
        <c:axId val="4867276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0"/>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865011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zero"/>
    <c:showDLblsOverMax val="1"/>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r>
              <a:rPr lang="en-US"/>
              <a:t>Capital-Rationing Portfolio Outcomes</a:t>
            </a:r>
          </a:p>
        </c:rich>
      </c:tx>
      <c:overlay val="0"/>
      <c:spPr>
        <a:noFill/>
        <a:ln>
          <a:noFill/>
        </a:ln>
        <a:effectLst/>
      </c:spPr>
    </c:title>
    <c:autoTitleDeleted val="0"/>
    <c:plotArea>
      <c:layout/>
      <c:barChart>
        <c:barDir val="col"/>
        <c:grouping val="clustered"/>
        <c:varyColors val="0"/>
        <c:ser>
          <c:idx val="0"/>
          <c:order val="0"/>
          <c:tx>
            <c:v>Investment (£m)</c:v>
          </c:tx>
          <c:spPr>
            <a:solidFill>
              <a:srgbClr val="4F81BD"/>
            </a:solidFill>
            <a:ln>
              <a:noFill/>
            </a:ln>
            <a:effectLst/>
          </c:spPr>
          <c:invertIfNegative val="1"/>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Dashboard!$A$23:$A$30</c:f>
              <c:strCache>
                <c:ptCount val="8"/>
                <c:pt idx="0">
                  <c:v>No project</c:v>
                </c:pt>
                <c:pt idx="1">
                  <c:v>A only</c:v>
                </c:pt>
                <c:pt idx="2">
                  <c:v>B only</c:v>
                </c:pt>
                <c:pt idx="3">
                  <c:v>C only</c:v>
                </c:pt>
                <c:pt idx="4">
                  <c:v>A + B</c:v>
                </c:pt>
                <c:pt idx="5">
                  <c:v>A + C</c:v>
                </c:pt>
                <c:pt idx="6">
                  <c:v>B + C</c:v>
                </c:pt>
                <c:pt idx="7">
                  <c:v>A + B + C</c:v>
                </c:pt>
              </c:strCache>
            </c:strRef>
          </c:cat>
          <c:val>
            <c:numRef>
              <c:f>Dashboard!$B$23:$B$30</c:f>
              <c:numCache>
                <c:formatCode>\£0.00"m";[Red]\(\£0.00"m"\);\-</c:formatCode>
                <c:ptCount val="8"/>
                <c:pt idx="0">
                  <c:v>0</c:v>
                </c:pt>
                <c:pt idx="1">
                  <c:v>50</c:v>
                </c:pt>
                <c:pt idx="2">
                  <c:v>50</c:v>
                </c:pt>
                <c:pt idx="3">
                  <c:v>50</c:v>
                </c:pt>
                <c:pt idx="4">
                  <c:v>100</c:v>
                </c:pt>
                <c:pt idx="5">
                  <c:v>100</c:v>
                </c:pt>
                <c:pt idx="6">
                  <c:v>100</c:v>
                </c:pt>
                <c:pt idx="7">
                  <c:v>150</c:v>
                </c:pt>
              </c:numCache>
            </c:numRef>
          </c:val>
          <c:extLst>
            <c:ext xmlns:c14="http://schemas.microsoft.com/office/drawing/2007/8/2/chart" uri="{6F2FDCE9-48DA-4B69-8628-5D25D57E5C99}">
              <c14:invertSolidFillFmt>
                <c14:spPr xmlns:c14="http://schemas.microsoft.com/office/drawing/2007/8/2/chart">
                  <a:solidFill>
                    <a:srgbClr val="FFFFFF"/>
                  </a:solidFill>
                  <a:ln>
                    <a:noFill/>
                  </a:ln>
                  <a:effectLst/>
                </c14:spPr>
              </c14:invertSolidFillFmt>
            </c:ext>
            <c:ext xmlns:c16="http://schemas.microsoft.com/office/drawing/2014/chart" uri="{C3380CC4-5D6E-409C-BE32-E72D297353CC}">
              <c16:uniqueId val="{00000000-2819-496E-9900-70A3C6D7BD70}"/>
            </c:ext>
          </c:extLst>
        </c:ser>
        <c:ser>
          <c:idx val="1"/>
          <c:order val="1"/>
          <c:tx>
            <c:v>NPV (£m)</c:v>
          </c:tx>
          <c:spPr>
            <a:solidFill>
              <a:srgbClr val="C0504D"/>
            </a:solidFill>
            <a:ln>
              <a:noFill/>
            </a:ln>
            <a:effectLst/>
          </c:spPr>
          <c:invertIfNegative val="1"/>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Dashboard!$A$23:$A$30</c:f>
              <c:strCache>
                <c:ptCount val="8"/>
                <c:pt idx="0">
                  <c:v>No project</c:v>
                </c:pt>
                <c:pt idx="1">
                  <c:v>A only</c:v>
                </c:pt>
                <c:pt idx="2">
                  <c:v>B only</c:v>
                </c:pt>
                <c:pt idx="3">
                  <c:v>C only</c:v>
                </c:pt>
                <c:pt idx="4">
                  <c:v>A + B</c:v>
                </c:pt>
                <c:pt idx="5">
                  <c:v>A + C</c:v>
                </c:pt>
                <c:pt idx="6">
                  <c:v>B + C</c:v>
                </c:pt>
                <c:pt idx="7">
                  <c:v>A + B + C</c:v>
                </c:pt>
              </c:strCache>
            </c:strRef>
          </c:cat>
          <c:val>
            <c:numRef>
              <c:f>Dashboard!$C$23:$C$30</c:f>
              <c:numCache>
                <c:formatCode>\£0.00"m";[Red]\(\£0.00"m"\);\-</c:formatCode>
                <c:ptCount val="8"/>
                <c:pt idx="0">
                  <c:v>0</c:v>
                </c:pt>
                <c:pt idx="1">
                  <c:v>-6.5440594186024157</c:v>
                </c:pt>
                <c:pt idx="2">
                  <c:v>-6.0801895921410676</c:v>
                </c:pt>
                <c:pt idx="3">
                  <c:v>0.85832495813094312</c:v>
                </c:pt>
                <c:pt idx="4">
                  <c:v>-12.624249010743483</c:v>
                </c:pt>
                <c:pt idx="5">
                  <c:v>-5.6857344604714726</c:v>
                </c:pt>
                <c:pt idx="6">
                  <c:v>-5.2218646340101245</c:v>
                </c:pt>
                <c:pt idx="7">
                  <c:v>-11.76592405261254</c:v>
                </c:pt>
              </c:numCache>
            </c:numRef>
          </c:val>
          <c:extLst>
            <c:ext xmlns:c14="http://schemas.microsoft.com/office/drawing/2007/8/2/chart" uri="{6F2FDCE9-48DA-4B69-8628-5D25D57E5C99}">
              <c14:invertSolidFillFmt>
                <c14:spPr xmlns:c14="http://schemas.microsoft.com/office/drawing/2007/8/2/chart">
                  <a:solidFill>
                    <a:srgbClr val="FFFFFF"/>
                  </a:solidFill>
                  <a:ln>
                    <a:noFill/>
                  </a:ln>
                  <a:effectLst/>
                </c14:spPr>
              </c14:invertSolidFillFmt>
            </c:ext>
            <c:ext xmlns:c16="http://schemas.microsoft.com/office/drawing/2014/chart" uri="{C3380CC4-5D6E-409C-BE32-E72D297353CC}">
              <c16:uniqueId val="{00000001-2819-496E-9900-70A3C6D7BD70}"/>
            </c:ext>
          </c:extLst>
        </c:ser>
        <c:dLbls>
          <c:dLblPos val="outEnd"/>
          <c:showLegendKey val="0"/>
          <c:showVal val="1"/>
          <c:showCatName val="0"/>
          <c:showSerName val="0"/>
          <c:showPercent val="0"/>
          <c:showBubbleSize val="0"/>
        </c:dLbls>
        <c:gapWidth val="199"/>
        <c:axId val="48650112"/>
        <c:axId val="48672768"/>
      </c:barChart>
      <c:catAx>
        <c:axId val="4865011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tx1">
                    <a:lumMod val="65000"/>
                    <a:lumOff val="35000"/>
                  </a:schemeClr>
                </a:solidFill>
                <a:latin typeface="+mn-lt"/>
                <a:ea typeface="+mn-ea"/>
                <a:cs typeface="+mn-cs"/>
              </a:defRPr>
            </a:pPr>
            <a:endParaRPr lang="en-US"/>
          </a:p>
        </c:txPr>
        <c:crossAx val="48672768"/>
        <c:crosses val="autoZero"/>
        <c:auto val="1"/>
        <c:lblAlgn val="ctr"/>
        <c:lblOffset val="100"/>
        <c:noMultiLvlLbl val="0"/>
      </c:catAx>
      <c:valAx>
        <c:axId val="48672768"/>
        <c:scaling>
          <c:orientation val="minMax"/>
        </c:scaling>
        <c:delete val="0"/>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numFmt formatCode="General" sourceLinked="0"/>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8650112"/>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zero"/>
    <c:showDLblsOverMax val="1"/>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r>
              <a:rPr lang="en-US"/>
              <a:t>NPV Sensitivity by Discount Rate</a:t>
            </a:r>
          </a:p>
        </c:rich>
      </c:tx>
      <c:overlay val="0"/>
      <c:spPr>
        <a:noFill/>
        <a:ln>
          <a:noFill/>
        </a:ln>
        <a:effectLst/>
      </c:spPr>
    </c:title>
    <c:autoTitleDeleted val="0"/>
    <c:plotArea>
      <c:layout/>
      <c:lineChart>
        <c:grouping val="standard"/>
        <c:varyColors val="1"/>
        <c:ser>
          <c:idx val="0"/>
          <c:order val="0"/>
          <c:tx>
            <c:v>Project A NPV</c:v>
          </c:tx>
          <c:spPr>
            <a:ln w="38100" cap="flat" cmpd="dbl" algn="ctr">
              <a:solidFill>
                <a:schemeClr val="accent1"/>
              </a:solidFill>
              <a:miter lim="800000"/>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'Sensitivity Analysis'!$A$5:$A$10</c:f>
              <c:numCache>
                <c:formatCode>0.00%;[Red]\(0.00%\);\-</c:formatCode>
                <c:ptCount val="6"/>
                <c:pt idx="0">
                  <c:v>0.04</c:v>
                </c:pt>
                <c:pt idx="1">
                  <c:v>0.06</c:v>
                </c:pt>
                <c:pt idx="2">
                  <c:v>0.08</c:v>
                </c:pt>
                <c:pt idx="3">
                  <c:v>0.1</c:v>
                </c:pt>
                <c:pt idx="4">
                  <c:v>0.12</c:v>
                </c:pt>
                <c:pt idx="5">
                  <c:v>0.14000000000000001</c:v>
                </c:pt>
              </c:numCache>
            </c:numRef>
          </c:cat>
          <c:val>
            <c:numRef>
              <c:f>'Sensitivity Analysis'!$B$5:$B$10</c:f>
              <c:numCache>
                <c:formatCode>\£0.00"m";[Red]\(\£0.00"m"\);\-</c:formatCode>
                <c:ptCount val="6"/>
                <c:pt idx="0">
                  <c:v>-1.7205330426374843</c:v>
                </c:pt>
                <c:pt idx="1">
                  <c:v>-4.2324084779172964</c:v>
                </c:pt>
                <c:pt idx="2">
                  <c:v>-6.5440594186024157</c:v>
                </c:pt>
                <c:pt idx="3">
                  <c:v>-8.675823186444056</c:v>
                </c:pt>
                <c:pt idx="4">
                  <c:v>-10.645582941631467</c:v>
                </c:pt>
                <c:pt idx="5">
                  <c:v>-12.469106518386376</c:v>
                </c:pt>
              </c:numCache>
            </c:numRef>
          </c:val>
          <c:smooth val="0"/>
          <c:extLst>
            <c:ext xmlns:c16="http://schemas.microsoft.com/office/drawing/2014/chart" uri="{C3380CC4-5D6E-409C-BE32-E72D297353CC}">
              <c16:uniqueId val="{00000000-ED92-4425-B3F1-22772E192E67}"/>
            </c:ext>
          </c:extLst>
        </c:ser>
        <c:ser>
          <c:idx val="1"/>
          <c:order val="1"/>
          <c:tx>
            <c:v>Project B NPV</c:v>
          </c:tx>
          <c:spPr>
            <a:ln w="38100" cap="flat" cmpd="dbl" algn="ctr">
              <a:solidFill>
                <a:schemeClr val="accent2"/>
              </a:solidFill>
              <a:miter lim="800000"/>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'Sensitivity Analysis'!$A$5:$A$10</c:f>
              <c:numCache>
                <c:formatCode>0.00%;[Red]\(0.00%\);\-</c:formatCode>
                <c:ptCount val="6"/>
                <c:pt idx="0">
                  <c:v>0.04</c:v>
                </c:pt>
                <c:pt idx="1">
                  <c:v>0.06</c:v>
                </c:pt>
                <c:pt idx="2">
                  <c:v>0.08</c:v>
                </c:pt>
                <c:pt idx="3">
                  <c:v>0.1</c:v>
                </c:pt>
                <c:pt idx="4">
                  <c:v>0.12</c:v>
                </c:pt>
                <c:pt idx="5">
                  <c:v>0.14000000000000001</c:v>
                </c:pt>
              </c:numCache>
            </c:numRef>
          </c:cat>
          <c:val>
            <c:numRef>
              <c:f>'Sensitivity Analysis'!$C$5:$C$10</c:f>
              <c:numCache>
                <c:formatCode>\£0.00"m";[Red]\(\£0.00"m"\);\-</c:formatCode>
                <c:ptCount val="6"/>
                <c:pt idx="0">
                  <c:v>-1.0299543588217404</c:v>
                </c:pt>
                <c:pt idx="1">
                  <c:v>-3.6639983587771567</c:v>
                </c:pt>
                <c:pt idx="2">
                  <c:v>-6.0801895921410676</c:v>
                </c:pt>
                <c:pt idx="3">
                  <c:v>-8.3013455365070854</c:v>
                </c:pt>
                <c:pt idx="4">
                  <c:v>-10.347461774204952</c:v>
                </c:pt>
                <c:pt idx="5">
                  <c:v>-12.236109342556944</c:v>
                </c:pt>
              </c:numCache>
            </c:numRef>
          </c:val>
          <c:smooth val="0"/>
          <c:extLst>
            <c:ext xmlns:c16="http://schemas.microsoft.com/office/drawing/2014/chart" uri="{C3380CC4-5D6E-409C-BE32-E72D297353CC}">
              <c16:uniqueId val="{00000001-ED92-4425-B3F1-22772E192E67}"/>
            </c:ext>
          </c:extLst>
        </c:ser>
        <c:ser>
          <c:idx val="2"/>
          <c:order val="2"/>
          <c:tx>
            <c:v>Project C NPV</c:v>
          </c:tx>
          <c:spPr>
            <a:ln w="38100" cap="flat" cmpd="dbl" algn="ctr">
              <a:solidFill>
                <a:schemeClr val="accent3"/>
              </a:solidFill>
              <a:miter lim="800000"/>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'Sensitivity Analysis'!$A$5:$A$10</c:f>
              <c:numCache>
                <c:formatCode>0.00%;[Red]\(0.00%\);\-</c:formatCode>
                <c:ptCount val="6"/>
                <c:pt idx="0">
                  <c:v>0.04</c:v>
                </c:pt>
                <c:pt idx="1">
                  <c:v>0.06</c:v>
                </c:pt>
                <c:pt idx="2">
                  <c:v>0.08</c:v>
                </c:pt>
                <c:pt idx="3">
                  <c:v>0.1</c:v>
                </c:pt>
                <c:pt idx="4">
                  <c:v>0.12</c:v>
                </c:pt>
                <c:pt idx="5">
                  <c:v>0.14000000000000001</c:v>
                </c:pt>
              </c:numCache>
            </c:numRef>
          </c:cat>
          <c:val>
            <c:numRef>
              <c:f>'Sensitivity Analysis'!$D$5:$D$10</c:f>
              <c:numCache>
                <c:formatCode>\£0.00"m";[Red]\(\£0.00"m"\);\-</c:formatCode>
                <c:ptCount val="6"/>
                <c:pt idx="0">
                  <c:v>7.3129219208280105</c:v>
                </c:pt>
                <c:pt idx="1">
                  <c:v>3.9479636381446994</c:v>
                </c:pt>
                <c:pt idx="2">
                  <c:v>0.85832495813094312</c:v>
                </c:pt>
                <c:pt idx="3">
                  <c:v>-1.9838436271740107</c:v>
                </c:pt>
                <c:pt idx="4">
                  <c:v>-4.6030843152220839</c:v>
                </c:pt>
                <c:pt idx="5">
                  <c:v>-7.0210792229221823</c:v>
                </c:pt>
              </c:numCache>
            </c:numRef>
          </c:val>
          <c:smooth val="0"/>
          <c:extLst>
            <c:ext xmlns:c16="http://schemas.microsoft.com/office/drawing/2014/chart" uri="{C3380CC4-5D6E-409C-BE32-E72D297353CC}">
              <c16:uniqueId val="{00000002-ED92-4425-B3F1-22772E192E67}"/>
            </c:ext>
          </c:extLst>
        </c:ser>
        <c:dLbls>
          <c:dLblPos val="t"/>
          <c:showLegendKey val="0"/>
          <c:showVal val="1"/>
          <c:showCatName val="0"/>
          <c:showSerName val="0"/>
          <c:showPercent val="0"/>
          <c:showBubbleSize val="0"/>
        </c:dLbls>
        <c:smooth val="0"/>
        <c:axId val="48650112"/>
        <c:axId val="48672768"/>
      </c:lineChart>
      <c:catAx>
        <c:axId val="48650112"/>
        <c:scaling>
          <c:orientation val="minMax"/>
        </c:scaling>
        <c:delete val="0"/>
        <c:axPos val="b"/>
        <c:majorGridlines>
          <c:spPr>
            <a:ln w="9525" cap="flat" cmpd="sng" algn="ctr">
              <a:solidFill>
                <a:schemeClr val="tx1">
                  <a:lumMod val="15000"/>
                  <a:lumOff val="85000"/>
                  <a:alpha val="32000"/>
                </a:schemeClr>
              </a:solidFill>
              <a:round/>
            </a:ln>
            <a:effectLst/>
          </c:spPr>
        </c:majorGridlines>
        <c:numFmt formatCode="0.00%;[Red]\(0.00%\);\-" sourceLinked="1"/>
        <c:majorTickMark val="none"/>
        <c:minorTickMark val="none"/>
        <c:tickLblPos val="nextTo"/>
        <c:spPr>
          <a:noFill/>
          <a:ln w="3175" cap="flat" cmpd="sng" algn="ctr">
            <a:solidFill>
              <a:schemeClr val="tx1">
                <a:lumMod val="15000"/>
                <a:lumOff val="85000"/>
              </a:schemeClr>
            </a:solidFill>
            <a:round/>
            <a:tailEnd type="none" w="med" len="lg"/>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8672768"/>
        <c:crosses val="autoZero"/>
        <c:auto val="1"/>
        <c:lblAlgn val="ctr"/>
        <c:lblOffset val="100"/>
        <c:noMultiLvlLbl val="0"/>
      </c:catAx>
      <c:valAx>
        <c:axId val="48672768"/>
        <c:scaling>
          <c:orientation val="minMax"/>
        </c:scaling>
        <c:delete val="0"/>
        <c:axPos val="l"/>
        <c:majorGridlines>
          <c:spPr>
            <a:ln w="9525" cap="flat" cmpd="sng" algn="ctr">
              <a:solidFill>
                <a:schemeClr val="tx1">
                  <a:lumMod val="15000"/>
                  <a:lumOff val="85000"/>
                  <a:alpha val="32000"/>
                </a:schemeClr>
              </a:solidFill>
              <a:round/>
            </a:ln>
            <a:effectLst/>
          </c:spPr>
        </c:majorGridlines>
        <c:numFmt formatCode="General" sourceLinked="0"/>
        <c:majorTickMark val="none"/>
        <c:minorTickMark val="none"/>
        <c:tickLblPos val="nextTo"/>
        <c:spPr>
          <a:noFill/>
          <a:ln w="3175" cap="flat" cmpd="sng" algn="ctr">
            <a:solidFill>
              <a:schemeClr val="tx1">
                <a:lumMod val="15000"/>
                <a:lumOff val="85000"/>
              </a:schemeClr>
            </a:solidFill>
            <a:round/>
            <a:tailEnd type="none" w="med" len="lg"/>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8650112"/>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zero"/>
    <c:showDLblsOverMax val="1"/>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theme/theme1.xml><?xml version="1.0" encoding="utf-8"?>
<a:theme xmlns:a="http://schemas.openxmlformats.org/drawingml/2006/main" name="Office Theme">
  <a:themeElements>
    <a:clrScheme name="Office 2007 - 2010">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0B56D47-4840-4139-8D3D-FC505C192E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74</TotalTime>
  <Pages>34</Pages>
  <Words>7587</Words>
  <Characters>43246</Characters>
  <Application>Microsoft Office Word</Application>
  <DocSecurity>0</DocSecurity>
  <Lines>360</Lines>
  <Paragraphs>101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50732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Areeza</cp:lastModifiedBy>
  <cp:revision>2</cp:revision>
  <dcterms:created xsi:type="dcterms:W3CDTF">2026-07-23T01:25:00Z</dcterms:created>
  <dcterms:modified xsi:type="dcterms:W3CDTF">2026-07-23T14:14:00Z</dcterms:modified>
</cp:coreProperties>
</file>