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9894E" w14:textId="77777777" w:rsidR="004C6FCE" w:rsidRDefault="004C6FCE" w:rsidP="36FA85B3">
      <w:pPr>
        <w:spacing w:before="212" w:line="360" w:lineRule="auto"/>
        <w:jc w:val="center"/>
        <w:rPr>
          <w:rFonts w:ascii="Arial"/>
          <w:b/>
          <w:bCs/>
          <w:sz w:val="56"/>
          <w:szCs w:val="56"/>
        </w:rPr>
      </w:pPr>
      <w:r>
        <w:rPr>
          <w:noProof/>
        </w:rPr>
        <w:drawing>
          <wp:inline distT="0" distB="0" distL="0" distR="0" wp14:anchorId="586A6CF2" wp14:editId="4E05B31B">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3524324" cy="1404938"/>
                    </a:xfrm>
                    <a:prstGeom prst="rect">
                      <a:avLst/>
                    </a:prstGeom>
                  </pic:spPr>
                </pic:pic>
              </a:graphicData>
            </a:graphic>
          </wp:inline>
        </w:drawing>
      </w:r>
    </w:p>
    <w:p w14:paraId="104579D0" w14:textId="77777777" w:rsidR="004C6FCE" w:rsidRPr="00CB054F" w:rsidRDefault="36FA85B3" w:rsidP="36FA85B3">
      <w:pPr>
        <w:spacing w:line="360" w:lineRule="auto"/>
        <w:rPr>
          <w:rFonts w:ascii="Comic Sans MS" w:hAnsi="Comic Sans MS"/>
          <w:b/>
          <w:bCs/>
          <w:sz w:val="52"/>
          <w:szCs w:val="52"/>
        </w:rPr>
      </w:pPr>
      <w:r w:rsidRPr="36FA85B3">
        <w:rPr>
          <w:rFonts w:ascii="Comic Sans MS" w:hAnsi="Comic Sans MS"/>
          <w:b/>
          <w:bCs/>
          <w:sz w:val="52"/>
          <w:szCs w:val="52"/>
        </w:rPr>
        <w:t xml:space="preserve">Module Code:  </w:t>
      </w:r>
      <w:r w:rsidRPr="36FA85B3">
        <w:rPr>
          <w:rFonts w:ascii="Comic Sans MS" w:hAnsi="Comic Sans MS"/>
          <w:b/>
          <w:bCs/>
          <w:sz w:val="48"/>
          <w:szCs w:val="48"/>
        </w:rPr>
        <w:t>ECAD5013</w:t>
      </w:r>
    </w:p>
    <w:p w14:paraId="545ED96F" w14:textId="77777777" w:rsidR="004C6FCE" w:rsidRPr="00CB054F" w:rsidRDefault="36FA85B3" w:rsidP="36FA85B3">
      <w:pPr>
        <w:spacing w:line="360" w:lineRule="auto"/>
        <w:rPr>
          <w:rFonts w:ascii="Comic Sans MS" w:hAnsi="Comic Sans MS"/>
          <w:b/>
          <w:bCs/>
          <w:sz w:val="52"/>
          <w:szCs w:val="52"/>
        </w:rPr>
      </w:pPr>
      <w:r w:rsidRPr="36FA85B3">
        <w:rPr>
          <w:rFonts w:ascii="Comic Sans MS" w:hAnsi="Comic Sans MS"/>
          <w:b/>
          <w:bCs/>
          <w:sz w:val="52"/>
          <w:szCs w:val="52"/>
        </w:rPr>
        <w:t xml:space="preserve">Assignment Title: </w:t>
      </w:r>
    </w:p>
    <w:p w14:paraId="55C84BFE" w14:textId="77777777" w:rsidR="004C6FCE" w:rsidRPr="00CB054F" w:rsidRDefault="36FA85B3" w:rsidP="36FA85B3">
      <w:pPr>
        <w:spacing w:line="360" w:lineRule="auto"/>
        <w:rPr>
          <w:rFonts w:ascii="Comic Sans MS" w:hAnsi="Comic Sans MS"/>
          <w:b/>
          <w:bCs/>
          <w:sz w:val="52"/>
          <w:szCs w:val="52"/>
        </w:rPr>
      </w:pPr>
      <w:r w:rsidRPr="36FA85B3">
        <w:rPr>
          <w:rFonts w:ascii="Comic Sans MS" w:hAnsi="Comic Sans MS"/>
          <w:b/>
          <w:bCs/>
          <w:sz w:val="44"/>
          <w:szCs w:val="44"/>
        </w:rPr>
        <w:t xml:space="preserve">Learners, Schools and Communities: where am I teaching? </w:t>
      </w:r>
    </w:p>
    <w:p w14:paraId="001832DB" w14:textId="77777777" w:rsidR="004C6FCE" w:rsidRPr="00CB054F" w:rsidRDefault="004C6FCE" w:rsidP="36FA85B3">
      <w:pPr>
        <w:spacing w:before="212" w:line="360" w:lineRule="auto"/>
        <w:rPr>
          <w:rFonts w:ascii="Comic Sans MS" w:hAnsi="Comic Sans MS"/>
          <w:b/>
          <w:bCs/>
          <w:sz w:val="48"/>
          <w:szCs w:val="48"/>
        </w:rPr>
      </w:pPr>
    </w:p>
    <w:p w14:paraId="3B63BE65" w14:textId="77777777" w:rsidR="004C6FCE" w:rsidRPr="00CB054F" w:rsidRDefault="36FA85B3" w:rsidP="36FA85B3">
      <w:pPr>
        <w:spacing w:before="3" w:line="360" w:lineRule="auto"/>
        <w:rPr>
          <w:rFonts w:ascii="Comic Sans MS" w:hAnsi="Comic Sans MS"/>
          <w:b/>
          <w:bCs/>
          <w:sz w:val="48"/>
          <w:szCs w:val="48"/>
        </w:rPr>
      </w:pPr>
      <w:r w:rsidRPr="36FA85B3">
        <w:rPr>
          <w:rFonts w:ascii="Comic Sans MS" w:hAnsi="Comic Sans MS"/>
          <w:b/>
          <w:bCs/>
          <w:sz w:val="48"/>
          <w:szCs w:val="48"/>
        </w:rPr>
        <w:t>STUDENT NAME: Kelly-May Hughes (</w:t>
      </w:r>
      <w:proofErr w:type="spellStart"/>
      <w:r w:rsidRPr="36FA85B3">
        <w:rPr>
          <w:rFonts w:ascii="Comic Sans MS" w:hAnsi="Comic Sans MS"/>
          <w:b/>
          <w:bCs/>
          <w:sz w:val="48"/>
          <w:szCs w:val="48"/>
        </w:rPr>
        <w:t>Robst</w:t>
      </w:r>
      <w:proofErr w:type="spellEnd"/>
      <w:r w:rsidRPr="36FA85B3">
        <w:rPr>
          <w:rFonts w:ascii="Comic Sans MS" w:hAnsi="Comic Sans MS"/>
          <w:b/>
          <w:bCs/>
          <w:sz w:val="48"/>
          <w:szCs w:val="48"/>
        </w:rPr>
        <w:t>)</w:t>
      </w:r>
    </w:p>
    <w:p w14:paraId="7C8C036D" w14:textId="77777777" w:rsidR="004C6FCE" w:rsidRPr="00CB054F" w:rsidRDefault="004C6FCE" w:rsidP="36FA85B3">
      <w:pPr>
        <w:spacing w:before="3" w:line="360" w:lineRule="auto"/>
        <w:rPr>
          <w:rFonts w:ascii="Comic Sans MS" w:hAnsi="Comic Sans MS"/>
          <w:b/>
          <w:bCs/>
          <w:sz w:val="48"/>
          <w:szCs w:val="48"/>
        </w:rPr>
      </w:pPr>
    </w:p>
    <w:p w14:paraId="226C792A" w14:textId="77777777" w:rsidR="004C6FCE" w:rsidRPr="00CB054F" w:rsidRDefault="36FA85B3" w:rsidP="36FA85B3">
      <w:pPr>
        <w:spacing w:before="3" w:line="360" w:lineRule="auto"/>
        <w:rPr>
          <w:rFonts w:ascii="Comic Sans MS" w:hAnsi="Comic Sans MS"/>
          <w:b/>
          <w:bCs/>
          <w:sz w:val="48"/>
          <w:szCs w:val="48"/>
        </w:rPr>
      </w:pPr>
      <w:r w:rsidRPr="36FA85B3">
        <w:rPr>
          <w:rFonts w:ascii="Comic Sans MS" w:hAnsi="Comic Sans MS"/>
          <w:b/>
          <w:bCs/>
          <w:sz w:val="48"/>
          <w:szCs w:val="48"/>
        </w:rPr>
        <w:t>STUDENT NUMBER: 2307664</w:t>
      </w:r>
    </w:p>
    <w:p w14:paraId="367110CE" w14:textId="77777777" w:rsidR="004C6FCE" w:rsidRPr="00CB054F" w:rsidRDefault="36FA85B3" w:rsidP="36FA85B3">
      <w:pPr>
        <w:spacing w:line="360" w:lineRule="auto"/>
        <w:rPr>
          <w:rFonts w:ascii="Comic Sans MS" w:hAnsi="Comic Sans MS"/>
          <w:b/>
          <w:bCs/>
          <w:sz w:val="52"/>
          <w:szCs w:val="52"/>
        </w:rPr>
      </w:pPr>
      <w:r w:rsidRPr="36FA85B3">
        <w:rPr>
          <w:rFonts w:ascii="Comic Sans MS" w:hAnsi="Comic Sans MS"/>
          <w:b/>
          <w:bCs/>
          <w:sz w:val="52"/>
          <w:szCs w:val="52"/>
        </w:rPr>
        <w:t>BA Primary Education (QTS)</w:t>
      </w:r>
    </w:p>
    <w:p w14:paraId="2A9E92CB" w14:textId="77777777" w:rsidR="004C6FCE" w:rsidRDefault="004C6FCE" w:rsidP="36FA85B3">
      <w:pPr>
        <w:spacing w:line="360" w:lineRule="auto"/>
        <w:rPr>
          <w:rFonts w:ascii="Arial"/>
          <w:b/>
          <w:bCs/>
          <w:sz w:val="40"/>
          <w:szCs w:val="40"/>
        </w:rPr>
      </w:pPr>
    </w:p>
    <w:p w14:paraId="20723510" w14:textId="77777777" w:rsidR="004C6FCE" w:rsidRDefault="004C6FCE" w:rsidP="36FA85B3">
      <w:pPr>
        <w:spacing w:line="360" w:lineRule="auto"/>
        <w:rPr>
          <w:rFonts w:ascii="Comic Sans MS" w:hAnsi="Comic Sans MS"/>
          <w:b/>
          <w:bCs/>
          <w:sz w:val="32"/>
          <w:szCs w:val="32"/>
          <w:u w:val="single"/>
        </w:rPr>
      </w:pPr>
    </w:p>
    <w:p w14:paraId="5300F867" w14:textId="77777777" w:rsidR="004C6FCE" w:rsidRDefault="004C6FCE" w:rsidP="36FA85B3">
      <w:pPr>
        <w:spacing w:line="360" w:lineRule="auto"/>
      </w:pPr>
    </w:p>
    <w:p w14:paraId="51A9A292" w14:textId="77777777" w:rsidR="004C6FCE" w:rsidRPr="00B176AA" w:rsidRDefault="36FA85B3" w:rsidP="36FA85B3">
      <w:pPr>
        <w:spacing w:line="360" w:lineRule="auto"/>
        <w:rPr>
          <w:rFonts w:ascii="Comic Sans MS" w:hAnsi="Comic Sans MS"/>
          <w:b/>
          <w:bCs/>
          <w:sz w:val="32"/>
          <w:szCs w:val="32"/>
          <w:u w:val="single"/>
        </w:rPr>
      </w:pPr>
      <w:r w:rsidRPr="36FA85B3">
        <w:rPr>
          <w:rFonts w:ascii="Comic Sans MS" w:hAnsi="Comic Sans MS"/>
          <w:b/>
          <w:bCs/>
          <w:sz w:val="32"/>
          <w:szCs w:val="32"/>
          <w:u w:val="single"/>
        </w:rPr>
        <w:t>AI Acknowledgement</w:t>
      </w:r>
    </w:p>
    <w:p w14:paraId="73CE91F4" w14:textId="77777777" w:rsidR="004C6FCE" w:rsidRPr="00B176AA" w:rsidRDefault="004C6FCE" w:rsidP="36FA85B3">
      <w:pPr>
        <w:spacing w:line="360" w:lineRule="auto"/>
        <w:rPr>
          <w:rFonts w:ascii="Comic Sans MS" w:hAnsi="Comic Sans MS"/>
        </w:rPr>
      </w:pPr>
    </w:p>
    <w:p w14:paraId="56C23274" w14:textId="77777777" w:rsidR="004C6FCE" w:rsidRPr="00B176AA" w:rsidRDefault="36FA85B3" w:rsidP="36FA85B3">
      <w:pPr>
        <w:spacing w:line="360" w:lineRule="auto"/>
        <w:rPr>
          <w:rFonts w:ascii="Comic Sans MS" w:hAnsi="Comic Sans MS"/>
        </w:rPr>
      </w:pPr>
      <w:r w:rsidRPr="36FA85B3">
        <w:rPr>
          <w:rFonts w:ascii="Comic Sans MS" w:hAnsi="Comic Sans MS"/>
        </w:rPr>
        <w:t xml:space="preserve">I confirm that I have not used any AI tools in the research and creation of this assignment. </w:t>
      </w:r>
    </w:p>
    <w:p w14:paraId="73166CDF" w14:textId="77777777" w:rsidR="004C6FCE" w:rsidRPr="00B176AA" w:rsidRDefault="36FA85B3" w:rsidP="36FA85B3">
      <w:pPr>
        <w:spacing w:line="360" w:lineRule="auto"/>
        <w:rPr>
          <w:rFonts w:ascii="Comic Sans MS" w:hAnsi="Comic Sans MS"/>
        </w:rPr>
      </w:pPr>
      <w:r w:rsidRPr="36FA85B3">
        <w:rPr>
          <w:rFonts w:ascii="Comic Sans MS" w:hAnsi="Comic Sans MS"/>
        </w:rPr>
        <w:t xml:space="preserve">I confirm that I have not presented any AI generated materials as my own work. </w:t>
      </w:r>
    </w:p>
    <w:p w14:paraId="3E5B93F5" w14:textId="77777777" w:rsidR="004C6FCE" w:rsidRPr="00B176AA" w:rsidRDefault="36FA85B3" w:rsidP="36FA85B3">
      <w:pPr>
        <w:spacing w:line="360" w:lineRule="auto"/>
        <w:rPr>
          <w:rFonts w:ascii="Comic Sans MS" w:hAnsi="Comic Sans MS"/>
        </w:rPr>
      </w:pPr>
      <w:r w:rsidRPr="36FA85B3">
        <w:rPr>
          <w:rFonts w:ascii="Comic Sans MS" w:hAnsi="Comic Sans MS"/>
        </w:rPr>
        <w:t>I confirm that I have copies of my drafts, notes, and other resources I used, which I may be asked to provide in evidence.</w:t>
      </w:r>
    </w:p>
    <w:p w14:paraId="5A47FC0A" w14:textId="77777777" w:rsidR="004C6FCE" w:rsidRPr="00B176AA" w:rsidRDefault="36FA85B3" w:rsidP="36FA85B3">
      <w:pPr>
        <w:spacing w:line="360" w:lineRule="auto"/>
        <w:rPr>
          <w:rFonts w:ascii="Comic Sans MS" w:hAnsi="Comic Sans MS"/>
          <w:b/>
          <w:bCs/>
        </w:rPr>
      </w:pPr>
      <w:r w:rsidRPr="36FA85B3">
        <w:rPr>
          <w:rFonts w:ascii="Comic Sans MS" w:hAnsi="Comic Sans MS"/>
          <w:b/>
          <w:bCs/>
        </w:rPr>
        <w:t>Targets from my previous assignment</w:t>
      </w:r>
    </w:p>
    <w:p w14:paraId="169CE3E7" w14:textId="77777777" w:rsidR="004C6FCE" w:rsidRPr="00B176AA" w:rsidRDefault="004C6FCE" w:rsidP="36FA85B3">
      <w:pPr>
        <w:spacing w:line="360" w:lineRule="auto"/>
        <w:rPr>
          <w:rFonts w:ascii="Comic Sans MS" w:hAnsi="Comic Sans MS"/>
          <w:b/>
          <w:bCs/>
        </w:rPr>
      </w:pPr>
    </w:p>
    <w:tbl>
      <w:tblPr>
        <w:tblStyle w:val="TableGrid"/>
        <w:tblW w:w="0" w:type="auto"/>
        <w:tblLook w:val="04A0" w:firstRow="1" w:lastRow="0" w:firstColumn="1" w:lastColumn="0" w:noHBand="0" w:noVBand="1"/>
      </w:tblPr>
      <w:tblGrid>
        <w:gridCol w:w="4508"/>
        <w:gridCol w:w="4508"/>
      </w:tblGrid>
      <w:tr w:rsidR="004C6FCE" w:rsidRPr="00B176AA" w14:paraId="63FCAAB4" w14:textId="77777777" w:rsidTr="36FA85B3">
        <w:tc>
          <w:tcPr>
            <w:tcW w:w="4508" w:type="dxa"/>
          </w:tcPr>
          <w:p w14:paraId="1BDFC759" w14:textId="77777777" w:rsidR="004C6FCE" w:rsidRPr="00B176AA" w:rsidRDefault="36FA85B3" w:rsidP="36FA85B3">
            <w:pPr>
              <w:spacing w:line="360" w:lineRule="auto"/>
              <w:rPr>
                <w:rFonts w:ascii="Comic Sans MS" w:hAnsi="Comic Sans MS"/>
                <w:b/>
                <w:bCs/>
              </w:rPr>
            </w:pPr>
            <w:r w:rsidRPr="36FA85B3">
              <w:rPr>
                <w:rFonts w:ascii="Comic Sans MS" w:hAnsi="Comic Sans MS"/>
                <w:b/>
                <w:bCs/>
              </w:rPr>
              <w:t>Target</w:t>
            </w:r>
          </w:p>
        </w:tc>
        <w:tc>
          <w:tcPr>
            <w:tcW w:w="4508" w:type="dxa"/>
          </w:tcPr>
          <w:p w14:paraId="72EF5E2C" w14:textId="77777777" w:rsidR="004C6FCE" w:rsidRPr="00B176AA" w:rsidRDefault="36FA85B3" w:rsidP="36FA85B3">
            <w:pPr>
              <w:spacing w:line="360" w:lineRule="auto"/>
              <w:rPr>
                <w:rFonts w:ascii="Comic Sans MS" w:hAnsi="Comic Sans MS"/>
                <w:b/>
                <w:bCs/>
              </w:rPr>
            </w:pPr>
            <w:r w:rsidRPr="36FA85B3">
              <w:rPr>
                <w:rFonts w:ascii="Comic Sans MS" w:hAnsi="Comic Sans MS"/>
                <w:b/>
                <w:bCs/>
              </w:rPr>
              <w:t>How I have addressed it in this work</w:t>
            </w:r>
          </w:p>
        </w:tc>
      </w:tr>
      <w:tr w:rsidR="004C6FCE" w:rsidRPr="00B176AA" w14:paraId="550767DC" w14:textId="77777777" w:rsidTr="36FA85B3">
        <w:tc>
          <w:tcPr>
            <w:tcW w:w="4508" w:type="dxa"/>
          </w:tcPr>
          <w:p w14:paraId="6F2DAACE" w14:textId="3790DAA1" w:rsidR="004C6FCE" w:rsidRPr="00B176AA" w:rsidRDefault="00DE4C37" w:rsidP="36FA85B3">
            <w:pPr>
              <w:spacing w:line="360" w:lineRule="auto"/>
              <w:rPr>
                <w:rFonts w:ascii="Comic Sans MS" w:hAnsi="Comic Sans MS"/>
              </w:rPr>
            </w:pPr>
            <w:r>
              <w:rPr>
                <w:rFonts w:ascii="Comic Sans MS" w:hAnsi="Comic Sans MS"/>
              </w:rPr>
              <w:t>Broaden literacy scope</w:t>
            </w:r>
            <w:r w:rsidR="008B4E4F">
              <w:rPr>
                <w:rFonts w:ascii="Comic Sans MS" w:hAnsi="Comic Sans MS"/>
              </w:rPr>
              <w:t>, tapping into cutting-edge research and diverse academic discussions.</w:t>
            </w:r>
          </w:p>
        </w:tc>
        <w:tc>
          <w:tcPr>
            <w:tcW w:w="4508" w:type="dxa"/>
          </w:tcPr>
          <w:p w14:paraId="45FEA4DC" w14:textId="3DB68026" w:rsidR="004C6FCE" w:rsidRPr="00B176AA" w:rsidRDefault="008B4E4F" w:rsidP="36FA85B3">
            <w:pPr>
              <w:spacing w:line="360" w:lineRule="auto"/>
              <w:rPr>
                <w:rFonts w:ascii="Comic Sans MS" w:hAnsi="Comic Sans MS"/>
              </w:rPr>
            </w:pPr>
            <w:r>
              <w:rPr>
                <w:rFonts w:ascii="Comic Sans MS" w:hAnsi="Comic Sans MS"/>
              </w:rPr>
              <w:t xml:space="preserve">I have tried to incorporate this </w:t>
            </w:r>
            <w:r w:rsidR="00431B3A">
              <w:rPr>
                <w:rFonts w:ascii="Comic Sans MS" w:hAnsi="Comic Sans MS"/>
              </w:rPr>
              <w:t>into my literacy research, such as critiques upon the ALN reform.</w:t>
            </w:r>
          </w:p>
        </w:tc>
      </w:tr>
      <w:tr w:rsidR="004C6FCE" w:rsidRPr="00B176AA" w14:paraId="26E45617" w14:textId="77777777" w:rsidTr="36FA85B3">
        <w:tc>
          <w:tcPr>
            <w:tcW w:w="4508" w:type="dxa"/>
          </w:tcPr>
          <w:p w14:paraId="182837E5" w14:textId="49013725" w:rsidR="004C6FCE" w:rsidRPr="00A97964" w:rsidRDefault="00431B3A" w:rsidP="36FA85B3">
            <w:pPr>
              <w:spacing w:line="360" w:lineRule="auto"/>
              <w:rPr>
                <w:rFonts w:ascii="Comic Sans MS" w:hAnsi="Comic Sans MS"/>
              </w:rPr>
            </w:pPr>
            <w:r>
              <w:rPr>
                <w:rFonts w:ascii="Comic Sans MS" w:hAnsi="Comic Sans MS"/>
              </w:rPr>
              <w:t>Use professional standards and relevant literature to guide next steps</w:t>
            </w:r>
            <w:r w:rsidR="00A352D4">
              <w:rPr>
                <w:rFonts w:ascii="Comic Sans MS" w:hAnsi="Comic Sans MS"/>
              </w:rPr>
              <w:t>.</w:t>
            </w:r>
          </w:p>
        </w:tc>
        <w:tc>
          <w:tcPr>
            <w:tcW w:w="4508" w:type="dxa"/>
          </w:tcPr>
          <w:p w14:paraId="59F4FEEB" w14:textId="38B2A4B2" w:rsidR="004C6FCE" w:rsidRPr="00B176AA" w:rsidRDefault="00A352D4" w:rsidP="36FA85B3">
            <w:pPr>
              <w:spacing w:line="360" w:lineRule="auto"/>
              <w:rPr>
                <w:rFonts w:ascii="Comic Sans MS" w:hAnsi="Comic Sans MS"/>
              </w:rPr>
            </w:pPr>
            <w:r>
              <w:rPr>
                <w:rFonts w:ascii="Comic Sans MS" w:hAnsi="Comic Sans MS"/>
              </w:rPr>
              <w:t>I have tried to reflect on certain aspects and relate these to my professional standards</w:t>
            </w:r>
            <w:r w:rsidR="00DF4352">
              <w:rPr>
                <w:rFonts w:ascii="Comic Sans MS" w:hAnsi="Comic Sans MS"/>
              </w:rPr>
              <w:t xml:space="preserve"> and my own future practice. </w:t>
            </w:r>
          </w:p>
        </w:tc>
      </w:tr>
    </w:tbl>
    <w:p w14:paraId="6E299D3F" w14:textId="77777777" w:rsidR="004C6FCE" w:rsidRPr="00B176AA" w:rsidRDefault="004C6FCE" w:rsidP="36FA85B3">
      <w:pPr>
        <w:spacing w:line="360" w:lineRule="auto"/>
        <w:rPr>
          <w:rFonts w:ascii="Comic Sans MS" w:hAnsi="Comic Sans MS"/>
          <w:sz w:val="16"/>
          <w:szCs w:val="16"/>
        </w:rPr>
      </w:pPr>
    </w:p>
    <w:p w14:paraId="4D826E66" w14:textId="77777777" w:rsidR="004C6FCE" w:rsidRPr="00B176AA" w:rsidRDefault="004C6FCE" w:rsidP="36FA85B3">
      <w:pPr>
        <w:spacing w:line="360" w:lineRule="auto"/>
        <w:rPr>
          <w:rFonts w:ascii="Comic Sans MS" w:hAnsi="Comic Sans MS"/>
          <w:sz w:val="16"/>
          <w:szCs w:val="16"/>
        </w:rPr>
      </w:pPr>
    </w:p>
    <w:p w14:paraId="1FD22A48" w14:textId="2948ED04" w:rsidR="004C6FCE" w:rsidRDefault="36FA85B3" w:rsidP="36FA85B3">
      <w:pPr>
        <w:spacing w:line="360" w:lineRule="auto"/>
        <w:jc w:val="center"/>
        <w:rPr>
          <w:rFonts w:ascii="Comic Sans MS" w:hAnsi="Comic Sans MS"/>
          <w:b/>
          <w:bCs/>
          <w:u w:val="single"/>
        </w:rPr>
      </w:pPr>
      <w:r w:rsidRPr="36FA85B3">
        <w:rPr>
          <w:rFonts w:ascii="Comic Sans MS" w:hAnsi="Comic Sans MS"/>
          <w:b/>
          <w:bCs/>
          <w:u w:val="single"/>
        </w:rPr>
        <w:lastRenderedPageBreak/>
        <w:t>ECAD 5015 Journal Assignment</w:t>
      </w:r>
    </w:p>
    <w:p w14:paraId="5CACBCDC" w14:textId="7A07B95D" w:rsidR="004C6FCE" w:rsidRPr="00B176AA" w:rsidRDefault="36FA85B3" w:rsidP="36FA85B3">
      <w:pPr>
        <w:spacing w:line="360" w:lineRule="auto"/>
        <w:jc w:val="center"/>
        <w:rPr>
          <w:rFonts w:ascii="Comic Sans MS" w:hAnsi="Comic Sans MS"/>
          <w:b/>
          <w:bCs/>
          <w:u w:val="single"/>
        </w:rPr>
      </w:pPr>
      <w:r w:rsidRPr="36FA85B3">
        <w:rPr>
          <w:rFonts w:ascii="Comic Sans MS" w:hAnsi="Comic Sans MS"/>
          <w:b/>
          <w:bCs/>
          <w:u w:val="single"/>
        </w:rPr>
        <w:t>Word Count: 1</w:t>
      </w:r>
      <w:r w:rsidR="0095590F">
        <w:rPr>
          <w:rFonts w:ascii="Comic Sans MS" w:hAnsi="Comic Sans MS"/>
          <w:b/>
          <w:bCs/>
          <w:u w:val="single"/>
        </w:rPr>
        <w:t>5</w:t>
      </w:r>
      <w:r w:rsidR="007B33B8">
        <w:rPr>
          <w:rFonts w:ascii="Comic Sans MS" w:hAnsi="Comic Sans MS"/>
          <w:b/>
          <w:bCs/>
          <w:u w:val="single"/>
        </w:rPr>
        <w:t>06</w:t>
      </w:r>
    </w:p>
    <w:p w14:paraId="1062B2EB" w14:textId="06DE07EB" w:rsidR="004C6FCE" w:rsidRDefault="36FA85B3" w:rsidP="36FA85B3">
      <w:pPr>
        <w:spacing w:line="360" w:lineRule="auto"/>
        <w:rPr>
          <w:rFonts w:ascii="Comic Sans MS" w:hAnsi="Comic Sans MS"/>
        </w:rPr>
      </w:pPr>
      <w:r w:rsidRPr="36FA85B3">
        <w:rPr>
          <w:rFonts w:ascii="Comic Sans MS" w:hAnsi="Comic Sans MS"/>
        </w:rPr>
        <w:t>Inclusive practice within education orientates around the principle that every learner, regardless of background, ability, or circumstance, should have equal opportunities to thrive. This involves recognising diversity, adapting teaching to suit a range of learning styles and removing barriers to participation.  Inclusive education is an ongoing process of developing practices that respond to the diverse needs of all pupils (UNESCO IBE, 2009, p.18). According to the Alliance for Inclusive Education (2020), “when education is truly inclusive it can benefit all learners,” encouraging an ethos where individual differences are celebrated, as opposed to viewed as challenges.</w:t>
      </w:r>
      <w:r w:rsidR="004C6FCE">
        <w:br/>
      </w:r>
      <w:r w:rsidRPr="36FA85B3">
        <w:rPr>
          <w:rFonts w:ascii="Comic Sans MS" w:hAnsi="Comic Sans MS"/>
        </w:rPr>
        <w:t xml:space="preserve">The </w:t>
      </w:r>
      <w:r w:rsidRPr="36FA85B3">
        <w:rPr>
          <w:rFonts w:ascii="Comic Sans MS" w:hAnsi="Comic Sans MS"/>
          <w:b/>
          <w:bCs/>
        </w:rPr>
        <w:t xml:space="preserve">why </w:t>
      </w:r>
      <w:r w:rsidRPr="36FA85B3">
        <w:rPr>
          <w:rFonts w:ascii="Comic Sans MS" w:hAnsi="Comic Sans MS"/>
        </w:rPr>
        <w:t xml:space="preserve">of inclusive practice (ensuring fairness, equity and meaningful participation) underpins the </w:t>
      </w:r>
      <w:r w:rsidRPr="36FA85B3">
        <w:rPr>
          <w:rFonts w:ascii="Comic Sans MS" w:hAnsi="Comic Sans MS"/>
          <w:b/>
          <w:bCs/>
        </w:rPr>
        <w:t xml:space="preserve">what </w:t>
      </w:r>
      <w:r w:rsidRPr="36FA85B3">
        <w:rPr>
          <w:rFonts w:ascii="Comic Sans MS" w:hAnsi="Comic Sans MS"/>
        </w:rPr>
        <w:t xml:space="preserve">and </w:t>
      </w:r>
      <w:r w:rsidRPr="36FA85B3">
        <w:rPr>
          <w:rFonts w:ascii="Comic Sans MS" w:hAnsi="Comic Sans MS"/>
          <w:b/>
          <w:bCs/>
        </w:rPr>
        <w:t xml:space="preserve">how </w:t>
      </w:r>
      <w:r w:rsidRPr="36FA85B3">
        <w:rPr>
          <w:rFonts w:ascii="Comic Sans MS" w:hAnsi="Comic Sans MS"/>
        </w:rPr>
        <w:t>of universal provision. Universal provision references to high-quality teaching strategies that benefit all learners, whilst specifically addressing those with Additional Learning Needs (ALN). Arguably, inclusive practice is the guiding principle, whilst universal provision is the application, providing an education framework which adapts for all while fulfilling specific needs for some (European Agency, 2015).</w:t>
      </w:r>
      <w:r w:rsidR="004C6FCE">
        <w:br/>
      </w:r>
      <w:r w:rsidRPr="36FA85B3">
        <w:rPr>
          <w:rFonts w:ascii="Comic Sans MS" w:hAnsi="Comic Sans MS"/>
        </w:rPr>
        <w:t>The Additional Learning Needs and Education Tribunal (Wales) Act 2018 (Welsh Government, 2018) (hereafter referred to as ALNET) reflects this inclusive ethos, by replacing the former Special Educational Needs (SEN) framework with a more integrated ALN system, ensuring that pupils aged 0-25 years old receive co-ordinated support through an Individual Development Plan (IDP). Emphasising early interventions, multi-agency cohesion and flexible, ongoing assessment, ALNET promotes a consistency and fairness across education in Wales.</w:t>
      </w:r>
      <w:r w:rsidR="007D3F36">
        <w:rPr>
          <w:rFonts w:ascii="Comic Sans MS" w:hAnsi="Comic Sans MS"/>
        </w:rPr>
        <w:br/>
      </w:r>
      <w:r w:rsidR="00BE4C4C">
        <w:rPr>
          <w:rFonts w:ascii="Comic Sans MS" w:hAnsi="Comic Sans MS"/>
        </w:rPr>
        <w:t xml:space="preserve">According to Estyn’s 2024 thematic </w:t>
      </w:r>
      <w:r w:rsidR="00C101A6">
        <w:rPr>
          <w:rFonts w:ascii="Comic Sans MS" w:hAnsi="Comic Sans MS"/>
        </w:rPr>
        <w:t>review</w:t>
      </w:r>
      <w:r w:rsidR="00D97579">
        <w:rPr>
          <w:rFonts w:ascii="Comic Sans MS" w:hAnsi="Comic Sans MS"/>
        </w:rPr>
        <w:t xml:space="preserve"> (</w:t>
      </w:r>
      <w:r w:rsidR="002D4CE0">
        <w:rPr>
          <w:rFonts w:ascii="Comic Sans MS" w:hAnsi="Comic Sans MS"/>
        </w:rPr>
        <w:t xml:space="preserve">Corbett-Simmons &amp; Williams, </w:t>
      </w:r>
      <w:r w:rsidR="002D4CE0">
        <w:rPr>
          <w:rFonts w:ascii="Comic Sans MS" w:hAnsi="Comic Sans MS"/>
        </w:rPr>
        <w:lastRenderedPageBreak/>
        <w:t>2025)</w:t>
      </w:r>
      <w:r w:rsidR="00C101A6">
        <w:rPr>
          <w:rFonts w:ascii="Comic Sans MS" w:hAnsi="Comic Sans MS"/>
        </w:rPr>
        <w:t>, several critical challenges have been identified in the implementation of the ALN</w:t>
      </w:r>
      <w:r w:rsidR="000111E9">
        <w:rPr>
          <w:rFonts w:ascii="Comic Sans MS" w:hAnsi="Comic Sans MS"/>
        </w:rPr>
        <w:t>ET Act</w:t>
      </w:r>
      <w:r w:rsidR="00543627">
        <w:rPr>
          <w:rFonts w:ascii="Comic Sans MS" w:hAnsi="Comic Sans MS"/>
        </w:rPr>
        <w:t xml:space="preserve">, </w:t>
      </w:r>
      <w:r w:rsidR="002E1E66">
        <w:rPr>
          <w:rFonts w:ascii="Comic Sans MS" w:hAnsi="Comic Sans MS"/>
        </w:rPr>
        <w:t>with varying interpretations of the ALN Code and Individual Development Plans (IDPs)</w:t>
      </w:r>
      <w:r w:rsidR="00A2674C">
        <w:rPr>
          <w:rFonts w:ascii="Comic Sans MS" w:hAnsi="Comic Sans MS"/>
        </w:rPr>
        <w:t xml:space="preserve"> across schools and local authorities. Ongoing budgetary and w</w:t>
      </w:r>
      <w:r w:rsidR="00903F05">
        <w:rPr>
          <w:rFonts w:ascii="Comic Sans MS" w:hAnsi="Comic Sans MS"/>
        </w:rPr>
        <w:t xml:space="preserve">orkforce pressures, along with </w:t>
      </w:r>
      <w:r w:rsidR="00037288">
        <w:rPr>
          <w:rFonts w:ascii="Comic Sans MS" w:hAnsi="Comic Sans MS"/>
        </w:rPr>
        <w:t>underdeveloped</w:t>
      </w:r>
      <w:r w:rsidR="00903F05">
        <w:rPr>
          <w:rFonts w:ascii="Comic Sans MS" w:hAnsi="Comic Sans MS"/>
        </w:rPr>
        <w:t xml:space="preserve"> Welsh-medium provision and unclear def</w:t>
      </w:r>
      <w:r w:rsidR="00006BD1">
        <w:rPr>
          <w:rFonts w:ascii="Comic Sans MS" w:hAnsi="Comic Sans MS"/>
        </w:rPr>
        <w:t>initions of Additional Learning Provision (ALP), contribute to uneven support</w:t>
      </w:r>
      <w:r w:rsidR="00D66E91">
        <w:rPr>
          <w:rFonts w:ascii="Comic Sans MS" w:hAnsi="Comic Sans MS"/>
        </w:rPr>
        <w:t>. These challenges potentially risk undermining the refo</w:t>
      </w:r>
      <w:r w:rsidR="00037288">
        <w:rPr>
          <w:rFonts w:ascii="Comic Sans MS" w:hAnsi="Comic Sans MS"/>
        </w:rPr>
        <w:t xml:space="preserve">rm’s goal of delivering equitable and inclusive ALN provision. </w:t>
      </w:r>
      <w:r w:rsidR="004C6FCE">
        <w:br/>
      </w:r>
      <w:r w:rsidRPr="36FA85B3">
        <w:rPr>
          <w:rFonts w:ascii="Comic Sans MS" w:hAnsi="Comic Sans MS"/>
        </w:rPr>
        <w:t xml:space="preserve">This approach aligns closely with the </w:t>
      </w:r>
      <w:r w:rsidRPr="00DB6FE7">
        <w:rPr>
          <w:rFonts w:ascii="Comic Sans MS" w:hAnsi="Comic Sans MS"/>
        </w:rPr>
        <w:t>Curriculum for Wales (</w:t>
      </w:r>
      <w:proofErr w:type="spellStart"/>
      <w:r w:rsidRPr="00DB6FE7">
        <w:rPr>
          <w:rFonts w:ascii="Comic Sans MS" w:hAnsi="Comic Sans MS"/>
        </w:rPr>
        <w:t>CfW</w:t>
      </w:r>
      <w:proofErr w:type="spellEnd"/>
      <w:r w:rsidRPr="00DB6FE7">
        <w:rPr>
          <w:rFonts w:ascii="Comic Sans MS" w:hAnsi="Comic Sans MS"/>
        </w:rPr>
        <w:t>)</w:t>
      </w:r>
      <w:r w:rsidRPr="36FA85B3">
        <w:rPr>
          <w:rFonts w:ascii="Comic Sans MS" w:hAnsi="Comic Sans MS"/>
        </w:rPr>
        <w:t xml:space="preserve"> and its ambition to develop ambitious, capable learners; enterprising, creative contributors; ethical, informed citizens and healthy, confident individuals. Universal provision ensures differentiated teaching, adaptive learning environments and supportive practices which align with developmentally appropriate Progression Steps</w:t>
      </w:r>
      <w:r w:rsidR="00585F1B">
        <w:rPr>
          <w:rFonts w:ascii="Comic Sans MS" w:hAnsi="Comic Sans MS"/>
        </w:rPr>
        <w:t xml:space="preserve"> (Equal Education P</w:t>
      </w:r>
      <w:r w:rsidR="000666D0">
        <w:rPr>
          <w:rFonts w:ascii="Comic Sans MS" w:hAnsi="Comic Sans MS"/>
        </w:rPr>
        <w:t>a</w:t>
      </w:r>
      <w:r w:rsidR="00585F1B">
        <w:rPr>
          <w:rFonts w:ascii="Comic Sans MS" w:hAnsi="Comic Sans MS"/>
        </w:rPr>
        <w:t>rtners</w:t>
      </w:r>
      <w:r w:rsidR="000666D0">
        <w:rPr>
          <w:rFonts w:ascii="Comic Sans MS" w:hAnsi="Comic Sans MS"/>
        </w:rPr>
        <w:t>, 2023)</w:t>
      </w:r>
      <w:r w:rsidRPr="36FA85B3">
        <w:rPr>
          <w:rFonts w:ascii="Comic Sans MS" w:hAnsi="Comic Sans MS"/>
        </w:rPr>
        <w:t xml:space="preserve">. </w:t>
      </w:r>
      <w:r w:rsidR="00373FAB">
        <w:rPr>
          <w:rFonts w:ascii="Comic Sans MS" w:hAnsi="Comic Sans MS"/>
        </w:rPr>
        <w:t>Cross-cutting themes like Relationships a</w:t>
      </w:r>
      <w:r w:rsidR="007E408D">
        <w:rPr>
          <w:rFonts w:ascii="Comic Sans MS" w:hAnsi="Comic Sans MS"/>
        </w:rPr>
        <w:t>n</w:t>
      </w:r>
      <w:r w:rsidR="00373FAB">
        <w:rPr>
          <w:rFonts w:ascii="Comic Sans MS" w:hAnsi="Comic Sans MS"/>
        </w:rPr>
        <w:t xml:space="preserve">d </w:t>
      </w:r>
      <w:r w:rsidR="007E408D">
        <w:rPr>
          <w:rFonts w:ascii="Comic Sans MS" w:hAnsi="Comic Sans MS"/>
        </w:rPr>
        <w:t>S</w:t>
      </w:r>
      <w:r w:rsidR="00373FAB">
        <w:rPr>
          <w:rFonts w:ascii="Comic Sans MS" w:hAnsi="Comic Sans MS"/>
        </w:rPr>
        <w:t xml:space="preserve">exuality Education (RSE) </w:t>
      </w:r>
      <w:r w:rsidR="007E408D">
        <w:rPr>
          <w:rFonts w:ascii="Comic Sans MS" w:hAnsi="Comic Sans MS"/>
        </w:rPr>
        <w:t>and Diversity, promote inclusive education by ensuring all pupils feel represented and valued- an approach supported by both the We</w:t>
      </w:r>
      <w:r w:rsidR="00A52C87">
        <w:rPr>
          <w:rFonts w:ascii="Comic Sans MS" w:hAnsi="Comic Sans MS"/>
        </w:rPr>
        <w:t xml:space="preserve">lsh Government’s curriculum and </w:t>
      </w:r>
      <w:r w:rsidR="006745AF">
        <w:rPr>
          <w:rFonts w:ascii="Comic Sans MS" w:hAnsi="Comic Sans MS"/>
        </w:rPr>
        <w:t>Education Review Office</w:t>
      </w:r>
      <w:r w:rsidR="00CA453F">
        <w:rPr>
          <w:rFonts w:ascii="Comic Sans MS" w:hAnsi="Comic Sans MS"/>
        </w:rPr>
        <w:t>’s</w:t>
      </w:r>
      <w:r w:rsidR="006745AF">
        <w:rPr>
          <w:rFonts w:ascii="Comic Sans MS" w:hAnsi="Comic Sans MS"/>
        </w:rPr>
        <w:t xml:space="preserve"> (ERO</w:t>
      </w:r>
      <w:r w:rsidR="00CA453F">
        <w:rPr>
          <w:rFonts w:ascii="Comic Sans MS" w:hAnsi="Comic Sans MS"/>
        </w:rPr>
        <w:t xml:space="preserve">) findings on the importance of recognising diverse experiences </w:t>
      </w:r>
      <w:r w:rsidR="00EE149A">
        <w:rPr>
          <w:rFonts w:ascii="Comic Sans MS" w:hAnsi="Comic Sans MS"/>
        </w:rPr>
        <w:t>(Welsh Government, 2022; Education Review Office, 2020)</w:t>
      </w:r>
      <w:r w:rsidR="004C6FCE">
        <w:br/>
      </w:r>
      <w:r w:rsidRPr="36FA85B3">
        <w:rPr>
          <w:rFonts w:ascii="Comic Sans MS" w:hAnsi="Comic Sans MS"/>
        </w:rPr>
        <w:t xml:space="preserve">A three-tiered model of support further structures this commitment to inclusion. According to the Gilbert Ward Academy (2024), this system comprises universal, targeted and specialist provisions, ensuring that support is proportionate to pupils’ needs. This progressive approach ensures that high-quality teaching is the norm, with additional layers of support available when required. </w:t>
      </w:r>
      <w:r w:rsidR="004C6FCE">
        <w:br/>
      </w:r>
      <w:r w:rsidRPr="36FA85B3">
        <w:rPr>
          <w:rFonts w:ascii="Comic Sans MS" w:hAnsi="Comic Sans MS"/>
        </w:rPr>
        <w:t xml:space="preserve">Creating a genuinely inclusive environment demands attention to multiple aspects of practice. Educators must assess their own attitudes and beliefs, understand classroom management principles, identify and assess learning difficulties, monitor progress effectively and possess strong knowledge of relevant </w:t>
      </w:r>
      <w:r w:rsidRPr="36FA85B3">
        <w:rPr>
          <w:rFonts w:ascii="Comic Sans MS" w:hAnsi="Comic Sans MS"/>
        </w:rPr>
        <w:lastRenderedPageBreak/>
        <w:t>legislation and policies. Barriers to learning, such as poverty, disability, ethnicity, gender, race and religion, can threaten a pupils’ entitlement to education must be actively dismantled (</w:t>
      </w:r>
      <w:proofErr w:type="spellStart"/>
      <w:r w:rsidRPr="36FA85B3">
        <w:rPr>
          <w:rFonts w:ascii="Comic Sans MS" w:hAnsi="Comic Sans MS"/>
        </w:rPr>
        <w:t>Kamenopoulou</w:t>
      </w:r>
      <w:proofErr w:type="spellEnd"/>
      <w:r w:rsidRPr="36FA85B3">
        <w:rPr>
          <w:rFonts w:ascii="Comic Sans MS" w:hAnsi="Comic Sans MS"/>
        </w:rPr>
        <w:t xml:space="preserve"> &amp; Dukpa, 2017).</w:t>
      </w:r>
      <w:r w:rsidR="004C6FCE">
        <w:br/>
      </w:r>
      <w:r w:rsidRPr="36FA85B3">
        <w:rPr>
          <w:rFonts w:ascii="Comic Sans MS" w:hAnsi="Comic Sans MS"/>
        </w:rPr>
        <w:t xml:space="preserve">Differentiation plays a vital role in inclusive practice. As Gravells (2008) explains, differentiation requires various approaches and resources to meet the needs of various individuals and groups. Similarly, the Quality Improvement Agency (QIA, 2008) emphasises that differentiation provides numerous methods to process information, compile and process ideas and express what has been learnt. Embedding these practices with everyday teaching, allows schools to ensure education remains accessible, meaningful and empowering for every pupil. </w:t>
      </w:r>
      <w:r w:rsidR="004C6FCE">
        <w:br/>
      </w:r>
      <w:r w:rsidRPr="36FA85B3">
        <w:rPr>
          <w:rFonts w:ascii="Comic Sans MS" w:hAnsi="Comic Sans MS"/>
        </w:rPr>
        <w:t xml:space="preserve">In essence, </w:t>
      </w:r>
      <w:r w:rsidRPr="001F7F59">
        <w:rPr>
          <w:rFonts w:ascii="Comic Sans MS" w:hAnsi="Comic Sans MS"/>
        </w:rPr>
        <w:t>the aim of inclusive practice and the ALN reform in Wales, is rooted in the principles of equity, diversity and participation</w:t>
      </w:r>
      <w:r w:rsidR="00586908">
        <w:rPr>
          <w:rFonts w:ascii="Comic Sans MS" w:hAnsi="Comic Sans MS"/>
        </w:rPr>
        <w:t xml:space="preserve"> (We</w:t>
      </w:r>
      <w:r w:rsidR="001F7F59">
        <w:rPr>
          <w:rFonts w:ascii="Comic Sans MS" w:hAnsi="Comic Sans MS"/>
        </w:rPr>
        <w:t>lsh Government, 2020)</w:t>
      </w:r>
      <w:r w:rsidRPr="36FA85B3">
        <w:rPr>
          <w:rFonts w:ascii="Comic Sans MS" w:hAnsi="Comic Sans MS"/>
        </w:rPr>
        <w:t>.</w:t>
      </w:r>
      <w:r w:rsidR="005C065E">
        <w:rPr>
          <w:rFonts w:ascii="Comic Sans MS" w:hAnsi="Comic Sans MS"/>
        </w:rPr>
        <w:t xml:space="preserve"> In essence, this aims to achieve</w:t>
      </w:r>
      <w:r w:rsidRPr="36FA85B3">
        <w:rPr>
          <w:rFonts w:ascii="Comic Sans MS" w:hAnsi="Comic Sans MS"/>
        </w:rPr>
        <w:t xml:space="preserve"> a responsively, flexibl</w:t>
      </w:r>
      <w:r w:rsidR="005C065E">
        <w:rPr>
          <w:rFonts w:ascii="Comic Sans MS" w:hAnsi="Comic Sans MS"/>
        </w:rPr>
        <w:t>e</w:t>
      </w:r>
      <w:r w:rsidRPr="36FA85B3">
        <w:rPr>
          <w:rFonts w:ascii="Comic Sans MS" w:hAnsi="Comic Sans MS"/>
        </w:rPr>
        <w:t xml:space="preserve"> education system which embodies the </w:t>
      </w:r>
      <w:r w:rsidRPr="005C065E">
        <w:rPr>
          <w:rFonts w:ascii="Comic Sans MS" w:hAnsi="Comic Sans MS"/>
        </w:rPr>
        <w:t>value of every pupil’s potential, promoting social justice and lifelong learning opportunities for all.</w:t>
      </w:r>
      <w:r w:rsidRPr="36FA85B3">
        <w:rPr>
          <w:rFonts w:ascii="Comic Sans MS" w:hAnsi="Comic Sans MS"/>
        </w:rPr>
        <w:t xml:space="preserve"> </w:t>
      </w:r>
    </w:p>
    <w:p w14:paraId="648E6666" w14:textId="11221A33" w:rsidR="0034365E" w:rsidRDefault="36FA85B3" w:rsidP="36FA85B3">
      <w:pPr>
        <w:spacing w:line="360" w:lineRule="auto"/>
        <w:rPr>
          <w:rFonts w:ascii="Comic Sans MS" w:hAnsi="Comic Sans MS"/>
        </w:rPr>
      </w:pPr>
      <w:r w:rsidRPr="36FA85B3">
        <w:rPr>
          <w:rFonts w:ascii="Comic Sans MS" w:hAnsi="Comic Sans MS"/>
        </w:rPr>
        <w:t xml:space="preserve">Creating an inclusive classroom requires proactive, thoughtful planning and continuous reflection to ensure that all learners, regardless of their needs, or background, can equally access and engage with the curriculum. Drawing on observations from PTE2, this section will explore strategies that could be implemented to enhance inclusivity, identify existing barriers and reflect critically on practical experiences. </w:t>
      </w:r>
    </w:p>
    <w:p w14:paraId="39C7A7E8" w14:textId="5EDF35DA" w:rsidR="0034365E" w:rsidRDefault="36FA85B3" w:rsidP="36FA85B3">
      <w:pPr>
        <w:spacing w:line="360" w:lineRule="auto"/>
        <w:rPr>
          <w:rFonts w:ascii="Comic Sans MS" w:hAnsi="Comic Sans MS"/>
          <w:b/>
          <w:bCs/>
        </w:rPr>
      </w:pPr>
      <w:r w:rsidRPr="36FA85B3">
        <w:rPr>
          <w:rFonts w:ascii="Comic Sans MS" w:hAnsi="Comic Sans MS"/>
          <w:b/>
          <w:bCs/>
        </w:rPr>
        <w:t>Talking Tins</w:t>
      </w:r>
    </w:p>
    <w:p w14:paraId="6D37B406" w14:textId="38A9CE02" w:rsidR="0034365E" w:rsidRDefault="00991368" w:rsidP="36FA85B3">
      <w:pPr>
        <w:spacing w:line="360" w:lineRule="auto"/>
        <w:rPr>
          <w:rFonts w:ascii="Comic Sans MS" w:hAnsi="Comic Sans MS"/>
        </w:rPr>
      </w:pPr>
      <w:r>
        <w:rPr>
          <w:rFonts w:ascii="Comic Sans MS" w:hAnsi="Comic Sans MS"/>
          <w:b/>
          <w:bCs/>
          <w:noProof/>
        </w:rPr>
        <w:lastRenderedPageBreak/>
        <w:drawing>
          <wp:anchor distT="0" distB="0" distL="114300" distR="114300" simplePos="0" relativeHeight="251658240" behindDoc="1" locked="0" layoutInCell="1" allowOverlap="1" wp14:anchorId="491CC93E" wp14:editId="1013BBF6">
            <wp:simplePos x="0" y="0"/>
            <wp:positionH relativeFrom="margin">
              <wp:posOffset>3205884</wp:posOffset>
            </wp:positionH>
            <wp:positionV relativeFrom="paragraph">
              <wp:posOffset>461901</wp:posOffset>
            </wp:positionV>
            <wp:extent cx="2469515" cy="2065020"/>
            <wp:effectExtent l="0" t="0" r="6985" b="0"/>
            <wp:wrapTight wrapText="bothSides">
              <wp:wrapPolygon edited="0">
                <wp:start x="0" y="0"/>
                <wp:lineTo x="0" y="21321"/>
                <wp:lineTo x="21494" y="21321"/>
                <wp:lineTo x="21494" y="0"/>
                <wp:lineTo x="0" y="0"/>
              </wp:wrapPolygon>
            </wp:wrapTight>
            <wp:docPr id="1307228888" name="Picture 1" descr="A pair of red round objects on a wooden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228888" name="Picture 1" descr="A pair of red round objects on a wooden surface&#10;&#10;AI-generated content may be incorrect."/>
                    <pic:cNvPicPr/>
                  </pic:nvPicPr>
                  <pic:blipFill rotWithShape="1">
                    <a:blip r:embed="rId8" cstate="print">
                      <a:extLst>
                        <a:ext uri="{28A0092B-C50C-407E-A947-70E740481C1C}">
                          <a14:useLocalDpi xmlns:a14="http://schemas.microsoft.com/office/drawing/2010/main" val="0"/>
                        </a:ext>
                      </a:extLst>
                    </a:blip>
                    <a:srcRect t="18737" b="18554"/>
                    <a:stretch/>
                  </pic:blipFill>
                  <pic:spPr bwMode="auto">
                    <a:xfrm>
                      <a:off x="0" y="0"/>
                      <a:ext cx="2469515" cy="2065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4365E">
        <w:rPr>
          <w:rFonts w:ascii="Comic Sans MS" w:hAnsi="Comic Sans MS"/>
        </w:rPr>
        <w:t xml:space="preserve">During PTE2, Talking Tins were observed and used to support pupils who required additional assistance with extended writing tasks. Talking Tins provide an auditory scaffold, allowing pupils to record ideas and replay these whilst writing, supporting cognitive processing and language development (Mroz &amp; Hall, 2003). However, the limited availability of these devices (two in the setting) posed a logistical challenge. Pupils would often need to work outside the classroom to minimise disruption and allow for quiet to record their own voices, reducing live access to teacher support. To maximise its effectiveness, Talking Tins could be integrated into classroom zones, ensuring pupils remain within the teaching environment, protecting their right to curriculum participation and content, whilst also allowing for ease of access to assistance is required. Increasing the number of devices available would further enhance accessibility </w:t>
      </w:r>
      <w:r w:rsidR="008D51D5">
        <w:rPr>
          <w:noProof/>
        </w:rPr>
        <w:drawing>
          <wp:anchor distT="0" distB="0" distL="114300" distR="114300" simplePos="0" relativeHeight="251659264" behindDoc="1" locked="0" layoutInCell="1" allowOverlap="1" wp14:anchorId="603B96A4" wp14:editId="33F89DF3">
            <wp:simplePos x="0" y="0"/>
            <wp:positionH relativeFrom="margin">
              <wp:posOffset>5058402</wp:posOffset>
            </wp:positionH>
            <wp:positionV relativeFrom="paragraph">
              <wp:posOffset>699621</wp:posOffset>
            </wp:positionV>
            <wp:extent cx="1221740" cy="1835150"/>
            <wp:effectExtent l="57150" t="38100" r="54610" b="50800"/>
            <wp:wrapTight wrapText="bothSides">
              <wp:wrapPolygon edited="0">
                <wp:start x="-625" y="-26"/>
                <wp:lineTo x="-721" y="14352"/>
                <wp:lineTo x="-96" y="21515"/>
                <wp:lineTo x="17111" y="21524"/>
                <wp:lineTo x="17466" y="21735"/>
                <wp:lineTo x="21837" y="21566"/>
                <wp:lineTo x="21855" y="6293"/>
                <wp:lineTo x="21269" y="-423"/>
                <wp:lineTo x="18204" y="-754"/>
                <wp:lineTo x="1729" y="-117"/>
                <wp:lineTo x="-625" y="-26"/>
              </wp:wrapPolygon>
            </wp:wrapTight>
            <wp:docPr id="1880963423" name="Picture 2" descr="Classroom Reve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ssroom Reve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99352">
                      <a:off x="0" y="0"/>
                      <a:ext cx="1221740" cy="1835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365E">
        <w:rPr>
          <w:rFonts w:ascii="Comic Sans MS" w:hAnsi="Comic Sans MS"/>
        </w:rPr>
        <w:t xml:space="preserve">and prevent disruption to learning routines, though notably this would </w:t>
      </w:r>
      <w:r w:rsidR="008D51D5">
        <w:rPr>
          <w:noProof/>
        </w:rPr>
        <w:drawing>
          <wp:anchor distT="0" distB="0" distL="114300" distR="114300" simplePos="0" relativeHeight="251660288" behindDoc="1" locked="0" layoutInCell="1" allowOverlap="1" wp14:anchorId="1FD83D59" wp14:editId="3C4EBEC0">
            <wp:simplePos x="0" y="0"/>
            <wp:positionH relativeFrom="margin">
              <wp:posOffset>3039885</wp:posOffset>
            </wp:positionH>
            <wp:positionV relativeFrom="paragraph">
              <wp:posOffset>937524</wp:posOffset>
            </wp:positionV>
            <wp:extent cx="1828800" cy="1372235"/>
            <wp:effectExtent l="0" t="0" r="0" b="0"/>
            <wp:wrapTight wrapText="bothSides">
              <wp:wrapPolygon edited="0">
                <wp:start x="0" y="0"/>
                <wp:lineTo x="0" y="21290"/>
                <wp:lineTo x="21375" y="21290"/>
                <wp:lineTo x="21375" y="0"/>
                <wp:lineTo x="0" y="0"/>
              </wp:wrapPolygon>
            </wp:wrapTight>
            <wp:docPr id="785300628" name="Picture 3" descr="Back to school! Staying organized during the school year - Space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ck to school! Staying organized during the school year - Spacefi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28800" cy="1372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4365E">
        <w:rPr>
          <w:rFonts w:ascii="Comic Sans MS" w:hAnsi="Comic Sans MS"/>
        </w:rPr>
        <w:t xml:space="preserve">be reliant upon a school's budget. </w:t>
      </w:r>
    </w:p>
    <w:p w14:paraId="32445FA5" w14:textId="53B5E48B" w:rsidR="0034365E" w:rsidRDefault="36FA85B3" w:rsidP="36FA85B3">
      <w:pPr>
        <w:spacing w:line="360" w:lineRule="auto"/>
        <w:rPr>
          <w:rFonts w:ascii="Comic Sans MS" w:hAnsi="Comic Sans MS"/>
          <w:b/>
          <w:bCs/>
        </w:rPr>
      </w:pPr>
      <w:r w:rsidRPr="36FA85B3">
        <w:rPr>
          <w:rFonts w:ascii="Comic Sans MS" w:hAnsi="Comic Sans MS"/>
          <w:b/>
          <w:bCs/>
        </w:rPr>
        <w:t xml:space="preserve">Labelling and Braille Integration </w:t>
      </w:r>
    </w:p>
    <w:p w14:paraId="230CE442" w14:textId="181FC81D" w:rsidR="0034365E" w:rsidRDefault="008D51D5" w:rsidP="36FA85B3">
      <w:pPr>
        <w:spacing w:line="360" w:lineRule="auto"/>
        <w:rPr>
          <w:rFonts w:ascii="Comic Sans MS" w:hAnsi="Comic Sans MS"/>
        </w:rPr>
      </w:pPr>
      <w:r>
        <w:rPr>
          <w:noProof/>
        </w:rPr>
        <w:drawing>
          <wp:anchor distT="0" distB="0" distL="114300" distR="114300" simplePos="0" relativeHeight="251662336" behindDoc="1" locked="0" layoutInCell="1" allowOverlap="1" wp14:anchorId="73ECA209" wp14:editId="11CB286E">
            <wp:simplePos x="0" y="0"/>
            <wp:positionH relativeFrom="column">
              <wp:posOffset>3455720</wp:posOffset>
            </wp:positionH>
            <wp:positionV relativeFrom="paragraph">
              <wp:posOffset>3815071</wp:posOffset>
            </wp:positionV>
            <wp:extent cx="2374900" cy="1331595"/>
            <wp:effectExtent l="0" t="0" r="6350" b="1905"/>
            <wp:wrapTight wrapText="bothSides">
              <wp:wrapPolygon edited="0">
                <wp:start x="0" y="0"/>
                <wp:lineTo x="0" y="21322"/>
                <wp:lineTo x="21484" y="21322"/>
                <wp:lineTo x="21484" y="0"/>
                <wp:lineTo x="0" y="0"/>
              </wp:wrapPolygon>
            </wp:wrapTight>
            <wp:docPr id="1348004211" name="Picture 5" descr="Braille Learning Tools on a Classroom Table Stock Photo - Imag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aille Learning Tools on a Classroom Table Stock Photo - Image of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74900" cy="1331595"/>
                    </a:xfrm>
                    <a:prstGeom prst="rect">
                      <a:avLst/>
                    </a:prstGeom>
                    <a:noFill/>
                    <a:ln>
                      <a:noFill/>
                    </a:ln>
                  </pic:spPr>
                </pic:pic>
              </a:graphicData>
            </a:graphic>
          </wp:anchor>
        </w:drawing>
      </w:r>
      <w:r>
        <w:rPr>
          <w:noProof/>
        </w:rPr>
        <w:drawing>
          <wp:anchor distT="0" distB="0" distL="114300" distR="114300" simplePos="0" relativeHeight="251661312" behindDoc="1" locked="0" layoutInCell="1" allowOverlap="1" wp14:anchorId="422A6953" wp14:editId="53185C5A">
            <wp:simplePos x="0" y="0"/>
            <wp:positionH relativeFrom="margin">
              <wp:posOffset>4162977</wp:posOffset>
            </wp:positionH>
            <wp:positionV relativeFrom="paragraph">
              <wp:posOffset>1380721</wp:posOffset>
            </wp:positionV>
            <wp:extent cx="2208530" cy="1471930"/>
            <wp:effectExtent l="0" t="0" r="1270" b="0"/>
            <wp:wrapTight wrapText="bothSides">
              <wp:wrapPolygon edited="0">
                <wp:start x="0" y="0"/>
                <wp:lineTo x="0" y="21246"/>
                <wp:lineTo x="21426" y="21246"/>
                <wp:lineTo x="21426" y="0"/>
                <wp:lineTo x="0" y="0"/>
              </wp:wrapPolygon>
            </wp:wrapTight>
            <wp:docPr id="75513557" name="Picture 4" descr="5 Ways Learning Braille Can be Fun and Games (with An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5 Ways Learning Braille Can be Fun and Games (with Anni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08530" cy="1471930"/>
                    </a:xfrm>
                    <a:prstGeom prst="rect">
                      <a:avLst/>
                    </a:prstGeom>
                    <a:noFill/>
                    <a:ln>
                      <a:noFill/>
                    </a:ln>
                  </pic:spPr>
                </pic:pic>
              </a:graphicData>
            </a:graphic>
          </wp:anchor>
        </w:drawing>
      </w:r>
      <w:r w:rsidR="00991368">
        <w:rPr>
          <w:rFonts w:ascii="Comic Sans MS" w:hAnsi="Comic Sans MS"/>
        </w:rPr>
        <w:t xml:space="preserve">Effective labelling of classroom areas and resources promotes autonomy, supports organisation and benefits all learners. </w:t>
      </w:r>
      <w:r w:rsidR="00B026CB">
        <w:rPr>
          <w:rFonts w:ascii="Comic Sans MS" w:hAnsi="Comic Sans MS"/>
        </w:rPr>
        <w:t>It</w:t>
      </w:r>
      <w:r w:rsidR="00991368">
        <w:rPr>
          <w:rFonts w:ascii="Comic Sans MS" w:hAnsi="Comic Sans MS"/>
        </w:rPr>
        <w:t xml:space="preserve"> was observed during PTE2, that whilst</w:t>
      </w:r>
      <w:r w:rsidR="00B026CB">
        <w:rPr>
          <w:rFonts w:ascii="Comic Sans MS" w:hAnsi="Comic Sans MS"/>
        </w:rPr>
        <w:t xml:space="preserve"> this was well implemented within Early Years classrooms, it was inconsistently applied in Key Stage 2. Labelling could also be expanded to incorporate considerations for braille. Government-issued signs, such as fire exits, included braille as a standard, located around the school, there was no wider braille </w:t>
      </w:r>
      <w:r w:rsidR="00B026CB">
        <w:rPr>
          <w:rFonts w:ascii="Comic Sans MS" w:hAnsi="Comic Sans MS"/>
        </w:rPr>
        <w:lastRenderedPageBreak/>
        <w:t>usage within the learning environment. Braille material, such as books and worksheets were not evident, highlighting a gap in truly inclusive universal provision. Barriers to the wider application of braille consist of the cost and logistical difficulty of producing accessible materials (Royal National Institute of Blind People, 2016). However, under the principles of universal provision, having braille signage and basic resources in place, ensure that a barrier is removed before it arises if a visually impaired pupil joins the setting (Florian &amp; Black-Hawkings, 2011). This aligns with preventative, anticipatory inclusion practices, which are encourage under the ALNET (Wales) 2018.</w:t>
      </w:r>
    </w:p>
    <w:p w14:paraId="13976DD1" w14:textId="1211DD58" w:rsidR="00B026CB" w:rsidRDefault="36FA85B3" w:rsidP="36FA85B3">
      <w:pPr>
        <w:spacing w:line="360" w:lineRule="auto"/>
        <w:rPr>
          <w:rFonts w:ascii="Comic Sans MS" w:hAnsi="Comic Sans MS"/>
          <w:b/>
          <w:bCs/>
        </w:rPr>
      </w:pPr>
      <w:r w:rsidRPr="36FA85B3">
        <w:rPr>
          <w:rFonts w:ascii="Comic Sans MS" w:hAnsi="Comic Sans MS"/>
          <w:b/>
          <w:bCs/>
        </w:rPr>
        <w:t>Sign language</w:t>
      </w:r>
    </w:p>
    <w:p w14:paraId="673255ED" w14:textId="0F8578A3" w:rsidR="008D51D5" w:rsidRPr="00B026CB" w:rsidRDefault="00B026CB" w:rsidP="36FA85B3">
      <w:pPr>
        <w:spacing w:line="360" w:lineRule="auto"/>
        <w:rPr>
          <w:rFonts w:ascii="Comic Sans MS" w:hAnsi="Comic Sans MS"/>
        </w:rPr>
      </w:pPr>
      <w:r>
        <w:rPr>
          <w:rFonts w:ascii="Comic Sans MS" w:hAnsi="Comic Sans MS"/>
        </w:rPr>
        <w:t xml:space="preserve">The use of basic sign language, including British Sign Language (BSL) and Makaton, was notable embedded within Early Years Settings observed both during PTE1, 2 and Bridging Days, but appeared to diminish in Key Stage 1 and 2 classrooms. Research shows that the use of sign language supports not only pupils with hearing impairments, but can also enhance communication </w:t>
      </w:r>
      <w:r w:rsidR="00A95FE1">
        <w:rPr>
          <w:noProof/>
        </w:rPr>
        <w:drawing>
          <wp:anchor distT="0" distB="0" distL="114300" distR="114300" simplePos="0" relativeHeight="251663360" behindDoc="1" locked="0" layoutInCell="1" allowOverlap="1" wp14:anchorId="1412B1DE" wp14:editId="449B782C">
            <wp:simplePos x="0" y="0"/>
            <wp:positionH relativeFrom="column">
              <wp:posOffset>-534464</wp:posOffset>
            </wp:positionH>
            <wp:positionV relativeFrom="paragraph">
              <wp:posOffset>130628</wp:posOffset>
            </wp:positionV>
            <wp:extent cx="1537970" cy="2291715"/>
            <wp:effectExtent l="0" t="0" r="5080" b="0"/>
            <wp:wrapTight wrapText="bothSides">
              <wp:wrapPolygon edited="0">
                <wp:start x="0" y="0"/>
                <wp:lineTo x="0" y="21367"/>
                <wp:lineTo x="21404" y="21367"/>
                <wp:lineTo x="21404" y="0"/>
                <wp:lineTo x="0" y="0"/>
              </wp:wrapPolygon>
            </wp:wrapTight>
            <wp:docPr id="266304514" name="Picture 6" descr="3 Posters Bundle ASL Posters Sign Language Posters Learn - Etsy | Sig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3 Posters Bundle ASL Posters Sign Language Posters Learn - Etsy | Sign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37970" cy="2291715"/>
                    </a:xfrm>
                    <a:prstGeom prst="rect">
                      <a:avLst/>
                    </a:prstGeom>
                    <a:noFill/>
                    <a:ln>
                      <a:noFill/>
                    </a:ln>
                  </pic:spPr>
                </pic:pic>
              </a:graphicData>
            </a:graphic>
          </wp:anchor>
        </w:drawing>
      </w:r>
      <w:r>
        <w:rPr>
          <w:rFonts w:ascii="Comic Sans MS" w:hAnsi="Comic Sans MS"/>
        </w:rPr>
        <w:t>development, empathy an</w:t>
      </w:r>
      <w:r w:rsidR="008D51D5">
        <w:rPr>
          <w:rFonts w:ascii="Comic Sans MS" w:hAnsi="Comic Sans MS"/>
        </w:rPr>
        <w:t xml:space="preserve">d inclusivity amongst all learners (Woolfe et al., 2002; Estyn, 2023). Even if not all the pupils require the provision, early exposure to sign language fosters a </w:t>
      </w:r>
      <w:r w:rsidR="00A95FE1">
        <w:rPr>
          <w:noProof/>
        </w:rPr>
        <w:drawing>
          <wp:anchor distT="0" distB="0" distL="114300" distR="114300" simplePos="0" relativeHeight="251664384" behindDoc="1" locked="0" layoutInCell="1" allowOverlap="1" wp14:anchorId="7F7978EC" wp14:editId="6BF8D8A1">
            <wp:simplePos x="0" y="0"/>
            <wp:positionH relativeFrom="margin">
              <wp:posOffset>3787775</wp:posOffset>
            </wp:positionH>
            <wp:positionV relativeFrom="paragraph">
              <wp:posOffset>771525</wp:posOffset>
            </wp:positionV>
            <wp:extent cx="2552700" cy="1915795"/>
            <wp:effectExtent l="0" t="0" r="0" b="8255"/>
            <wp:wrapTight wrapText="bothSides">
              <wp:wrapPolygon edited="0">
                <wp:start x="0" y="0"/>
                <wp:lineTo x="0" y="21478"/>
                <wp:lineTo x="21439" y="21478"/>
                <wp:lineTo x="21439" y="0"/>
                <wp:lineTo x="0" y="0"/>
              </wp:wrapPolygon>
            </wp:wrapTight>
            <wp:docPr id="1841342263" name="Picture 7" descr="Basic Sign Language DIGITAL Pack. 16 Sign Language Cards ASL - Ets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asic Sign Language DIGITAL Pack. 16 Sign Language Cards ASL - Etsy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52700" cy="1915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D51D5">
        <w:rPr>
          <w:rFonts w:ascii="Comic Sans MS" w:hAnsi="Comic Sans MS"/>
        </w:rPr>
        <w:t xml:space="preserve">more inclusive environment and provides pupils with the tools to communicate with deaf peers, or adults in the future, feeding into the concept of a truly inclusive society. </w:t>
      </w:r>
      <w:r w:rsidR="008D51D5">
        <w:rPr>
          <w:rFonts w:ascii="Comic Sans MS" w:hAnsi="Comic Sans MS"/>
        </w:rPr>
        <w:br/>
        <w:t xml:space="preserve">Despite its benefits, barriers to widespread use include the need for staff training, cost, consistency, curriculum time pressures and limited resources which are tailored to different Key Stage levels (Estyn, 2022). Nonetheless, </w:t>
      </w:r>
      <w:r w:rsidR="008D51D5">
        <w:rPr>
          <w:rFonts w:ascii="Comic Sans MS" w:hAnsi="Comic Sans MS"/>
        </w:rPr>
        <w:lastRenderedPageBreak/>
        <w:t xml:space="preserve">even a modest incorporation of basic signs into daily routines, such as greetings, instructions and story time, could significantly broaden inclusive practice and support the development of the four purposes of the </w:t>
      </w:r>
      <w:proofErr w:type="spellStart"/>
      <w:r w:rsidR="008D51D5" w:rsidRPr="005C065E">
        <w:rPr>
          <w:rFonts w:ascii="Comic Sans MS" w:hAnsi="Comic Sans MS"/>
        </w:rPr>
        <w:t>CfW</w:t>
      </w:r>
      <w:proofErr w:type="spellEnd"/>
      <w:r w:rsidR="008D51D5" w:rsidRPr="005C065E">
        <w:rPr>
          <w:rFonts w:ascii="Comic Sans MS" w:hAnsi="Comic Sans MS"/>
        </w:rPr>
        <w:t>,</w:t>
      </w:r>
      <w:r w:rsidR="008D51D5">
        <w:rPr>
          <w:rFonts w:ascii="Comic Sans MS" w:hAnsi="Comic Sans MS"/>
        </w:rPr>
        <w:t xml:space="preserve"> particularly in nurturing ethically, informed citizens, who are healthy, confident individuals. </w:t>
      </w:r>
    </w:p>
    <w:p w14:paraId="5F05B6C5" w14:textId="768C0CDA" w:rsidR="008B6F36" w:rsidRDefault="005957B1" w:rsidP="36FA85B3">
      <w:pPr>
        <w:spacing w:line="360" w:lineRule="auto"/>
        <w:rPr>
          <w:rFonts w:ascii="Comic Sans MS" w:hAnsi="Comic Sans MS"/>
          <w:b/>
          <w:bCs/>
        </w:rPr>
      </w:pPr>
      <w:r>
        <w:rPr>
          <w:noProof/>
        </w:rPr>
        <w:drawing>
          <wp:anchor distT="0" distB="0" distL="114300" distR="114300" simplePos="0" relativeHeight="251665408" behindDoc="1" locked="0" layoutInCell="1" allowOverlap="1" wp14:anchorId="23080DF3" wp14:editId="6AEFEFB0">
            <wp:simplePos x="0" y="0"/>
            <wp:positionH relativeFrom="margin">
              <wp:align>right</wp:align>
            </wp:positionH>
            <wp:positionV relativeFrom="paragraph">
              <wp:posOffset>196735</wp:posOffset>
            </wp:positionV>
            <wp:extent cx="1817370" cy="1033145"/>
            <wp:effectExtent l="0" t="0" r="0" b="0"/>
            <wp:wrapTight wrapText="bothSides">
              <wp:wrapPolygon edited="0">
                <wp:start x="0" y="0"/>
                <wp:lineTo x="0" y="21109"/>
                <wp:lineTo x="21283" y="21109"/>
                <wp:lineTo x="21283" y="0"/>
                <wp:lineTo x="0" y="0"/>
              </wp:wrapPolygon>
            </wp:wrapTight>
            <wp:docPr id="278368590" name="Picture 8" descr="Self Opening Long Handle Scissors - Left Han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elf Opening Long Handle Scissors - Left Hand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17370" cy="1033145"/>
                    </a:xfrm>
                    <a:prstGeom prst="rect">
                      <a:avLst/>
                    </a:prstGeom>
                    <a:noFill/>
                    <a:ln>
                      <a:noFill/>
                    </a:ln>
                  </pic:spPr>
                </pic:pic>
              </a:graphicData>
            </a:graphic>
          </wp:anchor>
        </w:drawing>
      </w:r>
    </w:p>
    <w:p w14:paraId="33E585CB" w14:textId="33DCD762" w:rsidR="00A95FE1" w:rsidRDefault="36FA85B3" w:rsidP="36FA85B3">
      <w:pPr>
        <w:spacing w:line="360" w:lineRule="auto"/>
        <w:rPr>
          <w:rFonts w:ascii="Comic Sans MS" w:hAnsi="Comic Sans MS"/>
          <w:b/>
          <w:bCs/>
        </w:rPr>
      </w:pPr>
      <w:r w:rsidRPr="36FA85B3">
        <w:rPr>
          <w:rFonts w:ascii="Comic Sans MS" w:hAnsi="Comic Sans MS"/>
          <w:b/>
          <w:bCs/>
        </w:rPr>
        <w:t>Left-Handed Resources</w:t>
      </w:r>
    </w:p>
    <w:p w14:paraId="60EAAB26" w14:textId="19E90C49" w:rsidR="008B6F36" w:rsidRDefault="005957B1" w:rsidP="36FA85B3">
      <w:pPr>
        <w:spacing w:line="360" w:lineRule="auto"/>
        <w:rPr>
          <w:rFonts w:ascii="Comic Sans MS" w:hAnsi="Comic Sans MS"/>
        </w:rPr>
      </w:pPr>
      <w:r>
        <w:rPr>
          <w:noProof/>
        </w:rPr>
        <w:drawing>
          <wp:anchor distT="0" distB="0" distL="114300" distR="114300" simplePos="0" relativeHeight="251667456" behindDoc="1" locked="0" layoutInCell="1" allowOverlap="1" wp14:anchorId="5DC3C5CB" wp14:editId="3A2CCF2E">
            <wp:simplePos x="0" y="0"/>
            <wp:positionH relativeFrom="column">
              <wp:posOffset>4939978</wp:posOffset>
            </wp:positionH>
            <wp:positionV relativeFrom="paragraph">
              <wp:posOffset>2359355</wp:posOffset>
            </wp:positionV>
            <wp:extent cx="1270660" cy="1270660"/>
            <wp:effectExtent l="0" t="0" r="5715" b="5715"/>
            <wp:wrapTight wrapText="bothSides">
              <wp:wrapPolygon edited="0">
                <wp:start x="0" y="0"/>
                <wp:lineTo x="0" y="21373"/>
                <wp:lineTo x="21373" y="21373"/>
                <wp:lineTo x="21373" y="0"/>
                <wp:lineTo x="0" y="0"/>
              </wp:wrapPolygon>
            </wp:wrapTight>
            <wp:docPr id="1618256376" name="Picture 10" descr="Left handed pencil grip pack. Pack of 6 of the most popular penci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Left handed pencil grip pack. Pack of 6 of the most popular pencil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70660" cy="1270660"/>
                    </a:xfrm>
                    <a:prstGeom prst="rect">
                      <a:avLst/>
                    </a:prstGeom>
                    <a:noFill/>
                    <a:ln>
                      <a:noFill/>
                    </a:ln>
                  </pic:spPr>
                </pic:pic>
              </a:graphicData>
            </a:graphic>
          </wp:anchor>
        </w:drawing>
      </w:r>
      <w:r>
        <w:rPr>
          <w:noProof/>
        </w:rPr>
        <w:drawing>
          <wp:anchor distT="0" distB="0" distL="114300" distR="114300" simplePos="0" relativeHeight="251666432" behindDoc="1" locked="0" layoutInCell="1" allowOverlap="1" wp14:anchorId="48121121" wp14:editId="61274271">
            <wp:simplePos x="0" y="0"/>
            <wp:positionH relativeFrom="column">
              <wp:posOffset>4536374</wp:posOffset>
            </wp:positionH>
            <wp:positionV relativeFrom="paragraph">
              <wp:posOffset>712544</wp:posOffset>
            </wp:positionV>
            <wp:extent cx="1733550" cy="1736090"/>
            <wp:effectExtent l="0" t="0" r="0" b="0"/>
            <wp:wrapTight wrapText="bothSides">
              <wp:wrapPolygon edited="0">
                <wp:start x="0" y="0"/>
                <wp:lineTo x="0" y="21331"/>
                <wp:lineTo x="21363" y="21331"/>
                <wp:lineTo x="21363" y="0"/>
                <wp:lineTo x="0" y="0"/>
              </wp:wrapPolygon>
            </wp:wrapTight>
            <wp:docPr id="276983856" name="Picture 9" descr="Why Are Left Handed Scissors Different at Gene Courtne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hy Are Left Handed Scissors Different at Gene Courtney blo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33550" cy="1736090"/>
                    </a:xfrm>
                    <a:prstGeom prst="rect">
                      <a:avLst/>
                    </a:prstGeom>
                    <a:noFill/>
                    <a:ln>
                      <a:noFill/>
                    </a:ln>
                  </pic:spPr>
                </pic:pic>
              </a:graphicData>
            </a:graphic>
          </wp:anchor>
        </w:drawing>
      </w:r>
      <w:r w:rsidR="00A95FE1">
        <w:rPr>
          <w:rFonts w:ascii="Comic Sans MS" w:hAnsi="Comic Sans MS"/>
        </w:rPr>
        <w:t>Provision for left-handed pupils was observed during PTE2, though there was a notable limited supply, specifically regarding left-handed scissors, which were often in short supply. Universal provision requires an anticipation of diverse needs withing standard classroom environments (Gravells, 2008). By taking additional measures by providing left-handed grips, appropriately spaced desk arrangements and loop scissors (Ot-Mom Learning Activities, 2024) left-handed pupils would be supported, but this would also include others with fine motor skill challenges and Dyspraxia /DCD. Seating could also be mindfully planned to ensure left-handed pupils have adequate space to write, without clashing with peers, promoting both comfort and engagement. Whilst additional provisions would be subsequent to a schools budget, arguably, whilst 10% of the world's population is left handed (BBC 2024)</w:t>
      </w:r>
      <w:r w:rsidR="001E0D0B">
        <w:rPr>
          <w:rFonts w:ascii="Comic Sans MS" w:hAnsi="Comic Sans MS"/>
        </w:rPr>
        <w:t xml:space="preserve">, yet is not considered ALN, but could still potentially pose a barrier to pupils accessing all education equally (Nationwide Disability Representatives, 2025), factoring in that a census shows 52, 152 pupils with ALN or SEN within schools during 2024 (Welsh Government, 2024), such an investment would be highly supportive.  </w:t>
      </w:r>
    </w:p>
    <w:p w14:paraId="777275A6" w14:textId="228ADB44" w:rsidR="008B6F36" w:rsidRDefault="36FA85B3" w:rsidP="36FA85B3">
      <w:pPr>
        <w:spacing w:line="360" w:lineRule="auto"/>
        <w:rPr>
          <w:rFonts w:ascii="Comic Sans MS" w:hAnsi="Comic Sans MS"/>
          <w:b/>
          <w:bCs/>
        </w:rPr>
      </w:pPr>
      <w:r w:rsidRPr="36FA85B3">
        <w:rPr>
          <w:rFonts w:ascii="Comic Sans MS" w:hAnsi="Comic Sans MS"/>
          <w:b/>
          <w:bCs/>
        </w:rPr>
        <w:t>Visual Aids</w:t>
      </w:r>
    </w:p>
    <w:p w14:paraId="56D76335" w14:textId="79477CDE" w:rsidR="001E0D0B" w:rsidRPr="001E0D0B" w:rsidRDefault="005957B1" w:rsidP="36FA85B3">
      <w:pPr>
        <w:spacing w:line="360" w:lineRule="auto"/>
        <w:rPr>
          <w:rFonts w:ascii="Comic Sans MS" w:hAnsi="Comic Sans MS"/>
        </w:rPr>
      </w:pPr>
      <w:r>
        <w:rPr>
          <w:noProof/>
        </w:rPr>
        <w:lastRenderedPageBreak/>
        <w:drawing>
          <wp:anchor distT="0" distB="0" distL="114300" distR="114300" simplePos="0" relativeHeight="251670528" behindDoc="1" locked="0" layoutInCell="1" allowOverlap="1" wp14:anchorId="3AB66815" wp14:editId="2026597F">
            <wp:simplePos x="0" y="0"/>
            <wp:positionH relativeFrom="column">
              <wp:posOffset>4512293</wp:posOffset>
            </wp:positionH>
            <wp:positionV relativeFrom="paragraph">
              <wp:posOffset>3035275</wp:posOffset>
            </wp:positionV>
            <wp:extent cx="1555115" cy="1555115"/>
            <wp:effectExtent l="0" t="0" r="6985" b="6985"/>
            <wp:wrapTight wrapText="bothSides">
              <wp:wrapPolygon edited="0">
                <wp:start x="0" y="0"/>
                <wp:lineTo x="0" y="21432"/>
                <wp:lineTo x="21432" y="21432"/>
                <wp:lineTo x="21432" y="0"/>
                <wp:lineTo x="0" y="0"/>
              </wp:wrapPolygon>
            </wp:wrapTight>
            <wp:docPr id="318263769" name="Picture 13" descr="Visual Instructions | Editable Visual Directions | Visual Direction C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Visual Instructions | Editable Visual Directions | Visual Direction Card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55115" cy="15551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1" locked="0" layoutInCell="1" allowOverlap="1" wp14:anchorId="05020B52" wp14:editId="40A6FC3B">
            <wp:simplePos x="0" y="0"/>
            <wp:positionH relativeFrom="margin">
              <wp:posOffset>-523017</wp:posOffset>
            </wp:positionH>
            <wp:positionV relativeFrom="paragraph">
              <wp:posOffset>1597487</wp:posOffset>
            </wp:positionV>
            <wp:extent cx="1520042" cy="2026779"/>
            <wp:effectExtent l="0" t="0" r="4445" b="0"/>
            <wp:wrapTight wrapText="bothSides">
              <wp:wrapPolygon edited="0">
                <wp:start x="0" y="0"/>
                <wp:lineTo x="0" y="21322"/>
                <wp:lineTo x="21392" y="21322"/>
                <wp:lineTo x="21392" y="0"/>
                <wp:lineTo x="0" y="0"/>
              </wp:wrapPolygon>
            </wp:wrapTight>
            <wp:docPr id="123706290" name="Picture 12" descr="A group of cards with images o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06290" name="Picture 12" descr="A group of cards with images on them&#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520042" cy="2026779"/>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1" locked="0" layoutInCell="1" allowOverlap="1" wp14:anchorId="6AF11428" wp14:editId="2540C3DF">
            <wp:simplePos x="0" y="0"/>
            <wp:positionH relativeFrom="column">
              <wp:posOffset>3016332</wp:posOffset>
            </wp:positionH>
            <wp:positionV relativeFrom="paragraph">
              <wp:posOffset>19190</wp:posOffset>
            </wp:positionV>
            <wp:extent cx="2671445" cy="1629410"/>
            <wp:effectExtent l="0" t="0" r="0" b="8890"/>
            <wp:wrapTight wrapText="bothSides">
              <wp:wrapPolygon edited="0">
                <wp:start x="0" y="0"/>
                <wp:lineTo x="0" y="21465"/>
                <wp:lineTo x="21410" y="21465"/>
                <wp:lineTo x="21410" y="0"/>
                <wp:lineTo x="0" y="0"/>
              </wp:wrapPolygon>
            </wp:wrapTight>
            <wp:docPr id="915086337" name="Picture 11" descr="Examples Of Teaching Aids In The Classroom at Martha Bickford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Examples Of Teaching Aids In The Classroom at Martha Bickford blo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71445" cy="1629410"/>
                    </a:xfrm>
                    <a:prstGeom prst="rect">
                      <a:avLst/>
                    </a:prstGeom>
                    <a:noFill/>
                    <a:ln>
                      <a:noFill/>
                    </a:ln>
                  </pic:spPr>
                </pic:pic>
              </a:graphicData>
            </a:graphic>
          </wp:anchor>
        </w:drawing>
      </w:r>
      <w:r w:rsidR="001E0D0B">
        <w:rPr>
          <w:rFonts w:ascii="Comic Sans MS" w:hAnsi="Comic Sans MS"/>
        </w:rPr>
        <w:t xml:space="preserve">Although visual displays and a timetable were present in the Year 6 classroom during PTE2, the visual timetable was not consistently updated due to time restrictions on teaching staff. Actively maintained visual supports reduce anxiety, aid with executive functioning and support transition management, particularly for pupils with Attention Deficit Hyperactivity Disorder (ADHD) or Autism (Cooper &amp; Jacobs, 2011). In retrospect, whilst the visual timetable was not utilised efficiently, it was observed that during my own teaching practice, I would write the times of the lesson, order of instruction and breaks along the side of the whiteboard I would be working on, in order to provide myself with a professional reminder for time management, pupils were observed engaging and referencing to this during these periods, </w:t>
      </w:r>
      <w:r w:rsidR="00BA01E3">
        <w:rPr>
          <w:rFonts w:ascii="Comic Sans MS" w:hAnsi="Comic Sans MS"/>
        </w:rPr>
        <w:t>advocating</w:t>
      </w:r>
      <w:r w:rsidR="001E0D0B">
        <w:rPr>
          <w:rFonts w:ascii="Comic Sans MS" w:hAnsi="Comic Sans MS"/>
        </w:rPr>
        <w:t xml:space="preserve"> to its desirable benefits to be utilised. </w:t>
      </w:r>
      <w:r w:rsidR="001E0D0B" w:rsidRPr="00796974">
        <w:rPr>
          <w:rFonts w:ascii="Comic Sans MS" w:hAnsi="Comic Sans MS"/>
        </w:rPr>
        <w:t>Expanding visuals into</w:t>
      </w:r>
      <w:r w:rsidR="00BA01E3" w:rsidRPr="00796974">
        <w:rPr>
          <w:rFonts w:ascii="Comic Sans MS" w:hAnsi="Comic Sans MS"/>
        </w:rPr>
        <w:t xml:space="preserve"> worksheet instructions, such as pictorial lists of</w:t>
      </w:r>
      <w:r w:rsidR="00BA01E3">
        <w:rPr>
          <w:rFonts w:ascii="Comic Sans MS" w:hAnsi="Comic Sans MS"/>
        </w:rPr>
        <w:t xml:space="preserve"> required equipment for activities within practical mathematics and science lessons, could support comprehension and independence for a broader range of learners, benefitting all pupils, not just those with identified ALN</w:t>
      </w:r>
      <w:r w:rsidR="00532900">
        <w:rPr>
          <w:rFonts w:ascii="Comic Sans MS" w:hAnsi="Comic Sans MS"/>
        </w:rPr>
        <w:t xml:space="preserve"> (National Council for Special Education, 2024.;</w:t>
      </w:r>
      <w:r w:rsidR="00852C78">
        <w:rPr>
          <w:rFonts w:ascii="Comic Sans MS" w:hAnsi="Comic Sans MS"/>
        </w:rPr>
        <w:t xml:space="preserve"> </w:t>
      </w:r>
      <w:r w:rsidR="00F5023A">
        <w:rPr>
          <w:rFonts w:ascii="Comic Sans MS" w:hAnsi="Comic Sans MS"/>
        </w:rPr>
        <w:t>Naidoo</w:t>
      </w:r>
      <w:r w:rsidR="00852C78">
        <w:rPr>
          <w:rFonts w:ascii="Comic Sans MS" w:hAnsi="Comic Sans MS"/>
        </w:rPr>
        <w:t>, 2012)</w:t>
      </w:r>
      <w:r w:rsidR="00BA01E3">
        <w:rPr>
          <w:rFonts w:ascii="Comic Sans MS" w:hAnsi="Comic Sans MS"/>
        </w:rPr>
        <w:t xml:space="preserve">. </w:t>
      </w:r>
    </w:p>
    <w:p w14:paraId="2BEB83C4" w14:textId="26A05029" w:rsidR="008B6F36" w:rsidRDefault="008B6F36" w:rsidP="36FA85B3">
      <w:pPr>
        <w:spacing w:line="360" w:lineRule="auto"/>
        <w:rPr>
          <w:rFonts w:ascii="Comic Sans MS" w:hAnsi="Comic Sans MS"/>
        </w:rPr>
      </w:pPr>
    </w:p>
    <w:p w14:paraId="79FF656F" w14:textId="766E8EAC" w:rsidR="008B6F36" w:rsidRDefault="36FA85B3" w:rsidP="36FA85B3">
      <w:pPr>
        <w:spacing w:line="360" w:lineRule="auto"/>
        <w:rPr>
          <w:rFonts w:ascii="Comic Sans MS" w:hAnsi="Comic Sans MS"/>
        </w:rPr>
      </w:pPr>
      <w:r w:rsidRPr="36FA85B3">
        <w:rPr>
          <w:rFonts w:ascii="Comic Sans MS" w:hAnsi="Comic Sans MS"/>
        </w:rPr>
        <w:t xml:space="preserve">Despite promising strategies, as explored above, not all are evident within educational settings, nor utilised to their full potential. Barriers remain, such as resource shortages, staff capacity constraints, cost, time allocation, training in </w:t>
      </w:r>
      <w:r w:rsidRPr="36FA85B3">
        <w:rPr>
          <w:rFonts w:ascii="Comic Sans MS" w:hAnsi="Comic Sans MS"/>
        </w:rPr>
        <w:lastRenderedPageBreak/>
        <w:t xml:space="preserve">usage and familiarity and systemic challenges like translation difficulties for multilingual support (Archer, 2010). Moreover, while universal provision aims to anticipate needs, truly effective implementation requires a whole-school commitment, strong leadership from the Senior Leadership Team (SLT) and Continuous Professional Development (CPD), as has been posed by Estyn (2022) in their recommendations for inclusive education within Wales. </w:t>
      </w:r>
      <w:r w:rsidR="00BA01E3">
        <w:br/>
      </w:r>
      <w:r w:rsidRPr="36FA85B3">
        <w:rPr>
          <w:rFonts w:ascii="Comic Sans MS" w:hAnsi="Comic Sans MS"/>
        </w:rPr>
        <w:t xml:space="preserve">It can be posed that through proactive measures, inclusive practices can transition from reactive, to embedded, ensuring that all pupils have equal opportunity to thrive within a supportive learning environment, which </w:t>
      </w:r>
      <w:r w:rsidR="002C0878">
        <w:rPr>
          <w:rFonts w:ascii="Comic Sans MS" w:hAnsi="Comic Sans MS"/>
        </w:rPr>
        <w:t>compliments</w:t>
      </w:r>
      <w:r w:rsidRPr="36FA85B3">
        <w:rPr>
          <w:rFonts w:ascii="Comic Sans MS" w:hAnsi="Comic Sans MS"/>
        </w:rPr>
        <w:t xml:space="preserve"> the </w:t>
      </w:r>
      <w:proofErr w:type="spellStart"/>
      <w:r w:rsidRPr="36FA85B3">
        <w:rPr>
          <w:rFonts w:ascii="Comic Sans MS" w:hAnsi="Comic Sans MS"/>
        </w:rPr>
        <w:t>CfW</w:t>
      </w:r>
      <w:proofErr w:type="spellEnd"/>
      <w:r w:rsidRPr="36FA85B3">
        <w:rPr>
          <w:rFonts w:ascii="Comic Sans MS" w:hAnsi="Comic Sans MS"/>
        </w:rPr>
        <w:t xml:space="preserve"> and the ALN Code.</w:t>
      </w:r>
      <w:r w:rsidR="002F20EF">
        <w:rPr>
          <w:rFonts w:ascii="Comic Sans MS" w:hAnsi="Comic Sans MS"/>
        </w:rPr>
        <w:t xml:space="preserve"> This is a concept I aim to achieve within my own practice, by embedding inclusive strategies where possible</w:t>
      </w:r>
      <w:r w:rsidR="00E45E58">
        <w:rPr>
          <w:rFonts w:ascii="Comic Sans MS" w:hAnsi="Comic Sans MS"/>
        </w:rPr>
        <w:t xml:space="preserve">, whilst logistically balancing </w:t>
      </w:r>
      <w:r w:rsidR="00685E3F">
        <w:rPr>
          <w:rFonts w:ascii="Comic Sans MS" w:hAnsi="Comic Sans MS"/>
        </w:rPr>
        <w:t>the difficulties of such</w:t>
      </w:r>
      <w:r w:rsidR="00842AF3">
        <w:rPr>
          <w:rFonts w:ascii="Comic Sans MS" w:hAnsi="Comic Sans MS"/>
        </w:rPr>
        <w:t xml:space="preserve"> with practicality and workload. </w:t>
      </w:r>
      <w:r w:rsidR="00E45E58">
        <w:rPr>
          <w:rFonts w:ascii="Comic Sans MS" w:hAnsi="Comic Sans MS"/>
        </w:rPr>
        <w:t xml:space="preserve"> </w:t>
      </w:r>
      <w:r w:rsidRPr="36FA85B3">
        <w:rPr>
          <w:rFonts w:ascii="Comic Sans MS" w:hAnsi="Comic Sans MS"/>
        </w:rPr>
        <w:t xml:space="preserve"> </w:t>
      </w:r>
      <w:r w:rsidR="00D02E8D">
        <w:rPr>
          <w:rFonts w:ascii="Comic Sans MS" w:hAnsi="Comic Sans MS"/>
        </w:rPr>
        <w:br/>
        <w:t>Another aspect to consider</w:t>
      </w:r>
      <w:r w:rsidR="00FA2A1D">
        <w:rPr>
          <w:rFonts w:ascii="Comic Sans MS" w:hAnsi="Comic Sans MS"/>
        </w:rPr>
        <w:t xml:space="preserve"> is that while visual timetables are widely recognised</w:t>
      </w:r>
      <w:r w:rsidR="00F256CD">
        <w:rPr>
          <w:rFonts w:ascii="Comic Sans MS" w:hAnsi="Comic Sans MS"/>
        </w:rPr>
        <w:t xml:space="preserve"> as effective tools, their effectiveness can be limited to multilingual contexts. Schools </w:t>
      </w:r>
      <w:r w:rsidR="00A339BF">
        <w:rPr>
          <w:rFonts w:ascii="Comic Sans MS" w:hAnsi="Comic Sans MS"/>
        </w:rPr>
        <w:t xml:space="preserve">striving for linguistic inclusivity face increased workload when visual aids containing written language require translation into </w:t>
      </w:r>
      <w:r w:rsidR="00362F58">
        <w:rPr>
          <w:rFonts w:ascii="Comic Sans MS" w:hAnsi="Comic Sans MS"/>
        </w:rPr>
        <w:t>multiple languages</w:t>
      </w:r>
      <w:r w:rsidR="00256C88">
        <w:rPr>
          <w:rFonts w:ascii="Comic Sans MS" w:hAnsi="Comic Sans MS"/>
        </w:rPr>
        <w:t xml:space="preserve">, in order to be accessible for all pupils and families. Local Authorities (LA’s) have </w:t>
      </w:r>
      <w:r w:rsidR="00CC075E">
        <w:rPr>
          <w:rFonts w:ascii="Comic Sans MS" w:hAnsi="Comic Sans MS"/>
        </w:rPr>
        <w:t xml:space="preserve">reported difficulties sourcing translators for less commonly spoken dialects, such as specific forms of Bengali, Mandarin, or Somali. One LA translation team member noted that a school required 12 different translation for a newsletter, highlight the logistical and resource challenges in adapting </w:t>
      </w:r>
      <w:r w:rsidR="00136E63">
        <w:rPr>
          <w:rFonts w:ascii="Comic Sans MS" w:hAnsi="Comic Sans MS"/>
        </w:rPr>
        <w:t>visual timetables to meet the needs of a linguistically diverse pupil population (Employee X</w:t>
      </w:r>
      <w:r w:rsidR="00E974B0">
        <w:rPr>
          <w:rFonts w:ascii="Comic Sans MS" w:hAnsi="Comic Sans MS"/>
        </w:rPr>
        <w:t>. 2025)</w:t>
      </w:r>
      <w:r w:rsidR="00136E63">
        <w:rPr>
          <w:rFonts w:ascii="Comic Sans MS" w:hAnsi="Comic Sans MS"/>
        </w:rPr>
        <w:t xml:space="preserve">. </w:t>
      </w:r>
    </w:p>
    <w:p w14:paraId="0C72BA85" w14:textId="42A8761A" w:rsidR="008B6F36" w:rsidRDefault="008B6F36" w:rsidP="36FA85B3">
      <w:pPr>
        <w:spacing w:line="360" w:lineRule="auto"/>
        <w:rPr>
          <w:rFonts w:ascii="Comic Sans MS" w:hAnsi="Comic Sans MS"/>
        </w:rPr>
      </w:pPr>
    </w:p>
    <w:p w14:paraId="0BEA7496" w14:textId="10BE0E55" w:rsidR="008B6F36" w:rsidRDefault="008B6F36" w:rsidP="36FA85B3">
      <w:pPr>
        <w:spacing w:line="360" w:lineRule="auto"/>
        <w:rPr>
          <w:rFonts w:ascii="Comic Sans MS" w:hAnsi="Comic Sans MS"/>
        </w:rPr>
      </w:pPr>
    </w:p>
    <w:p w14:paraId="30C4AD38" w14:textId="0FD4384A" w:rsidR="008B6F36" w:rsidRDefault="008B6F36" w:rsidP="36FA85B3">
      <w:pPr>
        <w:spacing w:line="360" w:lineRule="auto"/>
        <w:rPr>
          <w:rFonts w:ascii="Comic Sans MS" w:hAnsi="Comic Sans MS"/>
        </w:rPr>
      </w:pPr>
    </w:p>
    <w:p w14:paraId="25B20C3D" w14:textId="09004E27" w:rsidR="008B6F36" w:rsidRDefault="008B6F36" w:rsidP="36FA85B3">
      <w:pPr>
        <w:spacing w:line="360" w:lineRule="auto"/>
        <w:rPr>
          <w:rFonts w:ascii="Comic Sans MS" w:hAnsi="Comic Sans MS"/>
        </w:rPr>
      </w:pPr>
    </w:p>
    <w:p w14:paraId="302FBFAE" w14:textId="751E5B54" w:rsidR="008B6F36" w:rsidRDefault="008B6F36" w:rsidP="36FA85B3">
      <w:pPr>
        <w:spacing w:line="360" w:lineRule="auto"/>
        <w:rPr>
          <w:rFonts w:ascii="Comic Sans MS" w:hAnsi="Comic Sans MS"/>
        </w:rPr>
      </w:pPr>
    </w:p>
    <w:p w14:paraId="54E99F84" w14:textId="0EE1DE21" w:rsidR="008B6F36" w:rsidRDefault="008B6F36" w:rsidP="36FA85B3">
      <w:pPr>
        <w:spacing w:line="360" w:lineRule="auto"/>
        <w:rPr>
          <w:rFonts w:ascii="Comic Sans MS" w:hAnsi="Comic Sans MS"/>
        </w:rPr>
      </w:pPr>
    </w:p>
    <w:p w14:paraId="160A026B" w14:textId="34852A46" w:rsidR="008B6F36" w:rsidRDefault="008B6F36" w:rsidP="36FA85B3">
      <w:pPr>
        <w:spacing w:line="360" w:lineRule="auto"/>
        <w:rPr>
          <w:rFonts w:ascii="Comic Sans MS" w:hAnsi="Comic Sans MS"/>
        </w:rPr>
      </w:pPr>
    </w:p>
    <w:p w14:paraId="6AD02315" w14:textId="155D4E5B" w:rsidR="008B6F36" w:rsidRDefault="008B6F36" w:rsidP="36FA85B3">
      <w:pPr>
        <w:spacing w:line="360" w:lineRule="auto"/>
        <w:rPr>
          <w:rFonts w:ascii="Comic Sans MS" w:hAnsi="Comic Sans MS"/>
        </w:rPr>
      </w:pPr>
    </w:p>
    <w:p w14:paraId="79B3AA28" w14:textId="2EA7D50C" w:rsidR="008B6F36" w:rsidRDefault="36FA85B3" w:rsidP="36FA85B3">
      <w:pPr>
        <w:spacing w:line="360" w:lineRule="auto"/>
        <w:jc w:val="center"/>
        <w:rPr>
          <w:rFonts w:ascii="Comic Sans MS" w:hAnsi="Comic Sans MS"/>
          <w:b/>
          <w:bCs/>
          <w:u w:val="single"/>
        </w:rPr>
      </w:pPr>
      <w:r w:rsidRPr="36FA85B3">
        <w:rPr>
          <w:rFonts w:ascii="Comic Sans MS" w:hAnsi="Comic Sans MS"/>
          <w:b/>
          <w:bCs/>
          <w:u w:val="single"/>
        </w:rPr>
        <w:t>Reference List</w:t>
      </w:r>
    </w:p>
    <w:p w14:paraId="40B4B20F" w14:textId="5231D5FF" w:rsidR="008B6F36"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Alliance for Inclusive Education, (2020). ‘</w:t>
      </w:r>
      <w:r w:rsidRPr="36FA85B3">
        <w:rPr>
          <w:rFonts w:ascii="Comic Sans MS" w:hAnsi="Comic Sans MS"/>
          <w:i/>
          <w:iCs/>
        </w:rPr>
        <w:t>What is Inclusive Education?</w:t>
      </w:r>
      <w:r w:rsidRPr="36FA85B3">
        <w:rPr>
          <w:rFonts w:ascii="Comic Sans MS" w:hAnsi="Comic Sans MS"/>
        </w:rPr>
        <w:t xml:space="preserve">’ Available at: </w:t>
      </w:r>
      <w:hyperlink r:id="rId21">
        <w:r w:rsidRPr="36FA85B3">
          <w:rPr>
            <w:rStyle w:val="Hyperlink"/>
            <w:rFonts w:ascii="Comic Sans MS" w:hAnsi="Comic Sans MS"/>
          </w:rPr>
          <w:t>https://www.allfie.org.uk/definitions/what-is-inclusive-education/</w:t>
        </w:r>
      </w:hyperlink>
      <w:r w:rsidRPr="36FA85B3">
        <w:rPr>
          <w:rFonts w:ascii="Comic Sans MS" w:hAnsi="Comic Sans MS"/>
        </w:rPr>
        <w:t xml:space="preserve">  Accessed on: 27/04/2025</w:t>
      </w:r>
    </w:p>
    <w:p w14:paraId="4AC7898D" w14:textId="2A1F5D99" w:rsidR="005957B1" w:rsidRPr="008B6F36"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Archer, L., (2010). ‘</w:t>
      </w:r>
      <w:r w:rsidRPr="36FA85B3">
        <w:rPr>
          <w:rFonts w:ascii="Comic Sans MS" w:hAnsi="Comic Sans MS"/>
          <w:i/>
          <w:iCs/>
        </w:rPr>
        <w:t>Race, Ethnicity and Education’</w:t>
      </w:r>
      <w:r w:rsidRPr="36FA85B3">
        <w:rPr>
          <w:rFonts w:ascii="Comic Sans MS" w:hAnsi="Comic Sans MS"/>
        </w:rPr>
        <w:t>. London: Routledge.</w:t>
      </w:r>
    </w:p>
    <w:p w14:paraId="19C417F4" w14:textId="77777777" w:rsidR="002D4CE0" w:rsidRDefault="36FA85B3" w:rsidP="002D4CE0">
      <w:pPr>
        <w:pStyle w:val="ListParagraph"/>
        <w:numPr>
          <w:ilvl w:val="0"/>
          <w:numId w:val="1"/>
        </w:numPr>
        <w:spacing w:line="360" w:lineRule="auto"/>
        <w:rPr>
          <w:rFonts w:ascii="Comic Sans MS" w:hAnsi="Comic Sans MS"/>
        </w:rPr>
      </w:pPr>
      <w:r w:rsidRPr="36FA85B3">
        <w:rPr>
          <w:rFonts w:ascii="Comic Sans MS" w:hAnsi="Comic Sans MS"/>
        </w:rPr>
        <w:t xml:space="preserve">CBBC. (2024) </w:t>
      </w:r>
      <w:r w:rsidRPr="36FA85B3">
        <w:rPr>
          <w:rFonts w:ascii="Comic Sans MS" w:hAnsi="Comic Sans MS"/>
          <w:i/>
          <w:iCs/>
        </w:rPr>
        <w:t xml:space="preserve">‘Newsround- Left-Handers Day: Amazing facts about lefties.’ </w:t>
      </w:r>
      <w:r w:rsidRPr="36FA85B3">
        <w:rPr>
          <w:rFonts w:ascii="Comic Sans MS" w:hAnsi="Comic Sans MS"/>
        </w:rPr>
        <w:t xml:space="preserve">Available at: </w:t>
      </w:r>
      <w:hyperlink r:id="rId22">
        <w:r w:rsidRPr="36FA85B3">
          <w:rPr>
            <w:rStyle w:val="Hyperlink"/>
            <w:rFonts w:ascii="Comic Sans MS" w:hAnsi="Comic Sans MS"/>
          </w:rPr>
          <w:t>https://www.bbc.co.uk/newsround/53739189</w:t>
        </w:r>
      </w:hyperlink>
      <w:r w:rsidRPr="36FA85B3">
        <w:rPr>
          <w:rFonts w:ascii="Comic Sans MS" w:hAnsi="Comic Sans MS"/>
        </w:rPr>
        <w:t xml:space="preserve"> Accessed on: 27/04/2025</w:t>
      </w:r>
      <w:r w:rsidR="002D4CE0" w:rsidRPr="002D4CE0">
        <w:rPr>
          <w:rFonts w:ascii="Comic Sans MS" w:hAnsi="Comic Sans MS"/>
        </w:rPr>
        <w:t xml:space="preserve"> </w:t>
      </w:r>
    </w:p>
    <w:p w14:paraId="15D3D250" w14:textId="22DFFBAC" w:rsidR="00986B39" w:rsidRDefault="002D4CE0" w:rsidP="002D4CE0">
      <w:pPr>
        <w:pStyle w:val="ListParagraph"/>
        <w:numPr>
          <w:ilvl w:val="0"/>
          <w:numId w:val="1"/>
        </w:numPr>
        <w:spacing w:line="360" w:lineRule="auto"/>
        <w:rPr>
          <w:rFonts w:ascii="Comic Sans MS" w:hAnsi="Comic Sans MS"/>
        </w:rPr>
      </w:pPr>
      <w:r w:rsidRPr="36FA85B3">
        <w:rPr>
          <w:rFonts w:ascii="Comic Sans MS" w:hAnsi="Comic Sans MS"/>
        </w:rPr>
        <w:t>Cooper, P. and Jacobs, B., (2011). ‘</w:t>
      </w:r>
      <w:r w:rsidRPr="36FA85B3">
        <w:rPr>
          <w:rFonts w:ascii="Comic Sans MS" w:hAnsi="Comic Sans MS"/>
          <w:i/>
          <w:iCs/>
        </w:rPr>
        <w:t>From Inclusion to Engagement: Helping Students Engage with Schooling through Policy and Practice’</w:t>
      </w:r>
      <w:r w:rsidRPr="36FA85B3">
        <w:rPr>
          <w:rFonts w:ascii="Comic Sans MS" w:hAnsi="Comic Sans MS"/>
        </w:rPr>
        <w:t>. Chichester: Wiley-Blackwell.</w:t>
      </w:r>
    </w:p>
    <w:p w14:paraId="327D6955" w14:textId="69CA5449" w:rsidR="002D4CE0" w:rsidRPr="002D4CE0" w:rsidRDefault="00C37471" w:rsidP="002D4CE0">
      <w:pPr>
        <w:pStyle w:val="ListParagraph"/>
        <w:numPr>
          <w:ilvl w:val="0"/>
          <w:numId w:val="1"/>
        </w:numPr>
        <w:spacing w:line="360" w:lineRule="auto"/>
        <w:rPr>
          <w:rFonts w:ascii="Comic Sans MS" w:hAnsi="Comic Sans MS"/>
        </w:rPr>
      </w:pPr>
      <w:r>
        <w:rPr>
          <w:rFonts w:ascii="Comic Sans MS" w:hAnsi="Comic Sans MS"/>
        </w:rPr>
        <w:t>Corbett-Simmons, J. and Williams, K.</w:t>
      </w:r>
      <w:r w:rsidR="009C1BE1">
        <w:rPr>
          <w:rFonts w:ascii="Comic Sans MS" w:hAnsi="Comic Sans MS"/>
        </w:rPr>
        <w:t xml:space="preserve"> (2025) </w:t>
      </w:r>
      <w:r w:rsidR="009C1BE1">
        <w:rPr>
          <w:rFonts w:ascii="Comic Sans MS" w:hAnsi="Comic Sans MS"/>
          <w:i/>
          <w:iCs/>
        </w:rPr>
        <w:t xml:space="preserve">‘Estyn’s Review of ALN Implementation in Wales.’ Available at: </w:t>
      </w:r>
      <w:hyperlink r:id="rId23" w:history="1">
        <w:r w:rsidR="00E0284B">
          <w:rPr>
            <w:rStyle w:val="Hyperlink"/>
            <w:rFonts w:ascii="Comic Sans MS" w:hAnsi="Comic Sans MS"/>
            <w:i/>
            <w:iCs/>
          </w:rPr>
          <w:t>https://www.blakemorgan.co.uk/estyns-review-of-aln-implementation-in-wales/</w:t>
        </w:r>
      </w:hyperlink>
      <w:r w:rsidR="00E0284B">
        <w:rPr>
          <w:rFonts w:ascii="Comic Sans MS" w:hAnsi="Comic Sans MS"/>
          <w:i/>
          <w:iCs/>
        </w:rPr>
        <w:t xml:space="preserve"> Accessed on: 04/05/2025</w:t>
      </w:r>
    </w:p>
    <w:p w14:paraId="14A10B9B" w14:textId="03F64E56" w:rsidR="00136D6D" w:rsidRDefault="00136D6D" w:rsidP="00136D6D">
      <w:pPr>
        <w:pStyle w:val="ListParagraph"/>
        <w:numPr>
          <w:ilvl w:val="0"/>
          <w:numId w:val="1"/>
        </w:numPr>
        <w:spacing w:line="360" w:lineRule="auto"/>
        <w:rPr>
          <w:rFonts w:ascii="Comic Sans MS" w:hAnsi="Comic Sans MS"/>
        </w:rPr>
      </w:pPr>
      <w:r>
        <w:rPr>
          <w:rFonts w:ascii="Comic Sans MS" w:hAnsi="Comic Sans MS"/>
        </w:rPr>
        <w:t xml:space="preserve">Education Review Office. (2020) </w:t>
      </w:r>
      <w:r>
        <w:rPr>
          <w:rFonts w:ascii="Comic Sans MS" w:hAnsi="Comic Sans MS"/>
          <w:i/>
          <w:iCs/>
        </w:rPr>
        <w:t>‘Let</w:t>
      </w:r>
      <w:r w:rsidR="00580016">
        <w:rPr>
          <w:rFonts w:ascii="Comic Sans MS" w:hAnsi="Comic Sans MS"/>
          <w:i/>
          <w:iCs/>
        </w:rPr>
        <w:t xml:space="preserve">’s talk about it: Review of Relationships and Sexuality Education.’ </w:t>
      </w:r>
      <w:r w:rsidR="00822D28">
        <w:rPr>
          <w:rFonts w:ascii="Comic Sans MS" w:hAnsi="Comic Sans MS"/>
        </w:rPr>
        <w:t xml:space="preserve">Available at: </w:t>
      </w:r>
      <w:hyperlink r:id="rId24" w:history="1">
        <w:r w:rsidR="00822D28">
          <w:rPr>
            <w:rStyle w:val="Hyperlink"/>
            <w:rFonts w:ascii="Comic Sans MS" w:hAnsi="Comic Sans MS"/>
          </w:rPr>
          <w:t>https://www.evidence.ero.govt.nz/documents/let-s-talk-about-it-review-of-relationships-and-sexuality-education</w:t>
        </w:r>
      </w:hyperlink>
      <w:r w:rsidR="00822D28">
        <w:rPr>
          <w:rFonts w:ascii="Comic Sans MS" w:hAnsi="Comic Sans MS"/>
        </w:rPr>
        <w:t xml:space="preserve"> Accessed on: 04/05/2025. </w:t>
      </w:r>
    </w:p>
    <w:p w14:paraId="61020FF3" w14:textId="1A53A269" w:rsidR="00E974B0" w:rsidRDefault="00E974B0" w:rsidP="00136D6D">
      <w:pPr>
        <w:pStyle w:val="ListParagraph"/>
        <w:numPr>
          <w:ilvl w:val="0"/>
          <w:numId w:val="1"/>
        </w:numPr>
        <w:spacing w:line="360" w:lineRule="auto"/>
        <w:rPr>
          <w:rFonts w:ascii="Comic Sans MS" w:hAnsi="Comic Sans MS"/>
        </w:rPr>
      </w:pPr>
      <w:r>
        <w:rPr>
          <w:rFonts w:ascii="Comic Sans MS" w:hAnsi="Comic Sans MS"/>
        </w:rPr>
        <w:t>Employee X</w:t>
      </w:r>
      <w:r w:rsidR="000B67E9">
        <w:rPr>
          <w:rFonts w:ascii="Comic Sans MS" w:hAnsi="Comic Sans MS"/>
        </w:rPr>
        <w:t xml:space="preserve">. Local </w:t>
      </w:r>
      <w:r w:rsidR="00E143C7">
        <w:rPr>
          <w:rFonts w:ascii="Comic Sans MS" w:hAnsi="Comic Sans MS"/>
        </w:rPr>
        <w:t>Authority A. (2025)</w:t>
      </w:r>
      <w:r>
        <w:rPr>
          <w:rFonts w:ascii="Comic Sans MS" w:hAnsi="Comic Sans MS"/>
        </w:rPr>
        <w:t xml:space="preserve"> (</w:t>
      </w:r>
      <w:r w:rsidR="00D5129E">
        <w:rPr>
          <w:rFonts w:ascii="Comic Sans MS" w:hAnsi="Comic Sans MS"/>
        </w:rPr>
        <w:t xml:space="preserve">name and </w:t>
      </w:r>
      <w:r w:rsidR="000B67E9">
        <w:rPr>
          <w:rFonts w:ascii="Comic Sans MS" w:hAnsi="Comic Sans MS"/>
        </w:rPr>
        <w:t xml:space="preserve">LA name redacted in order to maintain confidentiality) </w:t>
      </w:r>
    </w:p>
    <w:p w14:paraId="6F68D37B" w14:textId="4A615FB2" w:rsidR="0026300D" w:rsidRPr="00136D6D" w:rsidRDefault="0026300D" w:rsidP="00136D6D">
      <w:pPr>
        <w:pStyle w:val="ListParagraph"/>
        <w:numPr>
          <w:ilvl w:val="0"/>
          <w:numId w:val="1"/>
        </w:numPr>
        <w:spacing w:line="360" w:lineRule="auto"/>
        <w:rPr>
          <w:rFonts w:ascii="Comic Sans MS" w:hAnsi="Comic Sans MS"/>
        </w:rPr>
      </w:pPr>
      <w:r w:rsidRPr="00136D6D">
        <w:rPr>
          <w:rFonts w:ascii="Comic Sans MS" w:hAnsi="Comic Sans MS"/>
        </w:rPr>
        <w:lastRenderedPageBreak/>
        <w:t xml:space="preserve">Equal Education Partners. </w:t>
      </w:r>
      <w:r w:rsidR="000062F6" w:rsidRPr="00136D6D">
        <w:rPr>
          <w:rFonts w:ascii="Comic Sans MS" w:hAnsi="Comic Sans MS"/>
        </w:rPr>
        <w:t xml:space="preserve">(2023) </w:t>
      </w:r>
      <w:r w:rsidR="000062F6" w:rsidRPr="00136D6D">
        <w:rPr>
          <w:rFonts w:ascii="Comic Sans MS" w:hAnsi="Comic Sans MS"/>
          <w:i/>
          <w:iCs/>
        </w:rPr>
        <w:t>‘Curriculu</w:t>
      </w:r>
      <w:r w:rsidR="00CB29FC" w:rsidRPr="00136D6D">
        <w:rPr>
          <w:rFonts w:ascii="Comic Sans MS" w:hAnsi="Comic Sans MS"/>
          <w:i/>
          <w:iCs/>
        </w:rPr>
        <w:t xml:space="preserve">m for Wales: The Four Purposes.’ </w:t>
      </w:r>
      <w:r w:rsidR="00DB6FE7" w:rsidRPr="00136D6D">
        <w:rPr>
          <w:rFonts w:ascii="Comic Sans MS" w:hAnsi="Comic Sans MS"/>
        </w:rPr>
        <w:t xml:space="preserve">Available at: </w:t>
      </w:r>
      <w:hyperlink r:id="rId25" w:history="1">
        <w:r w:rsidR="00DB6FE7" w:rsidRPr="00136D6D">
          <w:rPr>
            <w:rStyle w:val="Hyperlink"/>
            <w:rFonts w:ascii="Comic Sans MS" w:hAnsi="Comic Sans MS"/>
          </w:rPr>
          <w:t>https://equaleducationpartners.com/blog/curriculum-for-wales-the-four-purposes/</w:t>
        </w:r>
      </w:hyperlink>
      <w:r w:rsidR="00DB6FE7" w:rsidRPr="00136D6D">
        <w:rPr>
          <w:rFonts w:ascii="Comic Sans MS" w:hAnsi="Comic Sans MS"/>
        </w:rPr>
        <w:t xml:space="preserve"> Accessed on: 04/05/2025</w:t>
      </w:r>
    </w:p>
    <w:p w14:paraId="3942E626" w14:textId="69D6C5A2" w:rsidR="00986B39" w:rsidRPr="008B6F36"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Estyn, (2022). ‘</w:t>
      </w:r>
      <w:r w:rsidRPr="36FA85B3">
        <w:rPr>
          <w:rFonts w:ascii="Comic Sans MS" w:hAnsi="Comic Sans MS"/>
          <w:i/>
          <w:iCs/>
        </w:rPr>
        <w:t>Promoting equality, diversity and inclusion in education and training</w:t>
      </w:r>
      <w:r w:rsidRPr="36FA85B3">
        <w:rPr>
          <w:rFonts w:ascii="Comic Sans MS" w:hAnsi="Comic Sans MS"/>
        </w:rPr>
        <w:t xml:space="preserve">.’ Available at: </w:t>
      </w:r>
      <w:hyperlink r:id="rId26">
        <w:r w:rsidRPr="36FA85B3">
          <w:rPr>
            <w:rStyle w:val="Hyperlink"/>
            <w:rFonts w:ascii="Comic Sans MS" w:hAnsi="Comic Sans MS"/>
          </w:rPr>
          <w:t>https://www.estyn.gov.wales/thematic-report/promoting-equality-diversity-and-inclusion-education-and-training</w:t>
        </w:r>
      </w:hyperlink>
      <w:r w:rsidRPr="36FA85B3">
        <w:rPr>
          <w:rFonts w:ascii="Comic Sans MS" w:hAnsi="Comic Sans MS"/>
        </w:rPr>
        <w:t xml:space="preserve"> Accessed on: 27/04/2025</w:t>
      </w:r>
    </w:p>
    <w:p w14:paraId="6F1FCB61" w14:textId="412D11FA" w:rsidR="008B6F36" w:rsidRPr="0026300D" w:rsidRDefault="36FA85B3" w:rsidP="0026300D">
      <w:pPr>
        <w:pStyle w:val="ListParagraph"/>
        <w:numPr>
          <w:ilvl w:val="0"/>
          <w:numId w:val="1"/>
        </w:numPr>
        <w:spacing w:line="360" w:lineRule="auto"/>
        <w:rPr>
          <w:rFonts w:ascii="Comic Sans MS" w:hAnsi="Comic Sans MS"/>
        </w:rPr>
      </w:pPr>
      <w:r w:rsidRPr="0026300D">
        <w:rPr>
          <w:rFonts w:ascii="Comic Sans MS" w:hAnsi="Comic Sans MS"/>
        </w:rPr>
        <w:t>European Agency for Special Needs and Inclusive Education, (2015). ‘</w:t>
      </w:r>
      <w:r w:rsidRPr="0026300D">
        <w:rPr>
          <w:rFonts w:ascii="Comic Sans MS" w:hAnsi="Comic Sans MS"/>
          <w:i/>
          <w:iCs/>
        </w:rPr>
        <w:t>Agency Position on Inclusive Education’</w:t>
      </w:r>
      <w:r w:rsidRPr="0026300D">
        <w:rPr>
          <w:rFonts w:ascii="Comic Sans MS" w:hAnsi="Comic Sans MS"/>
        </w:rPr>
        <w:t>. Odense, Denmark: European Agency for Special Needs and Inclusive Education.</w:t>
      </w:r>
    </w:p>
    <w:p w14:paraId="13BD75EF" w14:textId="248B77EB" w:rsidR="00986B39"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Florian, L. and Black-Hawkins, K., (2011). ‘</w:t>
      </w:r>
      <w:r w:rsidRPr="36FA85B3">
        <w:rPr>
          <w:rFonts w:ascii="Comic Sans MS" w:hAnsi="Comic Sans MS"/>
          <w:i/>
          <w:iCs/>
        </w:rPr>
        <w:t>Exploring inclusive pedagogy</w:t>
      </w:r>
      <w:r w:rsidRPr="36FA85B3">
        <w:rPr>
          <w:rFonts w:ascii="Comic Sans MS" w:hAnsi="Comic Sans MS"/>
        </w:rPr>
        <w:t>. British Educational Research Journal’, 37(5), pp.813-828.</w:t>
      </w:r>
    </w:p>
    <w:p w14:paraId="31CA3197" w14:textId="1F8A1454" w:rsidR="008B6F36" w:rsidRPr="008B6F36"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Gilbert Ward Academy, (2024). ‘</w:t>
      </w:r>
      <w:r w:rsidRPr="36FA85B3">
        <w:rPr>
          <w:rFonts w:ascii="Comic Sans MS" w:hAnsi="Comic Sans MS"/>
          <w:i/>
          <w:iCs/>
        </w:rPr>
        <w:t>Three Tiered Approach’</w:t>
      </w:r>
      <w:r w:rsidRPr="36FA85B3">
        <w:rPr>
          <w:rFonts w:ascii="Comic Sans MS" w:hAnsi="Comic Sans MS"/>
        </w:rPr>
        <w:t xml:space="preserve">. Available at: </w:t>
      </w:r>
      <w:hyperlink r:id="rId27">
        <w:r w:rsidRPr="36FA85B3">
          <w:rPr>
            <w:rStyle w:val="Hyperlink"/>
            <w:rFonts w:ascii="Comic Sans MS" w:hAnsi="Comic Sans MS"/>
          </w:rPr>
          <w:t>https://www.gilbertwardacademy.co.uk/202/three-tiered-approach</w:t>
        </w:r>
      </w:hyperlink>
      <w:r w:rsidRPr="36FA85B3">
        <w:rPr>
          <w:rFonts w:ascii="Comic Sans MS" w:hAnsi="Comic Sans MS"/>
        </w:rPr>
        <w:t xml:space="preserve"> Accessed on: 27/04/2025</w:t>
      </w:r>
    </w:p>
    <w:p w14:paraId="34DD3051" w14:textId="1A0066F8" w:rsidR="008B6F36" w:rsidRPr="008B6F36"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Gravells, A., (2008). ‘</w:t>
      </w:r>
      <w:r w:rsidRPr="36FA85B3">
        <w:rPr>
          <w:rFonts w:ascii="Comic Sans MS" w:hAnsi="Comic Sans MS"/>
          <w:i/>
          <w:iCs/>
        </w:rPr>
        <w:t>Preparing to Teach in the Lifelong Learning Sector’</w:t>
      </w:r>
      <w:r w:rsidRPr="36FA85B3">
        <w:rPr>
          <w:rFonts w:ascii="Comic Sans MS" w:hAnsi="Comic Sans MS"/>
        </w:rPr>
        <w:t>. 2nd ed. Exeter: Learning Matters Ltd.</w:t>
      </w:r>
    </w:p>
    <w:p w14:paraId="249371B0" w14:textId="614F91C5" w:rsidR="008B6F36" w:rsidRDefault="36FA85B3" w:rsidP="36FA85B3">
      <w:pPr>
        <w:pStyle w:val="ListParagraph"/>
        <w:numPr>
          <w:ilvl w:val="0"/>
          <w:numId w:val="1"/>
        </w:numPr>
        <w:spacing w:line="360" w:lineRule="auto"/>
        <w:rPr>
          <w:rFonts w:ascii="Comic Sans MS" w:hAnsi="Comic Sans MS"/>
        </w:rPr>
      </w:pPr>
      <w:proofErr w:type="spellStart"/>
      <w:r w:rsidRPr="36FA85B3">
        <w:rPr>
          <w:rFonts w:ascii="Comic Sans MS" w:hAnsi="Comic Sans MS"/>
        </w:rPr>
        <w:t>Kamenopoulou</w:t>
      </w:r>
      <w:proofErr w:type="spellEnd"/>
      <w:r w:rsidRPr="36FA85B3">
        <w:rPr>
          <w:rFonts w:ascii="Comic Sans MS" w:hAnsi="Comic Sans MS"/>
        </w:rPr>
        <w:t>, L. and Dukpa, D., (2017). ‘</w:t>
      </w:r>
      <w:r w:rsidRPr="36FA85B3">
        <w:rPr>
          <w:rFonts w:ascii="Comic Sans MS" w:hAnsi="Comic Sans MS"/>
          <w:i/>
          <w:iCs/>
        </w:rPr>
        <w:t>Inclusive Education: Perspectives on pedagogy, policy and practice’</w:t>
      </w:r>
      <w:r w:rsidRPr="36FA85B3">
        <w:rPr>
          <w:rFonts w:ascii="Comic Sans MS" w:hAnsi="Comic Sans MS"/>
        </w:rPr>
        <w:t>. London: Bloomsbury Academic.</w:t>
      </w:r>
    </w:p>
    <w:p w14:paraId="0B56345E" w14:textId="117A91F4" w:rsidR="00986B39"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Mroz, M. and Hall, E., (2003). ‘</w:t>
      </w:r>
      <w:r w:rsidRPr="36FA85B3">
        <w:rPr>
          <w:rFonts w:ascii="Comic Sans MS" w:hAnsi="Comic Sans MS"/>
          <w:i/>
          <w:iCs/>
        </w:rPr>
        <w:t>Not yet identified: talking tins support for extended writing tasks’.</w:t>
      </w:r>
      <w:r w:rsidRPr="36FA85B3">
        <w:rPr>
          <w:rFonts w:ascii="Comic Sans MS" w:hAnsi="Comic Sans MS"/>
        </w:rPr>
        <w:t xml:space="preserve"> [Unpublished use based on educational practice]</w:t>
      </w:r>
    </w:p>
    <w:p w14:paraId="5D5EA5E7" w14:textId="3F48F444" w:rsidR="00852C78" w:rsidRDefault="00852C78" w:rsidP="36FA85B3">
      <w:pPr>
        <w:pStyle w:val="ListParagraph"/>
        <w:numPr>
          <w:ilvl w:val="0"/>
          <w:numId w:val="1"/>
        </w:numPr>
        <w:spacing w:line="360" w:lineRule="auto"/>
        <w:rPr>
          <w:rFonts w:ascii="Comic Sans MS" w:hAnsi="Comic Sans MS"/>
        </w:rPr>
      </w:pPr>
      <w:r>
        <w:rPr>
          <w:rFonts w:ascii="Comic Sans MS" w:hAnsi="Comic Sans MS"/>
        </w:rPr>
        <w:t xml:space="preserve">Naidoo, J. </w:t>
      </w:r>
      <w:r w:rsidR="00D16911">
        <w:rPr>
          <w:rFonts w:ascii="Comic Sans MS" w:hAnsi="Comic Sans MS"/>
        </w:rPr>
        <w:t xml:space="preserve">(2012) </w:t>
      </w:r>
      <w:r w:rsidR="00D16911">
        <w:rPr>
          <w:rFonts w:ascii="Comic Sans MS" w:hAnsi="Comic Sans MS"/>
          <w:i/>
          <w:iCs/>
        </w:rPr>
        <w:t xml:space="preserve">Teacher reflection: The use of visual tools in mathematics classrooms.’ </w:t>
      </w:r>
      <w:r w:rsidR="00D16911">
        <w:rPr>
          <w:rFonts w:ascii="Comic Sans MS" w:hAnsi="Comic Sans MS"/>
        </w:rPr>
        <w:t xml:space="preserve">Available at: </w:t>
      </w:r>
      <w:hyperlink r:id="rId28" w:history="1">
        <w:r w:rsidR="002C2188">
          <w:rPr>
            <w:rStyle w:val="Hyperlink"/>
            <w:rFonts w:ascii="Comic Sans MS" w:hAnsi="Comic Sans MS"/>
          </w:rPr>
          <w:t>https://www.researchgate.net/publication/272644738_Teacher_reflection_The_use_of_visual_tools_in_mathematics_classrooms</w:t>
        </w:r>
      </w:hyperlink>
      <w:r w:rsidR="002C2188">
        <w:rPr>
          <w:rFonts w:ascii="Comic Sans MS" w:hAnsi="Comic Sans MS"/>
        </w:rPr>
        <w:t xml:space="preserve"> Accessed on: 04/05/2025</w:t>
      </w:r>
      <w:r w:rsidR="00E0400C">
        <w:rPr>
          <w:rFonts w:ascii="Comic Sans MS" w:hAnsi="Comic Sans MS"/>
        </w:rPr>
        <w:t>.</w:t>
      </w:r>
    </w:p>
    <w:p w14:paraId="7584C662" w14:textId="48E4A1B3" w:rsidR="00E0400C" w:rsidRDefault="00E0400C" w:rsidP="36FA85B3">
      <w:pPr>
        <w:pStyle w:val="ListParagraph"/>
        <w:numPr>
          <w:ilvl w:val="0"/>
          <w:numId w:val="1"/>
        </w:numPr>
        <w:spacing w:line="360" w:lineRule="auto"/>
        <w:rPr>
          <w:rFonts w:ascii="Comic Sans MS" w:hAnsi="Comic Sans MS"/>
        </w:rPr>
      </w:pPr>
      <w:r>
        <w:rPr>
          <w:rFonts w:ascii="Comic Sans MS" w:hAnsi="Comic Sans MS"/>
        </w:rPr>
        <w:lastRenderedPageBreak/>
        <w:t xml:space="preserve">Nation Council for Special Needs. (2024) </w:t>
      </w:r>
      <w:r>
        <w:rPr>
          <w:rFonts w:ascii="Comic Sans MS" w:hAnsi="Comic Sans MS"/>
          <w:i/>
          <w:iCs/>
        </w:rPr>
        <w:t>‘Visual Supports within an Inclusive Learning Environment</w:t>
      </w:r>
      <w:r w:rsidR="00E3354C">
        <w:rPr>
          <w:rFonts w:ascii="Comic Sans MS" w:hAnsi="Comic Sans MS"/>
          <w:i/>
          <w:iCs/>
        </w:rPr>
        <w:t xml:space="preserve">.’ </w:t>
      </w:r>
      <w:r w:rsidR="00E3354C">
        <w:rPr>
          <w:rFonts w:ascii="Comic Sans MS" w:hAnsi="Comic Sans MS"/>
        </w:rPr>
        <w:t xml:space="preserve">Available at: </w:t>
      </w:r>
      <w:hyperlink r:id="rId29" w:history="1">
        <w:r w:rsidR="00E3354C">
          <w:rPr>
            <w:rStyle w:val="Hyperlink"/>
            <w:rFonts w:ascii="Comic Sans MS" w:hAnsi="Comic Sans MS"/>
          </w:rPr>
          <w:t>https://ncse.ie/wp-content/uploads/2024/10/NCSE-Visual-Supports-Environment-Resource-01.pdf?utm_source=chatgpt.com</w:t>
        </w:r>
      </w:hyperlink>
      <w:r w:rsidR="00E3354C">
        <w:rPr>
          <w:rFonts w:ascii="Comic Sans MS" w:hAnsi="Comic Sans MS"/>
        </w:rPr>
        <w:t xml:space="preserve"> Accessed on: 04/05/2025</w:t>
      </w:r>
      <w:r w:rsidR="00796974">
        <w:rPr>
          <w:rFonts w:ascii="Comic Sans MS" w:hAnsi="Comic Sans MS"/>
        </w:rPr>
        <w:t>.</w:t>
      </w:r>
    </w:p>
    <w:p w14:paraId="4F9FC068" w14:textId="468E54F9" w:rsidR="00986B39"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 xml:space="preserve">Nationwide Disability Representatives. (2025) </w:t>
      </w:r>
      <w:r w:rsidRPr="36FA85B3">
        <w:rPr>
          <w:rFonts w:ascii="Comic Sans MS" w:hAnsi="Comic Sans MS"/>
          <w:i/>
          <w:iCs/>
        </w:rPr>
        <w:t xml:space="preserve">‘Is being left-handed a disability?’ </w:t>
      </w:r>
      <w:r w:rsidRPr="36FA85B3">
        <w:rPr>
          <w:rFonts w:ascii="Comic Sans MS" w:hAnsi="Comic Sans MS"/>
        </w:rPr>
        <w:t xml:space="preserve">Available at: </w:t>
      </w:r>
      <w:hyperlink r:id="rId30">
        <w:r w:rsidRPr="36FA85B3">
          <w:rPr>
            <w:rStyle w:val="Hyperlink"/>
            <w:rFonts w:ascii="Comic Sans MS" w:hAnsi="Comic Sans MS"/>
          </w:rPr>
          <w:t>https://www.nationwidedisabilityrepresentatives.com/blog/is-being-left-handed-a-disability/</w:t>
        </w:r>
      </w:hyperlink>
      <w:r w:rsidRPr="36FA85B3">
        <w:rPr>
          <w:rFonts w:ascii="Comic Sans MS" w:hAnsi="Comic Sans MS"/>
        </w:rPr>
        <w:t xml:space="preserve"> Accessed on: 27/04/2025</w:t>
      </w:r>
    </w:p>
    <w:p w14:paraId="3004ACD5" w14:textId="7636DB7F" w:rsidR="00986B39" w:rsidRPr="008B6F36"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Ot-Mom Learning Activities, (2024). ‘</w:t>
      </w:r>
      <w:r w:rsidRPr="36FA85B3">
        <w:rPr>
          <w:rFonts w:ascii="Comic Sans MS" w:hAnsi="Comic Sans MS"/>
          <w:i/>
          <w:iCs/>
        </w:rPr>
        <w:t>Helping Left Handed Kids</w:t>
      </w:r>
      <w:r w:rsidRPr="36FA85B3">
        <w:rPr>
          <w:rFonts w:ascii="Comic Sans MS" w:hAnsi="Comic Sans MS"/>
        </w:rPr>
        <w:t xml:space="preserve">.’ Available at: </w:t>
      </w:r>
      <w:hyperlink r:id="rId31">
        <w:r w:rsidRPr="36FA85B3">
          <w:rPr>
            <w:rStyle w:val="Hyperlink"/>
            <w:rFonts w:ascii="Comic Sans MS" w:hAnsi="Comic Sans MS"/>
          </w:rPr>
          <w:t>https://www.ot-mom-learning-activities.com/left-handed-kids.html</w:t>
        </w:r>
      </w:hyperlink>
      <w:r w:rsidRPr="36FA85B3">
        <w:rPr>
          <w:rFonts w:ascii="Comic Sans MS" w:hAnsi="Comic Sans MS"/>
        </w:rPr>
        <w:t xml:space="preserve"> Accessed on: 27/04/2025</w:t>
      </w:r>
    </w:p>
    <w:p w14:paraId="477D33BF" w14:textId="439AC74E" w:rsidR="008B6F36"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QIA (Quality Improvement Agency), (2008). ‘</w:t>
      </w:r>
      <w:r w:rsidRPr="36FA85B3">
        <w:rPr>
          <w:rFonts w:ascii="Comic Sans MS" w:hAnsi="Comic Sans MS"/>
          <w:i/>
          <w:iCs/>
        </w:rPr>
        <w:t>Differentiation in Teaching and Learning’</w:t>
      </w:r>
      <w:r w:rsidRPr="36FA85B3">
        <w:rPr>
          <w:rFonts w:ascii="Comic Sans MS" w:hAnsi="Comic Sans MS"/>
        </w:rPr>
        <w:t xml:space="preserve">. Available at: </w:t>
      </w:r>
      <w:hyperlink r:id="rId32">
        <w:r w:rsidRPr="36FA85B3">
          <w:rPr>
            <w:rStyle w:val="Hyperlink"/>
            <w:rFonts w:ascii="Comic Sans MS" w:hAnsi="Comic Sans MS"/>
          </w:rPr>
          <w:t>https://qia.org.uk/aboutus/is.html</w:t>
        </w:r>
      </w:hyperlink>
      <w:r w:rsidRPr="36FA85B3">
        <w:rPr>
          <w:rFonts w:ascii="Comic Sans MS" w:hAnsi="Comic Sans MS"/>
        </w:rPr>
        <w:t xml:space="preserve"> Accessed on: 27/04/2025</w:t>
      </w:r>
    </w:p>
    <w:p w14:paraId="6C3ABB86" w14:textId="21D35BC5" w:rsidR="00986B39" w:rsidRPr="008B6F36"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Royal National Institute of Blind People (RNIB), (2016). ‘</w:t>
      </w:r>
      <w:r w:rsidRPr="36FA85B3">
        <w:rPr>
          <w:rFonts w:ascii="Comic Sans MS" w:hAnsi="Comic Sans MS"/>
          <w:i/>
          <w:iCs/>
        </w:rPr>
        <w:t>Making reading accessible for blind and partially sighted people’</w:t>
      </w:r>
      <w:r w:rsidRPr="36FA85B3">
        <w:rPr>
          <w:rFonts w:ascii="Comic Sans MS" w:hAnsi="Comic Sans MS"/>
        </w:rPr>
        <w:t xml:space="preserve">. Available at: </w:t>
      </w:r>
      <w:hyperlink r:id="rId33">
        <w:r w:rsidRPr="36FA85B3">
          <w:rPr>
            <w:rStyle w:val="Hyperlink"/>
            <w:rFonts w:ascii="Comic Sans MS" w:hAnsi="Comic Sans MS"/>
          </w:rPr>
          <w:t>https://www.rnib.org.uk</w:t>
        </w:r>
      </w:hyperlink>
      <w:r w:rsidRPr="36FA85B3">
        <w:rPr>
          <w:rFonts w:ascii="Comic Sans MS" w:hAnsi="Comic Sans MS"/>
        </w:rPr>
        <w:t xml:space="preserve"> Accessed on: 27/04/2025</w:t>
      </w:r>
    </w:p>
    <w:p w14:paraId="2936F2D1" w14:textId="52C33EFF" w:rsidR="008B6F36" w:rsidRPr="008B6F36"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United Nations Educational, Scientific and Cultural Organization (UNESCO) International Bureau of Education, (2009). ‘</w:t>
      </w:r>
      <w:r w:rsidRPr="36FA85B3">
        <w:rPr>
          <w:rFonts w:ascii="Comic Sans MS" w:hAnsi="Comic Sans MS"/>
          <w:i/>
          <w:iCs/>
        </w:rPr>
        <w:t>Inclusive Education: The Way of the Future’</w:t>
      </w:r>
      <w:r w:rsidRPr="36FA85B3">
        <w:rPr>
          <w:rFonts w:ascii="Comic Sans MS" w:hAnsi="Comic Sans MS"/>
        </w:rPr>
        <w:t>. Geneva: UNESCO IBE.</w:t>
      </w:r>
    </w:p>
    <w:p w14:paraId="3C0DF9E4" w14:textId="182C755A" w:rsidR="008B6F36"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 xml:space="preserve">Welsh Government, 2018. </w:t>
      </w:r>
      <w:r w:rsidRPr="36FA85B3">
        <w:rPr>
          <w:rFonts w:ascii="Comic Sans MS" w:hAnsi="Comic Sans MS"/>
          <w:i/>
          <w:iCs/>
        </w:rPr>
        <w:t>Additional Learning Needs and Education Tribunal (Wales) Act 2018</w:t>
      </w:r>
      <w:r w:rsidRPr="36FA85B3">
        <w:rPr>
          <w:rFonts w:ascii="Comic Sans MS" w:hAnsi="Comic Sans MS"/>
        </w:rPr>
        <w:t xml:space="preserve">. Available at: </w:t>
      </w:r>
      <w:hyperlink r:id="rId34">
        <w:r w:rsidRPr="36FA85B3">
          <w:rPr>
            <w:rStyle w:val="Hyperlink"/>
            <w:rFonts w:ascii="Comic Sans MS" w:hAnsi="Comic Sans MS"/>
          </w:rPr>
          <w:t>https://www.gov.wales/additional-learning-needs-code-and-regulations-childrens-rights-impact-assessment-html</w:t>
        </w:r>
      </w:hyperlink>
      <w:r w:rsidRPr="36FA85B3">
        <w:rPr>
          <w:rFonts w:ascii="Comic Sans MS" w:hAnsi="Comic Sans MS"/>
        </w:rPr>
        <w:t xml:space="preserve">  Accessed on: 27/04/2025</w:t>
      </w:r>
      <w:r w:rsidR="001F7F59">
        <w:rPr>
          <w:rFonts w:ascii="Comic Sans MS" w:hAnsi="Comic Sans MS"/>
        </w:rPr>
        <w:t>.</w:t>
      </w:r>
    </w:p>
    <w:p w14:paraId="6DE8FA34" w14:textId="741E2BD9" w:rsidR="001F7F59" w:rsidRDefault="001F7F59" w:rsidP="36FA85B3">
      <w:pPr>
        <w:pStyle w:val="ListParagraph"/>
        <w:numPr>
          <w:ilvl w:val="0"/>
          <w:numId w:val="1"/>
        </w:numPr>
        <w:spacing w:line="360" w:lineRule="auto"/>
        <w:rPr>
          <w:rFonts w:ascii="Comic Sans MS" w:hAnsi="Comic Sans MS"/>
        </w:rPr>
      </w:pPr>
      <w:r>
        <w:rPr>
          <w:rFonts w:ascii="Comic Sans MS" w:hAnsi="Comic Sans MS"/>
        </w:rPr>
        <w:t xml:space="preserve">Welsh Government (2020) </w:t>
      </w:r>
      <w:r>
        <w:rPr>
          <w:rFonts w:ascii="Comic Sans MS" w:hAnsi="Comic Sans MS"/>
          <w:i/>
          <w:iCs/>
        </w:rPr>
        <w:t xml:space="preserve">‘The additional learning needs transformation programme: frequently asked questions.’ </w:t>
      </w:r>
      <w:r w:rsidR="00CF6B9E">
        <w:rPr>
          <w:rFonts w:ascii="Comic Sans MS" w:hAnsi="Comic Sans MS"/>
        </w:rPr>
        <w:t xml:space="preserve">Available at: </w:t>
      </w:r>
      <w:hyperlink r:id="rId35" w:history="1">
        <w:r w:rsidR="00CF6B9E">
          <w:rPr>
            <w:rStyle w:val="Hyperlink"/>
            <w:rFonts w:ascii="Comic Sans MS" w:hAnsi="Comic Sans MS"/>
          </w:rPr>
          <w:t>https://www.gov.wales/additional-learning-needs-transformation-programme-frequently-asked-questions-html</w:t>
        </w:r>
      </w:hyperlink>
      <w:r w:rsidR="00CF6B9E">
        <w:rPr>
          <w:rFonts w:ascii="Comic Sans MS" w:hAnsi="Comic Sans MS"/>
        </w:rPr>
        <w:t xml:space="preserve"> Accessed on: 04/05/2025.</w:t>
      </w:r>
    </w:p>
    <w:p w14:paraId="2366172C" w14:textId="0FEEFAC3" w:rsidR="00184B46" w:rsidRDefault="00184B46" w:rsidP="36FA85B3">
      <w:pPr>
        <w:pStyle w:val="ListParagraph"/>
        <w:numPr>
          <w:ilvl w:val="0"/>
          <w:numId w:val="1"/>
        </w:numPr>
        <w:spacing w:line="360" w:lineRule="auto"/>
        <w:rPr>
          <w:rFonts w:ascii="Comic Sans MS" w:hAnsi="Comic Sans MS"/>
        </w:rPr>
      </w:pPr>
      <w:r>
        <w:rPr>
          <w:rFonts w:ascii="Comic Sans MS" w:hAnsi="Comic Sans MS"/>
        </w:rPr>
        <w:lastRenderedPageBreak/>
        <w:t xml:space="preserve">Welsh Government. (2022) </w:t>
      </w:r>
      <w:r>
        <w:rPr>
          <w:rFonts w:ascii="Comic Sans MS" w:hAnsi="Comic Sans MS"/>
          <w:i/>
          <w:iCs/>
        </w:rPr>
        <w:t>Curriculum for Wales</w:t>
      </w:r>
      <w:r w:rsidR="003C3619">
        <w:rPr>
          <w:rFonts w:ascii="Comic Sans MS" w:hAnsi="Comic Sans MS"/>
          <w:i/>
          <w:iCs/>
        </w:rPr>
        <w:t xml:space="preserve">: Cross-cutting themes for designing your curriculum.’ </w:t>
      </w:r>
      <w:r w:rsidR="00751679">
        <w:rPr>
          <w:rFonts w:ascii="Comic Sans MS" w:hAnsi="Comic Sans MS"/>
        </w:rPr>
        <w:t xml:space="preserve">Available at: </w:t>
      </w:r>
      <w:hyperlink r:id="rId36" w:history="1">
        <w:r w:rsidR="00751679">
          <w:rPr>
            <w:rStyle w:val="Hyperlink"/>
            <w:rFonts w:ascii="Comic Sans MS" w:hAnsi="Comic Sans MS"/>
          </w:rPr>
          <w:t>https://hwb.gov.wales/curriculum-for-wales/designing-your-curriculum/cross-cutting-themes-for-designing-your-curriculum</w:t>
        </w:r>
      </w:hyperlink>
      <w:r w:rsidR="00751679">
        <w:rPr>
          <w:rFonts w:ascii="Comic Sans MS" w:hAnsi="Comic Sans MS"/>
        </w:rPr>
        <w:t xml:space="preserve"> Accessed on: 04/05/2025.</w:t>
      </w:r>
    </w:p>
    <w:p w14:paraId="6D1AF507" w14:textId="1CF89745" w:rsidR="00986B39" w:rsidRPr="008B6F36"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 xml:space="preserve">Welsh Government (2024). </w:t>
      </w:r>
      <w:r w:rsidRPr="36FA85B3">
        <w:rPr>
          <w:rFonts w:ascii="Comic Sans MS" w:hAnsi="Comic Sans MS"/>
          <w:i/>
          <w:iCs/>
        </w:rPr>
        <w:t xml:space="preserve">‘Schools’ census results: January 2024,’ </w:t>
      </w:r>
      <w:r w:rsidRPr="36FA85B3">
        <w:rPr>
          <w:rFonts w:ascii="Comic Sans MS" w:hAnsi="Comic Sans MS"/>
        </w:rPr>
        <w:t xml:space="preserve">Available at: </w:t>
      </w:r>
      <w:hyperlink r:id="rId37" w:anchor="150569">
        <w:r w:rsidRPr="36FA85B3">
          <w:rPr>
            <w:rStyle w:val="Hyperlink"/>
            <w:rFonts w:ascii="Comic Sans MS" w:hAnsi="Comic Sans MS"/>
          </w:rPr>
          <w:t>https://www.gov.wales/schools-census-results-january-2024-html#150569</w:t>
        </w:r>
      </w:hyperlink>
      <w:r w:rsidRPr="36FA85B3">
        <w:rPr>
          <w:rFonts w:ascii="Comic Sans MS" w:hAnsi="Comic Sans MS"/>
        </w:rPr>
        <w:t xml:space="preserve"> Accessed on: 27/04/2025</w:t>
      </w:r>
    </w:p>
    <w:p w14:paraId="41723DAB" w14:textId="0936F51E" w:rsidR="008B6F36" w:rsidRPr="008B6F36" w:rsidRDefault="36FA85B3" w:rsidP="36FA85B3">
      <w:pPr>
        <w:pStyle w:val="ListParagraph"/>
        <w:numPr>
          <w:ilvl w:val="0"/>
          <w:numId w:val="1"/>
        </w:numPr>
        <w:spacing w:line="360" w:lineRule="auto"/>
        <w:rPr>
          <w:rFonts w:ascii="Comic Sans MS" w:hAnsi="Comic Sans MS"/>
        </w:rPr>
      </w:pPr>
      <w:r w:rsidRPr="36FA85B3">
        <w:rPr>
          <w:rFonts w:ascii="Comic Sans MS" w:hAnsi="Comic Sans MS"/>
        </w:rPr>
        <w:t xml:space="preserve">Woolfe, T., Herman, R., Roy, P. and Woll, B., (2002). ‘Early vocabulary development in deaf native signers: A British Sign Language adaptation of the Communicative Development Inventories’. </w:t>
      </w:r>
      <w:r w:rsidRPr="36FA85B3">
        <w:rPr>
          <w:rFonts w:ascii="Comic Sans MS" w:hAnsi="Comic Sans MS"/>
          <w:i/>
          <w:iCs/>
        </w:rPr>
        <w:t>Journal of Child Psychology and Psychiatry</w:t>
      </w:r>
      <w:r w:rsidRPr="36FA85B3">
        <w:rPr>
          <w:rFonts w:ascii="Comic Sans MS" w:hAnsi="Comic Sans MS"/>
        </w:rPr>
        <w:t>, 43(5), pp. 609–618.</w:t>
      </w:r>
    </w:p>
    <w:sectPr w:rsidR="008B6F36" w:rsidRPr="008B6F36">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1FE9DF" w14:textId="77777777" w:rsidR="004C6FCE" w:rsidRDefault="004C6FCE" w:rsidP="004C6FCE">
      <w:pPr>
        <w:spacing w:after="0" w:line="240" w:lineRule="auto"/>
      </w:pPr>
      <w:r>
        <w:separator/>
      </w:r>
    </w:p>
  </w:endnote>
  <w:endnote w:type="continuationSeparator" w:id="0">
    <w:p w14:paraId="51C65986" w14:textId="77777777" w:rsidR="004C6FCE" w:rsidRDefault="004C6FCE" w:rsidP="004C6F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6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37F269" w14:textId="77777777" w:rsidR="004C6FCE" w:rsidRPr="00D03103" w:rsidRDefault="004C6FCE" w:rsidP="004C6FCE">
    <w:pPr>
      <w:pStyle w:val="Footer"/>
      <w:rPr>
        <w:rFonts w:ascii="Comic Sans MS" w:hAnsi="Comic Sans MS"/>
      </w:rPr>
    </w:pPr>
    <w:r w:rsidRPr="006A7485">
      <w:rPr>
        <w:rFonts w:ascii="Comic Sans MS" w:hAnsi="Comic Sans MS"/>
      </w:rPr>
      <w:t>By: Kelly-May Hughes                                                       Student No: 2307664</w:t>
    </w:r>
  </w:p>
  <w:p w14:paraId="2BBB859B" w14:textId="77777777" w:rsidR="004C6FCE" w:rsidRDefault="004C6F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AE765" w14:textId="77777777" w:rsidR="004C6FCE" w:rsidRDefault="004C6FCE" w:rsidP="004C6FCE">
      <w:pPr>
        <w:spacing w:after="0" w:line="240" w:lineRule="auto"/>
      </w:pPr>
      <w:r>
        <w:separator/>
      </w:r>
    </w:p>
  </w:footnote>
  <w:footnote w:type="continuationSeparator" w:id="0">
    <w:p w14:paraId="59D1AA5F" w14:textId="77777777" w:rsidR="004C6FCE" w:rsidRDefault="004C6FCE" w:rsidP="004C6F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15EEBF" w14:textId="38247B86" w:rsidR="004C6FCE" w:rsidRDefault="004C6FCE">
    <w:pPr>
      <w:pStyle w:val="Header"/>
    </w:pPr>
    <w:r>
      <w:rPr>
        <w:noProof/>
      </w:rPr>
      <w:drawing>
        <wp:anchor distT="0" distB="0" distL="114300" distR="114300" simplePos="0" relativeHeight="251659264" behindDoc="0" locked="0" layoutInCell="1" allowOverlap="1" wp14:anchorId="6AA38850" wp14:editId="37191A4E">
          <wp:simplePos x="0" y="0"/>
          <wp:positionH relativeFrom="page">
            <wp:align>right</wp:align>
          </wp:positionH>
          <wp:positionV relativeFrom="paragraph">
            <wp:posOffset>-448310</wp:posOffset>
          </wp:positionV>
          <wp:extent cx="7575688" cy="628650"/>
          <wp:effectExtent l="0" t="0" r="6350" b="0"/>
          <wp:wrapNone/>
          <wp:docPr id="1869460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460005" name="Picture 1869460005"/>
                  <pic:cNvPicPr/>
                </pic:nvPicPr>
                <pic:blipFill>
                  <a:blip r:embed="rId1">
                    <a:extLst>
                      <a:ext uri="{28A0092B-C50C-407E-A947-70E740481C1C}">
                        <a14:useLocalDpi xmlns:a14="http://schemas.microsoft.com/office/drawing/2010/main" val="0"/>
                      </a:ext>
                    </a:extLst>
                  </a:blip>
                  <a:stretch>
                    <a:fillRect/>
                  </a:stretch>
                </pic:blipFill>
                <pic:spPr>
                  <a:xfrm>
                    <a:off x="0" y="0"/>
                    <a:ext cx="7575688" cy="6286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B51A28"/>
    <w:multiLevelType w:val="hybridMultilevel"/>
    <w:tmpl w:val="6C4E6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4598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FCE"/>
    <w:rsid w:val="000062F6"/>
    <w:rsid w:val="00006BD1"/>
    <w:rsid w:val="000111E9"/>
    <w:rsid w:val="0002276D"/>
    <w:rsid w:val="0003429D"/>
    <w:rsid w:val="00037288"/>
    <w:rsid w:val="000666D0"/>
    <w:rsid w:val="000876C7"/>
    <w:rsid w:val="000B67E9"/>
    <w:rsid w:val="00136D6D"/>
    <w:rsid w:val="00136E63"/>
    <w:rsid w:val="00184B46"/>
    <w:rsid w:val="001C33E3"/>
    <w:rsid w:val="001E0D0B"/>
    <w:rsid w:val="001F7F59"/>
    <w:rsid w:val="00236B46"/>
    <w:rsid w:val="00256C88"/>
    <w:rsid w:val="0026300D"/>
    <w:rsid w:val="002C0878"/>
    <w:rsid w:val="002C2188"/>
    <w:rsid w:val="002D4CE0"/>
    <w:rsid w:val="002E1E66"/>
    <w:rsid w:val="002F20EF"/>
    <w:rsid w:val="0034365E"/>
    <w:rsid w:val="00362F58"/>
    <w:rsid w:val="00373FAB"/>
    <w:rsid w:val="0038183A"/>
    <w:rsid w:val="003C14AE"/>
    <w:rsid w:val="003C3619"/>
    <w:rsid w:val="00431B3A"/>
    <w:rsid w:val="004C6FCE"/>
    <w:rsid w:val="004F45D1"/>
    <w:rsid w:val="00532900"/>
    <w:rsid w:val="00543627"/>
    <w:rsid w:val="00580016"/>
    <w:rsid w:val="00585F1B"/>
    <w:rsid w:val="00586908"/>
    <w:rsid w:val="005957B1"/>
    <w:rsid w:val="0059608E"/>
    <w:rsid w:val="005C065E"/>
    <w:rsid w:val="006077C6"/>
    <w:rsid w:val="006745AF"/>
    <w:rsid w:val="00685E3F"/>
    <w:rsid w:val="006915CB"/>
    <w:rsid w:val="006B5E2C"/>
    <w:rsid w:val="00751679"/>
    <w:rsid w:val="00796974"/>
    <w:rsid w:val="007B33B8"/>
    <w:rsid w:val="007D3F36"/>
    <w:rsid w:val="007E408D"/>
    <w:rsid w:val="007E7F2C"/>
    <w:rsid w:val="00822D28"/>
    <w:rsid w:val="00842AF3"/>
    <w:rsid w:val="00852C78"/>
    <w:rsid w:val="008B4E4F"/>
    <w:rsid w:val="008B6F36"/>
    <w:rsid w:val="008D51D5"/>
    <w:rsid w:val="0090014F"/>
    <w:rsid w:val="00903F05"/>
    <w:rsid w:val="0095590F"/>
    <w:rsid w:val="00986B39"/>
    <w:rsid w:val="00991368"/>
    <w:rsid w:val="009C1BE1"/>
    <w:rsid w:val="00A2674C"/>
    <w:rsid w:val="00A339BF"/>
    <w:rsid w:val="00A352D4"/>
    <w:rsid w:val="00A356D3"/>
    <w:rsid w:val="00A52C87"/>
    <w:rsid w:val="00A95FE1"/>
    <w:rsid w:val="00B026CB"/>
    <w:rsid w:val="00BA01E3"/>
    <w:rsid w:val="00BE4C4C"/>
    <w:rsid w:val="00C101A6"/>
    <w:rsid w:val="00C37471"/>
    <w:rsid w:val="00C84882"/>
    <w:rsid w:val="00CA453F"/>
    <w:rsid w:val="00CB29FC"/>
    <w:rsid w:val="00CC075E"/>
    <w:rsid w:val="00CF6B9E"/>
    <w:rsid w:val="00D02E8D"/>
    <w:rsid w:val="00D16911"/>
    <w:rsid w:val="00D5129E"/>
    <w:rsid w:val="00D66E91"/>
    <w:rsid w:val="00D97579"/>
    <w:rsid w:val="00DB6FE7"/>
    <w:rsid w:val="00DE4C37"/>
    <w:rsid w:val="00DF4352"/>
    <w:rsid w:val="00E0284B"/>
    <w:rsid w:val="00E0400C"/>
    <w:rsid w:val="00E143C7"/>
    <w:rsid w:val="00E3354C"/>
    <w:rsid w:val="00E45E58"/>
    <w:rsid w:val="00E974B0"/>
    <w:rsid w:val="00EE149A"/>
    <w:rsid w:val="00F256CD"/>
    <w:rsid w:val="00F5023A"/>
    <w:rsid w:val="00FA2A1D"/>
    <w:rsid w:val="36FA8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EA609"/>
  <w15:chartTrackingRefBased/>
  <w15:docId w15:val="{36C3C55B-6B7F-4875-B769-CEACF8746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FCE"/>
  </w:style>
  <w:style w:type="paragraph" w:styleId="Heading1">
    <w:name w:val="heading 1"/>
    <w:basedOn w:val="Normal"/>
    <w:next w:val="Normal"/>
    <w:link w:val="Heading1Char"/>
    <w:uiPriority w:val="9"/>
    <w:qFormat/>
    <w:rsid w:val="004C6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6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6F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6F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6F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6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6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6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6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6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6F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6F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6F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6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6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6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6FCE"/>
    <w:rPr>
      <w:rFonts w:eastAsiaTheme="majorEastAsia" w:cstheme="majorBidi"/>
      <w:color w:val="272727" w:themeColor="text1" w:themeTint="D8"/>
    </w:rPr>
  </w:style>
  <w:style w:type="paragraph" w:styleId="Title">
    <w:name w:val="Title"/>
    <w:basedOn w:val="Normal"/>
    <w:next w:val="Normal"/>
    <w:link w:val="TitleChar"/>
    <w:uiPriority w:val="10"/>
    <w:qFormat/>
    <w:rsid w:val="004C6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6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6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FCE"/>
    <w:pPr>
      <w:spacing w:before="160"/>
      <w:jc w:val="center"/>
    </w:pPr>
    <w:rPr>
      <w:i/>
      <w:iCs/>
      <w:color w:val="404040" w:themeColor="text1" w:themeTint="BF"/>
    </w:rPr>
  </w:style>
  <w:style w:type="character" w:customStyle="1" w:styleId="QuoteChar">
    <w:name w:val="Quote Char"/>
    <w:basedOn w:val="DefaultParagraphFont"/>
    <w:link w:val="Quote"/>
    <w:uiPriority w:val="29"/>
    <w:rsid w:val="004C6FCE"/>
    <w:rPr>
      <w:i/>
      <w:iCs/>
      <w:color w:val="404040" w:themeColor="text1" w:themeTint="BF"/>
    </w:rPr>
  </w:style>
  <w:style w:type="paragraph" w:styleId="ListParagraph">
    <w:name w:val="List Paragraph"/>
    <w:basedOn w:val="Normal"/>
    <w:uiPriority w:val="34"/>
    <w:qFormat/>
    <w:rsid w:val="004C6FCE"/>
    <w:pPr>
      <w:ind w:left="720"/>
      <w:contextualSpacing/>
    </w:pPr>
  </w:style>
  <w:style w:type="character" w:styleId="IntenseEmphasis">
    <w:name w:val="Intense Emphasis"/>
    <w:basedOn w:val="DefaultParagraphFont"/>
    <w:uiPriority w:val="21"/>
    <w:qFormat/>
    <w:rsid w:val="004C6FCE"/>
    <w:rPr>
      <w:i/>
      <w:iCs/>
      <w:color w:val="0F4761" w:themeColor="accent1" w:themeShade="BF"/>
    </w:rPr>
  </w:style>
  <w:style w:type="paragraph" w:styleId="IntenseQuote">
    <w:name w:val="Intense Quote"/>
    <w:basedOn w:val="Normal"/>
    <w:next w:val="Normal"/>
    <w:link w:val="IntenseQuoteChar"/>
    <w:uiPriority w:val="30"/>
    <w:qFormat/>
    <w:rsid w:val="004C6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6FCE"/>
    <w:rPr>
      <w:i/>
      <w:iCs/>
      <w:color w:val="0F4761" w:themeColor="accent1" w:themeShade="BF"/>
    </w:rPr>
  </w:style>
  <w:style w:type="character" w:styleId="IntenseReference">
    <w:name w:val="Intense Reference"/>
    <w:basedOn w:val="DefaultParagraphFont"/>
    <w:uiPriority w:val="32"/>
    <w:qFormat/>
    <w:rsid w:val="004C6FCE"/>
    <w:rPr>
      <w:b/>
      <w:bCs/>
      <w:smallCaps/>
      <w:color w:val="0F4761" w:themeColor="accent1" w:themeShade="BF"/>
      <w:spacing w:val="5"/>
    </w:rPr>
  </w:style>
  <w:style w:type="paragraph" w:styleId="Header">
    <w:name w:val="header"/>
    <w:basedOn w:val="Normal"/>
    <w:link w:val="HeaderChar"/>
    <w:uiPriority w:val="99"/>
    <w:unhideWhenUsed/>
    <w:rsid w:val="004C6F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FCE"/>
  </w:style>
  <w:style w:type="paragraph" w:styleId="Footer">
    <w:name w:val="footer"/>
    <w:basedOn w:val="Normal"/>
    <w:link w:val="FooterChar"/>
    <w:uiPriority w:val="99"/>
    <w:unhideWhenUsed/>
    <w:rsid w:val="004C6F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FCE"/>
  </w:style>
  <w:style w:type="table" w:styleId="TableGrid">
    <w:name w:val="Table Grid"/>
    <w:basedOn w:val="TableNormal"/>
    <w:uiPriority w:val="39"/>
    <w:rsid w:val="004C6FCE"/>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B6F36"/>
    <w:rPr>
      <w:color w:val="467886" w:themeColor="hyperlink"/>
      <w:u w:val="single"/>
    </w:rPr>
  </w:style>
  <w:style w:type="character" w:styleId="UnresolvedMention">
    <w:name w:val="Unresolved Mention"/>
    <w:basedOn w:val="DefaultParagraphFont"/>
    <w:uiPriority w:val="99"/>
    <w:semiHidden/>
    <w:unhideWhenUsed/>
    <w:rsid w:val="008B6F36"/>
    <w:rPr>
      <w:color w:val="605E5C"/>
      <w:shd w:val="clear" w:color="auto" w:fill="E1DFDD"/>
    </w:rPr>
  </w:style>
  <w:style w:type="character" w:styleId="FollowedHyperlink">
    <w:name w:val="FollowedHyperlink"/>
    <w:basedOn w:val="DefaultParagraphFont"/>
    <w:uiPriority w:val="99"/>
    <w:semiHidden/>
    <w:unhideWhenUsed/>
    <w:rsid w:val="007E7F2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284112">
      <w:bodyDiv w:val="1"/>
      <w:marLeft w:val="0"/>
      <w:marRight w:val="0"/>
      <w:marTop w:val="0"/>
      <w:marBottom w:val="0"/>
      <w:divBdr>
        <w:top w:val="none" w:sz="0" w:space="0" w:color="auto"/>
        <w:left w:val="none" w:sz="0" w:space="0" w:color="auto"/>
        <w:bottom w:val="none" w:sz="0" w:space="0" w:color="auto"/>
        <w:right w:val="none" w:sz="0" w:space="0" w:color="auto"/>
      </w:divBdr>
    </w:div>
    <w:div w:id="1279067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www.estyn.gov.wales/thematic-report/promoting-equality-diversity-and-inclusion-education-and-training" TargetMode="External"/><Relationship Id="rId39" Type="http://schemas.openxmlformats.org/officeDocument/2006/relationships/footer" Target="footer1.xml"/><Relationship Id="rId21" Type="http://schemas.openxmlformats.org/officeDocument/2006/relationships/hyperlink" Target="https://www.allfie.org.uk/definitions/what-is-inclusive-education/" TargetMode="External"/><Relationship Id="rId34" Type="http://schemas.openxmlformats.org/officeDocument/2006/relationships/hyperlink" Target="https://www.gov.wales/additional-learning-needs-code-and-regulations-childrens-rights-impact-assessment-html"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yperlink" Target="https://ncse.ie/wp-content/uploads/2024/10/NCSE-Visual-Supports-Environment-Resource-01.pdf?utm_source=chatgpt.com"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evidence.ero.govt.nz/documents/let-s-talk-about-it-review-of-relationships-and-sexuality-education" TargetMode="External"/><Relationship Id="rId32" Type="http://schemas.openxmlformats.org/officeDocument/2006/relationships/hyperlink" Target="https://qia.org.uk/aboutus/is.html" TargetMode="External"/><Relationship Id="rId37" Type="http://schemas.openxmlformats.org/officeDocument/2006/relationships/hyperlink" Target="https://www.gov.wales/schools-census-results-january-2024-html"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www.blakemorgan.co.uk/estyns-review-of-aln-implementation-in-wales/" TargetMode="External"/><Relationship Id="rId28" Type="http://schemas.openxmlformats.org/officeDocument/2006/relationships/hyperlink" Target="https://www.researchgate.net/publication/272644738_Teacher_reflection_The_use_of_visual_tools_in_mathematics_classrooms" TargetMode="External"/><Relationship Id="rId36" Type="http://schemas.openxmlformats.org/officeDocument/2006/relationships/hyperlink" Target="https://hwb.gov.wales/curriculum-for-wales/designing-your-curriculum/cross-cutting-themes-for-designing-your-curriculum"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yperlink" Target="https://www.ot-mom-learning-activities.com/left-handed-kids.html"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bbc.co.uk/newsround/53739189" TargetMode="External"/><Relationship Id="rId27" Type="http://schemas.openxmlformats.org/officeDocument/2006/relationships/hyperlink" Target="https://www.gilbertwardacademy.co.uk/202/three-tiered-approach" TargetMode="External"/><Relationship Id="rId30" Type="http://schemas.openxmlformats.org/officeDocument/2006/relationships/hyperlink" Target="https://www.nationwidedisabilityrepresentatives.com/blog/is-being-left-handed-a-disability/" TargetMode="External"/><Relationship Id="rId35" Type="http://schemas.openxmlformats.org/officeDocument/2006/relationships/hyperlink" Target="https://www.gov.wales/additional-learning-needs-transformation-programme-frequently-asked-questions-html"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equaleducationpartners.com/blog/curriculum-for-wales-the-four-purposes/" TargetMode="External"/><Relationship Id="rId33" Type="http://schemas.openxmlformats.org/officeDocument/2006/relationships/hyperlink" Target="https://www.rnib.org.uk" TargetMode="External"/><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3158</Words>
  <Characters>18003</Characters>
  <Application>Microsoft Office Word</Application>
  <DocSecurity>0</DocSecurity>
  <Lines>150</Lines>
  <Paragraphs>42</Paragraphs>
  <ScaleCrop>false</ScaleCrop>
  <Company/>
  <LinksUpToDate>false</LinksUpToDate>
  <CharactersWithSpaces>21119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may</dc:creator>
  <cp:keywords/>
  <dc:description/>
  <cp:lastModifiedBy>kelly may</cp:lastModifiedBy>
  <cp:revision>80</cp:revision>
  <dcterms:created xsi:type="dcterms:W3CDTF">2025-04-27T16:07:00Z</dcterms:created>
  <dcterms:modified xsi:type="dcterms:W3CDTF">2025-05-04T13:22:00Z</dcterms:modified>
</cp:coreProperties>
</file>