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276E33E">
      <w:pPr>
        <w:rPr>
          <w:rFonts w:cs="Times New Roman"/>
          <w:szCs w:val="24"/>
        </w:rPr>
      </w:pPr>
      <w:r>
        <w:rPr>
          <w:rFonts w:cs="Times New Roman"/>
          <w:szCs w:val="24"/>
        </w:rPr>
        <w:drawing>
          <wp:anchor distT="57150" distB="57150" distL="57150" distR="57150" simplePos="0" relativeHeight="251659264" behindDoc="0" locked="0" layoutInCell="1" allowOverlap="1">
            <wp:simplePos x="0" y="0"/>
            <wp:positionH relativeFrom="column">
              <wp:posOffset>1920240</wp:posOffset>
            </wp:positionH>
            <wp:positionV relativeFrom="paragraph">
              <wp:posOffset>209550</wp:posOffset>
            </wp:positionV>
            <wp:extent cx="1809750" cy="723900"/>
            <wp:effectExtent l="0" t="0" r="0" b="0"/>
            <wp:wrapSquare wrapText="bothSides"/>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pic:spPr>
                </pic:pic>
              </a:graphicData>
            </a:graphic>
          </wp:anchor>
        </w:drawing>
      </w:r>
    </w:p>
    <w:p w14:paraId="05F8B810">
      <w:pPr>
        <w:rPr>
          <w:rFonts w:cs="Times New Roman"/>
          <w:szCs w:val="24"/>
        </w:rPr>
      </w:pPr>
    </w:p>
    <w:p w14:paraId="31B9FEED">
      <w:pPr>
        <w:rPr>
          <w:rFonts w:cs="Times New Roman"/>
          <w:szCs w:val="24"/>
        </w:rPr>
      </w:pPr>
    </w:p>
    <w:p w14:paraId="47759E04">
      <w:pPr>
        <w:rPr>
          <w:rFonts w:cs="Times New Roman"/>
          <w:szCs w:val="24"/>
        </w:rPr>
      </w:pPr>
    </w:p>
    <w:p w14:paraId="063BEA14">
      <w:pPr>
        <w:rPr>
          <w:rFonts w:cs="Times New Roman"/>
          <w:szCs w:val="24"/>
        </w:rPr>
      </w:pPr>
    </w:p>
    <w:p w14:paraId="438FC6F3">
      <w:pPr>
        <w:rPr>
          <w:rFonts w:cs="Times New Roman"/>
          <w:szCs w:val="24"/>
        </w:rPr>
      </w:pPr>
    </w:p>
    <w:p w14:paraId="7DD02F44">
      <w:pPr>
        <w:jc w:val="center"/>
        <w:rPr>
          <w:rFonts w:eastAsia="Arial" w:cs="Times New Roman"/>
          <w:b/>
          <w:bCs/>
          <w:color w:val="000000"/>
          <w:sz w:val="44"/>
          <w:szCs w:val="24"/>
        </w:rPr>
      </w:pPr>
      <w:r>
        <w:rPr>
          <w:rFonts w:eastAsia="Arial" w:cs="Times New Roman"/>
          <w:b/>
          <w:bCs/>
          <w:color w:val="000000"/>
          <w:sz w:val="44"/>
          <w:szCs w:val="24"/>
        </w:rPr>
        <w:t>BMMB7006</w:t>
      </w:r>
    </w:p>
    <w:p w14:paraId="36B23F7C">
      <w:pPr>
        <w:jc w:val="center"/>
        <w:rPr>
          <w:rFonts w:cs="Times New Roman"/>
          <w:b/>
          <w:sz w:val="44"/>
          <w:szCs w:val="24"/>
        </w:rPr>
      </w:pPr>
      <w:r>
        <w:rPr>
          <w:rFonts w:eastAsia="Arial" w:cs="Times New Roman"/>
          <w:b/>
          <w:bCs/>
          <w:color w:val="000000"/>
          <w:sz w:val="44"/>
          <w:szCs w:val="24"/>
        </w:rPr>
        <w:t>Global Business Challenges</w:t>
      </w:r>
    </w:p>
    <w:p w14:paraId="6F3A5495">
      <w:pPr>
        <w:jc w:val="center"/>
        <w:rPr>
          <w:rFonts w:cs="Times New Roman"/>
          <w:b/>
          <w:sz w:val="44"/>
          <w:szCs w:val="24"/>
        </w:rPr>
      </w:pPr>
      <w:r>
        <w:rPr>
          <w:rFonts w:cs="Times New Roman"/>
          <w:b/>
          <w:sz w:val="44"/>
          <w:szCs w:val="24"/>
        </w:rPr>
        <w:t>Report</w:t>
      </w:r>
    </w:p>
    <w:p w14:paraId="2BCBBE7C">
      <w:pPr>
        <w:rPr>
          <w:rFonts w:cs="Times New Roman"/>
          <w:szCs w:val="24"/>
        </w:rPr>
      </w:pPr>
    </w:p>
    <w:p w14:paraId="42575351">
      <w:pPr>
        <w:rPr>
          <w:rFonts w:cs="Times New Roman"/>
          <w:szCs w:val="24"/>
        </w:rPr>
      </w:pPr>
    </w:p>
    <w:p w14:paraId="2B243414">
      <w:pPr>
        <w:jc w:val="center"/>
        <w:rPr>
          <w:rFonts w:cs="Times New Roman"/>
          <w:szCs w:val="24"/>
        </w:rPr>
      </w:pPr>
      <w:r>
        <w:rPr>
          <w:rFonts w:cs="Times New Roman"/>
          <w:b/>
          <w:szCs w:val="24"/>
        </w:rPr>
        <w:t>Title:</w:t>
      </w:r>
      <w:r>
        <w:rPr>
          <w:rFonts w:cs="Times New Roman"/>
          <w:szCs w:val="24"/>
        </w:rPr>
        <w:t xml:space="preserve"> </w:t>
      </w:r>
      <w:r>
        <w:rPr>
          <w:rFonts w:cs="Times New Roman"/>
          <w:i/>
          <w:szCs w:val="24"/>
        </w:rPr>
        <w:t xml:space="preserve">Artificial Intelligence Risk Management in Multinational Organisations: A Strategic Analysis of </w:t>
      </w:r>
      <w:r>
        <w:rPr>
          <w:rStyle w:val="17"/>
          <w:rFonts w:cs="Times New Roman"/>
          <w:i/>
          <w:szCs w:val="24"/>
        </w:rPr>
        <w:t>Unilever</w:t>
      </w:r>
      <w:r>
        <w:rPr>
          <w:rFonts w:cs="Times New Roman"/>
          <w:i/>
          <w:szCs w:val="24"/>
        </w:rPr>
        <w:t xml:space="preserve"> in the UK and EU Context</w:t>
      </w:r>
    </w:p>
    <w:p w14:paraId="26EE9B17">
      <w:pPr>
        <w:spacing w:after="0"/>
        <w:rPr>
          <w:rFonts w:eastAsia="Times New Roman" w:cs="Times New Roman"/>
          <w:szCs w:val="24"/>
          <w:lang w:eastAsia="en-GB"/>
        </w:rPr>
      </w:pPr>
    </w:p>
    <w:p w14:paraId="2AC08132">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p w14:paraId="36292BB7">
      <w:pPr>
        <w:pStyle w:val="2"/>
      </w:pPr>
      <w:bookmarkStart w:id="0" w:name="_Toc224645721"/>
      <w:r>
        <w:t>Executive Summary</w:t>
      </w:r>
      <w:bookmarkEnd w:id="0"/>
    </w:p>
    <w:p w14:paraId="647EC912">
      <w:pPr>
        <w:rPr>
          <w:rFonts w:cs="Times New Roman"/>
          <w:szCs w:val="24"/>
        </w:rPr>
      </w:pPr>
      <w:r>
        <w:rPr>
          <w:rFonts w:cs="Times New Roman"/>
          <w:szCs w:val="24"/>
        </w:rPr>
        <w:t>Artificial intelligence (AI) is changing the business landscape across the world due to its ability to help organisations save time and increase their efficiency, make smarter decisions, and develop a competitive edge. Nonetheless, the thing is that under the intensive propagation of AI, the dangers are also great, especially in such aspects of data regulation, ethical application, and regulatory norms, and client confidence. This report presents a critical assessment of these risks in the framework of Unilever, which is among the multinationals based in the UK.</w:t>
      </w:r>
    </w:p>
    <w:p w14:paraId="6EF49D37">
      <w:pPr>
        <w:rPr>
          <w:rFonts w:cs="Times New Roman"/>
          <w:szCs w:val="24"/>
        </w:rPr>
      </w:pPr>
      <w:r>
        <w:rPr>
          <w:rFonts w:cs="Times New Roman"/>
          <w:szCs w:val="24"/>
        </w:rPr>
        <w:t>The report determines the impact of AI on the practise of risk management and the distinction of regulatory environment in the United Kingdom and the European Union (EU). Unlike the UK, which is a more lenient and pro-innovation country, the EU has more regulatory frameworks that encompass frameworks such as the AI Act. This has brought with it certain threats and opportunities to the multinational companies.</w:t>
      </w:r>
    </w:p>
    <w:p w14:paraId="3940337A">
      <w:pPr>
        <w:rPr>
          <w:rFonts w:cs="Times New Roman"/>
          <w:szCs w:val="24"/>
        </w:rPr>
      </w:pPr>
      <w:r>
        <w:rPr>
          <w:rFonts w:cs="Times New Roman"/>
          <w:szCs w:val="24"/>
        </w:rPr>
        <w:t>The results also result in the fact that the introduction of AI may bring efficiency in functioning, yet the application of AI also opens its path to the organisations, where the threat of data breach, the prejudice of algorithms, the lawsuits, and the bad reputation is. The report suggests the solution of these problems in the form of complete AI governance, the improvement of ethical practises, the improvement of compliance plans, and greater transparency so as to earn the trust of customers.</w:t>
      </w:r>
    </w:p>
    <w:p w14:paraId="6F03A9C2">
      <w:pPr>
        <w:rPr>
          <w:rFonts w:cs="Times New Roman"/>
          <w:szCs w:val="24"/>
        </w:rPr>
      </w:pPr>
      <w:r>
        <w:rPr>
          <w:rFonts w:cs="Times New Roman"/>
          <w:szCs w:val="24"/>
        </w:rPr>
        <w:t>An elaborate implementation plan is also given so that such recommendations can be put in place and made consistent with the long-term strategic plans.</w:t>
      </w:r>
    </w:p>
    <w:p w14:paraId="7A945A87">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sdt>
      <w:sdtPr>
        <w:rPr>
          <w:rFonts w:ascii="Times New Roman" w:hAnsi="Times New Roman" w:eastAsiaTheme="minorHAnsi" w:cstheme="minorBidi"/>
          <w:color w:val="auto"/>
          <w:sz w:val="24"/>
          <w:szCs w:val="22"/>
          <w:lang w:val="en-GB"/>
        </w:rPr>
        <w:id w:val="-1871143123"/>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14:paraId="2861F258">
          <w:pPr>
            <w:pStyle w:val="23"/>
          </w:pPr>
          <w:r>
            <w:t>Table of Contents</w:t>
          </w:r>
        </w:p>
        <w:p w14:paraId="509AD2D7">
          <w:pPr>
            <w:pStyle w:val="13"/>
            <w:tabs>
              <w:tab w:val="right" w:leader="dot" w:pos="9017"/>
            </w:tabs>
          </w:pPr>
          <w:r>
            <w:fldChar w:fldCharType="begin"/>
          </w:r>
          <w:r>
            <w:instrText xml:space="preserve"> TOC \o "1-3" \h \z \u </w:instrText>
          </w:r>
          <w:r>
            <w:fldChar w:fldCharType="separate"/>
          </w:r>
          <w:r>
            <w:fldChar w:fldCharType="begin"/>
          </w:r>
          <w:r>
            <w:instrText xml:space="preserve"> HYPERLINK \l "_Toc224645721" </w:instrText>
          </w:r>
          <w:r>
            <w:fldChar w:fldCharType="separate"/>
          </w:r>
          <w:r>
            <w:rPr>
              <w:rStyle w:val="10"/>
            </w:rPr>
            <w:t>Executive Summary</w:t>
          </w:r>
          <w:r>
            <w:tab/>
          </w:r>
          <w:r>
            <w:fldChar w:fldCharType="begin"/>
          </w:r>
          <w:r>
            <w:instrText xml:space="preserve"> PAGEREF _Toc224645721 \h </w:instrText>
          </w:r>
          <w:r>
            <w:fldChar w:fldCharType="separate"/>
          </w:r>
          <w:r>
            <w:t>2</w:t>
          </w:r>
          <w:r>
            <w:fldChar w:fldCharType="end"/>
          </w:r>
          <w:r>
            <w:fldChar w:fldCharType="end"/>
          </w:r>
        </w:p>
        <w:p w14:paraId="5E9756C6">
          <w:pPr>
            <w:pStyle w:val="13"/>
            <w:tabs>
              <w:tab w:val="right" w:leader="dot" w:pos="9017"/>
            </w:tabs>
          </w:pPr>
          <w:r>
            <w:fldChar w:fldCharType="begin"/>
          </w:r>
          <w:r>
            <w:instrText xml:space="preserve"> HYPERLINK \l "_Toc224645722" </w:instrText>
          </w:r>
          <w:r>
            <w:fldChar w:fldCharType="separate"/>
          </w:r>
          <w:r>
            <w:rPr>
              <w:rStyle w:val="10"/>
            </w:rPr>
            <w:t>1. Introduction</w:t>
          </w:r>
          <w:r>
            <w:tab/>
          </w:r>
          <w:r>
            <w:fldChar w:fldCharType="begin"/>
          </w:r>
          <w:r>
            <w:instrText xml:space="preserve"> PAGEREF _Toc224645722 \h </w:instrText>
          </w:r>
          <w:r>
            <w:fldChar w:fldCharType="separate"/>
          </w:r>
          <w:r>
            <w:t>5</w:t>
          </w:r>
          <w:r>
            <w:fldChar w:fldCharType="end"/>
          </w:r>
          <w:r>
            <w:fldChar w:fldCharType="end"/>
          </w:r>
        </w:p>
        <w:p w14:paraId="6EE8CD82">
          <w:pPr>
            <w:pStyle w:val="13"/>
            <w:tabs>
              <w:tab w:val="right" w:leader="dot" w:pos="9017"/>
            </w:tabs>
          </w:pPr>
          <w:r>
            <w:fldChar w:fldCharType="begin"/>
          </w:r>
          <w:r>
            <w:instrText xml:space="preserve"> HYPERLINK \l "_Toc224645723" </w:instrText>
          </w:r>
          <w:r>
            <w:fldChar w:fldCharType="separate"/>
          </w:r>
          <w:r>
            <w:rPr>
              <w:rStyle w:val="10"/>
            </w:rPr>
            <w:t>2. International Economic and Regulatory Environment</w:t>
          </w:r>
          <w:r>
            <w:tab/>
          </w:r>
          <w:r>
            <w:fldChar w:fldCharType="begin"/>
          </w:r>
          <w:r>
            <w:instrText xml:space="preserve"> PAGEREF _Toc224645723 \h </w:instrText>
          </w:r>
          <w:r>
            <w:fldChar w:fldCharType="separate"/>
          </w:r>
          <w:r>
            <w:t>6</w:t>
          </w:r>
          <w:r>
            <w:fldChar w:fldCharType="end"/>
          </w:r>
          <w:r>
            <w:fldChar w:fldCharType="end"/>
          </w:r>
        </w:p>
        <w:p w14:paraId="7420DD6C">
          <w:pPr>
            <w:pStyle w:val="14"/>
            <w:tabs>
              <w:tab w:val="right" w:leader="dot" w:pos="9017"/>
            </w:tabs>
          </w:pPr>
          <w:r>
            <w:fldChar w:fldCharType="begin"/>
          </w:r>
          <w:r>
            <w:instrText xml:space="preserve"> HYPERLINK \l "_Toc224645724" </w:instrText>
          </w:r>
          <w:r>
            <w:fldChar w:fldCharType="separate"/>
          </w:r>
          <w:r>
            <w:rPr>
              <w:rStyle w:val="10"/>
            </w:rPr>
            <w:t>2.1 Global Economic Transformation through AI</w:t>
          </w:r>
          <w:r>
            <w:tab/>
          </w:r>
          <w:r>
            <w:fldChar w:fldCharType="begin"/>
          </w:r>
          <w:r>
            <w:instrText xml:space="preserve"> PAGEREF _Toc224645724 \h </w:instrText>
          </w:r>
          <w:r>
            <w:fldChar w:fldCharType="separate"/>
          </w:r>
          <w:r>
            <w:t>6</w:t>
          </w:r>
          <w:r>
            <w:fldChar w:fldCharType="end"/>
          </w:r>
          <w:r>
            <w:fldChar w:fldCharType="end"/>
          </w:r>
        </w:p>
        <w:p w14:paraId="2BDB7956">
          <w:pPr>
            <w:pStyle w:val="14"/>
            <w:tabs>
              <w:tab w:val="right" w:leader="dot" w:pos="9017"/>
            </w:tabs>
          </w:pPr>
          <w:r>
            <w:fldChar w:fldCharType="begin"/>
          </w:r>
          <w:r>
            <w:instrText xml:space="preserve"> HYPERLINK \l "_Toc224645725" </w:instrText>
          </w:r>
          <w:r>
            <w:fldChar w:fldCharType="separate"/>
          </w:r>
          <w:r>
            <w:rPr>
              <w:rStyle w:val="10"/>
            </w:rPr>
            <w:t>2.2 UK’s Pro-Innovation Regulatory Approach</w:t>
          </w:r>
          <w:r>
            <w:tab/>
          </w:r>
          <w:r>
            <w:fldChar w:fldCharType="begin"/>
          </w:r>
          <w:r>
            <w:instrText xml:space="preserve"> PAGEREF _Toc224645725 \h </w:instrText>
          </w:r>
          <w:r>
            <w:fldChar w:fldCharType="separate"/>
          </w:r>
          <w:r>
            <w:t>6</w:t>
          </w:r>
          <w:r>
            <w:fldChar w:fldCharType="end"/>
          </w:r>
          <w:r>
            <w:fldChar w:fldCharType="end"/>
          </w:r>
        </w:p>
        <w:p w14:paraId="1DCAB0E3">
          <w:pPr>
            <w:pStyle w:val="14"/>
            <w:tabs>
              <w:tab w:val="right" w:leader="dot" w:pos="9017"/>
            </w:tabs>
          </w:pPr>
          <w:r>
            <w:fldChar w:fldCharType="begin"/>
          </w:r>
          <w:r>
            <w:instrText xml:space="preserve"> HYPERLINK \l "_Toc224645726" </w:instrText>
          </w:r>
          <w:r>
            <w:fldChar w:fldCharType="separate"/>
          </w:r>
          <w:r>
            <w:rPr>
              <w:rStyle w:val="10"/>
            </w:rPr>
            <w:t>2.3 European Union’s Risk-Based Regulatory Framework</w:t>
          </w:r>
          <w:r>
            <w:tab/>
          </w:r>
          <w:r>
            <w:fldChar w:fldCharType="begin"/>
          </w:r>
          <w:r>
            <w:instrText xml:space="preserve"> PAGEREF _Toc224645726 \h </w:instrText>
          </w:r>
          <w:r>
            <w:fldChar w:fldCharType="separate"/>
          </w:r>
          <w:r>
            <w:t>7</w:t>
          </w:r>
          <w:r>
            <w:fldChar w:fldCharType="end"/>
          </w:r>
          <w:r>
            <w:fldChar w:fldCharType="end"/>
          </w:r>
        </w:p>
        <w:p w14:paraId="03F0A360">
          <w:pPr>
            <w:pStyle w:val="14"/>
            <w:tabs>
              <w:tab w:val="right" w:leader="dot" w:pos="9017"/>
            </w:tabs>
          </w:pPr>
          <w:r>
            <w:fldChar w:fldCharType="begin"/>
          </w:r>
          <w:r>
            <w:instrText xml:space="preserve"> HYPERLINK \l "_Toc224645727" </w:instrText>
          </w:r>
          <w:r>
            <w:fldChar w:fldCharType="separate"/>
          </w:r>
          <w:r>
            <w:rPr>
              <w:rStyle w:val="10"/>
            </w:rPr>
            <w:t>2.4 Strategic Implications for Multinational Organisations</w:t>
          </w:r>
          <w:r>
            <w:tab/>
          </w:r>
          <w:r>
            <w:fldChar w:fldCharType="begin"/>
          </w:r>
          <w:r>
            <w:instrText xml:space="preserve"> PAGEREF _Toc224645727 \h </w:instrText>
          </w:r>
          <w:r>
            <w:fldChar w:fldCharType="separate"/>
          </w:r>
          <w:r>
            <w:t>7</w:t>
          </w:r>
          <w:r>
            <w:fldChar w:fldCharType="end"/>
          </w:r>
          <w:r>
            <w:fldChar w:fldCharType="end"/>
          </w:r>
        </w:p>
        <w:p w14:paraId="41B8421D">
          <w:pPr>
            <w:pStyle w:val="13"/>
            <w:tabs>
              <w:tab w:val="right" w:leader="dot" w:pos="9017"/>
            </w:tabs>
          </w:pPr>
          <w:r>
            <w:fldChar w:fldCharType="begin"/>
          </w:r>
          <w:r>
            <w:instrText xml:space="preserve"> HYPERLINK \l "_Toc224645728" </w:instrText>
          </w:r>
          <w:r>
            <w:fldChar w:fldCharType="separate"/>
          </w:r>
          <w:r>
            <w:rPr>
              <w:rStyle w:val="10"/>
            </w:rPr>
            <w:t>3. AI and Risk Management in Multinational Businesses</w:t>
          </w:r>
          <w:r>
            <w:tab/>
          </w:r>
          <w:r>
            <w:fldChar w:fldCharType="begin"/>
          </w:r>
          <w:r>
            <w:instrText xml:space="preserve"> PAGEREF _Toc224645728 \h </w:instrText>
          </w:r>
          <w:r>
            <w:fldChar w:fldCharType="separate"/>
          </w:r>
          <w:r>
            <w:t>8</w:t>
          </w:r>
          <w:r>
            <w:fldChar w:fldCharType="end"/>
          </w:r>
          <w:r>
            <w:fldChar w:fldCharType="end"/>
          </w:r>
        </w:p>
        <w:p w14:paraId="54CD1AC4">
          <w:pPr>
            <w:pStyle w:val="14"/>
            <w:tabs>
              <w:tab w:val="right" w:leader="dot" w:pos="9017"/>
            </w:tabs>
          </w:pPr>
          <w:r>
            <w:fldChar w:fldCharType="begin"/>
          </w:r>
          <w:r>
            <w:instrText xml:space="preserve"> HYPERLINK \l "_Toc224645729" </w:instrText>
          </w:r>
          <w:r>
            <w:fldChar w:fldCharType="separate"/>
          </w:r>
          <w:r>
            <w:rPr>
              <w:rStyle w:val="10"/>
            </w:rPr>
            <w:t>3.1 Emergence of New Risk Categories</w:t>
          </w:r>
          <w:r>
            <w:tab/>
          </w:r>
          <w:r>
            <w:fldChar w:fldCharType="begin"/>
          </w:r>
          <w:r>
            <w:instrText xml:space="preserve"> PAGEREF _Toc224645729 \h </w:instrText>
          </w:r>
          <w:r>
            <w:fldChar w:fldCharType="separate"/>
          </w:r>
          <w:r>
            <w:t>8</w:t>
          </w:r>
          <w:r>
            <w:fldChar w:fldCharType="end"/>
          </w:r>
          <w:r>
            <w:fldChar w:fldCharType="end"/>
          </w:r>
        </w:p>
        <w:p w14:paraId="5B88AEF0">
          <w:pPr>
            <w:pStyle w:val="14"/>
            <w:tabs>
              <w:tab w:val="right" w:leader="dot" w:pos="9017"/>
            </w:tabs>
          </w:pPr>
          <w:r>
            <w:fldChar w:fldCharType="begin"/>
          </w:r>
          <w:r>
            <w:instrText xml:space="preserve"> HYPERLINK \l "_Toc224645730" </w:instrText>
          </w:r>
          <w:r>
            <w:fldChar w:fldCharType="separate"/>
          </w:r>
          <w:r>
            <w:rPr>
              <w:rStyle w:val="10"/>
            </w:rPr>
            <w:t>3.2 Data-Related Risks and Security Challenges</w:t>
          </w:r>
          <w:r>
            <w:tab/>
          </w:r>
          <w:r>
            <w:fldChar w:fldCharType="begin"/>
          </w:r>
          <w:r>
            <w:instrText xml:space="preserve"> PAGEREF _Toc224645730 \h </w:instrText>
          </w:r>
          <w:r>
            <w:fldChar w:fldCharType="separate"/>
          </w:r>
          <w:r>
            <w:t>8</w:t>
          </w:r>
          <w:r>
            <w:fldChar w:fldCharType="end"/>
          </w:r>
          <w:r>
            <w:fldChar w:fldCharType="end"/>
          </w:r>
        </w:p>
        <w:p w14:paraId="25AC0FF2">
          <w:pPr>
            <w:pStyle w:val="14"/>
            <w:tabs>
              <w:tab w:val="right" w:leader="dot" w:pos="9017"/>
            </w:tabs>
          </w:pPr>
          <w:r>
            <w:fldChar w:fldCharType="begin"/>
          </w:r>
          <w:r>
            <w:instrText xml:space="preserve"> HYPERLINK \l "_Toc224645731" </w:instrText>
          </w:r>
          <w:r>
            <w:fldChar w:fldCharType="separate"/>
          </w:r>
          <w:r>
            <w:rPr>
              <w:rStyle w:val="10"/>
            </w:rPr>
            <w:t>3.3 Algorithmic Bias and Ethical Risks</w:t>
          </w:r>
          <w:r>
            <w:tab/>
          </w:r>
          <w:r>
            <w:fldChar w:fldCharType="begin"/>
          </w:r>
          <w:r>
            <w:instrText xml:space="preserve"> PAGEREF _Toc224645731 \h </w:instrText>
          </w:r>
          <w:r>
            <w:fldChar w:fldCharType="separate"/>
          </w:r>
          <w:r>
            <w:t>9</w:t>
          </w:r>
          <w:r>
            <w:fldChar w:fldCharType="end"/>
          </w:r>
          <w:r>
            <w:fldChar w:fldCharType="end"/>
          </w:r>
        </w:p>
        <w:p w14:paraId="54EC79D3">
          <w:pPr>
            <w:pStyle w:val="14"/>
            <w:tabs>
              <w:tab w:val="right" w:leader="dot" w:pos="9017"/>
            </w:tabs>
          </w:pPr>
          <w:r>
            <w:fldChar w:fldCharType="begin"/>
          </w:r>
          <w:r>
            <w:instrText xml:space="preserve"> HYPERLINK \l "_Toc224645732" </w:instrText>
          </w:r>
          <w:r>
            <w:fldChar w:fldCharType="separate"/>
          </w:r>
          <w:r>
            <w:rPr>
              <w:rStyle w:val="10"/>
            </w:rPr>
            <w:t>3.4 Regulatory and Compliance Risks</w:t>
          </w:r>
          <w:r>
            <w:tab/>
          </w:r>
          <w:r>
            <w:fldChar w:fldCharType="begin"/>
          </w:r>
          <w:r>
            <w:instrText xml:space="preserve"> PAGEREF _Toc224645732 \h </w:instrText>
          </w:r>
          <w:r>
            <w:fldChar w:fldCharType="separate"/>
          </w:r>
          <w:r>
            <w:t>9</w:t>
          </w:r>
          <w:r>
            <w:fldChar w:fldCharType="end"/>
          </w:r>
          <w:r>
            <w:fldChar w:fldCharType="end"/>
          </w:r>
        </w:p>
        <w:p w14:paraId="0F0A755D">
          <w:pPr>
            <w:pStyle w:val="14"/>
            <w:tabs>
              <w:tab w:val="right" w:leader="dot" w:pos="9017"/>
            </w:tabs>
          </w:pPr>
          <w:r>
            <w:fldChar w:fldCharType="begin"/>
          </w:r>
          <w:r>
            <w:instrText xml:space="preserve"> HYPERLINK \l "_Toc224645733" </w:instrText>
          </w:r>
          <w:r>
            <w:fldChar w:fldCharType="separate"/>
          </w:r>
          <w:r>
            <w:rPr>
              <w:rStyle w:val="10"/>
            </w:rPr>
            <w:t>3.5 Reputational Risks and Strategic Implications</w:t>
          </w:r>
          <w:r>
            <w:tab/>
          </w:r>
          <w:r>
            <w:fldChar w:fldCharType="begin"/>
          </w:r>
          <w:r>
            <w:instrText xml:space="preserve"> PAGEREF _Toc224645733 \h </w:instrText>
          </w:r>
          <w:r>
            <w:fldChar w:fldCharType="separate"/>
          </w:r>
          <w:r>
            <w:t>9</w:t>
          </w:r>
          <w:r>
            <w:fldChar w:fldCharType="end"/>
          </w:r>
          <w:r>
            <w:fldChar w:fldCharType="end"/>
          </w:r>
        </w:p>
        <w:p w14:paraId="1F451EDE">
          <w:pPr>
            <w:pStyle w:val="13"/>
            <w:tabs>
              <w:tab w:val="right" w:leader="dot" w:pos="9017"/>
            </w:tabs>
          </w:pPr>
          <w:r>
            <w:fldChar w:fldCharType="begin"/>
          </w:r>
          <w:r>
            <w:instrText xml:space="preserve"> HYPERLINK \l "_Toc224645734" </w:instrText>
          </w:r>
          <w:r>
            <w:fldChar w:fldCharType="separate"/>
          </w:r>
          <w:r>
            <w:rPr>
              <w:rStyle w:val="10"/>
            </w:rPr>
            <w:t>4. Data Governance Challenges</w:t>
          </w:r>
          <w:r>
            <w:tab/>
          </w:r>
          <w:r>
            <w:fldChar w:fldCharType="begin"/>
          </w:r>
          <w:r>
            <w:instrText xml:space="preserve"> PAGEREF _Toc224645734 \h </w:instrText>
          </w:r>
          <w:r>
            <w:fldChar w:fldCharType="separate"/>
          </w:r>
          <w:r>
            <w:t>10</w:t>
          </w:r>
          <w:r>
            <w:fldChar w:fldCharType="end"/>
          </w:r>
          <w:r>
            <w:fldChar w:fldCharType="end"/>
          </w:r>
        </w:p>
        <w:p w14:paraId="39BDF953">
          <w:pPr>
            <w:pStyle w:val="14"/>
            <w:tabs>
              <w:tab w:val="right" w:leader="dot" w:pos="9017"/>
            </w:tabs>
          </w:pPr>
          <w:r>
            <w:fldChar w:fldCharType="begin"/>
          </w:r>
          <w:r>
            <w:instrText xml:space="preserve"> HYPERLINK \l "_Toc224645735" </w:instrText>
          </w:r>
          <w:r>
            <w:fldChar w:fldCharType="separate"/>
          </w:r>
          <w:r>
            <w:rPr>
              <w:rStyle w:val="10"/>
            </w:rPr>
            <w:t>4.1 Importance of Data Governance in AI Systems</w:t>
          </w:r>
          <w:r>
            <w:tab/>
          </w:r>
          <w:r>
            <w:fldChar w:fldCharType="begin"/>
          </w:r>
          <w:r>
            <w:instrText xml:space="preserve"> PAGEREF _Toc224645735 \h </w:instrText>
          </w:r>
          <w:r>
            <w:fldChar w:fldCharType="separate"/>
          </w:r>
          <w:r>
            <w:t>10</w:t>
          </w:r>
          <w:r>
            <w:fldChar w:fldCharType="end"/>
          </w:r>
          <w:r>
            <w:fldChar w:fldCharType="end"/>
          </w:r>
        </w:p>
        <w:p w14:paraId="4812B45A">
          <w:pPr>
            <w:pStyle w:val="14"/>
            <w:tabs>
              <w:tab w:val="right" w:leader="dot" w:pos="9017"/>
            </w:tabs>
          </w:pPr>
          <w:r>
            <w:fldChar w:fldCharType="begin"/>
          </w:r>
          <w:r>
            <w:instrText xml:space="preserve"> HYPERLINK \l "_Toc224645736" </w:instrText>
          </w:r>
          <w:r>
            <w:fldChar w:fldCharType="separate"/>
          </w:r>
          <w:r>
            <w:rPr>
              <w:rStyle w:val="10"/>
            </w:rPr>
            <w:t>4.2 Regulatory Requirements and Compliance Challenges</w:t>
          </w:r>
          <w:r>
            <w:tab/>
          </w:r>
          <w:r>
            <w:fldChar w:fldCharType="begin"/>
          </w:r>
          <w:r>
            <w:instrText xml:space="preserve"> PAGEREF _Toc224645736 \h </w:instrText>
          </w:r>
          <w:r>
            <w:fldChar w:fldCharType="separate"/>
          </w:r>
          <w:r>
            <w:t>10</w:t>
          </w:r>
          <w:r>
            <w:fldChar w:fldCharType="end"/>
          </w:r>
          <w:r>
            <w:fldChar w:fldCharType="end"/>
          </w:r>
        </w:p>
        <w:p w14:paraId="109DBA50">
          <w:pPr>
            <w:pStyle w:val="14"/>
            <w:tabs>
              <w:tab w:val="right" w:leader="dot" w:pos="9017"/>
            </w:tabs>
          </w:pPr>
          <w:r>
            <w:fldChar w:fldCharType="begin"/>
          </w:r>
          <w:r>
            <w:instrText xml:space="preserve"> HYPERLINK \l "_Toc224645737" </w:instrText>
          </w:r>
          <w:r>
            <w:fldChar w:fldCharType="separate"/>
          </w:r>
          <w:r>
            <w:rPr>
              <w:rStyle w:val="10"/>
            </w:rPr>
            <w:t>4.3 Challenges of Big Data and Unstructured Data</w:t>
          </w:r>
          <w:r>
            <w:tab/>
          </w:r>
          <w:r>
            <w:fldChar w:fldCharType="begin"/>
          </w:r>
          <w:r>
            <w:instrText xml:space="preserve"> PAGEREF _Toc224645737 \h </w:instrText>
          </w:r>
          <w:r>
            <w:fldChar w:fldCharType="separate"/>
          </w:r>
          <w:r>
            <w:t>11</w:t>
          </w:r>
          <w:r>
            <w:fldChar w:fldCharType="end"/>
          </w:r>
          <w:r>
            <w:fldChar w:fldCharType="end"/>
          </w:r>
        </w:p>
        <w:p w14:paraId="0E014BD5">
          <w:pPr>
            <w:pStyle w:val="14"/>
            <w:tabs>
              <w:tab w:val="right" w:leader="dot" w:pos="9017"/>
            </w:tabs>
          </w:pPr>
          <w:r>
            <w:fldChar w:fldCharType="begin"/>
          </w:r>
          <w:r>
            <w:instrText xml:space="preserve"> HYPERLINK \l "_Toc224645738" </w:instrText>
          </w:r>
          <w:r>
            <w:fldChar w:fldCharType="separate"/>
          </w:r>
          <w:r>
            <w:rPr>
              <w:rStyle w:val="10"/>
            </w:rPr>
            <w:t>4.4 Strengthening Data Governance Frameworks</w:t>
          </w:r>
          <w:r>
            <w:tab/>
          </w:r>
          <w:r>
            <w:fldChar w:fldCharType="begin"/>
          </w:r>
          <w:r>
            <w:instrText xml:space="preserve"> PAGEREF _Toc224645738 \h </w:instrText>
          </w:r>
          <w:r>
            <w:fldChar w:fldCharType="separate"/>
          </w:r>
          <w:r>
            <w:t>11</w:t>
          </w:r>
          <w:r>
            <w:fldChar w:fldCharType="end"/>
          </w:r>
          <w:r>
            <w:fldChar w:fldCharType="end"/>
          </w:r>
        </w:p>
        <w:p w14:paraId="62C6E9C4">
          <w:pPr>
            <w:pStyle w:val="13"/>
            <w:tabs>
              <w:tab w:val="right" w:leader="dot" w:pos="9017"/>
            </w:tabs>
          </w:pPr>
          <w:r>
            <w:fldChar w:fldCharType="begin"/>
          </w:r>
          <w:r>
            <w:instrText xml:space="preserve"> HYPERLINK \l "_Toc224645739" </w:instrText>
          </w:r>
          <w:r>
            <w:fldChar w:fldCharType="separate"/>
          </w:r>
          <w:r>
            <w:rPr>
              <w:rStyle w:val="10"/>
            </w:rPr>
            <w:t>5. Ethical AI Use</w:t>
          </w:r>
          <w:r>
            <w:tab/>
          </w:r>
          <w:r>
            <w:fldChar w:fldCharType="begin"/>
          </w:r>
          <w:r>
            <w:instrText xml:space="preserve"> PAGEREF _Toc224645739 \h </w:instrText>
          </w:r>
          <w:r>
            <w:fldChar w:fldCharType="separate"/>
          </w:r>
          <w:r>
            <w:t>12</w:t>
          </w:r>
          <w:r>
            <w:fldChar w:fldCharType="end"/>
          </w:r>
          <w:r>
            <w:fldChar w:fldCharType="end"/>
          </w:r>
        </w:p>
        <w:p w14:paraId="0402F7AC">
          <w:pPr>
            <w:pStyle w:val="14"/>
            <w:tabs>
              <w:tab w:val="right" w:leader="dot" w:pos="9017"/>
            </w:tabs>
          </w:pPr>
          <w:r>
            <w:fldChar w:fldCharType="begin"/>
          </w:r>
          <w:r>
            <w:instrText xml:space="preserve"> HYPERLINK \l "_Toc224645740" </w:instrText>
          </w:r>
          <w:r>
            <w:fldChar w:fldCharType="separate"/>
          </w:r>
          <w:r>
            <w:rPr>
              <w:rStyle w:val="10"/>
            </w:rPr>
            <w:t>5.1 The Growing Importance of Ethical AI</w:t>
          </w:r>
          <w:r>
            <w:tab/>
          </w:r>
          <w:r>
            <w:fldChar w:fldCharType="begin"/>
          </w:r>
          <w:r>
            <w:instrText xml:space="preserve"> PAGEREF _Toc224645740 \h </w:instrText>
          </w:r>
          <w:r>
            <w:fldChar w:fldCharType="separate"/>
          </w:r>
          <w:r>
            <w:t>12</w:t>
          </w:r>
          <w:r>
            <w:fldChar w:fldCharType="end"/>
          </w:r>
          <w:r>
            <w:fldChar w:fldCharType="end"/>
          </w:r>
        </w:p>
        <w:p w14:paraId="00E43171">
          <w:pPr>
            <w:pStyle w:val="14"/>
            <w:tabs>
              <w:tab w:val="right" w:leader="dot" w:pos="9017"/>
            </w:tabs>
          </w:pPr>
          <w:r>
            <w:fldChar w:fldCharType="begin"/>
          </w:r>
          <w:r>
            <w:instrText xml:space="preserve"> HYPERLINK \l "_Toc224645741" </w:instrText>
          </w:r>
          <w:r>
            <w:fldChar w:fldCharType="separate"/>
          </w:r>
          <w:r>
            <w:rPr>
              <w:rStyle w:val="10"/>
            </w:rPr>
            <w:t>5.2 Addressing Algorithmic Bias</w:t>
          </w:r>
          <w:r>
            <w:tab/>
          </w:r>
          <w:r>
            <w:fldChar w:fldCharType="begin"/>
          </w:r>
          <w:r>
            <w:instrText xml:space="preserve"> PAGEREF _Toc224645741 \h </w:instrText>
          </w:r>
          <w:r>
            <w:fldChar w:fldCharType="separate"/>
          </w:r>
          <w:r>
            <w:t>12</w:t>
          </w:r>
          <w:r>
            <w:fldChar w:fldCharType="end"/>
          </w:r>
          <w:r>
            <w:fldChar w:fldCharType="end"/>
          </w:r>
        </w:p>
        <w:p w14:paraId="4D49791E">
          <w:pPr>
            <w:pStyle w:val="14"/>
            <w:tabs>
              <w:tab w:val="right" w:leader="dot" w:pos="9017"/>
            </w:tabs>
          </w:pPr>
          <w:r>
            <w:fldChar w:fldCharType="begin"/>
          </w:r>
          <w:r>
            <w:instrText xml:space="preserve"> HYPERLINK \l "_Toc224645742" </w:instrText>
          </w:r>
          <w:r>
            <w:fldChar w:fldCharType="separate"/>
          </w:r>
          <w:r>
            <w:rPr>
              <w:rStyle w:val="10"/>
            </w:rPr>
            <w:t>5.3 Transparency and Explainability</w:t>
          </w:r>
          <w:r>
            <w:tab/>
          </w:r>
          <w:r>
            <w:fldChar w:fldCharType="begin"/>
          </w:r>
          <w:r>
            <w:instrText xml:space="preserve"> PAGEREF _Toc224645742 \h </w:instrText>
          </w:r>
          <w:r>
            <w:fldChar w:fldCharType="separate"/>
          </w:r>
          <w:r>
            <w:t>13</w:t>
          </w:r>
          <w:r>
            <w:fldChar w:fldCharType="end"/>
          </w:r>
          <w:r>
            <w:fldChar w:fldCharType="end"/>
          </w:r>
        </w:p>
        <w:p w14:paraId="16B84F2A">
          <w:pPr>
            <w:pStyle w:val="14"/>
            <w:tabs>
              <w:tab w:val="right" w:leader="dot" w:pos="9017"/>
            </w:tabs>
          </w:pPr>
          <w:r>
            <w:fldChar w:fldCharType="begin"/>
          </w:r>
          <w:r>
            <w:instrText xml:space="preserve"> HYPERLINK \l "_Toc224645743" </w:instrText>
          </w:r>
          <w:r>
            <w:fldChar w:fldCharType="separate"/>
          </w:r>
          <w:r>
            <w:rPr>
              <w:rStyle w:val="10"/>
            </w:rPr>
            <w:t>5.4 Embedding Ethical Principles into Business Strategy</w:t>
          </w:r>
          <w:r>
            <w:tab/>
          </w:r>
          <w:r>
            <w:fldChar w:fldCharType="begin"/>
          </w:r>
          <w:r>
            <w:instrText xml:space="preserve"> PAGEREF _Toc224645743 \h </w:instrText>
          </w:r>
          <w:r>
            <w:fldChar w:fldCharType="separate"/>
          </w:r>
          <w:r>
            <w:t>13</w:t>
          </w:r>
          <w:r>
            <w:fldChar w:fldCharType="end"/>
          </w:r>
          <w:r>
            <w:fldChar w:fldCharType="end"/>
          </w:r>
        </w:p>
        <w:p w14:paraId="37C1C657">
          <w:pPr>
            <w:pStyle w:val="13"/>
            <w:tabs>
              <w:tab w:val="right" w:leader="dot" w:pos="9017"/>
            </w:tabs>
          </w:pPr>
          <w:r>
            <w:fldChar w:fldCharType="begin"/>
          </w:r>
          <w:r>
            <w:instrText xml:space="preserve"> HYPERLINK \l "_Toc224645744" </w:instrText>
          </w:r>
          <w:r>
            <w:fldChar w:fldCharType="separate"/>
          </w:r>
          <w:r>
            <w:rPr>
              <w:rStyle w:val="10"/>
            </w:rPr>
            <w:t>6. Regulatory Compliance: UK vs EU</w:t>
          </w:r>
          <w:r>
            <w:tab/>
          </w:r>
          <w:r>
            <w:fldChar w:fldCharType="begin"/>
          </w:r>
          <w:r>
            <w:instrText xml:space="preserve"> PAGEREF _Toc224645744 \h </w:instrText>
          </w:r>
          <w:r>
            <w:fldChar w:fldCharType="separate"/>
          </w:r>
          <w:r>
            <w:t>13</w:t>
          </w:r>
          <w:r>
            <w:fldChar w:fldCharType="end"/>
          </w:r>
          <w:r>
            <w:fldChar w:fldCharType="end"/>
          </w:r>
        </w:p>
        <w:p w14:paraId="1FE2C768">
          <w:pPr>
            <w:pStyle w:val="14"/>
            <w:tabs>
              <w:tab w:val="right" w:leader="dot" w:pos="9017"/>
            </w:tabs>
          </w:pPr>
          <w:r>
            <w:fldChar w:fldCharType="begin"/>
          </w:r>
          <w:r>
            <w:instrText xml:space="preserve"> HYPERLINK \l "_Toc224645745" </w:instrText>
          </w:r>
          <w:r>
            <w:fldChar w:fldCharType="separate"/>
          </w:r>
          <w:r>
            <w:rPr>
              <w:rStyle w:val="10"/>
            </w:rPr>
            <w:t>6.1 Diverging Regulatory Approaches</w:t>
          </w:r>
          <w:r>
            <w:tab/>
          </w:r>
          <w:r>
            <w:fldChar w:fldCharType="begin"/>
          </w:r>
          <w:r>
            <w:instrText xml:space="preserve"> PAGEREF _Toc224645745 \h </w:instrText>
          </w:r>
          <w:r>
            <w:fldChar w:fldCharType="separate"/>
          </w:r>
          <w:r>
            <w:t>13</w:t>
          </w:r>
          <w:r>
            <w:fldChar w:fldCharType="end"/>
          </w:r>
          <w:r>
            <w:fldChar w:fldCharType="end"/>
          </w:r>
        </w:p>
        <w:p w14:paraId="5A08A56A">
          <w:pPr>
            <w:pStyle w:val="14"/>
            <w:tabs>
              <w:tab w:val="right" w:leader="dot" w:pos="9017"/>
            </w:tabs>
          </w:pPr>
          <w:r>
            <w:fldChar w:fldCharType="begin"/>
          </w:r>
          <w:r>
            <w:instrText xml:space="preserve"> HYPERLINK \l "_Toc224645746" </w:instrText>
          </w:r>
          <w:r>
            <w:fldChar w:fldCharType="separate"/>
          </w:r>
          <w:r>
            <w:rPr>
              <w:rStyle w:val="10"/>
            </w:rPr>
            <w:t>6.2 Implications for Multinational Compliance</w:t>
          </w:r>
          <w:r>
            <w:tab/>
          </w:r>
          <w:r>
            <w:fldChar w:fldCharType="begin"/>
          </w:r>
          <w:r>
            <w:instrText xml:space="preserve"> PAGEREF _Toc224645746 \h </w:instrText>
          </w:r>
          <w:r>
            <w:fldChar w:fldCharType="separate"/>
          </w:r>
          <w:r>
            <w:t>14</w:t>
          </w:r>
          <w:r>
            <w:fldChar w:fldCharType="end"/>
          </w:r>
          <w:r>
            <w:fldChar w:fldCharType="end"/>
          </w:r>
        </w:p>
        <w:p w14:paraId="18BEBC09">
          <w:pPr>
            <w:pStyle w:val="14"/>
            <w:tabs>
              <w:tab w:val="right" w:leader="dot" w:pos="9017"/>
            </w:tabs>
          </w:pPr>
          <w:r>
            <w:fldChar w:fldCharType="begin"/>
          </w:r>
          <w:r>
            <w:instrText xml:space="preserve"> HYPERLINK \l "_Toc224645747" </w:instrText>
          </w:r>
          <w:r>
            <w:fldChar w:fldCharType="separate"/>
          </w:r>
          <w:r>
            <w:rPr>
              <w:rStyle w:val="10"/>
            </w:rPr>
            <w:t>6.3 Strategic Alignment and Best Practices</w:t>
          </w:r>
          <w:r>
            <w:tab/>
          </w:r>
          <w:r>
            <w:fldChar w:fldCharType="begin"/>
          </w:r>
          <w:r>
            <w:instrText xml:space="preserve"> PAGEREF _Toc224645747 \h </w:instrText>
          </w:r>
          <w:r>
            <w:fldChar w:fldCharType="separate"/>
          </w:r>
          <w:r>
            <w:t>14</w:t>
          </w:r>
          <w:r>
            <w:fldChar w:fldCharType="end"/>
          </w:r>
          <w:r>
            <w:fldChar w:fldCharType="end"/>
          </w:r>
        </w:p>
        <w:p w14:paraId="684067A7">
          <w:pPr>
            <w:pStyle w:val="14"/>
            <w:tabs>
              <w:tab w:val="right" w:leader="dot" w:pos="9017"/>
            </w:tabs>
          </w:pPr>
          <w:r>
            <w:fldChar w:fldCharType="begin"/>
          </w:r>
          <w:r>
            <w:instrText xml:space="preserve"> HYPERLINK \l "_Toc224645748" </w:instrText>
          </w:r>
          <w:r>
            <w:fldChar w:fldCharType="separate"/>
          </w:r>
          <w:r>
            <w:rPr>
              <w:rStyle w:val="10"/>
            </w:rPr>
            <w:t>6.4 Balancing Innovation and Regulation</w:t>
          </w:r>
          <w:r>
            <w:tab/>
          </w:r>
          <w:r>
            <w:fldChar w:fldCharType="begin"/>
          </w:r>
          <w:r>
            <w:instrText xml:space="preserve"> PAGEREF _Toc224645748 \h </w:instrText>
          </w:r>
          <w:r>
            <w:fldChar w:fldCharType="separate"/>
          </w:r>
          <w:r>
            <w:t>15</w:t>
          </w:r>
          <w:r>
            <w:fldChar w:fldCharType="end"/>
          </w:r>
          <w:r>
            <w:fldChar w:fldCharType="end"/>
          </w:r>
        </w:p>
        <w:p w14:paraId="09D56F54">
          <w:pPr>
            <w:pStyle w:val="13"/>
            <w:tabs>
              <w:tab w:val="right" w:leader="dot" w:pos="9017"/>
            </w:tabs>
          </w:pPr>
          <w:r>
            <w:fldChar w:fldCharType="begin"/>
          </w:r>
          <w:r>
            <w:instrText xml:space="preserve"> HYPERLINK \l "_Toc224645749" </w:instrText>
          </w:r>
          <w:r>
            <w:fldChar w:fldCharType="separate"/>
          </w:r>
          <w:r>
            <w:rPr>
              <w:rStyle w:val="10"/>
            </w:rPr>
            <w:t>7. Customer Trust and Reputation Management</w:t>
          </w:r>
          <w:r>
            <w:tab/>
          </w:r>
          <w:r>
            <w:fldChar w:fldCharType="begin"/>
          </w:r>
          <w:r>
            <w:instrText xml:space="preserve"> PAGEREF _Toc224645749 \h </w:instrText>
          </w:r>
          <w:r>
            <w:fldChar w:fldCharType="separate"/>
          </w:r>
          <w:r>
            <w:t>15</w:t>
          </w:r>
          <w:r>
            <w:fldChar w:fldCharType="end"/>
          </w:r>
          <w:r>
            <w:fldChar w:fldCharType="end"/>
          </w:r>
        </w:p>
        <w:p w14:paraId="5C1C8E14">
          <w:pPr>
            <w:pStyle w:val="14"/>
            <w:tabs>
              <w:tab w:val="right" w:leader="dot" w:pos="9017"/>
            </w:tabs>
          </w:pPr>
          <w:r>
            <w:fldChar w:fldCharType="begin"/>
          </w:r>
          <w:r>
            <w:instrText xml:space="preserve"> HYPERLINK \l "_Toc224645750" </w:instrText>
          </w:r>
          <w:r>
            <w:fldChar w:fldCharType="separate"/>
          </w:r>
          <w:r>
            <w:rPr>
              <w:rStyle w:val="10"/>
            </w:rPr>
            <w:t>7.1 Importance of Customer Trust in the AI Era</w:t>
          </w:r>
          <w:r>
            <w:tab/>
          </w:r>
          <w:r>
            <w:fldChar w:fldCharType="begin"/>
          </w:r>
          <w:r>
            <w:instrText xml:space="preserve"> PAGEREF _Toc224645750 \h </w:instrText>
          </w:r>
          <w:r>
            <w:fldChar w:fldCharType="separate"/>
          </w:r>
          <w:r>
            <w:t>15</w:t>
          </w:r>
          <w:r>
            <w:fldChar w:fldCharType="end"/>
          </w:r>
          <w:r>
            <w:fldChar w:fldCharType="end"/>
          </w:r>
        </w:p>
        <w:p w14:paraId="4E8387AE">
          <w:pPr>
            <w:pStyle w:val="14"/>
            <w:tabs>
              <w:tab w:val="right" w:leader="dot" w:pos="9017"/>
            </w:tabs>
          </w:pPr>
          <w:r>
            <w:fldChar w:fldCharType="begin"/>
          </w:r>
          <w:r>
            <w:instrText xml:space="preserve"> HYPERLINK \l "_Toc224645751" </w:instrText>
          </w:r>
          <w:r>
            <w:fldChar w:fldCharType="separate"/>
          </w:r>
          <w:r>
            <w:rPr>
              <w:rStyle w:val="10"/>
            </w:rPr>
            <w:t>7.2 Transparency and Data Control</w:t>
          </w:r>
          <w:r>
            <w:tab/>
          </w:r>
          <w:r>
            <w:fldChar w:fldCharType="begin"/>
          </w:r>
          <w:r>
            <w:instrText xml:space="preserve"> PAGEREF _Toc224645751 \h </w:instrText>
          </w:r>
          <w:r>
            <w:fldChar w:fldCharType="separate"/>
          </w:r>
          <w:r>
            <w:t>15</w:t>
          </w:r>
          <w:r>
            <w:fldChar w:fldCharType="end"/>
          </w:r>
          <w:r>
            <w:fldChar w:fldCharType="end"/>
          </w:r>
        </w:p>
        <w:p w14:paraId="26F90610">
          <w:pPr>
            <w:pStyle w:val="14"/>
            <w:tabs>
              <w:tab w:val="right" w:leader="dot" w:pos="9017"/>
            </w:tabs>
          </w:pPr>
          <w:r>
            <w:fldChar w:fldCharType="begin"/>
          </w:r>
          <w:r>
            <w:instrText xml:space="preserve"> HYPERLINK \l "_Toc224645752" </w:instrText>
          </w:r>
          <w:r>
            <w:fldChar w:fldCharType="separate"/>
          </w:r>
          <w:r>
            <w:rPr>
              <w:rStyle w:val="10"/>
            </w:rPr>
            <w:t>7.3 Managing Reputation and Stakeholder Engagement</w:t>
          </w:r>
          <w:r>
            <w:tab/>
          </w:r>
          <w:r>
            <w:fldChar w:fldCharType="begin"/>
          </w:r>
          <w:r>
            <w:instrText xml:space="preserve"> PAGEREF _Toc224645752 \h </w:instrText>
          </w:r>
          <w:r>
            <w:fldChar w:fldCharType="separate"/>
          </w:r>
          <w:r>
            <w:t>16</w:t>
          </w:r>
          <w:r>
            <w:fldChar w:fldCharType="end"/>
          </w:r>
          <w:r>
            <w:fldChar w:fldCharType="end"/>
          </w:r>
        </w:p>
        <w:p w14:paraId="3A6A6436">
          <w:pPr>
            <w:pStyle w:val="14"/>
            <w:tabs>
              <w:tab w:val="right" w:leader="dot" w:pos="9017"/>
            </w:tabs>
          </w:pPr>
          <w:r>
            <w:fldChar w:fldCharType="begin"/>
          </w:r>
          <w:r>
            <w:instrText xml:space="preserve"> HYPERLINK \l "_Toc224645753" </w:instrText>
          </w:r>
          <w:r>
            <w:fldChar w:fldCharType="separate"/>
          </w:r>
          <w:r>
            <w:rPr>
              <w:rStyle w:val="10"/>
            </w:rPr>
            <w:t>7.4 Trust as a Source of Competitive Advantage</w:t>
          </w:r>
          <w:r>
            <w:tab/>
          </w:r>
          <w:r>
            <w:fldChar w:fldCharType="begin"/>
          </w:r>
          <w:r>
            <w:instrText xml:space="preserve"> PAGEREF _Toc224645753 \h </w:instrText>
          </w:r>
          <w:r>
            <w:fldChar w:fldCharType="separate"/>
          </w:r>
          <w:r>
            <w:t>16</w:t>
          </w:r>
          <w:r>
            <w:fldChar w:fldCharType="end"/>
          </w:r>
          <w:r>
            <w:fldChar w:fldCharType="end"/>
          </w:r>
        </w:p>
        <w:p w14:paraId="1E9341A3">
          <w:pPr>
            <w:pStyle w:val="13"/>
            <w:tabs>
              <w:tab w:val="right" w:leader="dot" w:pos="9017"/>
            </w:tabs>
          </w:pPr>
          <w:r>
            <w:fldChar w:fldCharType="begin"/>
          </w:r>
          <w:r>
            <w:instrText xml:space="preserve"> HYPERLINK \l "_Toc224645754" </w:instrText>
          </w:r>
          <w:r>
            <w:fldChar w:fldCharType="separate"/>
          </w:r>
          <w:r>
            <w:rPr>
              <w:rStyle w:val="10"/>
            </w:rPr>
            <w:t>8. Strategic Analysis Using PESTLE</w:t>
          </w:r>
          <w:r>
            <w:tab/>
          </w:r>
          <w:r>
            <w:fldChar w:fldCharType="begin"/>
          </w:r>
          <w:r>
            <w:instrText xml:space="preserve"> PAGEREF _Toc224645754 \h </w:instrText>
          </w:r>
          <w:r>
            <w:fldChar w:fldCharType="separate"/>
          </w:r>
          <w:r>
            <w:t>16</w:t>
          </w:r>
          <w:r>
            <w:fldChar w:fldCharType="end"/>
          </w:r>
          <w:r>
            <w:fldChar w:fldCharType="end"/>
          </w:r>
        </w:p>
        <w:p w14:paraId="1249D1C6">
          <w:pPr>
            <w:pStyle w:val="14"/>
            <w:tabs>
              <w:tab w:val="right" w:leader="dot" w:pos="9017"/>
            </w:tabs>
          </w:pPr>
          <w:r>
            <w:fldChar w:fldCharType="begin"/>
          </w:r>
          <w:r>
            <w:instrText xml:space="preserve"> HYPERLINK \l "_Toc224645755" </w:instrText>
          </w:r>
          <w:r>
            <w:fldChar w:fldCharType="separate"/>
          </w:r>
          <w:r>
            <w:rPr>
              <w:rStyle w:val="10"/>
            </w:rPr>
            <w:t>8.1 Overview of PESTLE Framework</w:t>
          </w:r>
          <w:r>
            <w:tab/>
          </w:r>
          <w:r>
            <w:fldChar w:fldCharType="begin"/>
          </w:r>
          <w:r>
            <w:instrText xml:space="preserve"> PAGEREF _Toc224645755 \h </w:instrText>
          </w:r>
          <w:r>
            <w:fldChar w:fldCharType="separate"/>
          </w:r>
          <w:r>
            <w:t>16</w:t>
          </w:r>
          <w:r>
            <w:fldChar w:fldCharType="end"/>
          </w:r>
          <w:r>
            <w:fldChar w:fldCharType="end"/>
          </w:r>
        </w:p>
        <w:p w14:paraId="35015E50">
          <w:pPr>
            <w:pStyle w:val="14"/>
            <w:tabs>
              <w:tab w:val="right" w:leader="dot" w:pos="9017"/>
            </w:tabs>
          </w:pPr>
          <w:r>
            <w:fldChar w:fldCharType="begin"/>
          </w:r>
          <w:r>
            <w:instrText xml:space="preserve"> HYPERLINK \l "_Toc224645756" </w:instrText>
          </w:r>
          <w:r>
            <w:fldChar w:fldCharType="separate"/>
          </w:r>
          <w:r>
            <w:rPr>
              <w:rStyle w:val="10"/>
            </w:rPr>
            <w:t>8.2 Political and Economic Factors</w:t>
          </w:r>
          <w:r>
            <w:tab/>
          </w:r>
          <w:r>
            <w:fldChar w:fldCharType="begin"/>
          </w:r>
          <w:r>
            <w:instrText xml:space="preserve"> PAGEREF _Toc224645756 \h </w:instrText>
          </w:r>
          <w:r>
            <w:fldChar w:fldCharType="separate"/>
          </w:r>
          <w:r>
            <w:t>17</w:t>
          </w:r>
          <w:r>
            <w:fldChar w:fldCharType="end"/>
          </w:r>
          <w:r>
            <w:fldChar w:fldCharType="end"/>
          </w:r>
        </w:p>
        <w:p w14:paraId="108C048C">
          <w:pPr>
            <w:pStyle w:val="14"/>
            <w:tabs>
              <w:tab w:val="right" w:leader="dot" w:pos="9017"/>
            </w:tabs>
          </w:pPr>
          <w:r>
            <w:fldChar w:fldCharType="begin"/>
          </w:r>
          <w:r>
            <w:instrText xml:space="preserve"> HYPERLINK \l "_Toc224645757" </w:instrText>
          </w:r>
          <w:r>
            <w:fldChar w:fldCharType="separate"/>
          </w:r>
          <w:r>
            <w:rPr>
              <w:rStyle w:val="10"/>
            </w:rPr>
            <w:t>8.3 Social and Technological Factors</w:t>
          </w:r>
          <w:r>
            <w:tab/>
          </w:r>
          <w:r>
            <w:fldChar w:fldCharType="begin"/>
          </w:r>
          <w:r>
            <w:instrText xml:space="preserve"> PAGEREF _Toc224645757 \h </w:instrText>
          </w:r>
          <w:r>
            <w:fldChar w:fldCharType="separate"/>
          </w:r>
          <w:r>
            <w:t>17</w:t>
          </w:r>
          <w:r>
            <w:fldChar w:fldCharType="end"/>
          </w:r>
          <w:r>
            <w:fldChar w:fldCharType="end"/>
          </w:r>
        </w:p>
        <w:p w14:paraId="66972E66">
          <w:pPr>
            <w:pStyle w:val="14"/>
            <w:tabs>
              <w:tab w:val="right" w:leader="dot" w:pos="9017"/>
            </w:tabs>
          </w:pPr>
          <w:r>
            <w:fldChar w:fldCharType="begin"/>
          </w:r>
          <w:r>
            <w:instrText xml:space="preserve"> HYPERLINK \l "_Toc224645758" </w:instrText>
          </w:r>
          <w:r>
            <w:fldChar w:fldCharType="separate"/>
          </w:r>
          <w:r>
            <w:rPr>
              <w:rStyle w:val="10"/>
            </w:rPr>
            <w:t>8.4 Legal and Environmental Factors</w:t>
          </w:r>
          <w:r>
            <w:tab/>
          </w:r>
          <w:r>
            <w:fldChar w:fldCharType="begin"/>
          </w:r>
          <w:r>
            <w:instrText xml:space="preserve"> PAGEREF _Toc224645758 \h </w:instrText>
          </w:r>
          <w:r>
            <w:fldChar w:fldCharType="separate"/>
          </w:r>
          <w:r>
            <w:t>17</w:t>
          </w:r>
          <w:r>
            <w:fldChar w:fldCharType="end"/>
          </w:r>
          <w:r>
            <w:fldChar w:fldCharType="end"/>
          </w:r>
        </w:p>
        <w:p w14:paraId="50DBDA18">
          <w:pPr>
            <w:pStyle w:val="14"/>
            <w:tabs>
              <w:tab w:val="right" w:leader="dot" w:pos="9017"/>
            </w:tabs>
          </w:pPr>
          <w:r>
            <w:fldChar w:fldCharType="begin"/>
          </w:r>
          <w:r>
            <w:instrText xml:space="preserve"> HYPERLINK \l "_Toc224645759" </w:instrText>
          </w:r>
          <w:r>
            <w:fldChar w:fldCharType="separate"/>
          </w:r>
          <w:r>
            <w:rPr>
              <w:rStyle w:val="10"/>
            </w:rPr>
            <w:t>8.5 Strategic Implications</w:t>
          </w:r>
          <w:r>
            <w:tab/>
          </w:r>
          <w:r>
            <w:fldChar w:fldCharType="begin"/>
          </w:r>
          <w:r>
            <w:instrText xml:space="preserve"> PAGEREF _Toc224645759 \h </w:instrText>
          </w:r>
          <w:r>
            <w:fldChar w:fldCharType="separate"/>
          </w:r>
          <w:r>
            <w:t>18</w:t>
          </w:r>
          <w:r>
            <w:fldChar w:fldCharType="end"/>
          </w:r>
          <w:r>
            <w:fldChar w:fldCharType="end"/>
          </w:r>
        </w:p>
        <w:p w14:paraId="1D4A98CC">
          <w:pPr>
            <w:pStyle w:val="13"/>
            <w:tabs>
              <w:tab w:val="right" w:leader="dot" w:pos="9017"/>
            </w:tabs>
          </w:pPr>
          <w:r>
            <w:fldChar w:fldCharType="begin"/>
          </w:r>
          <w:r>
            <w:instrText xml:space="preserve"> HYPERLINK \l "_Toc224645760" </w:instrText>
          </w:r>
          <w:r>
            <w:fldChar w:fldCharType="separate"/>
          </w:r>
          <w:r>
            <w:rPr>
              <w:rStyle w:val="10"/>
            </w:rPr>
            <w:t>9. Recommendations</w:t>
          </w:r>
          <w:r>
            <w:tab/>
          </w:r>
          <w:r>
            <w:fldChar w:fldCharType="begin"/>
          </w:r>
          <w:r>
            <w:instrText xml:space="preserve"> PAGEREF _Toc224645760 \h </w:instrText>
          </w:r>
          <w:r>
            <w:fldChar w:fldCharType="separate"/>
          </w:r>
          <w:r>
            <w:t>18</w:t>
          </w:r>
          <w:r>
            <w:fldChar w:fldCharType="end"/>
          </w:r>
          <w:r>
            <w:fldChar w:fldCharType="end"/>
          </w:r>
        </w:p>
        <w:p w14:paraId="51D487ED">
          <w:pPr>
            <w:pStyle w:val="14"/>
            <w:tabs>
              <w:tab w:val="right" w:leader="dot" w:pos="9017"/>
            </w:tabs>
          </w:pPr>
          <w:r>
            <w:fldChar w:fldCharType="begin"/>
          </w:r>
          <w:r>
            <w:instrText xml:space="preserve"> HYPERLINK \l "_Toc224645761" </w:instrText>
          </w:r>
          <w:r>
            <w:fldChar w:fldCharType="separate"/>
          </w:r>
          <w:r>
            <w:rPr>
              <w:rStyle w:val="10"/>
            </w:rPr>
            <w:t>9.1 Strengthening AI Governance Framework</w:t>
          </w:r>
          <w:r>
            <w:tab/>
          </w:r>
          <w:r>
            <w:fldChar w:fldCharType="begin"/>
          </w:r>
          <w:r>
            <w:instrText xml:space="preserve"> PAGEREF _Toc224645761 \h </w:instrText>
          </w:r>
          <w:r>
            <w:fldChar w:fldCharType="separate"/>
          </w:r>
          <w:r>
            <w:t>18</w:t>
          </w:r>
          <w:r>
            <w:fldChar w:fldCharType="end"/>
          </w:r>
          <w:r>
            <w:fldChar w:fldCharType="end"/>
          </w:r>
        </w:p>
        <w:p w14:paraId="616F6351">
          <w:pPr>
            <w:pStyle w:val="14"/>
            <w:tabs>
              <w:tab w:val="right" w:leader="dot" w:pos="9017"/>
            </w:tabs>
          </w:pPr>
          <w:r>
            <w:fldChar w:fldCharType="begin"/>
          </w:r>
          <w:r>
            <w:instrText xml:space="preserve"> HYPERLINK \l "_Toc224645762" </w:instrText>
          </w:r>
          <w:r>
            <w:fldChar w:fldCharType="separate"/>
          </w:r>
          <w:r>
            <w:rPr>
              <w:rStyle w:val="10"/>
            </w:rPr>
            <w:t>9.2 Investment in Ethical AI and Workforce Capability</w:t>
          </w:r>
          <w:r>
            <w:tab/>
          </w:r>
          <w:r>
            <w:fldChar w:fldCharType="begin"/>
          </w:r>
          <w:r>
            <w:instrText xml:space="preserve"> PAGEREF _Toc224645762 \h </w:instrText>
          </w:r>
          <w:r>
            <w:fldChar w:fldCharType="separate"/>
          </w:r>
          <w:r>
            <w:t>18</w:t>
          </w:r>
          <w:r>
            <w:fldChar w:fldCharType="end"/>
          </w:r>
          <w:r>
            <w:fldChar w:fldCharType="end"/>
          </w:r>
        </w:p>
        <w:p w14:paraId="0941FA90">
          <w:pPr>
            <w:pStyle w:val="14"/>
            <w:tabs>
              <w:tab w:val="right" w:leader="dot" w:pos="9017"/>
            </w:tabs>
          </w:pPr>
          <w:r>
            <w:fldChar w:fldCharType="begin"/>
          </w:r>
          <w:r>
            <w:instrText xml:space="preserve"> HYPERLINK \l "_Toc224645763" </w:instrText>
          </w:r>
          <w:r>
            <w:fldChar w:fldCharType="separate"/>
          </w:r>
          <w:r>
            <w:rPr>
              <w:rStyle w:val="10"/>
            </w:rPr>
            <w:t>9.3 Enhancing Data Governance and Compliance</w:t>
          </w:r>
          <w:r>
            <w:tab/>
          </w:r>
          <w:r>
            <w:fldChar w:fldCharType="begin"/>
          </w:r>
          <w:r>
            <w:instrText xml:space="preserve"> PAGEREF _Toc224645763 \h </w:instrText>
          </w:r>
          <w:r>
            <w:fldChar w:fldCharType="separate"/>
          </w:r>
          <w:r>
            <w:t>18</w:t>
          </w:r>
          <w:r>
            <w:fldChar w:fldCharType="end"/>
          </w:r>
          <w:r>
            <w:fldChar w:fldCharType="end"/>
          </w:r>
        </w:p>
        <w:p w14:paraId="43361B83">
          <w:pPr>
            <w:pStyle w:val="14"/>
            <w:tabs>
              <w:tab w:val="right" w:leader="dot" w:pos="9017"/>
            </w:tabs>
          </w:pPr>
          <w:r>
            <w:fldChar w:fldCharType="begin"/>
          </w:r>
          <w:r>
            <w:instrText xml:space="preserve"> HYPERLINK \l "_Toc224645764" </w:instrText>
          </w:r>
          <w:r>
            <w:fldChar w:fldCharType="separate"/>
          </w:r>
          <w:r>
            <w:rPr>
              <w:rStyle w:val="10"/>
            </w:rPr>
            <w:t>9.4 Aligning with Global Regulatory Standards</w:t>
          </w:r>
          <w:r>
            <w:tab/>
          </w:r>
          <w:r>
            <w:fldChar w:fldCharType="begin"/>
          </w:r>
          <w:r>
            <w:instrText xml:space="preserve"> PAGEREF _Toc224645764 \h </w:instrText>
          </w:r>
          <w:r>
            <w:fldChar w:fldCharType="separate"/>
          </w:r>
          <w:r>
            <w:t>19</w:t>
          </w:r>
          <w:r>
            <w:fldChar w:fldCharType="end"/>
          </w:r>
          <w:r>
            <w:fldChar w:fldCharType="end"/>
          </w:r>
        </w:p>
        <w:p w14:paraId="0DCA4915">
          <w:pPr>
            <w:pStyle w:val="14"/>
            <w:tabs>
              <w:tab w:val="right" w:leader="dot" w:pos="9017"/>
            </w:tabs>
          </w:pPr>
          <w:r>
            <w:fldChar w:fldCharType="begin"/>
          </w:r>
          <w:r>
            <w:instrText xml:space="preserve"> HYPERLINK \l "_Toc224645765" </w:instrText>
          </w:r>
          <w:r>
            <w:fldChar w:fldCharType="separate"/>
          </w:r>
          <w:r>
            <w:rPr>
              <w:rStyle w:val="10"/>
            </w:rPr>
            <w:t>9.5 Building Customer Trust and Transparency</w:t>
          </w:r>
          <w:r>
            <w:tab/>
          </w:r>
          <w:r>
            <w:fldChar w:fldCharType="begin"/>
          </w:r>
          <w:r>
            <w:instrText xml:space="preserve"> PAGEREF _Toc224645765 \h </w:instrText>
          </w:r>
          <w:r>
            <w:fldChar w:fldCharType="separate"/>
          </w:r>
          <w:r>
            <w:t>19</w:t>
          </w:r>
          <w:r>
            <w:fldChar w:fldCharType="end"/>
          </w:r>
          <w:r>
            <w:fldChar w:fldCharType="end"/>
          </w:r>
        </w:p>
        <w:p w14:paraId="246271F6">
          <w:pPr>
            <w:pStyle w:val="13"/>
            <w:tabs>
              <w:tab w:val="right" w:leader="dot" w:pos="9017"/>
            </w:tabs>
          </w:pPr>
          <w:r>
            <w:fldChar w:fldCharType="begin"/>
          </w:r>
          <w:r>
            <w:instrText xml:space="preserve"> HYPERLINK \l "_Toc224645766" </w:instrText>
          </w:r>
          <w:r>
            <w:fldChar w:fldCharType="separate"/>
          </w:r>
          <w:r>
            <w:rPr>
              <w:rStyle w:val="10"/>
            </w:rPr>
            <w:t>10. Implementation Plan</w:t>
          </w:r>
          <w:r>
            <w:tab/>
          </w:r>
          <w:r>
            <w:fldChar w:fldCharType="begin"/>
          </w:r>
          <w:r>
            <w:instrText xml:space="preserve"> PAGEREF _Toc224645766 \h </w:instrText>
          </w:r>
          <w:r>
            <w:fldChar w:fldCharType="separate"/>
          </w:r>
          <w:r>
            <w:t>19</w:t>
          </w:r>
          <w:r>
            <w:fldChar w:fldCharType="end"/>
          </w:r>
          <w:r>
            <w:fldChar w:fldCharType="end"/>
          </w:r>
        </w:p>
        <w:p w14:paraId="6FBAC135">
          <w:pPr>
            <w:pStyle w:val="14"/>
            <w:tabs>
              <w:tab w:val="right" w:leader="dot" w:pos="9017"/>
            </w:tabs>
          </w:pPr>
          <w:r>
            <w:fldChar w:fldCharType="begin"/>
          </w:r>
          <w:r>
            <w:instrText xml:space="preserve"> HYPERLINK \l "_Toc224645767" </w:instrText>
          </w:r>
          <w:r>
            <w:fldChar w:fldCharType="separate"/>
          </w:r>
          <w:r>
            <w:rPr>
              <w:rStyle w:val="10"/>
            </w:rPr>
            <w:t>10.1 Phase 1: Foundation and Risk Assessment (0–6 Months)</w:t>
          </w:r>
          <w:r>
            <w:tab/>
          </w:r>
          <w:r>
            <w:fldChar w:fldCharType="begin"/>
          </w:r>
          <w:r>
            <w:instrText xml:space="preserve"> PAGEREF _Toc224645767 \h </w:instrText>
          </w:r>
          <w:r>
            <w:fldChar w:fldCharType="separate"/>
          </w:r>
          <w:r>
            <w:t>19</w:t>
          </w:r>
          <w:r>
            <w:fldChar w:fldCharType="end"/>
          </w:r>
          <w:r>
            <w:fldChar w:fldCharType="end"/>
          </w:r>
        </w:p>
        <w:p w14:paraId="6A92FC19">
          <w:pPr>
            <w:pStyle w:val="14"/>
            <w:tabs>
              <w:tab w:val="right" w:leader="dot" w:pos="9017"/>
            </w:tabs>
          </w:pPr>
          <w:r>
            <w:fldChar w:fldCharType="begin"/>
          </w:r>
          <w:r>
            <w:instrText xml:space="preserve"> HYPERLINK \l "_Toc224645768" </w:instrText>
          </w:r>
          <w:r>
            <w:fldChar w:fldCharType="separate"/>
          </w:r>
          <w:r>
            <w:rPr>
              <w:rStyle w:val="10"/>
            </w:rPr>
            <w:t>10.2 Phase 2: System Deployment and Capability Building (6–12 Months)</w:t>
          </w:r>
          <w:r>
            <w:tab/>
          </w:r>
          <w:r>
            <w:fldChar w:fldCharType="begin"/>
          </w:r>
          <w:r>
            <w:instrText xml:space="preserve"> PAGEREF _Toc224645768 \h </w:instrText>
          </w:r>
          <w:r>
            <w:fldChar w:fldCharType="separate"/>
          </w:r>
          <w:r>
            <w:t>19</w:t>
          </w:r>
          <w:r>
            <w:fldChar w:fldCharType="end"/>
          </w:r>
          <w:r>
            <w:fldChar w:fldCharType="end"/>
          </w:r>
        </w:p>
        <w:p w14:paraId="23DE3003">
          <w:pPr>
            <w:pStyle w:val="14"/>
            <w:tabs>
              <w:tab w:val="right" w:leader="dot" w:pos="9017"/>
            </w:tabs>
          </w:pPr>
          <w:r>
            <w:fldChar w:fldCharType="begin"/>
          </w:r>
          <w:r>
            <w:instrText xml:space="preserve"> HYPERLINK \l "_Toc224645769" </w:instrText>
          </w:r>
          <w:r>
            <w:fldChar w:fldCharType="separate"/>
          </w:r>
          <w:r>
            <w:rPr>
              <w:rStyle w:val="10"/>
            </w:rPr>
            <w:t>10.3 Phase 3: Monitoring, Evaluation, and Continuous Improvement (12–24 Months)</w:t>
          </w:r>
          <w:r>
            <w:tab/>
          </w:r>
          <w:r>
            <w:fldChar w:fldCharType="begin"/>
          </w:r>
          <w:r>
            <w:instrText xml:space="preserve"> PAGEREF _Toc224645769 \h </w:instrText>
          </w:r>
          <w:r>
            <w:fldChar w:fldCharType="separate"/>
          </w:r>
          <w:r>
            <w:t>20</w:t>
          </w:r>
          <w:r>
            <w:fldChar w:fldCharType="end"/>
          </w:r>
          <w:r>
            <w:fldChar w:fldCharType="end"/>
          </w:r>
        </w:p>
        <w:p w14:paraId="1DE4B045">
          <w:pPr>
            <w:pStyle w:val="14"/>
            <w:tabs>
              <w:tab w:val="right" w:leader="dot" w:pos="9017"/>
            </w:tabs>
          </w:pPr>
          <w:r>
            <w:fldChar w:fldCharType="begin"/>
          </w:r>
          <w:r>
            <w:instrText xml:space="preserve"> HYPERLINK \l "_Toc224645770" </w:instrText>
          </w:r>
          <w:r>
            <w:fldChar w:fldCharType="separate"/>
          </w:r>
          <w:r>
            <w:rPr>
              <w:rStyle w:val="10"/>
            </w:rPr>
            <w:t>10.4 Strategic Outcome</w:t>
          </w:r>
          <w:r>
            <w:tab/>
          </w:r>
          <w:r>
            <w:fldChar w:fldCharType="begin"/>
          </w:r>
          <w:r>
            <w:instrText xml:space="preserve"> PAGEREF _Toc224645770 \h </w:instrText>
          </w:r>
          <w:r>
            <w:fldChar w:fldCharType="separate"/>
          </w:r>
          <w:r>
            <w:t>20</w:t>
          </w:r>
          <w:r>
            <w:fldChar w:fldCharType="end"/>
          </w:r>
          <w:r>
            <w:fldChar w:fldCharType="end"/>
          </w:r>
        </w:p>
        <w:p w14:paraId="694AFDFD">
          <w:pPr>
            <w:pStyle w:val="13"/>
            <w:tabs>
              <w:tab w:val="right" w:leader="dot" w:pos="9017"/>
            </w:tabs>
          </w:pPr>
          <w:r>
            <w:fldChar w:fldCharType="begin"/>
          </w:r>
          <w:r>
            <w:instrText xml:space="preserve"> HYPERLINK \l "_Toc224645771" </w:instrText>
          </w:r>
          <w:r>
            <w:fldChar w:fldCharType="separate"/>
          </w:r>
          <w:r>
            <w:rPr>
              <w:rStyle w:val="10"/>
            </w:rPr>
            <w:t>11. Conclusion</w:t>
          </w:r>
          <w:r>
            <w:tab/>
          </w:r>
          <w:r>
            <w:fldChar w:fldCharType="begin"/>
          </w:r>
          <w:r>
            <w:instrText xml:space="preserve"> PAGEREF _Toc224645771 \h </w:instrText>
          </w:r>
          <w:r>
            <w:fldChar w:fldCharType="separate"/>
          </w:r>
          <w:r>
            <w:t>21</w:t>
          </w:r>
          <w:r>
            <w:fldChar w:fldCharType="end"/>
          </w:r>
          <w:r>
            <w:fldChar w:fldCharType="end"/>
          </w:r>
        </w:p>
        <w:p w14:paraId="7CFEB237">
          <w:pPr>
            <w:pStyle w:val="13"/>
            <w:tabs>
              <w:tab w:val="right" w:leader="dot" w:pos="9017"/>
            </w:tabs>
          </w:pPr>
          <w:r>
            <w:fldChar w:fldCharType="begin"/>
          </w:r>
          <w:r>
            <w:instrText xml:space="preserve"> HYPERLINK \l "_Toc224645772" </w:instrText>
          </w:r>
          <w:r>
            <w:fldChar w:fldCharType="separate"/>
          </w:r>
          <w:r>
            <w:rPr>
              <w:rStyle w:val="10"/>
            </w:rPr>
            <w:t>References</w:t>
          </w:r>
          <w:r>
            <w:tab/>
          </w:r>
          <w:r>
            <w:fldChar w:fldCharType="begin"/>
          </w:r>
          <w:r>
            <w:instrText xml:space="preserve"> PAGEREF _Toc224645772 \h </w:instrText>
          </w:r>
          <w:r>
            <w:fldChar w:fldCharType="separate"/>
          </w:r>
          <w:r>
            <w:t>22</w:t>
          </w:r>
          <w:r>
            <w:fldChar w:fldCharType="end"/>
          </w:r>
          <w:r>
            <w:fldChar w:fldCharType="end"/>
          </w:r>
        </w:p>
        <w:p w14:paraId="5207E9FB">
          <w:pPr>
            <w:rPr>
              <w:b/>
              <w:bCs/>
            </w:rPr>
          </w:pPr>
          <w:r>
            <w:rPr>
              <w:b/>
              <w:bCs/>
            </w:rPr>
            <w:fldChar w:fldCharType="end"/>
          </w:r>
        </w:p>
      </w:sdtContent>
    </w:sdt>
    <w:p w14:paraId="14A821B8">
      <w:pPr>
        <w:pStyle w:val="2"/>
      </w:pPr>
      <w:r>
        <w:br w:type="page"/>
      </w:r>
      <w:bookmarkStart w:id="1" w:name="_Toc224645722"/>
      <w:r>
        <w:t>1. Introduction</w:t>
      </w:r>
      <w:bookmarkEnd w:id="1"/>
    </w:p>
    <w:p w14:paraId="11225A07">
      <w:pPr>
        <w:rPr>
          <w:rFonts w:cs="Times New Roman"/>
          <w:szCs w:val="24"/>
        </w:rPr>
      </w:pPr>
      <w:r>
        <w:rPr>
          <w:rFonts w:cs="Times New Roman"/>
          <w:szCs w:val="24"/>
        </w:rPr>
        <w:t>Algorithms are currently one of the forces of change in the contemporary business world. The use of AI technologies is rapidly infiltrating the business operations of organisations dealing with various industries in an effort to help such organisations gain productivity, better customer experiences, and a competitive advantage. Nonetheless, among the advantages, AI also presents problematic threats that should be addressed by new control and regulation mechanisms.</w:t>
      </w:r>
    </w:p>
    <w:p w14:paraId="6DE46B46">
      <w:pPr>
        <w:rPr>
          <w:rFonts w:cs="Times New Roman"/>
          <w:color w:val="auto"/>
          <w:szCs w:val="24"/>
        </w:rPr>
      </w:pPr>
      <w:r>
        <w:rPr>
          <w:rFonts w:cs="Times New Roman"/>
          <w:szCs w:val="24"/>
        </w:rPr>
        <w:t>Unilever is an enterprise that produces consumer goods and operates in more than 190 countries throughout the world under a variety of brands. The company has incorporated AI technologies in marketing analytics, supply chain optimisation, and demand forecasting. Although these innovations are associated with enhanced efficiency and growth, they present some threats to data privacy, ethics, and regulations as wel</w:t>
      </w:r>
      <w:r>
        <w:rPr>
          <w:rFonts w:cs="Times New Roman"/>
          <w:color w:val="auto"/>
          <w:szCs w:val="24"/>
        </w:rPr>
        <w:t>l (Unilever, 2024).</w:t>
      </w:r>
    </w:p>
    <w:p w14:paraId="6EF44720">
      <w:pPr>
        <w:rPr>
          <w:rFonts w:cs="Times New Roman"/>
          <w:szCs w:val="24"/>
        </w:rPr>
      </w:pPr>
      <w:r>
        <w:rPr>
          <w:rFonts w:cs="Times New Roman"/>
          <w:szCs w:val="24"/>
        </w:rPr>
        <w:t>The author of this report will critically analyse how the Unilever role is played by AI in risk management at Unilever. It is dedicated to such priorities as data governance, ethical AI usage, compliance, and customer trust. Additionally, it will offer a comparison between the macroeconomic and regulatory environment in both the UK and the EU so as to learn about the impact of the external environment on organizational strategies.</w:t>
      </w:r>
    </w:p>
    <w:p w14:paraId="488D4553">
      <w:pPr>
        <w:rPr>
          <w:rFonts w:cs="Times New Roman"/>
          <w:color w:val="auto"/>
          <w:szCs w:val="24"/>
        </w:rPr>
      </w:pPr>
      <w:r>
        <w:rPr>
          <w:rFonts w:cs="Times New Roman"/>
          <w:color w:val="auto"/>
          <w:szCs w:val="24"/>
        </w:rPr>
        <w:t>This report assesses the impact of the AI-related economic and regulatory strains on the risk-management practices of Unilever in the UK and EU. It gives recommendations to the senior management regarding AI governance, data protection, ethical assurance, regulatory compliance and customer trust. It also gives a step-by-step implementation plan on how these recommendations can be incorporated in the long-term business strategy at Unilever.</w:t>
      </w:r>
    </w:p>
    <w:p w14:paraId="02022B87">
      <w:pPr>
        <w:spacing w:line="259" w:lineRule="auto"/>
        <w:jc w:val="left"/>
        <w:rPr>
          <w:rStyle w:val="12"/>
          <w:rFonts w:eastAsia="Times New Roman" w:cs="Times New Roman"/>
          <w:color w:val="auto"/>
          <w:szCs w:val="24"/>
          <w:lang w:eastAsia="en-GB"/>
        </w:rPr>
      </w:pPr>
      <w:r>
        <w:rPr>
          <w:rStyle w:val="12"/>
          <w:b w:val="0"/>
          <w:bCs w:val="0"/>
          <w:color w:val="auto"/>
          <w:szCs w:val="24"/>
        </w:rPr>
        <w:br w:type="page"/>
      </w:r>
    </w:p>
    <w:p w14:paraId="284C9071">
      <w:pPr>
        <w:pStyle w:val="2"/>
      </w:pPr>
      <w:bookmarkStart w:id="2" w:name="_Toc224645723"/>
      <w:r>
        <w:rPr>
          <w:rStyle w:val="12"/>
          <w:b/>
          <w:bCs/>
        </w:rPr>
        <w:t>2. International Economic and Regulatory Environment</w:t>
      </w:r>
      <w:bookmarkEnd w:id="2"/>
    </w:p>
    <w:p w14:paraId="1C4E13F3">
      <w:pPr>
        <w:pStyle w:val="3"/>
        <w:rPr>
          <w:color w:val="000000" w:themeColor="text1"/>
          <w14:textFill>
            <w14:solidFill>
              <w14:schemeClr w14:val="tx1"/>
            </w14:solidFill>
          </w14:textFill>
        </w:rPr>
      </w:pPr>
      <w:bookmarkStart w:id="3" w:name="_Toc224645724"/>
      <w:r>
        <w:rPr>
          <w:rStyle w:val="12"/>
          <w:b/>
          <w:bCs/>
          <w:color w:val="000000" w:themeColor="text1"/>
          <w14:textFill>
            <w14:solidFill>
              <w14:schemeClr w14:val="tx1"/>
            </w14:solidFill>
          </w14:textFill>
        </w:rPr>
        <w:t>2.1 Global Economic Transformation through AI</w:t>
      </w:r>
      <w:bookmarkEnd w:id="3"/>
    </w:p>
    <w:p w14:paraId="7AF87110">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The way AI is changing Unilever international activities is through aiding in productivity, innovation and data-driven decision-making. The company has installed over 500 AI projects and systems in such functions as research and development, stock control, marketing and supply-chain planning. In its ice-cream operations, such as weather and operations analytics enhanced by AI enhances sales forecasts, production scheduling and inventory choices. It shows that AI can generate economic value to Unilever and at the same time, it will make the company more reliant on trusted information, safe systems and successful risk management </w:t>
      </w:r>
      <w:r>
        <w:rPr>
          <w:rStyle w:val="20"/>
          <w:rFonts w:cs="Times New Roman"/>
          <w:color w:val="000000" w:themeColor="text1"/>
          <w:szCs w:val="24"/>
          <w14:textFill>
            <w14:solidFill>
              <w14:schemeClr w14:val="tx1"/>
            </w14:solidFill>
          </w14:textFill>
        </w:rPr>
        <w:t>(</w:t>
      </w:r>
      <w:r>
        <w:rPr>
          <w:rFonts w:cs="Times New Roman"/>
          <w:color w:val="000000" w:themeColor="text1"/>
          <w:szCs w:val="24"/>
          <w14:textFill>
            <w14:solidFill>
              <w14:schemeClr w14:val="tx1"/>
            </w14:solidFill>
          </w14:textFill>
        </w:rPr>
        <w:t>Unilever, 2024; Unilever, 2025)</w:t>
      </w:r>
    </w:p>
    <w:p w14:paraId="7AF0EE8A">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In the case of Unilever, the global economic revolution brought about by AI poses both opportunities and threats to the company. AI can enhance the accuracy of forecasting, save waste, speed up the development of the product and enable personalised consumer interaction. It also alters workforce skills needs and exposing the company to low-quality data, cyber-attacks, faulty output and overreliance on automated decision-making, though. Unilever, therefore, needs to examine the economic advantages of AI and its operational, ethical and regulatory risks.</w:t>
      </w:r>
    </w:p>
    <w:p w14:paraId="7FD62740">
      <w:pPr>
        <w:pStyle w:val="3"/>
        <w:rPr>
          <w:color w:val="000000" w:themeColor="text1"/>
          <w14:textFill>
            <w14:solidFill>
              <w14:schemeClr w14:val="tx1"/>
            </w14:solidFill>
          </w14:textFill>
        </w:rPr>
      </w:pPr>
      <w:bookmarkStart w:id="4" w:name="_Toc224645725"/>
      <w:r>
        <w:rPr>
          <w:rStyle w:val="12"/>
          <w:b/>
          <w:bCs/>
          <w:color w:val="000000" w:themeColor="text1"/>
          <w14:textFill>
            <w14:solidFill>
              <w14:schemeClr w14:val="tx1"/>
            </w14:solidFill>
          </w14:textFill>
        </w:rPr>
        <w:t>2.2 UK’s Pro-Innovation Regulatory Approach</w:t>
      </w:r>
      <w:bookmarkEnd w:id="4"/>
    </w:p>
    <w:p w14:paraId="55ACC479">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The policy-makers in the United Kingdom have resorted to a pro-innovation regulatory model, which is intended to stimulate technological development and attract investment. The UK does not enforce a comprehensive law on AI, but instead chooses a decentralised and sector-based approach, based on which the current authorities (finance, healthcare, and data protection) can control the processes related to AI in their respective domains of control </w:t>
      </w:r>
      <w:r>
        <w:rPr>
          <w:rStyle w:val="20"/>
          <w:rFonts w:cs="Times New Roman"/>
          <w:color w:val="000000" w:themeColor="text1"/>
          <w:szCs w:val="24"/>
          <w14:textFill>
            <w14:solidFill>
              <w14:schemeClr w14:val="tx1"/>
            </w14:solidFill>
          </w14:textFill>
        </w:rPr>
        <w:t>(Yusoff et al., 2020)</w:t>
      </w:r>
      <w:r>
        <w:rPr>
          <w:rFonts w:cs="Times New Roman"/>
          <w:color w:val="000000" w:themeColor="text1"/>
          <w:szCs w:val="24"/>
          <w14:textFill>
            <w14:solidFill>
              <w14:schemeClr w14:val="tx1"/>
            </w14:solidFill>
          </w14:textFill>
        </w:rPr>
        <w:t>.</w:t>
      </w:r>
    </w:p>
    <w:p w14:paraId="0D3238FD">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Such principles-based and regulator-led frameworks can offer more flexibility to businesses to experiment and implement AI as current UK regulators implement cross-sector principles around safety, transparency, fairness, accountability and contestability (Unilever, 2024).</w:t>
      </w:r>
    </w:p>
    <w:p w14:paraId="2007C8BE">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Nevertheless, no consistent regulatory framework is available, and thus, regulation and enforcement could be biased. This can be confusing on what should be done compliance-wise, and this can put the organisations at risk of being misaligned as well as sued. This renders the need for an internal governance system for uniformity of operations.</w:t>
      </w:r>
    </w:p>
    <w:p w14:paraId="65ACF11F">
      <w:pPr>
        <w:pStyle w:val="3"/>
        <w:rPr>
          <w:color w:val="000000" w:themeColor="text1"/>
          <w14:textFill>
            <w14:solidFill>
              <w14:schemeClr w14:val="tx1"/>
            </w14:solidFill>
          </w14:textFill>
        </w:rPr>
      </w:pPr>
      <w:bookmarkStart w:id="5" w:name="_Toc224645726"/>
      <w:r>
        <w:rPr>
          <w:rStyle w:val="12"/>
          <w:b/>
          <w:bCs/>
          <w:color w:val="000000" w:themeColor="text1"/>
          <w14:textFill>
            <w14:solidFill>
              <w14:schemeClr w14:val="tx1"/>
            </w14:solidFill>
          </w14:textFill>
        </w:rPr>
        <w:t>2.3 European Union’s Risk-Based Regulatory Framework</w:t>
      </w:r>
      <w:bookmarkEnd w:id="5"/>
    </w:p>
    <w:p w14:paraId="36AB12C5">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The European Union has, in its turn, taken a less dangerous and well-organised route with the introduction of the AI Act. According to this bill, AI applications can be classified based on risk levels, in which different levels of AI applications are created, such as minimal risk, limited risk, high risk, etc. The AI risk systems are strict with high demands, including transparency, human control, and effective risk management procedures </w:t>
      </w:r>
      <w:r>
        <w:rPr>
          <w:rStyle w:val="20"/>
          <w:rFonts w:cs="Times New Roman"/>
          <w:color w:val="000000" w:themeColor="text1"/>
          <w:szCs w:val="24"/>
          <w14:textFill>
            <w14:solidFill>
              <w14:schemeClr w14:val="tx1"/>
            </w14:solidFill>
          </w14:textFill>
        </w:rPr>
        <w:t>(Anderson, Bieck and Marshall, 2021)</w:t>
      </w:r>
      <w:r>
        <w:rPr>
          <w:rFonts w:cs="Times New Roman"/>
          <w:color w:val="000000" w:themeColor="text1"/>
          <w:szCs w:val="24"/>
          <w14:textFill>
            <w14:solidFill>
              <w14:schemeClr w14:val="tx1"/>
            </w14:solidFill>
          </w14:textFill>
        </w:rPr>
        <w:t>.</w:t>
      </w:r>
    </w:p>
    <w:p w14:paraId="5BFBE79B">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This governmental system will safeguard the masses of consumers and guarantee the moral application of AI that will generate an even greater trust in AI technologies. Such regulations are necessary in order to prevent legal fines and reputational losses by organisations participating in the EU.</w:t>
      </w:r>
    </w:p>
    <w:p w14:paraId="69F10F8E">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Nevertheless, the rigidity of the EU regulatory thought is also a factor in the complexity of the business and compliance expenses. Companies have to invest in surveillance mechanisms, records, and audit procedures to satisfy the needs of the regulations, and this can lower the level of innovation (European Union, 2024).</w:t>
      </w:r>
    </w:p>
    <w:p w14:paraId="5FEEAA27">
      <w:pPr>
        <w:pStyle w:val="3"/>
        <w:rPr>
          <w:color w:val="000000" w:themeColor="text1"/>
          <w14:textFill>
            <w14:solidFill>
              <w14:schemeClr w14:val="tx1"/>
            </w14:solidFill>
          </w14:textFill>
        </w:rPr>
      </w:pPr>
      <w:bookmarkStart w:id="6" w:name="_Toc224645727"/>
      <w:r>
        <w:rPr>
          <w:rStyle w:val="12"/>
          <w:b/>
          <w:bCs/>
          <w:color w:val="000000" w:themeColor="text1"/>
          <w14:textFill>
            <w14:solidFill>
              <w14:schemeClr w14:val="tx1"/>
            </w14:solidFill>
          </w14:textFill>
        </w:rPr>
        <w:t>2.4 Strategic Implications for Multinational Organisations</w:t>
      </w:r>
      <w:bookmarkEnd w:id="6"/>
    </w:p>
    <w:p w14:paraId="2C2A3B49">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particular strategic issue affecting Unilever is the fragmentation of the UK-EU regulations. The identical AI application can be handled by the regulator-led and principles-based framework of the UK, as well as by the legal obligations of the EU AI Act. This has the potential to cause duplication in risk classification, documentation, monitoring, human oversight and reporting. Lack of recognition and compliance with the more stringent condition may subject Unilever to legal fines, business disruption and negative publicity.</w:t>
      </w:r>
    </w:p>
    <w:p w14:paraId="15D283C0">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Such a two-tier regulatory environment makes compliance and risk management more difficult, and organisations ought to implement agile approaches </w:t>
      </w:r>
      <w:r>
        <w:rPr>
          <w:rStyle w:val="20"/>
          <w:rFonts w:cs="Times New Roman"/>
          <w:color w:val="000000" w:themeColor="text1"/>
          <w:szCs w:val="24"/>
          <w14:textFill>
            <w14:solidFill>
              <w14:schemeClr w14:val="tx1"/>
            </w14:solidFill>
          </w14:textFill>
        </w:rPr>
        <w:t>(Cardoso et al., 2025)</w:t>
      </w:r>
      <w:r>
        <w:rPr>
          <w:rFonts w:cs="Times New Roman"/>
          <w:color w:val="000000" w:themeColor="text1"/>
          <w:szCs w:val="24"/>
          <w14:textFill>
            <w14:solidFill>
              <w14:schemeClr w14:val="tx1"/>
            </w14:solidFill>
          </w14:textFill>
        </w:rPr>
        <w:t>. The former option is to ensure compatibility of the operations with the more stringent EU standards, whereby it would be compliant with all of its markets, and the probability of breaking the rules is lowered.</w:t>
      </w:r>
    </w:p>
    <w:p w14:paraId="004DAFBD">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UK method provides relatively loose and principles-oriented regulation, but the EU AI Act provides harmonised legal responsibilities based on the riskiness of an AI system. Unilever ought to adopt the EU requirements as a bottom global control benchmark, but with suitable flexibility on the UK to maintain less risky AI experimentation. The approach would minimise the differences among markets, enhance adherence and facilitate the quicker implementation of reliable AI systems throughout the organisation (UK Government, 2023.</w:t>
      </w:r>
    </w:p>
    <w:p w14:paraId="6E274FB1">
      <w:pPr>
        <w:pStyle w:val="2"/>
        <w:rPr>
          <w:color w:val="000000" w:themeColor="text1"/>
          <w14:textFill>
            <w14:solidFill>
              <w14:schemeClr w14:val="tx1"/>
            </w14:solidFill>
          </w14:textFill>
        </w:rPr>
      </w:pPr>
      <w:bookmarkStart w:id="7" w:name="_Toc224645728"/>
      <w:r>
        <w:rPr>
          <w:rStyle w:val="12"/>
          <w:b/>
          <w:bCs/>
          <w:color w:val="000000" w:themeColor="text1"/>
          <w14:textFill>
            <w14:solidFill>
              <w14:schemeClr w14:val="tx1"/>
            </w14:solidFill>
          </w14:textFill>
        </w:rPr>
        <w:t>3. AI and Risk Management in Multinational Businesses</w:t>
      </w:r>
      <w:bookmarkEnd w:id="7"/>
    </w:p>
    <w:p w14:paraId="752934C8">
      <w:pPr>
        <w:pStyle w:val="3"/>
      </w:pPr>
      <w:bookmarkStart w:id="8" w:name="_Toc224645729"/>
      <w:r>
        <w:rPr>
          <w:rStyle w:val="12"/>
          <w:b/>
          <w:bCs/>
        </w:rPr>
        <w:t>3.1 Emergence of New Risk Categories</w:t>
      </w:r>
      <w:bookmarkEnd w:id="8"/>
    </w:p>
    <w:p w14:paraId="48DAC3AF">
      <w:pPr>
        <w:rPr>
          <w:rFonts w:cs="Times New Roman"/>
          <w:szCs w:val="24"/>
        </w:rPr>
      </w:pPr>
      <w:r>
        <w:rPr>
          <w:rFonts w:cs="Times New Roman"/>
          <w:szCs w:val="24"/>
        </w:rPr>
        <w:t xml:space="preserve">The introduction of artificial intelligence (AI) into business has basically redefined the risk environment of multinational organisations. Compared to the traditional risks, the AI-related risks are very dynamic, interconnected, and in most cases, they are hard to predict. The presence of these risks is dictated by the fact that the AI systems are complex and depend on big data, and are becoming more and more autonomous in decision-making </w:t>
      </w:r>
      <w:r>
        <w:rPr>
          <w:rStyle w:val="20"/>
          <w:rFonts w:cs="Times New Roman"/>
          <w:szCs w:val="24"/>
        </w:rPr>
        <w:t>(Sakshi et al., 2020)</w:t>
      </w:r>
      <w:r>
        <w:rPr>
          <w:rFonts w:cs="Times New Roman"/>
          <w:szCs w:val="24"/>
        </w:rPr>
        <w:t>. This, in turn, implies that the archetypal risk management models that are typically created in a stable and foreseeable setting may not always be adequate to provide a solution to such issues.</w:t>
      </w:r>
    </w:p>
    <w:p w14:paraId="0B91E120">
      <w:pPr>
        <w:rPr>
          <w:rFonts w:cs="Times New Roman"/>
          <w:szCs w:val="24"/>
        </w:rPr>
      </w:pPr>
      <w:r>
        <w:rPr>
          <w:rFonts w:cs="Times New Roman"/>
          <w:szCs w:val="24"/>
        </w:rPr>
        <w:t>The situation of multinational companies like Unilever is also augmented in risks, as a result of the global operation. The management of risks is also more multidimensional and complicated in the process of working in various markets, as the nature of regulations that should be followed is different due to cultural needs and technological infrastructure.</w:t>
      </w:r>
    </w:p>
    <w:p w14:paraId="76764637">
      <w:pPr>
        <w:pStyle w:val="3"/>
      </w:pPr>
      <w:bookmarkStart w:id="9" w:name="_Toc224645730"/>
      <w:r>
        <w:rPr>
          <w:rStyle w:val="12"/>
          <w:b/>
          <w:bCs/>
        </w:rPr>
        <w:t>3.2 Data-Related Risks and Security Challenges</w:t>
      </w:r>
      <w:bookmarkEnd w:id="9"/>
    </w:p>
    <w:p w14:paraId="327091A9">
      <w:pPr>
        <w:rPr>
          <w:rFonts w:cs="Times New Roman"/>
          <w:color w:val="000000" w:themeColor="text1"/>
          <w:szCs w:val="24"/>
          <w14:textFill>
            <w14:solidFill>
              <w14:schemeClr w14:val="tx1"/>
            </w14:solidFill>
          </w14:textFill>
        </w:rPr>
      </w:pPr>
      <w:r>
        <w:rPr>
          <w:rFonts w:cs="Times New Roman"/>
          <w:szCs w:val="24"/>
        </w:rPr>
        <w:t xml:space="preserve">One of the most serious threats of AI is the data-associated one. AI systems are also known to take huge amounts of data to be trained and processed, and any manipulation in the quality, security, and integrity of the data can result in erroneous results and erroneous decision-making. Substandard data quality may lead to substandard predictions, and incomplete data may lead to bias or misleading results </w:t>
      </w:r>
      <w:r>
        <w:rPr>
          <w:rFonts w:cs="Times New Roman"/>
          <w:color w:val="000000" w:themeColor="text1"/>
          <w:szCs w:val="24"/>
          <w14:textFill>
            <w14:solidFill>
              <w14:schemeClr w14:val="tx1"/>
            </w14:solidFill>
          </w14:textFill>
        </w:rPr>
        <w:t>(Unilever, 2025).</w:t>
      </w:r>
    </w:p>
    <w:p w14:paraId="2390C69B">
      <w:pPr>
        <w:rPr>
          <w:rFonts w:cs="Times New Roman"/>
          <w:szCs w:val="24"/>
        </w:rPr>
      </w:pPr>
      <w:r>
        <w:rPr>
          <w:rFonts w:cs="Times New Roman"/>
          <w:szCs w:val="24"/>
        </w:rPr>
        <w:t xml:space="preserve">The security of data is the other issue. Cybercrimes and data leaks are progressive trends, and failure to safeguard sensitive data might lead to a fine amount as a financial punishment, especially where the organisations are not controlled by privacy laws like the General Data Protection Regulation (GDPR) </w:t>
      </w:r>
      <w:r>
        <w:rPr>
          <w:rStyle w:val="20"/>
          <w:rFonts w:cs="Times New Roman"/>
          <w:szCs w:val="24"/>
        </w:rPr>
        <w:t>(Chanyasak et al., 2022)</w:t>
      </w:r>
      <w:r>
        <w:rPr>
          <w:rFonts w:cs="Times New Roman"/>
          <w:szCs w:val="24"/>
        </w:rPr>
        <w:t>. Besides the financial losses, a data breach may also affect customer confidence and brand image in a very significant negative way.</w:t>
      </w:r>
    </w:p>
    <w:p w14:paraId="041FE35B">
      <w:pPr>
        <w:rPr>
          <w:rFonts w:cs="Times New Roman"/>
          <w:szCs w:val="24"/>
        </w:rPr>
      </w:pPr>
      <w:r>
        <w:rPr>
          <w:rFonts w:cs="Times New Roman"/>
          <w:szCs w:val="24"/>
        </w:rPr>
        <w:t>To overcome such risks, well-developed data governance and cybersecurity must be able to endure the excessive amount of information chosen by consumers in the instance of organisations that process a large amount of consumer information, such as Unilever.</w:t>
      </w:r>
    </w:p>
    <w:p w14:paraId="5661D2A1">
      <w:pPr>
        <w:pStyle w:val="3"/>
      </w:pPr>
      <w:bookmarkStart w:id="10" w:name="_Toc224645731"/>
      <w:r>
        <w:rPr>
          <w:rStyle w:val="12"/>
          <w:b/>
          <w:bCs/>
        </w:rPr>
        <w:t>3.3 Algorithmic Bias and Ethical Risks</w:t>
      </w:r>
      <w:bookmarkEnd w:id="10"/>
    </w:p>
    <w:p w14:paraId="01DA49A7">
      <w:pPr>
        <w:rPr>
          <w:rFonts w:cs="Times New Roman"/>
          <w:color w:val="000000" w:themeColor="text1"/>
          <w:szCs w:val="24"/>
          <w14:textFill>
            <w14:solidFill>
              <w14:schemeClr w14:val="tx1"/>
            </w14:solidFill>
          </w14:textFill>
        </w:rPr>
      </w:pPr>
      <w:r>
        <w:rPr>
          <w:rFonts w:cs="Times New Roman"/>
          <w:szCs w:val="24"/>
        </w:rPr>
        <w:t xml:space="preserve">Another severe ethical and functional issue of AI implementation is algorithm bias. Systems dealing with history have a probability to be exercised on the existing bias based on gender, ethnicity, and socioeconomic backgrounds. The systems will then encourage a discriminative behaviour unknowingly, which will result in injustice in the recruitment process, marketing, </w:t>
      </w:r>
      <w:r>
        <w:rPr>
          <w:rFonts w:cs="Times New Roman"/>
          <w:color w:val="000000" w:themeColor="text1"/>
          <w:szCs w:val="24"/>
          <w14:textFill>
            <w14:solidFill>
              <w14:schemeClr w14:val="tx1"/>
            </w14:solidFill>
          </w14:textFill>
        </w:rPr>
        <w:t>and even customer segmentation (Unilever, 2022).</w:t>
      </w:r>
    </w:p>
    <w:p w14:paraId="2AEF2CF3">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 xml:space="preserve">The biased AI results pose ethical and business threats. They can be detrimental to certain groups, inconsistent with the expectations of equality and data-protection, and undermining stakeholder trust. In the case of Unilever, there is the risk of customer complaints, regulatory investigations, bad media coverage and reputation loss because of a biased marketing campaign, product recommendation or automated consumer interaction </w:t>
      </w:r>
      <w:r>
        <w:rPr>
          <w:rStyle w:val="20"/>
          <w:rFonts w:cs="Times New Roman"/>
          <w:color w:val="000000" w:themeColor="text1"/>
          <w:szCs w:val="24"/>
          <w14:textFill>
            <w14:solidFill>
              <w14:schemeClr w14:val="tx1"/>
            </w14:solidFill>
          </w14:textFill>
        </w:rPr>
        <w:t>(Ruel and Njoku, 2021)</w:t>
      </w:r>
      <w:r>
        <w:rPr>
          <w:rFonts w:cs="Times New Roman"/>
          <w:color w:val="000000" w:themeColor="text1"/>
          <w:szCs w:val="24"/>
          <w14:textFill>
            <w14:solidFill>
              <w14:schemeClr w14:val="tx1"/>
            </w14:solidFill>
          </w14:textFill>
        </w:rPr>
        <w:t>. Fairness testing, heterogeneous datasets, human inspection and reported mitigation actions are thus required.</w:t>
      </w:r>
    </w:p>
    <w:p w14:paraId="22D99512">
      <w:pPr>
        <w:rPr>
          <w:rFonts w:cs="Times New Roman"/>
          <w:szCs w:val="24"/>
        </w:rPr>
      </w:pPr>
      <w:r>
        <w:rPr>
          <w:rFonts w:cs="Times New Roman"/>
          <w:szCs w:val="24"/>
        </w:rPr>
        <w:t>To reduce the risks of this type, it is recommended that multinational organisations conduct the most thorough testing and monitoring of their processes, consider ethical AI models, in which fairness, accountability, and transparency are taken into account.</w:t>
      </w:r>
    </w:p>
    <w:p w14:paraId="103886A5">
      <w:pPr>
        <w:pStyle w:val="3"/>
      </w:pPr>
      <w:bookmarkStart w:id="11" w:name="_Toc224645732"/>
      <w:r>
        <w:rPr>
          <w:rStyle w:val="12"/>
          <w:b/>
          <w:bCs/>
        </w:rPr>
        <w:t>3.4 Regulatory and Compliance Risks</w:t>
      </w:r>
      <w:bookmarkEnd w:id="11"/>
    </w:p>
    <w:p w14:paraId="639216C5">
      <w:pPr>
        <w:rPr>
          <w:rFonts w:cs="Times New Roman"/>
          <w:szCs w:val="24"/>
        </w:rPr>
      </w:pPr>
      <w:r>
        <w:rPr>
          <w:rFonts w:cs="Times New Roman"/>
          <w:szCs w:val="24"/>
        </w:rPr>
        <w:t>The high pace of AI technologies development has increased the demand to create new rules and regulations aimed at governments and other regulating bodies to use them in a smart manner. The regulatory scenario, however, is disjointed and is still in its development phases, especially in various jurisdictions like the UK and the European Union.</w:t>
      </w:r>
    </w:p>
    <w:p w14:paraId="7680718F">
      <w:pPr>
        <w:rPr>
          <w:rFonts w:cs="Times New Roman"/>
          <w:szCs w:val="24"/>
        </w:rPr>
      </w:pPr>
      <w:r>
        <w:rPr>
          <w:rFonts w:cs="Times New Roman"/>
          <w:szCs w:val="24"/>
        </w:rPr>
        <w:t xml:space="preserve">This poses the problem of gravitational compliance to the multinational companies. The firms have no alternative but to comply with the change in laws and ensure that their AI platforms are aligned with the different legal levels </w:t>
      </w:r>
      <w:r>
        <w:rPr>
          <w:rStyle w:val="20"/>
          <w:rFonts w:cs="Times New Roman"/>
          <w:szCs w:val="24"/>
        </w:rPr>
        <w:t>(Dias et al., 2022)</w:t>
      </w:r>
      <w:r>
        <w:rPr>
          <w:rFonts w:cs="Times New Roman"/>
          <w:szCs w:val="24"/>
        </w:rPr>
        <w:t>. Such deviations will mean massive penalties, prosecution, and interference with operations.</w:t>
      </w:r>
    </w:p>
    <w:p w14:paraId="38916DAA">
      <w:pPr>
        <w:rPr>
          <w:rFonts w:cs="Times New Roman"/>
          <w:szCs w:val="24"/>
        </w:rPr>
      </w:pPr>
      <w:r>
        <w:rPr>
          <w:rFonts w:cs="Times New Roman"/>
          <w:szCs w:val="24"/>
        </w:rPr>
        <w:t>In this case, the active compliance strategies such as continual monitoring, internal audit, and keeping abreast with the international standards are required.</w:t>
      </w:r>
    </w:p>
    <w:p w14:paraId="3E28F032">
      <w:pPr>
        <w:pStyle w:val="3"/>
      </w:pPr>
      <w:bookmarkStart w:id="12" w:name="_Toc224645733"/>
      <w:r>
        <w:rPr>
          <w:rStyle w:val="12"/>
          <w:b/>
          <w:bCs/>
        </w:rPr>
        <w:t>3.5 Reputational Risks and Strategic Implications</w:t>
      </w:r>
      <w:bookmarkEnd w:id="12"/>
    </w:p>
    <w:p w14:paraId="4393750C">
      <w:pPr>
        <w:rPr>
          <w:rFonts w:cs="Times New Roman"/>
          <w:color w:val="000000" w:themeColor="text1"/>
          <w:szCs w:val="24"/>
          <w14:textFill>
            <w14:solidFill>
              <w14:schemeClr w14:val="tx1"/>
            </w14:solidFill>
          </w14:textFill>
        </w:rPr>
      </w:pPr>
      <w:r>
        <w:rPr>
          <w:rFonts w:cs="Times New Roman"/>
          <w:szCs w:val="24"/>
        </w:rPr>
        <w:t>Reputational risk is also the notion that is closely connected with every single element of AI-based risk. As society grows with awareness and mass media coverage, any laxity in the regulation of AI, be it the misuse of information, the biased approach, or even failure to adhere to rules and regulations, can be easily transformed into a scandal in terms of reputation</w:t>
      </w:r>
      <w:r>
        <w:rPr>
          <w:rFonts w:cs="Times New Roman"/>
          <w:color w:val="000000" w:themeColor="text1"/>
          <w:szCs w:val="24"/>
          <w14:textFill>
            <w14:solidFill>
              <w14:schemeClr w14:val="tx1"/>
            </w14:solidFill>
          </w14:textFill>
        </w:rPr>
        <w:t xml:space="preserve"> (Unilever, 2024).</w:t>
      </w:r>
    </w:p>
    <w:p w14:paraId="0AFE20C2">
      <w:pPr>
        <w:rPr>
          <w:rFonts w:cs="Times New Roman"/>
          <w:szCs w:val="24"/>
        </w:rPr>
      </w:pPr>
      <w:r>
        <w:rPr>
          <w:rFonts w:cs="Times New Roman"/>
          <w:szCs w:val="24"/>
        </w:rPr>
        <w:t xml:space="preserve">When it comes to any company, such as Unilever, consideration should be made to ensure that the brand is popular enough that the customers will not switch sides and the company will not lose its market share </w:t>
      </w:r>
      <w:r>
        <w:rPr>
          <w:rStyle w:val="20"/>
          <w:rFonts w:cs="Times New Roman"/>
          <w:szCs w:val="24"/>
        </w:rPr>
        <w:t>(Eppang et al., 2024)</w:t>
      </w:r>
      <w:r>
        <w:rPr>
          <w:rFonts w:cs="Times New Roman"/>
          <w:szCs w:val="24"/>
        </w:rPr>
        <w:t>. Bad publicity has the consequences of losing consumer loyalty, losing sales in the long term, and losing brand equity.</w:t>
      </w:r>
    </w:p>
    <w:p w14:paraId="523B6C52">
      <w:pPr>
        <w:rPr>
          <w:rFonts w:cs="Times New Roman"/>
          <w:szCs w:val="24"/>
        </w:rPr>
      </w:pPr>
      <w:r>
        <w:rPr>
          <w:rFonts w:cs="Times New Roman"/>
          <w:szCs w:val="24"/>
        </w:rPr>
        <w:t>Within this context, effective management of AI risks should be out of technical solutions but through open communication, ethical conduct, and stakeholder involvement. The holistic approach will enable organisations to reduce risks, and AI will be the source of sustainable competitive advantage.</w:t>
      </w:r>
    </w:p>
    <w:p w14:paraId="4CB76852">
      <w:pPr>
        <w:pStyle w:val="2"/>
      </w:pPr>
      <w:bookmarkStart w:id="13" w:name="_Toc224645734"/>
      <w:r>
        <w:rPr>
          <w:rStyle w:val="12"/>
          <w:b/>
          <w:bCs/>
        </w:rPr>
        <w:t>4. Data Governance Challenges</w:t>
      </w:r>
      <w:bookmarkEnd w:id="13"/>
    </w:p>
    <w:p w14:paraId="3329E629">
      <w:pPr>
        <w:pStyle w:val="3"/>
      </w:pPr>
      <w:bookmarkStart w:id="14" w:name="_Toc224645735"/>
      <w:r>
        <w:rPr>
          <w:rStyle w:val="12"/>
          <w:b/>
          <w:bCs/>
        </w:rPr>
        <w:t>4.1 Importance of Data Governance in AI Systems</w:t>
      </w:r>
      <w:bookmarkEnd w:id="14"/>
    </w:p>
    <w:p w14:paraId="696F7A99">
      <w:pPr>
        <w:rPr>
          <w:rFonts w:cs="Times New Roman"/>
          <w:szCs w:val="24"/>
        </w:rPr>
      </w:pPr>
      <w:r>
        <w:rPr>
          <w:rFonts w:cs="Times New Roman"/>
          <w:szCs w:val="24"/>
        </w:rPr>
        <w:t>The basis of effective AI risk management is data governance. AI systems are to a large extent reliant on data for either training, learning, or decision-making. Thus, the quality, integrity, and data security directly depend on the effectiveness of the AI outputs. Inadequate data management may result in inadequate insights, fraud, liabilities in litigation, and poor publicity.</w:t>
      </w:r>
    </w:p>
    <w:p w14:paraId="74BF3943">
      <w:pPr>
        <w:rPr>
          <w:rFonts w:cs="Times New Roman"/>
          <w:szCs w:val="24"/>
        </w:rPr>
      </w:pPr>
      <w:r>
        <w:rPr>
          <w:rFonts w:cs="Times New Roman"/>
          <w:szCs w:val="24"/>
        </w:rPr>
        <w:t xml:space="preserve">The magnitude and multiplicity of the operations of multinational corporations like Unilever only make the risk of data management in that regard even greater </w:t>
      </w:r>
      <w:r>
        <w:rPr>
          <w:rStyle w:val="20"/>
          <w:rFonts w:cs="Times New Roman"/>
          <w:szCs w:val="24"/>
        </w:rPr>
        <w:t>(Rhou and Singal, 2020)</w:t>
      </w:r>
      <w:r>
        <w:rPr>
          <w:rFonts w:cs="Times New Roman"/>
          <w:szCs w:val="24"/>
        </w:rPr>
        <w:t>. Data that is distributed in various geographical locations, platforms, and jurisdictions will have to be systematised and standardised so that they are in compliance and serve to guarantee data quality.</w:t>
      </w:r>
    </w:p>
    <w:p w14:paraId="6704BEF1">
      <w:pPr>
        <w:pStyle w:val="3"/>
      </w:pPr>
      <w:bookmarkStart w:id="15" w:name="_Toc224645736"/>
      <w:r>
        <w:rPr>
          <w:rStyle w:val="12"/>
          <w:b/>
          <w:bCs/>
        </w:rPr>
        <w:t>4.2 Regulatory Requirements and Compliance Challenges</w:t>
      </w:r>
      <w:bookmarkEnd w:id="15"/>
    </w:p>
    <w:p w14:paraId="3C1E0A47">
      <w:pPr>
        <w:rPr>
          <w:rFonts w:cs="Times New Roman"/>
          <w:szCs w:val="24"/>
        </w:rPr>
      </w:pPr>
      <w:r>
        <w:rPr>
          <w:rFonts w:cs="Times New Roman"/>
          <w:szCs w:val="24"/>
        </w:rPr>
        <w:t xml:space="preserve">The ability to comply with rigid data protection regulations and laws, especially the General Data Protection Regulation (GDPR) in the European Union, is one of the largest issues of data governance. The provisions of the collection, storage, processing, and transfer of personal data in organisations, as outlined in GDPR, are extremely stringent </w:t>
      </w:r>
      <w:r>
        <w:rPr>
          <w:rStyle w:val="20"/>
          <w:rFonts w:cs="Times New Roman"/>
          <w:szCs w:val="24"/>
        </w:rPr>
        <w:t>(Gigauri, 2021)</w:t>
      </w:r>
      <w:r>
        <w:rPr>
          <w:rFonts w:cs="Times New Roman"/>
          <w:szCs w:val="24"/>
        </w:rPr>
        <w:t>. The said conditions are the explicit customer consent, Minimisation of the data, and the high-quality security systems.</w:t>
      </w:r>
    </w:p>
    <w:p w14:paraId="677D20C1">
      <w:pPr>
        <w:rPr>
          <w:rFonts w:cs="Times New Roman"/>
          <w:szCs w:val="24"/>
        </w:rPr>
      </w:pPr>
      <w:r>
        <w:rPr>
          <w:rFonts w:cs="Times New Roman"/>
          <w:szCs w:val="24"/>
        </w:rPr>
        <w:t xml:space="preserve">With reference to the example of Unilever, it is critical that the company adheres to the provisions of GDPR to escape the severe consequences of the enforcement of substantial financial fines, not to mention that the trust of consumers is pinned on it. Nevertheless, it may not be that easy to globalise the operation of the company with regional regulations. The various countries might have dissimilar data protection standards, and this becomes a challenge in the aspect of uniformity within the organisation </w:t>
      </w:r>
      <w:r>
        <w:rPr>
          <w:rStyle w:val="20"/>
          <w:rFonts w:cs="Times New Roman"/>
          <w:szCs w:val="24"/>
        </w:rPr>
        <w:t>(John and Thakur, 2021)</w:t>
      </w:r>
      <w:r>
        <w:rPr>
          <w:rFonts w:cs="Times New Roman"/>
          <w:szCs w:val="24"/>
        </w:rPr>
        <w:t>.</w:t>
      </w:r>
    </w:p>
    <w:p w14:paraId="465E7995">
      <w:pPr>
        <w:rPr>
          <w:rFonts w:cs="Times New Roman"/>
          <w:szCs w:val="24"/>
        </w:rPr>
      </w:pPr>
      <w:r>
        <w:rPr>
          <w:rFonts w:cs="Times New Roman"/>
          <w:szCs w:val="24"/>
        </w:rPr>
        <w:t>Besides, there is no compliance with regulations. Rules and legislation keep changing, and the organisations are compelled to restructure their policies and systems. It is a dynamic environment that contributes more to the necessity of active monitoring and adaptable governance approaches.</w:t>
      </w:r>
    </w:p>
    <w:p w14:paraId="316B316E">
      <w:pPr>
        <w:pStyle w:val="3"/>
      </w:pPr>
      <w:bookmarkStart w:id="16" w:name="_Toc224645737"/>
      <w:r>
        <w:rPr>
          <w:rStyle w:val="12"/>
          <w:b/>
          <w:bCs/>
        </w:rPr>
        <w:t>4.3 Challenges of Big Data and Unstructured Data</w:t>
      </w:r>
      <w:bookmarkEnd w:id="16"/>
    </w:p>
    <w:p w14:paraId="78541CCD">
      <w:pPr>
        <w:rPr>
          <w:rFonts w:cs="Times New Roman"/>
          <w:szCs w:val="24"/>
        </w:rPr>
      </w:pPr>
      <w:r>
        <w:rPr>
          <w:rFonts w:cs="Times New Roman"/>
          <w:szCs w:val="24"/>
        </w:rPr>
        <w:t>The rise in the popularity of big data makes the issue of data governance even more problematic. The use of AI systems is usually anchored on large amounts of data, structured or unstructured, which can often be social media, customer, and IoT interactions. Nevertheless, valuable as this information can be, it is also highly threatening.</w:t>
      </w:r>
    </w:p>
    <w:p w14:paraId="4DE1EE7D">
      <w:pPr>
        <w:rPr>
          <w:rFonts w:cs="Times New Roman"/>
          <w:szCs w:val="24"/>
        </w:rPr>
      </w:pPr>
      <w:r>
        <w:rPr>
          <w:rFonts w:cs="Times New Roman"/>
          <w:szCs w:val="24"/>
        </w:rPr>
        <w:t xml:space="preserve">Text, images, and videos are also unstructured data that are quite hard to organise and are not standardised. In one case, the information on social media can be utilised to provide information on consumer behaviour, but this information can be misleading or inaccurate </w:t>
      </w:r>
      <w:r>
        <w:rPr>
          <w:rStyle w:val="20"/>
          <w:rFonts w:cs="Times New Roman"/>
          <w:szCs w:val="24"/>
        </w:rPr>
        <w:t>(Klimanov and Tretyak, 2024)</w:t>
      </w:r>
      <w:r>
        <w:rPr>
          <w:rFonts w:cs="Times New Roman"/>
          <w:szCs w:val="24"/>
        </w:rPr>
        <w:t>. Moreover, such data may be the foundation of them, which provokes the issue of their confidentiality and moral use.</w:t>
      </w:r>
    </w:p>
    <w:p w14:paraId="6F8721BA">
      <w:pPr>
        <w:rPr>
          <w:rFonts w:cs="Times New Roman"/>
          <w:szCs w:val="24"/>
        </w:rPr>
      </w:pPr>
      <w:r>
        <w:rPr>
          <w:rFonts w:cs="Times New Roman"/>
          <w:szCs w:val="24"/>
        </w:rPr>
        <w:t>In the case of multinational corporations, it is necessary to have an improved data management system and good governance models that will be employed to integrate and manage these various sources of data. Big data may result in bad decisions and exposure to more data attacks unless it is handled in the appropriate manner.</w:t>
      </w:r>
    </w:p>
    <w:p w14:paraId="2E25C120">
      <w:pPr>
        <w:pStyle w:val="3"/>
      </w:pPr>
      <w:bookmarkStart w:id="17" w:name="_Toc224645738"/>
      <w:r>
        <w:rPr>
          <w:rStyle w:val="12"/>
          <w:b/>
          <w:bCs/>
        </w:rPr>
        <w:t>4.4 Strengthening Data Governance Frameworks</w:t>
      </w:r>
      <w:bookmarkEnd w:id="17"/>
    </w:p>
    <w:p w14:paraId="796EB978">
      <w:pPr>
        <w:rPr>
          <w:rFonts w:cs="Times New Roman"/>
          <w:szCs w:val="24"/>
        </w:rPr>
      </w:pPr>
      <w:r>
        <w:rPr>
          <w:rFonts w:cs="Times New Roman"/>
          <w:szCs w:val="24"/>
        </w:rPr>
        <w:t>The challenges will compel Unilever to invest in general data governance models in order to overcome them. This involves codified policies and procedures in the handling of the data, roles, and responsibilities in the organisation.</w:t>
      </w:r>
    </w:p>
    <w:p w14:paraId="27CE306C">
      <w:pPr>
        <w:rPr>
          <w:rFonts w:cs="Times New Roman"/>
          <w:szCs w:val="24"/>
        </w:rPr>
      </w:pPr>
      <w:r>
        <w:rPr>
          <w:rFonts w:cs="Times New Roman"/>
          <w:szCs w:val="24"/>
        </w:rPr>
        <w:t xml:space="preserve">In order to make sure that the data utilised in the AI systems is accurate and reliable, data quality controls should be in place. One can perform audits and continuous monitoring to determine the issues and to find ways to address them before they become a significant risk </w:t>
      </w:r>
      <w:r>
        <w:rPr>
          <w:rStyle w:val="20"/>
          <w:rFonts w:cs="Times New Roman"/>
          <w:szCs w:val="24"/>
        </w:rPr>
        <w:t>(Modica et al., 2020)</w:t>
      </w:r>
      <w:r>
        <w:rPr>
          <w:rFonts w:cs="Times New Roman"/>
          <w:szCs w:val="24"/>
        </w:rPr>
        <w:t>.</w:t>
      </w:r>
    </w:p>
    <w:p w14:paraId="2C247494">
      <w:pPr>
        <w:rPr>
          <w:rFonts w:cs="Times New Roman"/>
          <w:szCs w:val="24"/>
        </w:rPr>
      </w:pPr>
      <w:r>
        <w:rPr>
          <w:rFonts w:cs="Times New Roman"/>
          <w:szCs w:val="24"/>
        </w:rPr>
        <w:t>Besides, the organisations must embrace new technologies that are more secure in terms of data, like data encryption, data access controls, and automated data monitoring. Enhancing data governance is one of the ways that Unilever can reduce risks, enhance the quality of decisions, and meet regulatory requirements.</w:t>
      </w:r>
    </w:p>
    <w:p w14:paraId="0D992756">
      <w:pPr>
        <w:pStyle w:val="2"/>
      </w:pPr>
      <w:bookmarkStart w:id="18" w:name="_Toc224645739"/>
      <w:r>
        <w:rPr>
          <w:rStyle w:val="12"/>
          <w:b/>
          <w:bCs/>
        </w:rPr>
        <w:t>5. Ethical AI Use</w:t>
      </w:r>
      <w:bookmarkEnd w:id="18"/>
    </w:p>
    <w:p w14:paraId="4786D25A">
      <w:pPr>
        <w:pStyle w:val="3"/>
      </w:pPr>
      <w:bookmarkStart w:id="19" w:name="_Toc224645740"/>
      <w:r>
        <w:rPr>
          <w:rStyle w:val="12"/>
          <w:b/>
          <w:bCs/>
        </w:rPr>
        <w:t>5.1 The Growing Importance of Ethical AI</w:t>
      </w:r>
      <w:bookmarkEnd w:id="19"/>
    </w:p>
    <w:p w14:paraId="1A40A4CF">
      <w:pPr>
        <w:rPr>
          <w:rFonts w:cs="Times New Roman"/>
          <w:szCs w:val="24"/>
        </w:rPr>
      </w:pPr>
      <w:r>
        <w:rPr>
          <w:rFonts w:cs="Times New Roman"/>
          <w:szCs w:val="24"/>
        </w:rPr>
        <w:t>The question of ethics is now more timely when it comes to the use of AI technologies. With the continued growing autonomy of AI systems and their contribution to the decision-making process, organisations need to make sure that AI systems are implemented in a fair, transparent, and accountable way.</w:t>
      </w:r>
    </w:p>
    <w:p w14:paraId="3CFF5212">
      <w:pPr>
        <w:rPr>
          <w:rFonts w:cs="Times New Roman"/>
          <w:szCs w:val="24"/>
        </w:rPr>
      </w:pPr>
      <w:r>
        <w:rPr>
          <w:rFonts w:cs="Times New Roman"/>
          <w:szCs w:val="24"/>
        </w:rPr>
        <w:t xml:space="preserve">Unilever is one of the cases where AI ethics does not only occur as a compliance requirement, but it is also a strategic necessity </w:t>
      </w:r>
      <w:r>
        <w:rPr>
          <w:rStyle w:val="20"/>
          <w:rFonts w:cs="Times New Roman"/>
          <w:szCs w:val="24"/>
        </w:rPr>
        <w:t>(Liutikas et al., 2024)</w:t>
      </w:r>
      <w:r>
        <w:rPr>
          <w:rFonts w:cs="Times New Roman"/>
          <w:szCs w:val="24"/>
        </w:rPr>
        <w:t>. The consumers, investors, and regulators who flout ethical issues are gaining prominence in the corporations, and the tainted image is becoming a burden to be experienced by careless organisations.</w:t>
      </w:r>
    </w:p>
    <w:p w14:paraId="29FC5136">
      <w:pPr>
        <w:pStyle w:val="3"/>
      </w:pPr>
      <w:bookmarkStart w:id="20" w:name="_Toc224645741"/>
      <w:r>
        <w:rPr>
          <w:rStyle w:val="12"/>
          <w:b/>
          <w:bCs/>
        </w:rPr>
        <w:t>5.2 Addressing Algorithmic Bias</w:t>
      </w:r>
      <w:bookmarkEnd w:id="20"/>
    </w:p>
    <w:p w14:paraId="4FC441D5">
      <w:pPr>
        <w:rPr>
          <w:rFonts w:cs="Times New Roman"/>
          <w:color w:val="000000" w:themeColor="text1"/>
          <w:szCs w:val="24"/>
          <w14:textFill>
            <w14:solidFill>
              <w14:schemeClr w14:val="tx1"/>
            </w14:solidFill>
          </w14:textFill>
        </w:rPr>
      </w:pPr>
      <w:r>
        <w:rPr>
          <w:rFonts w:cs="Times New Roman"/>
          <w:szCs w:val="24"/>
        </w:rPr>
        <w:t xml:space="preserve">Algorithm bias is one of the huge ethical issues of AI. The information that was used in the training of AI systems in the past might be biased. Such biases can result in such </w:t>
      </w:r>
      <w:r>
        <w:rPr>
          <w:rFonts w:cs="Times New Roman"/>
          <w:color w:val="000000" w:themeColor="text1"/>
          <w:szCs w:val="24"/>
          <w14:textFill>
            <w14:solidFill>
              <w14:schemeClr w14:val="tx1"/>
            </w14:solidFill>
          </w14:textFill>
        </w:rPr>
        <w:t>discrimination as marketing, employment, and parted customers unless they are controlled.</w:t>
      </w:r>
    </w:p>
    <w:p w14:paraId="60349E08">
      <w:pPr>
        <w:rPr>
          <w:rFonts w:cs="Times New Roman"/>
          <w:color w:val="000000" w:themeColor="text1"/>
          <w:szCs w:val="24"/>
          <w:lang w:val="en-US"/>
          <w14:textFill>
            <w14:solidFill>
              <w14:schemeClr w14:val="tx1"/>
            </w14:solidFill>
          </w14:textFill>
        </w:rPr>
      </w:pPr>
      <w:r>
        <w:rPr>
          <w:rFonts w:cs="Times New Roman"/>
          <w:color w:val="000000" w:themeColor="text1"/>
          <w:szCs w:val="24"/>
          <w:lang w:val="en-US"/>
          <w14:textFill>
            <w14:solidFill>
              <w14:schemeClr w14:val="tx1"/>
            </w14:solidFill>
          </w14:textFill>
        </w:rPr>
        <w:t>Unilever has more than 500 AI systems in operation, including AI-driven research and development, machine-activated stock control and generative AI-powered consumer experiences. Although not every system makes high-impact decisions about individuals, algorithmic outputs can influence marketing content, consumer interactions, inventory and operational decisions. Bias in these outputs could therefore affect particular consumer groups or produce inaccurate business decisions (Unilever, 2024).</w:t>
      </w:r>
    </w:p>
    <w:p w14:paraId="0202855A">
      <w:pPr>
        <w:rPr>
          <w:rFonts w:cs="Times New Roman"/>
          <w:color w:val="000000" w:themeColor="text1"/>
          <w:szCs w:val="24"/>
          <w:lang w:val="en-US"/>
          <w14:textFill>
            <w14:solidFill>
              <w14:schemeClr w14:val="tx1"/>
            </w14:solidFill>
          </w14:textFill>
        </w:rPr>
      </w:pPr>
      <w:r>
        <w:rPr>
          <w:rFonts w:cs="Times New Roman"/>
          <w:color w:val="000000" w:themeColor="text1"/>
          <w:szCs w:val="24"/>
          <w:lang w:val="en-US"/>
          <w14:textFill>
            <w14:solidFill>
              <w14:schemeClr w14:val="tx1"/>
            </w14:solidFill>
          </w14:textFill>
        </w:rPr>
        <w:t>To address the issue of bias in AI, Unilever ought to categorize every AI application by its possible effect, examine training data and model outputs to identify bias, maintain human intervention to make material decisions and record the rationale behind making automated decisions where they might influence individuals. The controls are to be included in the current AI assurance process of the company and maintained as long as the system is in use.</w:t>
      </w:r>
    </w:p>
    <w:p w14:paraId="25F81581">
      <w:pPr>
        <w:rPr>
          <w:rFonts w:cs="Times New Roman"/>
          <w:szCs w:val="24"/>
        </w:rPr>
      </w:pPr>
      <w:r>
        <w:rPr>
          <w:rFonts w:cs="Times New Roman"/>
          <w:szCs w:val="24"/>
        </w:rPr>
        <w:t>To eliminate these risks, Unilever ought to strive in the severe testing and verification processes to realise and rectify biases. This involves the use of various and representative information and constant review of the performance of the AI systems.</w:t>
      </w:r>
    </w:p>
    <w:p w14:paraId="395DCE6E">
      <w:pPr>
        <w:pStyle w:val="3"/>
        <w:rPr>
          <w:color w:val="000000" w:themeColor="text1"/>
          <w14:textFill>
            <w14:solidFill>
              <w14:schemeClr w14:val="tx1"/>
            </w14:solidFill>
          </w14:textFill>
        </w:rPr>
      </w:pPr>
      <w:bookmarkStart w:id="21" w:name="_Toc224645742"/>
      <w:r>
        <w:rPr>
          <w:rStyle w:val="12"/>
          <w:b/>
          <w:bCs/>
          <w:color w:val="000000" w:themeColor="text1"/>
          <w14:textFill>
            <w14:solidFill>
              <w14:schemeClr w14:val="tx1"/>
            </w14:solidFill>
          </w14:textFill>
        </w:rPr>
        <w:t>5.3 Transparency and Explainability</w:t>
      </w:r>
      <w:bookmarkEnd w:id="21"/>
    </w:p>
    <w:p w14:paraId="3FFCD4B5">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The AI risk management at Unilever is based on transparency and explainability since the company has hundreds of AI systems working on various business functions. Unilever has an assurance process, whereby any proposed AI use case must be vetted by a cross-functional team before implementation. Its Responsible Partner Policy also provides that an automated decision that impacts people must have an explainable and ethical justification. Such controls may help unveil any latent errors or prejudice and enable Unilever to show accountability to regulators, consumers and other stakeholders (Unilever, 2022; Unilever, 2024).</w:t>
      </w:r>
    </w:p>
    <w:p w14:paraId="4B737D0F">
      <w:pPr>
        <w:rPr>
          <w:rFonts w:cs="Times New Roman"/>
          <w:szCs w:val="24"/>
        </w:rPr>
      </w:pPr>
      <w:r>
        <w:rPr>
          <w:rFonts w:cs="Times New Roman"/>
          <w:szCs w:val="24"/>
        </w:rPr>
        <w:t xml:space="preserve">The transparency of the case of multinational organisations is fundamental in the process of accountability and the delivery of the regulatory requirements. This question can be answered by the application of explainable (XAI) AI technologies that reveal the data about the process of formation of their output by AI systems </w:t>
      </w:r>
      <w:r>
        <w:rPr>
          <w:rStyle w:val="20"/>
          <w:rFonts w:cs="Times New Roman"/>
          <w:szCs w:val="24"/>
        </w:rPr>
        <w:t>(Lin, 2023)</w:t>
      </w:r>
      <w:r>
        <w:rPr>
          <w:rFonts w:cs="Times New Roman"/>
          <w:szCs w:val="24"/>
        </w:rPr>
        <w:t>.</w:t>
      </w:r>
    </w:p>
    <w:p w14:paraId="289196AC">
      <w:pPr>
        <w:rPr>
          <w:rFonts w:cs="Times New Roman"/>
          <w:szCs w:val="24"/>
        </w:rPr>
      </w:pPr>
      <w:r>
        <w:rPr>
          <w:rFonts w:cs="Times New Roman"/>
          <w:szCs w:val="24"/>
        </w:rPr>
        <w:t>By participating in some practises that are open, Unilever will be more confident and responsible in the application of AI among the stakeholders.</w:t>
      </w:r>
    </w:p>
    <w:p w14:paraId="744DFF60">
      <w:pPr>
        <w:pStyle w:val="3"/>
      </w:pPr>
      <w:bookmarkStart w:id="22" w:name="_Toc224645743"/>
      <w:r>
        <w:rPr>
          <w:rStyle w:val="12"/>
          <w:b/>
          <w:bCs/>
        </w:rPr>
        <w:t>5.4 Embedding Ethical Principles into Business Strategy</w:t>
      </w:r>
      <w:bookmarkEnd w:id="22"/>
    </w:p>
    <w:p w14:paraId="6F4AFD3C">
      <w:pPr>
        <w:rPr>
          <w:rFonts w:cs="Times New Roman"/>
          <w:szCs w:val="24"/>
        </w:rPr>
      </w:pPr>
      <w:r>
        <w:rPr>
          <w:rFonts w:cs="Times New Roman"/>
          <w:szCs w:val="24"/>
        </w:rPr>
        <w:t>To overcome the ethical risks, the organisations should consider the incorporation of the ethical principles into the overall business strategy. It is through the establishment of the governance systems in ethics committees, the development of a code of conduct, and the training of the employees.</w:t>
      </w:r>
    </w:p>
    <w:p w14:paraId="2AE1CE46">
      <w:pPr>
        <w:rPr>
          <w:rFonts w:cs="Times New Roman"/>
          <w:szCs w:val="24"/>
        </w:rPr>
      </w:pPr>
      <w:r>
        <w:rPr>
          <w:rFonts w:cs="Times New Roman"/>
          <w:szCs w:val="24"/>
        </w:rPr>
        <w:t xml:space="preserve">The stakeholders are also supposed to be brought on board. The presence of customers, regulators, and other interested parties in the discussions related to the use of AI will help organisations to understand the issues and expectations more fully </w:t>
      </w:r>
      <w:r>
        <w:rPr>
          <w:rStyle w:val="20"/>
          <w:rFonts w:cs="Times New Roman"/>
          <w:szCs w:val="24"/>
        </w:rPr>
        <w:t>(Nosike et al., 2024)</w:t>
      </w:r>
      <w:r>
        <w:rPr>
          <w:rFonts w:cs="Times New Roman"/>
          <w:szCs w:val="24"/>
        </w:rPr>
        <w:t>.</w:t>
      </w:r>
    </w:p>
    <w:p w14:paraId="33B3276D">
      <w:pPr>
        <w:rPr>
          <w:rFonts w:cs="Times New Roman"/>
          <w:szCs w:val="24"/>
        </w:rPr>
      </w:pPr>
      <w:r>
        <w:rPr>
          <w:rFonts w:cs="Times New Roman"/>
          <w:szCs w:val="24"/>
        </w:rPr>
        <w:t>Not only the mitigation of the risk, but also the development of the competitive advantage, since the ethical issues that are embedded in the AI systems also lead to the enhancement of brand image and consumer loyalty.</w:t>
      </w:r>
    </w:p>
    <w:p w14:paraId="7AFC4BD3">
      <w:pPr>
        <w:pStyle w:val="2"/>
      </w:pPr>
      <w:bookmarkStart w:id="23" w:name="_Toc224645744"/>
      <w:r>
        <w:rPr>
          <w:rStyle w:val="12"/>
          <w:b/>
          <w:bCs/>
        </w:rPr>
        <w:t>6. Regulatory Compliance: UK vs EU</w:t>
      </w:r>
      <w:bookmarkEnd w:id="23"/>
    </w:p>
    <w:p w14:paraId="3BF5C594">
      <w:pPr>
        <w:pStyle w:val="3"/>
      </w:pPr>
      <w:bookmarkStart w:id="24" w:name="_Toc224645745"/>
      <w:r>
        <w:rPr>
          <w:rStyle w:val="12"/>
          <w:b/>
          <w:bCs/>
        </w:rPr>
        <w:t>6.1 Diverging Regulatory Approaches</w:t>
      </w:r>
      <w:bookmarkEnd w:id="24"/>
    </w:p>
    <w:p w14:paraId="5EA99635">
      <w:pPr>
        <w:rPr>
          <w:rFonts w:cs="Times New Roman"/>
          <w:szCs w:val="24"/>
        </w:rPr>
      </w:pPr>
      <w:r>
        <w:rPr>
          <w:rFonts w:cs="Times New Roman"/>
          <w:szCs w:val="24"/>
        </w:rPr>
        <w:t>The AI legislation is defined by a colossal distance between the United Kingdom and the European Union. The expression of these differences presents the conflicting balancing measures of risk management and innovation.</w:t>
      </w:r>
    </w:p>
    <w:p w14:paraId="2AF4481F">
      <w:pPr>
        <w:rPr>
          <w:rFonts w:cs="Times New Roman"/>
          <w:color w:val="000000" w:themeColor="text1"/>
          <w:szCs w:val="24"/>
          <w14:textFill>
            <w14:solidFill>
              <w14:schemeClr w14:val="tx1"/>
            </w14:solidFill>
          </w14:textFill>
        </w:rPr>
      </w:pPr>
      <w:r>
        <w:rPr>
          <w:rFonts w:cs="Times New Roman"/>
          <w:szCs w:val="24"/>
        </w:rPr>
        <w:t xml:space="preserve">The UK is an open nation with a pro-innovation policy and a flexible stance that promotes the creation and assimilation of AI technologies. This practice is based on the suggestion that it will be dependent on the current regulatory authorities, which will oversee AI in their </w:t>
      </w:r>
      <w:bookmarkStart w:id="52" w:name="_GoBack"/>
      <w:r>
        <w:rPr>
          <w:rFonts w:cs="Times New Roman"/>
          <w:color w:val="000000" w:themeColor="text1"/>
          <w:szCs w:val="24"/>
          <w14:textFill>
            <w14:solidFill>
              <w14:schemeClr w14:val="tx1"/>
            </w14:solidFill>
          </w14:textFill>
        </w:rPr>
        <w:t xml:space="preserve">industries instead of creating an overall structure </w:t>
      </w:r>
      <w:r>
        <w:rPr>
          <w:rStyle w:val="20"/>
          <w:rFonts w:cs="Times New Roman"/>
          <w:color w:val="000000" w:themeColor="text1"/>
          <w:szCs w:val="24"/>
          <w14:textFill>
            <w14:solidFill>
              <w14:schemeClr w14:val="tx1"/>
            </w14:solidFill>
          </w14:textFill>
        </w:rPr>
        <w:t>(Oktriono, 2021)</w:t>
      </w:r>
      <w:r>
        <w:rPr>
          <w:rFonts w:cs="Times New Roman"/>
          <w:color w:val="000000" w:themeColor="text1"/>
          <w:szCs w:val="24"/>
          <w14:textFill>
            <w14:solidFill>
              <w14:schemeClr w14:val="tx1"/>
            </w14:solidFill>
          </w14:textFill>
        </w:rPr>
        <w:t>.</w:t>
      </w:r>
    </w:p>
    <w:p w14:paraId="503A1FB5">
      <w:pPr>
        <w:rPr>
          <w:rFonts w:cs="Times New Roman"/>
          <w:color w:val="000000" w:themeColor="text1"/>
          <w:szCs w:val="24"/>
          <w14:textFill>
            <w14:solidFill>
              <w14:schemeClr w14:val="tx1"/>
            </w14:solidFill>
          </w14:textFill>
        </w:rPr>
      </w:pPr>
      <w:r>
        <w:rPr>
          <w:rFonts w:cs="Times New Roman"/>
          <w:color w:val="000000" w:themeColor="text1"/>
          <w:szCs w:val="24"/>
          <w14:textFill>
            <w14:solidFill>
              <w14:schemeClr w14:val="tx1"/>
            </w14:solidFill>
          </w14:textFill>
        </w:rPr>
        <w:t>In comparison, the EU Artificial Intelligence Act is not a bill. It is Regulation (EU) 2024/1689, a legislatively binding EU regulation that defines harmonised and risk-based provisions to the development, deployment and use of AI systems. It contains outlawed AI activities and particular governance, transparency, documentation and human-oversight of specific high-risk systems (European Union, 2024).</w:t>
      </w:r>
    </w:p>
    <w:bookmarkEnd w:id="52"/>
    <w:p w14:paraId="50ED4823">
      <w:pPr>
        <w:pStyle w:val="3"/>
      </w:pPr>
      <w:bookmarkStart w:id="25" w:name="_Toc224645746"/>
      <w:r>
        <w:rPr>
          <w:rStyle w:val="12"/>
          <w:b/>
          <w:bCs/>
        </w:rPr>
        <w:t>6.2 Implications for Multinational Compliance</w:t>
      </w:r>
      <w:bookmarkEnd w:id="25"/>
      <w:r>
        <w:rPr>
          <w:rStyle w:val="12"/>
          <w:b/>
          <w:bCs/>
        </w:rPr>
        <w:tab/>
      </w:r>
    </w:p>
    <w:p w14:paraId="39F5566F">
      <w:pPr>
        <w:rPr>
          <w:rFonts w:cs="Times New Roman"/>
          <w:szCs w:val="24"/>
        </w:rPr>
      </w:pPr>
      <w:r>
        <w:rPr>
          <w:rFonts w:cs="Times New Roman"/>
          <w:szCs w:val="24"/>
        </w:rPr>
        <w:t>The different strategies pose serious compliance problems in the case of Unilever. The company should also make sure that its AI systems are responsive to the expectations in both regulatory environments that might pose conflicting demands and requirements.</w:t>
      </w:r>
    </w:p>
    <w:p w14:paraId="1401B37F">
      <w:pPr>
        <w:rPr>
          <w:rFonts w:cs="Times New Roman"/>
          <w:szCs w:val="24"/>
        </w:rPr>
      </w:pPr>
      <w:r>
        <w:rPr>
          <w:rFonts w:cs="Times New Roman"/>
          <w:szCs w:val="24"/>
        </w:rPr>
        <w:t xml:space="preserve">The augmented regulations of the EU may be extremely costly to comply with; this may be in terms of the investment in surveillance systems, records, and auditing </w:t>
      </w:r>
      <w:r>
        <w:rPr>
          <w:rStyle w:val="20"/>
          <w:rFonts w:cs="Times New Roman"/>
          <w:szCs w:val="24"/>
        </w:rPr>
        <w:t>(Ratković, Jablan and Liješević, 2022)</w:t>
      </w:r>
      <w:r>
        <w:rPr>
          <w:rFonts w:cs="Times New Roman"/>
          <w:szCs w:val="24"/>
        </w:rPr>
        <w:t>. Meanwhile, the spirit of adaptation of the UK can lead to certain questions about its implementation and accountability.</w:t>
      </w:r>
    </w:p>
    <w:p w14:paraId="204FDA71">
      <w:pPr>
        <w:rPr>
          <w:rFonts w:cs="Times New Roman"/>
          <w:szCs w:val="24"/>
        </w:rPr>
      </w:pPr>
      <w:r>
        <w:rPr>
          <w:rFonts w:cs="Times New Roman"/>
          <w:szCs w:val="24"/>
        </w:rPr>
        <w:t>Risk management has become more challenging with the two-regulatory environment, and organisations must be flexible and responsive.</w:t>
      </w:r>
    </w:p>
    <w:p w14:paraId="327BE995">
      <w:pPr>
        <w:pStyle w:val="3"/>
      </w:pPr>
      <w:bookmarkStart w:id="26" w:name="_Toc224645747"/>
      <w:r>
        <w:rPr>
          <w:rStyle w:val="12"/>
          <w:b/>
          <w:bCs/>
        </w:rPr>
        <w:t>6.3 Strategic Alignment and Best Practices</w:t>
      </w:r>
      <w:bookmarkEnd w:id="26"/>
    </w:p>
    <w:p w14:paraId="56BCCC60">
      <w:pPr>
        <w:rPr>
          <w:rFonts w:cs="Times New Roman"/>
          <w:szCs w:val="24"/>
        </w:rPr>
      </w:pPr>
      <w:r>
        <w:rPr>
          <w:rFonts w:cs="Times New Roman"/>
          <w:szCs w:val="24"/>
        </w:rPr>
        <w:t>In a bid to address the risk of regulatory environment efficiently, Unilever ought to embrace a single approach to compliance based on the highest regulatory standards, especially the EU regulatory standards. The approach will offer standardisation of processes, and the likelihood of the absence of non-conformity will be decreased.</w:t>
      </w:r>
    </w:p>
    <w:p w14:paraId="23F95126">
      <w:pPr>
        <w:rPr>
          <w:rFonts w:cs="Times New Roman"/>
          <w:szCs w:val="24"/>
        </w:rPr>
      </w:pPr>
      <w:r>
        <w:rPr>
          <w:rFonts w:cs="Times New Roman"/>
          <w:szCs w:val="24"/>
        </w:rPr>
        <w:t xml:space="preserve">In addition to that, the company needs to invest in a compliance management system and create special teams to track the changes in regulations </w:t>
      </w:r>
      <w:r>
        <w:rPr>
          <w:rStyle w:val="20"/>
          <w:rFonts w:cs="Times New Roman"/>
          <w:szCs w:val="24"/>
        </w:rPr>
        <w:t>(Horngren et al., 2022)</w:t>
      </w:r>
      <w:r>
        <w:rPr>
          <w:rFonts w:cs="Times New Roman"/>
          <w:szCs w:val="24"/>
        </w:rPr>
        <w:t>. Periodic training and awareness programmes should also be performed because they will guarantee that the employees are conscious and compliant with the regulatory requirements.</w:t>
      </w:r>
    </w:p>
    <w:p w14:paraId="2EAAE337">
      <w:pPr>
        <w:rPr>
          <w:rFonts w:cs="Times New Roman"/>
          <w:szCs w:val="24"/>
        </w:rPr>
      </w:pPr>
      <w:r>
        <w:rPr>
          <w:rFonts w:cs="Times New Roman"/>
          <w:szCs w:val="24"/>
        </w:rPr>
        <w:t>Unilever can lessen the risk and improve its reputation as a responsible and legal organisation by harmonising its operations and international best practise.</w:t>
      </w:r>
    </w:p>
    <w:p w14:paraId="6CDB8899">
      <w:pPr>
        <w:pStyle w:val="3"/>
      </w:pPr>
      <w:bookmarkStart w:id="27" w:name="_Toc224645748"/>
      <w:r>
        <w:rPr>
          <w:rStyle w:val="12"/>
          <w:b/>
          <w:bCs/>
        </w:rPr>
        <w:t>6.4 Balancing Innovation and Regulation</w:t>
      </w:r>
      <w:bookmarkEnd w:id="27"/>
    </w:p>
    <w:p w14:paraId="3D144AB2">
      <w:pPr>
        <w:rPr>
          <w:rFonts w:cs="Times New Roman"/>
          <w:szCs w:val="24"/>
        </w:rPr>
      </w:pPr>
      <w:r>
        <w:rPr>
          <w:rFonts w:cs="Times New Roman"/>
          <w:szCs w:val="24"/>
        </w:rPr>
        <w:t>Although regulatory compliance is a problematic issue, organisations should strike a balance between regulatory compliance and innovativeness. The situation of tight control can only deter the progress of technologies, and a lack of control can expose a person to a higher risk.</w:t>
      </w:r>
    </w:p>
    <w:p w14:paraId="4E8264E8">
      <w:pPr>
        <w:rPr>
          <w:rFonts w:cs="Times New Roman"/>
          <w:szCs w:val="24"/>
        </w:rPr>
      </w:pPr>
      <w:r>
        <w:rPr>
          <w:rFonts w:cs="Times New Roman"/>
          <w:szCs w:val="24"/>
        </w:rPr>
        <w:t xml:space="preserve">In the case of Unilever, this can be balanced through a strategic approach whereby compliance is the aspect of the innovation process </w:t>
      </w:r>
      <w:r>
        <w:rPr>
          <w:rStyle w:val="20"/>
          <w:rFonts w:cs="Times New Roman"/>
          <w:szCs w:val="24"/>
        </w:rPr>
        <w:t>(Vogler and Stoll, 2024)</w:t>
      </w:r>
      <w:r>
        <w:rPr>
          <w:rFonts w:cs="Times New Roman"/>
          <w:szCs w:val="24"/>
        </w:rPr>
        <w:t>. The introduction of flexible but stable governance systems will enable the firm to capitalise on AI technologies and be in control of risks in relation to AI technologies.</w:t>
      </w:r>
    </w:p>
    <w:p w14:paraId="7B65F4BD">
      <w:pPr>
        <w:pStyle w:val="2"/>
      </w:pPr>
      <w:bookmarkStart w:id="28" w:name="_Toc224645749"/>
      <w:r>
        <w:rPr>
          <w:rStyle w:val="12"/>
          <w:b/>
          <w:bCs/>
        </w:rPr>
        <w:t>7. Customer Trust and Reputation Management</w:t>
      </w:r>
      <w:bookmarkEnd w:id="28"/>
    </w:p>
    <w:p w14:paraId="116AFC69">
      <w:pPr>
        <w:pStyle w:val="3"/>
      </w:pPr>
      <w:bookmarkStart w:id="29" w:name="_Toc224645750"/>
      <w:r>
        <w:rPr>
          <w:rStyle w:val="12"/>
          <w:b/>
          <w:bCs/>
        </w:rPr>
        <w:t>7.1 Importance of Customer Trust in the AI Era</w:t>
      </w:r>
      <w:bookmarkEnd w:id="29"/>
    </w:p>
    <w:p w14:paraId="50620476">
      <w:pPr>
        <w:rPr>
          <w:rFonts w:cs="Times New Roman"/>
          <w:szCs w:val="24"/>
        </w:rPr>
      </w:pPr>
      <w:r>
        <w:rPr>
          <w:rFonts w:cs="Times New Roman"/>
          <w:szCs w:val="24"/>
        </w:rPr>
        <w:t xml:space="preserve">One of the key long-term success factors of the business is the reputation of the consumers, especially in the increasingly digital and data-oriented world. The implementation of artificial intelligence in the field of marketing, customer analytics, and personalised services has empowered organisational processes, yet it has become a huge issue in the question of data privacy, monitoring, and manipulation </w:t>
      </w:r>
      <w:r>
        <w:rPr>
          <w:rStyle w:val="20"/>
          <w:rFonts w:cs="Times New Roman"/>
          <w:szCs w:val="24"/>
        </w:rPr>
        <w:t>(Wafi et al., 2025)</w:t>
      </w:r>
      <w:r>
        <w:rPr>
          <w:rFonts w:cs="Times New Roman"/>
          <w:szCs w:val="24"/>
        </w:rPr>
        <w:t>.</w:t>
      </w:r>
    </w:p>
    <w:p w14:paraId="5B52052C">
      <w:pPr>
        <w:rPr>
          <w:rFonts w:cs="Times New Roman"/>
          <w:szCs w:val="24"/>
        </w:rPr>
      </w:pPr>
      <w:r>
        <w:rPr>
          <w:rFonts w:cs="Times New Roman"/>
          <w:szCs w:val="24"/>
        </w:rPr>
        <w:t>The issue of customer trust is very basic when it comes to multinational organisations such as Unilever, owing to the magnitude of operations and various global markets. Any misuse of the privacy of customer information or the absence of transparency in artificial intelligence will burn trust in no time and harm the brand image.</w:t>
      </w:r>
    </w:p>
    <w:p w14:paraId="749D4ECF">
      <w:pPr>
        <w:pStyle w:val="3"/>
      </w:pPr>
      <w:bookmarkStart w:id="30" w:name="_Toc224645751"/>
      <w:r>
        <w:rPr>
          <w:rStyle w:val="12"/>
          <w:b/>
          <w:bCs/>
        </w:rPr>
        <w:t>7.2 Transparency and Data Control</w:t>
      </w:r>
      <w:bookmarkEnd w:id="30"/>
    </w:p>
    <w:p w14:paraId="51E555A2">
      <w:pPr>
        <w:rPr>
          <w:rFonts w:cs="Times New Roman"/>
          <w:szCs w:val="24"/>
        </w:rPr>
      </w:pPr>
      <w:r>
        <w:rPr>
          <w:rFonts w:cs="Times New Roman"/>
          <w:szCs w:val="24"/>
        </w:rPr>
        <w:t>The concept of transparency is so crucial in arousing customer confidence and ensuring its continuance. Organisations should articulate the process of gathering, storing, and utilising customer information in the AI systems. This incorporates the existence of the privacy policies, as well as telling the customers about the impact on them associated with the AI-based decisions.</w:t>
      </w:r>
    </w:p>
    <w:p w14:paraId="6612FA32">
      <w:pPr>
        <w:rPr>
          <w:rFonts w:cs="Times New Roman"/>
          <w:szCs w:val="24"/>
        </w:rPr>
      </w:pPr>
      <w:r>
        <w:rPr>
          <w:rFonts w:cs="Times New Roman"/>
          <w:szCs w:val="24"/>
        </w:rPr>
        <w:t xml:space="preserve">Moreover, the control over the data of the customers should also be provided. This could mean provision of an option of whether to participate or not participate in the data collection, as well as the permission of the users to access their own information, add, and remove </w:t>
      </w:r>
      <w:r>
        <w:rPr>
          <w:rStyle w:val="20"/>
          <w:rFonts w:cs="Times New Roman"/>
          <w:szCs w:val="24"/>
        </w:rPr>
        <w:t>(Hán, Petříček and Chalupa, 2020)</w:t>
      </w:r>
      <w:r>
        <w:rPr>
          <w:rFonts w:cs="Times New Roman"/>
          <w:szCs w:val="24"/>
        </w:rPr>
        <w:t>. Such practises, in addition to helping in adhering to the rules, also demonstrate the attitude towards the autonomy of the customers.</w:t>
      </w:r>
    </w:p>
    <w:p w14:paraId="011541E9">
      <w:pPr>
        <w:pStyle w:val="3"/>
      </w:pPr>
      <w:bookmarkStart w:id="31" w:name="_Toc224645752"/>
      <w:r>
        <w:rPr>
          <w:rStyle w:val="12"/>
          <w:b/>
          <w:bCs/>
        </w:rPr>
        <w:t>7.3 Managing Reputation and Stakeholder Engagement</w:t>
      </w:r>
      <w:bookmarkEnd w:id="31"/>
    </w:p>
    <w:p w14:paraId="278E30C8">
      <w:pPr>
        <w:rPr>
          <w:rFonts w:cs="Times New Roman"/>
          <w:szCs w:val="24"/>
        </w:rPr>
      </w:pPr>
      <w:r>
        <w:rPr>
          <w:rFonts w:cs="Times New Roman"/>
          <w:szCs w:val="24"/>
        </w:rPr>
        <w:t xml:space="preserve">The reactive and proactive approaches are both demanded in reputation management within the framework of AI. Businesses are also expected to be ready in case of any obstacle or problem connected to the usage of AI, such as the breaking of the data, the existence of algorithm bias, or system breakdowns. It will be in a position to address such incidents promptly and with an open mind, and this will help in alleviating the reputational losses </w:t>
      </w:r>
      <w:r>
        <w:rPr>
          <w:rStyle w:val="20"/>
          <w:rFonts w:cs="Times New Roman"/>
          <w:szCs w:val="24"/>
        </w:rPr>
        <w:t>(Yudha and Basya, 2024)</w:t>
      </w:r>
      <w:r>
        <w:rPr>
          <w:rFonts w:cs="Times New Roman"/>
          <w:szCs w:val="24"/>
        </w:rPr>
        <w:t>.</w:t>
      </w:r>
    </w:p>
    <w:p w14:paraId="14F237C9">
      <w:pPr>
        <w:rPr>
          <w:rFonts w:cs="Times New Roman"/>
          <w:szCs w:val="24"/>
        </w:rPr>
      </w:pPr>
      <w:r>
        <w:rPr>
          <w:rFonts w:cs="Times New Roman"/>
          <w:szCs w:val="24"/>
        </w:rPr>
        <w:t>The stakeholders, such as the customers, regulatory bodies, and advocacy groups, among others, in the case of Unilever, must be part of the process of developing what is expected and have credibility. This can be done by open communication lines and feedback mechanisms, where any threat can be identified early enough and enhance organisational sensitivity.</w:t>
      </w:r>
    </w:p>
    <w:p w14:paraId="2B52D1CE">
      <w:pPr>
        <w:pStyle w:val="3"/>
      </w:pPr>
      <w:bookmarkStart w:id="32" w:name="_Toc224645753"/>
      <w:r>
        <w:rPr>
          <w:rStyle w:val="12"/>
          <w:b/>
          <w:bCs/>
        </w:rPr>
        <w:t>7.4 Trust as a Source of Competitive Advantage</w:t>
      </w:r>
      <w:bookmarkEnd w:id="32"/>
    </w:p>
    <w:p w14:paraId="23479B60">
      <w:pPr>
        <w:rPr>
          <w:rFonts w:cs="Times New Roman"/>
          <w:szCs w:val="24"/>
        </w:rPr>
      </w:pPr>
      <w:r>
        <w:rPr>
          <w:rFonts w:cs="Times New Roman"/>
          <w:szCs w:val="24"/>
        </w:rPr>
        <w:t xml:space="preserve">Trust is not only an element that makes a risk management plan, but it is a competitive advantage as well. Through ethics and transparent AI practises, organisations have a higher chance of attracting their customers and keeping them, ensuring brand loyalty, and becoming distinctive in a competitive marketplace </w:t>
      </w:r>
      <w:r>
        <w:rPr>
          <w:rStyle w:val="20"/>
          <w:rFonts w:cs="Times New Roman"/>
          <w:szCs w:val="24"/>
        </w:rPr>
        <w:t>(Eze, 2025)</w:t>
      </w:r>
      <w:r>
        <w:rPr>
          <w:rFonts w:cs="Times New Roman"/>
          <w:szCs w:val="24"/>
        </w:rPr>
        <w:t>.</w:t>
      </w:r>
    </w:p>
    <w:p w14:paraId="0D20714E">
      <w:pPr>
        <w:rPr>
          <w:rFonts w:cs="Times New Roman"/>
          <w:szCs w:val="24"/>
        </w:rPr>
      </w:pPr>
      <w:r>
        <w:rPr>
          <w:rFonts w:cs="Times New Roman"/>
          <w:szCs w:val="24"/>
        </w:rPr>
        <w:t>With trust being among the top priorities, Unilever will be in a position to build its market share and minimise the probability of reputational and regulatory risks in the case of AI use.</w:t>
      </w:r>
    </w:p>
    <w:p w14:paraId="30A77ABE">
      <w:pPr>
        <w:pStyle w:val="2"/>
      </w:pPr>
      <w:bookmarkStart w:id="33" w:name="_Toc224645754"/>
      <w:r>
        <w:rPr>
          <w:rStyle w:val="12"/>
          <w:b/>
          <w:bCs/>
        </w:rPr>
        <w:t>8. Strategic Analysis Using PESTLE</w:t>
      </w:r>
      <w:bookmarkEnd w:id="33"/>
    </w:p>
    <w:p w14:paraId="241C8C1A">
      <w:pPr>
        <w:pStyle w:val="3"/>
      </w:pPr>
      <w:bookmarkStart w:id="34" w:name="_Toc224645755"/>
      <w:r>
        <w:rPr>
          <w:rStyle w:val="12"/>
          <w:b/>
          <w:bCs/>
        </w:rPr>
        <w:t>8.1 Overview of PESTLE Framework</w:t>
      </w:r>
      <w:bookmarkEnd w:id="34"/>
    </w:p>
    <w:p w14:paraId="76377EB2">
      <w:pPr>
        <w:rPr>
          <w:rFonts w:cs="Times New Roman"/>
          <w:szCs w:val="24"/>
        </w:rPr>
      </w:pPr>
      <w:r>
        <w:rPr>
          <w:rFonts w:cs="Times New Roman"/>
          <w:szCs w:val="24"/>
        </w:rPr>
        <w:t>The PESTEL framework offers a systematic way of analysing the external environment that has implications for an organisation's strategy. The frames of the AI adoption can be used to determine the vital macro-environmental factors that impact risk management and decision-making.</w:t>
      </w:r>
    </w:p>
    <w:p w14:paraId="4A047287">
      <w:pPr>
        <w:pStyle w:val="3"/>
      </w:pPr>
      <w:bookmarkStart w:id="35" w:name="_Toc224645756"/>
      <w:r>
        <w:rPr>
          <w:rStyle w:val="12"/>
          <w:b/>
          <w:bCs/>
        </w:rPr>
        <w:t>8.2 Political and Economic Factors</w:t>
      </w:r>
      <w:bookmarkEnd w:id="35"/>
    </w:p>
    <w:p w14:paraId="27AA9104">
      <w:pPr>
        <w:rPr>
          <w:rFonts w:cs="Times New Roman"/>
          <w:szCs w:val="24"/>
        </w:rPr>
      </w:pPr>
      <w:r>
        <w:rPr>
          <w:rFonts w:cs="Times New Roman"/>
          <w:szCs w:val="24"/>
        </w:rPr>
        <w:t xml:space="preserve">The political factors involve the policies of the government, foreign affairs, and control that influence the evolution of AI technologies and their usage. One of these is that the UK and EU policy divergence can influence the utilisation of AI by organisations to a substantial extent </w:t>
      </w:r>
      <w:r>
        <w:rPr>
          <w:rStyle w:val="20"/>
          <w:rFonts w:cs="Times New Roman"/>
          <w:szCs w:val="24"/>
        </w:rPr>
        <w:t>(Free, Jones and Tremblay, 2025)</w:t>
      </w:r>
      <w:r>
        <w:rPr>
          <w:rFonts w:cs="Times New Roman"/>
          <w:szCs w:val="24"/>
        </w:rPr>
        <w:t>.</w:t>
      </w:r>
    </w:p>
    <w:p w14:paraId="558A167A">
      <w:pPr>
        <w:rPr>
          <w:rFonts w:cs="Times New Roman"/>
          <w:szCs w:val="24"/>
        </w:rPr>
      </w:pPr>
      <w:r>
        <w:rPr>
          <w:rFonts w:cs="Times New Roman"/>
          <w:szCs w:val="24"/>
        </w:rPr>
        <w:t>The economic ones include the investment in the AI technology, its effectiveness, efficiency, and competitiveness in the world arena. AI would also be handy to reduce costs and innovate, but it will come at a heavy price of spending financial resources, which can become a restriction for certain organisations.</w:t>
      </w:r>
    </w:p>
    <w:p w14:paraId="2D8D1FDC">
      <w:pPr>
        <w:pStyle w:val="3"/>
      </w:pPr>
      <w:bookmarkStart w:id="36" w:name="_Toc224645757"/>
      <w:r>
        <w:rPr>
          <w:rStyle w:val="12"/>
          <w:b/>
          <w:bCs/>
        </w:rPr>
        <w:t>8.3 Social and Technological Factors</w:t>
      </w:r>
      <w:bookmarkEnd w:id="36"/>
    </w:p>
    <w:p w14:paraId="1A0C1716">
      <w:pPr>
        <w:rPr>
          <w:rFonts w:cs="Times New Roman"/>
          <w:szCs w:val="24"/>
        </w:rPr>
      </w:pPr>
      <w:r>
        <w:rPr>
          <w:rFonts w:cs="Times New Roman"/>
          <w:szCs w:val="24"/>
        </w:rPr>
        <w:t xml:space="preserve">The social issues are related to the perception of AI by the population, such as privacy, ethics, and job displacement. The growing feeling of such problems implies that, in order to gain legitimacy and confidence in society, the organisation in question has to make sure that its strategies are in tune with the expectations of society </w:t>
      </w:r>
      <w:r>
        <w:rPr>
          <w:rStyle w:val="20"/>
          <w:rFonts w:cs="Times New Roman"/>
          <w:szCs w:val="24"/>
        </w:rPr>
        <w:t>(Lakhno, 2024)</w:t>
      </w:r>
      <w:r>
        <w:rPr>
          <w:rFonts w:cs="Times New Roman"/>
          <w:szCs w:val="24"/>
        </w:rPr>
        <w:t>.</w:t>
      </w:r>
    </w:p>
    <w:p w14:paraId="5CDE6A80">
      <w:pPr>
        <w:rPr>
          <w:rFonts w:cs="Times New Roman"/>
          <w:szCs w:val="24"/>
        </w:rPr>
      </w:pPr>
      <w:r>
        <w:rPr>
          <w:rFonts w:cs="Times New Roman"/>
          <w:szCs w:val="24"/>
        </w:rPr>
        <w:t>The technological factors involve the fast rate of development of AI, and this demands that organisations keep changing and innovating. Although it is possible that something might develop in technology, there is also the issue of the risk management of the AI systems.</w:t>
      </w:r>
    </w:p>
    <w:p w14:paraId="5BA8A397">
      <w:pPr>
        <w:pStyle w:val="3"/>
      </w:pPr>
      <w:bookmarkStart w:id="37" w:name="_Toc224645758"/>
      <w:r>
        <w:rPr>
          <w:rStyle w:val="12"/>
          <w:b/>
          <w:bCs/>
        </w:rPr>
        <w:t>8.4 Legal and Environmental Factors</w:t>
      </w:r>
      <w:bookmarkEnd w:id="37"/>
    </w:p>
    <w:p w14:paraId="6F98B1B1">
      <w:pPr>
        <w:rPr>
          <w:rFonts w:cs="Times New Roman"/>
          <w:szCs w:val="24"/>
        </w:rPr>
      </w:pPr>
      <w:r>
        <w:rPr>
          <w:rFonts w:cs="Times New Roman"/>
          <w:szCs w:val="24"/>
        </w:rPr>
        <w:t xml:space="preserve">Legal issues include rules and regulations that relate to the use of AI, such as laws on data protection and other legal provisions in the industry. These are the laws that should be adhered to to avoid being subjected to disciplinary measures and still be operational </w:t>
      </w:r>
      <w:r>
        <w:rPr>
          <w:rStyle w:val="20"/>
          <w:rFonts w:cs="Times New Roman"/>
          <w:szCs w:val="24"/>
        </w:rPr>
        <w:t>(Montgomery, Lyon and Barg, 2024)</w:t>
      </w:r>
      <w:r>
        <w:rPr>
          <w:rFonts w:cs="Times New Roman"/>
          <w:szCs w:val="24"/>
        </w:rPr>
        <w:t>.</w:t>
      </w:r>
    </w:p>
    <w:p w14:paraId="4FE5CB56">
      <w:pPr>
        <w:rPr>
          <w:rFonts w:cs="Times New Roman"/>
          <w:szCs w:val="24"/>
        </w:rPr>
      </w:pPr>
      <w:r>
        <w:rPr>
          <w:rFonts w:cs="Times New Roman"/>
          <w:szCs w:val="24"/>
        </w:rPr>
        <w:t>Environmental factors concentrate on the case of AI technologies' sustainability. The processing and data centres of AI are interconnected with the energy consumption that prompts the question of environmental responsibility, which forces organisations to avoid seeking other options that are sustainable.</w:t>
      </w:r>
    </w:p>
    <w:p w14:paraId="3DB67BC8">
      <w:pPr>
        <w:pStyle w:val="3"/>
      </w:pPr>
      <w:bookmarkStart w:id="38" w:name="_Toc224645759"/>
      <w:r>
        <w:rPr>
          <w:rStyle w:val="12"/>
          <w:b/>
          <w:bCs/>
        </w:rPr>
        <w:t>8.5 Strategic Implications</w:t>
      </w:r>
      <w:bookmarkEnd w:id="38"/>
    </w:p>
    <w:p w14:paraId="1CB783D2">
      <w:pPr>
        <w:rPr>
          <w:rFonts w:cs="Times New Roman"/>
          <w:szCs w:val="24"/>
        </w:rPr>
      </w:pPr>
      <w:r>
        <w:rPr>
          <w:rFonts w:cs="Times New Roman"/>
          <w:szCs w:val="24"/>
        </w:rPr>
        <w:t xml:space="preserve">The inter-relationship and complexity of the external environment on the adoption of AI are informative to the PESTLE analysis. The factors will inform the strategies that the business will apply in the instance of Unilever to manage the risks and opportunities appropriately </w:t>
      </w:r>
      <w:r>
        <w:rPr>
          <w:rStyle w:val="20"/>
          <w:rFonts w:cs="Times New Roman"/>
          <w:szCs w:val="24"/>
        </w:rPr>
        <w:t>(Nemes et al., 2022)</w:t>
      </w:r>
      <w:r>
        <w:rPr>
          <w:rFonts w:cs="Times New Roman"/>
          <w:szCs w:val="24"/>
        </w:rPr>
        <w:t>.</w:t>
      </w:r>
    </w:p>
    <w:p w14:paraId="4748D2CD">
      <w:pPr>
        <w:rPr>
          <w:rFonts w:cs="Times New Roman"/>
          <w:szCs w:val="24"/>
        </w:rPr>
      </w:pPr>
      <w:r>
        <w:rPr>
          <w:rFonts w:cs="Times New Roman"/>
          <w:szCs w:val="24"/>
        </w:rPr>
        <w:t>Once organisations awaken and react to these influences from the macro-environment, then organisations will be in a position to build a more future-oriented and robust approach to strategies in the dynamic AI world.</w:t>
      </w:r>
    </w:p>
    <w:p w14:paraId="4FCBCF33">
      <w:pPr>
        <w:pStyle w:val="2"/>
      </w:pPr>
      <w:bookmarkStart w:id="39" w:name="_Toc224645760"/>
      <w:r>
        <w:rPr>
          <w:rStyle w:val="12"/>
          <w:b/>
          <w:bCs/>
        </w:rPr>
        <w:t>9. Recommendations</w:t>
      </w:r>
      <w:bookmarkEnd w:id="39"/>
    </w:p>
    <w:p w14:paraId="58D8B15D">
      <w:pPr>
        <w:pStyle w:val="3"/>
      </w:pPr>
      <w:bookmarkStart w:id="40" w:name="_Toc224645761"/>
      <w:r>
        <w:rPr>
          <w:rStyle w:val="12"/>
          <w:b/>
          <w:bCs/>
        </w:rPr>
        <w:t>9.1 Strengthening AI Governance Framework</w:t>
      </w:r>
      <w:bookmarkEnd w:id="40"/>
    </w:p>
    <w:p w14:paraId="0C1934D3">
      <w:pPr>
        <w:rPr>
          <w:rFonts w:cs="Times New Roman"/>
          <w:szCs w:val="24"/>
        </w:rPr>
      </w:pPr>
      <w:r>
        <w:rPr>
          <w:rFonts w:cs="Times New Roman"/>
          <w:szCs w:val="24"/>
        </w:rPr>
        <w:t xml:space="preserve">Based on the analysis, one can suggest that Unilever needs to pursue a holistic AI governance system that has risk management, ethics, and regulatory purposes. There should be clear principles in such a framework that are concerned with how AI systems should be designed, deployed, and monitored. Formal systems of governance, such as special oversight committees, will ensure accountability and consistency in all the operations of the world </w:t>
      </w:r>
      <w:r>
        <w:rPr>
          <w:rStyle w:val="20"/>
          <w:rFonts w:cs="Times New Roman"/>
          <w:szCs w:val="24"/>
        </w:rPr>
        <w:t>(Chalupa and Petricek, 2020)</w:t>
      </w:r>
      <w:r>
        <w:rPr>
          <w:rFonts w:cs="Times New Roman"/>
          <w:szCs w:val="24"/>
        </w:rPr>
        <w:t>.</w:t>
      </w:r>
    </w:p>
    <w:p w14:paraId="3E0C35AE">
      <w:pPr>
        <w:pStyle w:val="3"/>
      </w:pPr>
      <w:bookmarkStart w:id="41" w:name="_Toc224645762"/>
      <w:r>
        <w:rPr>
          <w:rStyle w:val="12"/>
          <w:b/>
          <w:bCs/>
        </w:rPr>
        <w:t>9.2 Investment in Ethical AI and Workforce Capability</w:t>
      </w:r>
      <w:bookmarkEnd w:id="41"/>
    </w:p>
    <w:p w14:paraId="7574226F">
      <w:pPr>
        <w:rPr>
          <w:rFonts w:cs="Times New Roman"/>
          <w:szCs w:val="24"/>
        </w:rPr>
      </w:pPr>
      <w:r>
        <w:rPr>
          <w:rFonts w:cs="Times New Roman"/>
          <w:szCs w:val="24"/>
        </w:rPr>
        <w:t>It will necessitate Unilever to focus on ethical investment of AI systems, which would be fair, open, and responsible in decision-making. This is via the adoption of explainable AI technologies and the adoption of regular bias testing mechanisms. Besides that, the AI risk awareness and the ethical responsibility need to be developed through the introduction of employee training programmes. It will enable the organisation to handle the complex AI systems and adjust to the evolving situation because the internal capabilities will be developed.</w:t>
      </w:r>
    </w:p>
    <w:p w14:paraId="0359EE72">
      <w:pPr>
        <w:pStyle w:val="3"/>
      </w:pPr>
      <w:bookmarkStart w:id="42" w:name="_Toc224645763"/>
      <w:r>
        <w:rPr>
          <w:rStyle w:val="12"/>
          <w:b/>
          <w:bCs/>
        </w:rPr>
        <w:t>9.3 Enhancing Data Governance and Compliance</w:t>
      </w:r>
      <w:bookmarkEnd w:id="42"/>
    </w:p>
    <w:p w14:paraId="2C1D311B">
      <w:pPr>
        <w:rPr>
          <w:rFonts w:cs="Times New Roman"/>
          <w:szCs w:val="24"/>
        </w:rPr>
      </w:pPr>
      <w:r>
        <w:rPr>
          <w:rFonts w:cs="Times New Roman"/>
          <w:szCs w:val="24"/>
        </w:rPr>
        <w:t xml:space="preserve">The systems that control the usage of the data must be enhanced so as to provide accuracy, data integrity, and security of the data. Unilever ought to exercise the utilisation of effective data management tools such as data validation, data access management, and periodic data audit </w:t>
      </w:r>
      <w:r>
        <w:rPr>
          <w:rStyle w:val="20"/>
          <w:rFonts w:cs="Times New Roman"/>
          <w:szCs w:val="24"/>
        </w:rPr>
        <w:t>(Nygaard, 2023)</w:t>
      </w:r>
      <w:r>
        <w:rPr>
          <w:rFonts w:cs="Times New Roman"/>
          <w:szCs w:val="24"/>
        </w:rPr>
        <w:t>. The alignment of the data governance practises with the global regulations will minimise the non-compliance risk, and the performance of the operations will be improved.</w:t>
      </w:r>
    </w:p>
    <w:p w14:paraId="76F19A4B">
      <w:pPr>
        <w:pStyle w:val="3"/>
      </w:pPr>
      <w:bookmarkStart w:id="43" w:name="_Toc224645764"/>
      <w:r>
        <w:rPr>
          <w:rStyle w:val="12"/>
          <w:b/>
          <w:bCs/>
        </w:rPr>
        <w:t>9.4 Aligning with Global Regulatory Standards</w:t>
      </w:r>
      <w:bookmarkEnd w:id="43"/>
    </w:p>
    <w:p w14:paraId="2DB92602">
      <w:pPr>
        <w:rPr>
          <w:rFonts w:cs="Times New Roman"/>
          <w:szCs w:val="24"/>
        </w:rPr>
      </w:pPr>
      <w:r>
        <w:rPr>
          <w:rFonts w:cs="Times New Roman"/>
          <w:szCs w:val="24"/>
        </w:rPr>
        <w:t xml:space="preserve">Since the regulatory procedures in different jurisdictions differ, it is suggested that Unilever employs a single compliance strategy, which should be founded on the strictest standards, mostly European Union standards. This will make the markets consistent and reduce legal risks. It will also be helpful in ensuring that the organisation is able to respond sufficiently to the change in the regulatory environment since the regulatory trends will be observed effectively </w:t>
      </w:r>
      <w:r>
        <w:rPr>
          <w:rStyle w:val="20"/>
          <w:rFonts w:cs="Times New Roman"/>
          <w:szCs w:val="24"/>
        </w:rPr>
        <w:t>(Urbański and Ul Haque, 2020)</w:t>
      </w:r>
      <w:r>
        <w:rPr>
          <w:rFonts w:cs="Times New Roman"/>
          <w:szCs w:val="24"/>
        </w:rPr>
        <w:t>.</w:t>
      </w:r>
    </w:p>
    <w:p w14:paraId="32F3F0D2">
      <w:pPr>
        <w:pStyle w:val="3"/>
      </w:pPr>
      <w:bookmarkStart w:id="44" w:name="_Toc224645765"/>
      <w:r>
        <w:rPr>
          <w:rStyle w:val="12"/>
          <w:b/>
          <w:bCs/>
        </w:rPr>
        <w:t>9.5 Building Customer Trust and Transparency</w:t>
      </w:r>
      <w:bookmarkEnd w:id="44"/>
    </w:p>
    <w:p w14:paraId="536A76D0">
      <w:pPr>
        <w:rPr>
          <w:rFonts w:cs="Times New Roman"/>
          <w:szCs w:val="24"/>
        </w:rPr>
      </w:pPr>
      <w:r>
        <w:rPr>
          <w:rFonts w:cs="Times New Roman"/>
          <w:szCs w:val="24"/>
        </w:rPr>
        <w:t>Lastly, the level of transparency must be improved when it comes to the use of AI, so that the trust of the customers is gained. Unilever must also be straightforward on information gathering and use by customers, and give the user more control over his/her information. Opening lines of communication to the customers will also enhance customer interaction, thereby aiding in building trust and reputation of the organisation.</w:t>
      </w:r>
    </w:p>
    <w:p w14:paraId="365CF130">
      <w:pPr>
        <w:pStyle w:val="2"/>
      </w:pPr>
      <w:bookmarkStart w:id="45" w:name="_Toc224645766"/>
      <w:r>
        <w:rPr>
          <w:rStyle w:val="12"/>
          <w:b/>
          <w:bCs/>
        </w:rPr>
        <w:t>10. Implementation Plan</w:t>
      </w:r>
      <w:bookmarkEnd w:id="45"/>
    </w:p>
    <w:p w14:paraId="269DA04C">
      <w:pPr>
        <w:pStyle w:val="3"/>
      </w:pPr>
      <w:bookmarkStart w:id="46" w:name="_Toc224645767"/>
      <w:r>
        <w:rPr>
          <w:rStyle w:val="12"/>
          <w:b/>
          <w:bCs/>
        </w:rPr>
        <w:t>10.1 Phase 1: Foundation and Risk Assessment (0–6 Months)</w:t>
      </w:r>
      <w:bookmarkEnd w:id="46"/>
    </w:p>
    <w:p w14:paraId="081B3FA1">
      <w:pPr>
        <w:rPr>
          <w:rFonts w:cs="Times New Roman"/>
          <w:szCs w:val="24"/>
        </w:rPr>
      </w:pPr>
      <w:r>
        <w:rPr>
          <w:rFonts w:cs="Times New Roman"/>
          <w:szCs w:val="24"/>
        </w:rPr>
        <w:t xml:space="preserve">During the first step, Unilever will have to perform an overall AI risk assessment and identify the weak points and gaps in the existing practises. Types of governance structure must be set, definitions and policies of roles and responsibilities. This step is needed to ensure the success of the implementation </w:t>
      </w:r>
      <w:r>
        <w:rPr>
          <w:rStyle w:val="20"/>
          <w:rFonts w:cs="Times New Roman"/>
          <w:szCs w:val="24"/>
        </w:rPr>
        <w:t>(Burhan et al., 2021)</w:t>
      </w:r>
      <w:r>
        <w:rPr>
          <w:rFonts w:cs="Times New Roman"/>
          <w:szCs w:val="24"/>
        </w:rPr>
        <w:t>.</w:t>
      </w:r>
    </w:p>
    <w:p w14:paraId="1864C9EC">
      <w:pPr>
        <w:pStyle w:val="3"/>
      </w:pPr>
      <w:bookmarkStart w:id="47" w:name="_Toc224645768"/>
      <w:r>
        <w:rPr>
          <w:rStyle w:val="12"/>
          <w:b/>
          <w:bCs/>
        </w:rPr>
        <w:t>10.2 Phase 2: System Deployment and Capability Building (6–12 Months)</w:t>
      </w:r>
      <w:bookmarkEnd w:id="47"/>
    </w:p>
    <w:p w14:paraId="6DA332AE">
      <w:pPr>
        <w:rPr>
          <w:rFonts w:cs="Times New Roman"/>
          <w:szCs w:val="24"/>
        </w:rPr>
      </w:pPr>
      <w:r>
        <w:rPr>
          <w:rFonts w:cs="Times New Roman"/>
          <w:szCs w:val="24"/>
        </w:rPr>
        <w:t>The second step will be to pay attention to the introduction of the AI governance frameworks and the introduction of the ethical AI systems into the working process. The awareness and the competency of working with AI technologies are the aspects that should be provided by the existing employee training programmes. Simultaneously, need to establish the regulatory measures that will ensure that the regulatory norms are met in various areas.</w:t>
      </w:r>
    </w:p>
    <w:p w14:paraId="28DC3626">
      <w:pPr>
        <w:pStyle w:val="3"/>
      </w:pPr>
      <w:bookmarkStart w:id="48" w:name="_Toc224645769"/>
      <w:r>
        <w:rPr>
          <w:rStyle w:val="12"/>
          <w:b/>
          <w:bCs/>
        </w:rPr>
        <w:t>10.3 Phase 3: Monitoring, Evaluation, and Continuous Improvement (12–24 Months)</w:t>
      </w:r>
      <w:bookmarkEnd w:id="48"/>
    </w:p>
    <w:p w14:paraId="231609E0">
      <w:pPr>
        <w:rPr>
          <w:rFonts w:cs="Times New Roman"/>
          <w:szCs w:val="24"/>
        </w:rPr>
      </w:pPr>
      <w:r>
        <w:rPr>
          <w:rFonts w:cs="Times New Roman"/>
          <w:szCs w:val="24"/>
        </w:rPr>
        <w:t xml:space="preserve">The concluding measure would mean that Unilever would still keep track of the performance of AI systems through periodic checks and reviews. Feedback systems should also be introduced to determine the areas where they need to improve, and the strategies should be modified according to the changes in risks and regulations </w:t>
      </w:r>
      <w:r>
        <w:rPr>
          <w:rStyle w:val="20"/>
          <w:rFonts w:cs="Times New Roman"/>
          <w:szCs w:val="24"/>
        </w:rPr>
        <w:t>(Álvarez et al., 2021)</w:t>
      </w:r>
      <w:r>
        <w:rPr>
          <w:rFonts w:cs="Times New Roman"/>
          <w:szCs w:val="24"/>
        </w:rPr>
        <w:t>. It is a process that can not be terminated and thus has long-term sustainability and effectiveness.</w:t>
      </w:r>
    </w:p>
    <w:p w14:paraId="1F85A773">
      <w:pPr>
        <w:pStyle w:val="3"/>
      </w:pPr>
      <w:bookmarkStart w:id="49" w:name="_Toc224645770"/>
      <w:r>
        <w:rPr>
          <w:rStyle w:val="12"/>
          <w:b/>
          <w:bCs/>
        </w:rPr>
        <w:t>10.4 Strategic Outcome</w:t>
      </w:r>
      <w:bookmarkEnd w:id="49"/>
    </w:p>
    <w:p w14:paraId="6575AEC8">
      <w:pPr>
        <w:rPr>
          <w:rFonts w:cs="Times New Roman"/>
          <w:szCs w:val="24"/>
        </w:rPr>
      </w:pPr>
      <w:r>
        <w:rPr>
          <w:rFonts w:cs="Times New Roman"/>
          <w:szCs w:val="24"/>
        </w:rPr>
        <w:t>The implementation channel of the application of AI risk management practises is clear and incremental, which makes it a manageable implementation strategy. Using the given plan, Unilever will receive a chance to optimise the efficiency of its operations, the level of compliance, and the competitiveness rates in the global market.</w:t>
      </w:r>
    </w:p>
    <w:p w14:paraId="6EBF1DD9">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p w14:paraId="34E8FCF4">
      <w:pPr>
        <w:pStyle w:val="2"/>
      </w:pPr>
      <w:bookmarkStart w:id="50" w:name="_Toc224645771"/>
      <w:r>
        <w:t>11. Conclusion</w:t>
      </w:r>
      <w:bookmarkEnd w:id="50"/>
    </w:p>
    <w:p w14:paraId="693CDE80">
      <w:pPr>
        <w:rPr>
          <w:rFonts w:cs="Times New Roman"/>
          <w:szCs w:val="24"/>
        </w:rPr>
      </w:pPr>
      <w:r>
        <w:rPr>
          <w:rFonts w:cs="Times New Roman"/>
          <w:szCs w:val="24"/>
        </w:rPr>
        <w:t>Artificial intelligence may also be incredibly helpful to multinational organisations in their efficiency, innovativeness, and data-driven decision-making. It, however, is accompanied by intricate data security risks, ethical issues, regulatory, and reputational effects. These concerns are a priori conditions of the need to ensure that organisations have structured and progressive risk management alternatives.</w:t>
      </w:r>
    </w:p>
    <w:p w14:paraId="5F30C7BD">
      <w:pPr>
        <w:rPr>
          <w:rFonts w:cs="Times New Roman"/>
          <w:szCs w:val="24"/>
        </w:rPr>
      </w:pPr>
      <w:r>
        <w:rPr>
          <w:rFonts w:cs="Times New Roman"/>
          <w:szCs w:val="24"/>
        </w:rPr>
        <w:t>In the case of Unilever, risks associated with AI need to be mitigated to enjoy maximum benefits without compromising the stakeholders. The dynamic character of the technological environment that the company must address can be addressed using the proactive model that entails the adoption of powerful governance systems, a code of conduct, and efficient data management strategies.</w:t>
      </w:r>
    </w:p>
    <w:p w14:paraId="6D6B856F">
      <w:pPr>
        <w:rPr>
          <w:rFonts w:cs="Times New Roman"/>
          <w:szCs w:val="24"/>
        </w:rPr>
      </w:pPr>
      <w:r>
        <w:rPr>
          <w:rFonts w:cs="Times New Roman"/>
          <w:szCs w:val="24"/>
        </w:rPr>
        <w:t>Having adjusted its activities to align with the international regulatory practises and transparency in the use of AI, Unilever will be able to both win the trust of the customers and support their brand image. Finally, the innovative strategy, along with the rational risk management, will be a moderate strategy that should contribute to the development of sustainable growth and long-term competitive advantage in the setting of a continuously expanding digital global economy.</w:t>
      </w:r>
    </w:p>
    <w:p w14:paraId="50EAE31E">
      <w:pPr>
        <w:pStyle w:val="11"/>
        <w:spacing w:line="360" w:lineRule="auto"/>
      </w:pPr>
    </w:p>
    <w:p w14:paraId="5E17D009">
      <w:pPr>
        <w:spacing w:line="259" w:lineRule="auto"/>
        <w:jc w:val="left"/>
        <w:rPr>
          <w:rFonts w:eastAsia="Times New Roman" w:cs="Times New Roman"/>
          <w:szCs w:val="24"/>
          <w:lang w:eastAsia="en-GB"/>
        </w:rPr>
      </w:pPr>
      <w:r>
        <w:br w:type="page"/>
      </w:r>
    </w:p>
    <w:p w14:paraId="5294D6D0">
      <w:pPr>
        <w:pStyle w:val="2"/>
      </w:pPr>
      <w:bookmarkStart w:id="51" w:name="_Toc224645772"/>
      <w:r>
        <w:t>References</w:t>
      </w:r>
      <w:bookmarkEnd w:id="51"/>
    </w:p>
    <w:p w14:paraId="6613B1EB">
      <w:pPr>
        <w:pStyle w:val="11"/>
        <w:spacing w:line="360" w:lineRule="auto"/>
      </w:pPr>
      <w:r>
        <w:t xml:space="preserve">Álvarez, T., Sensini, L., Bello, C. and Vázquez, M., 2021. Management accounting practices and performance of SMEs in the hotel industry: Evidence from an emerging economy. </w:t>
      </w:r>
      <w:r>
        <w:rPr>
          <w:rStyle w:val="7"/>
        </w:rPr>
        <w:t>International Journal of Business and Social Science</w:t>
      </w:r>
      <w:r>
        <w:t xml:space="preserve">, 12(2), pp.24–35. </w:t>
      </w:r>
      <w:r>
        <w:fldChar w:fldCharType="begin"/>
      </w:r>
      <w:r>
        <w:instrText xml:space="preserve"> HYPERLINK "https://doi.org/10.30845/ijbss.v12n2p3" \t "_new" </w:instrText>
      </w:r>
      <w:r>
        <w:fldChar w:fldCharType="separate"/>
      </w:r>
      <w:r>
        <w:rPr>
          <w:rStyle w:val="10"/>
        </w:rPr>
        <w:t>https://doi.org/10.30845/ijbss.v12n2p3</w:t>
      </w:r>
      <w:r>
        <w:rPr>
          <w:rStyle w:val="10"/>
        </w:rPr>
        <w:fldChar w:fldCharType="end"/>
      </w:r>
    </w:p>
    <w:p w14:paraId="1C9D75E4">
      <w:pPr>
        <w:pStyle w:val="11"/>
        <w:spacing w:line="360" w:lineRule="auto"/>
      </w:pPr>
      <w:r>
        <w:t xml:space="preserve">Amelia, K.P., 2024. Business adaptation strategies post-COVID-19 pandemic: A study of the tourism sector in Aceh. </w:t>
      </w:r>
      <w:r>
        <w:rPr>
          <w:rStyle w:val="7"/>
        </w:rPr>
        <w:t>Global Research in Economics and Advanced Theory (GREAT)</w:t>
      </w:r>
      <w:r>
        <w:t xml:space="preserve">, 1(4), pp.134–143. </w:t>
      </w:r>
      <w:r>
        <w:fldChar w:fldCharType="begin"/>
      </w:r>
      <w:r>
        <w:instrText xml:space="preserve"> HYPERLINK "https://doi.org/10.65788/greatjournal.v1i4.59" \t "_new" </w:instrText>
      </w:r>
      <w:r>
        <w:fldChar w:fldCharType="separate"/>
      </w:r>
      <w:r>
        <w:rPr>
          <w:rStyle w:val="10"/>
        </w:rPr>
        <w:t>https://doi.org/10.65788/greatjournal.v1i4.59</w:t>
      </w:r>
      <w:r>
        <w:rPr>
          <w:rStyle w:val="10"/>
        </w:rPr>
        <w:fldChar w:fldCharType="end"/>
      </w:r>
    </w:p>
    <w:p w14:paraId="5FC0666C">
      <w:pPr>
        <w:pStyle w:val="11"/>
        <w:spacing w:line="360" w:lineRule="auto"/>
      </w:pPr>
      <w:r>
        <w:t xml:space="preserve">Anderson, C., Bieck, C. and Marshall, A., 2021. How business is adapting to COVID-19: Executive insights reveal post-pandemic opportunities. </w:t>
      </w:r>
      <w:r>
        <w:rPr>
          <w:rStyle w:val="7"/>
        </w:rPr>
        <w:t>Strategy &amp; Leadership</w:t>
      </w:r>
      <w:r>
        <w:t xml:space="preserve">, 49(1), pp.38–47. </w:t>
      </w:r>
      <w:r>
        <w:fldChar w:fldCharType="begin"/>
      </w:r>
      <w:r>
        <w:instrText xml:space="preserve"> HYPERLINK "https://doi.org/10.1108/SL-11-2020-0140" \t "_new" </w:instrText>
      </w:r>
      <w:r>
        <w:fldChar w:fldCharType="separate"/>
      </w:r>
      <w:r>
        <w:rPr>
          <w:rStyle w:val="10"/>
        </w:rPr>
        <w:t>https://doi.org/10.1108/SL-11-2020-0140</w:t>
      </w:r>
      <w:r>
        <w:rPr>
          <w:rStyle w:val="10"/>
        </w:rPr>
        <w:fldChar w:fldCharType="end"/>
      </w:r>
    </w:p>
    <w:p w14:paraId="732618B8">
      <w:pPr>
        <w:pStyle w:val="11"/>
        <w:spacing w:line="360" w:lineRule="auto"/>
      </w:pPr>
      <w:r>
        <w:t xml:space="preserve">Burhan, M., Salam, M.T., Abou Hamdan, O. and Tariq, H., 2021. Crisis management in the hospitality sector SMEs in Pakistan during COVID-19. </w:t>
      </w:r>
      <w:r>
        <w:rPr>
          <w:rStyle w:val="7"/>
        </w:rPr>
        <w:t>International Journal of Hospitality Management</w:t>
      </w:r>
      <w:r>
        <w:t xml:space="preserve">, 98, p.103037. </w:t>
      </w:r>
      <w:r>
        <w:fldChar w:fldCharType="begin"/>
      </w:r>
      <w:r>
        <w:instrText xml:space="preserve"> HYPERLINK "https://doi.org/10.1016/j.ijhm.2021.103037" \t "_new" </w:instrText>
      </w:r>
      <w:r>
        <w:fldChar w:fldCharType="separate"/>
      </w:r>
      <w:r>
        <w:rPr>
          <w:rStyle w:val="10"/>
        </w:rPr>
        <w:t>https://doi.org/10.1016/j.ijhm.2021.103037</w:t>
      </w:r>
      <w:r>
        <w:rPr>
          <w:rStyle w:val="10"/>
        </w:rPr>
        <w:fldChar w:fldCharType="end"/>
      </w:r>
    </w:p>
    <w:p w14:paraId="178F42BB">
      <w:pPr>
        <w:pStyle w:val="11"/>
        <w:spacing w:line="360" w:lineRule="auto"/>
      </w:pPr>
      <w:r>
        <w:t xml:space="preserve">Cardoso, A., Figueiredo, J., Oliveira, I. and Pocinho, M., 2025. From crisis to opportunity: Digital transformation, digital business models, and organizational resilience in the post-pandemic era. </w:t>
      </w:r>
      <w:r>
        <w:rPr>
          <w:rStyle w:val="7"/>
        </w:rPr>
        <w:t>Administrative Sciences</w:t>
      </w:r>
      <w:r>
        <w:t xml:space="preserve">, 15(6), p.193. </w:t>
      </w:r>
      <w:r>
        <w:fldChar w:fldCharType="begin"/>
      </w:r>
      <w:r>
        <w:instrText xml:space="preserve"> HYPERLINK "https://doi.org/10.3390/admsci15060193" \t "_new" </w:instrText>
      </w:r>
      <w:r>
        <w:fldChar w:fldCharType="separate"/>
      </w:r>
      <w:r>
        <w:rPr>
          <w:rStyle w:val="10"/>
        </w:rPr>
        <w:t>https://doi.org/10.3390/admsci15060193</w:t>
      </w:r>
      <w:r>
        <w:rPr>
          <w:rStyle w:val="10"/>
        </w:rPr>
        <w:fldChar w:fldCharType="end"/>
      </w:r>
    </w:p>
    <w:p w14:paraId="6DFFCB62">
      <w:pPr>
        <w:pStyle w:val="11"/>
        <w:spacing w:line="360" w:lineRule="auto"/>
      </w:pPr>
      <w:r>
        <w:t xml:space="preserve">Chalupa, S. and Petricek, M., 2020. The application of business process management in the hospitality industry: A case study. </w:t>
      </w:r>
      <w:r>
        <w:rPr>
          <w:rStyle w:val="7"/>
        </w:rPr>
        <w:t>IBIMA Business Review</w:t>
      </w:r>
      <w:r>
        <w:t xml:space="preserve">, 2020. </w:t>
      </w:r>
      <w:r>
        <w:fldChar w:fldCharType="begin"/>
      </w:r>
      <w:r>
        <w:instrText xml:space="preserve"> HYPERLINK "https://doi.org/10.5171/2020.301930" \t "_new" </w:instrText>
      </w:r>
      <w:r>
        <w:fldChar w:fldCharType="separate"/>
      </w:r>
      <w:r>
        <w:rPr>
          <w:rStyle w:val="10"/>
        </w:rPr>
        <w:t>https://doi.org/10.5171/2020.301930</w:t>
      </w:r>
      <w:r>
        <w:rPr>
          <w:rStyle w:val="10"/>
        </w:rPr>
        <w:fldChar w:fldCharType="end"/>
      </w:r>
    </w:p>
    <w:p w14:paraId="092A6B70">
      <w:pPr>
        <w:pStyle w:val="11"/>
        <w:spacing w:line="360" w:lineRule="auto"/>
      </w:pPr>
      <w:r>
        <w:t xml:space="preserve">Chanyasak, T., Koseoglu, M.A., King, B. and Aladag, O.F., 2022. Business model adaptation as a strategic response to crises: navigating the COVID-19 pandemic. </w:t>
      </w:r>
      <w:r>
        <w:rPr>
          <w:rStyle w:val="7"/>
        </w:rPr>
        <w:t>International Journal of Tourism Cities</w:t>
      </w:r>
      <w:r>
        <w:t xml:space="preserve">, 8(3), pp.616–635. </w:t>
      </w:r>
      <w:r>
        <w:fldChar w:fldCharType="begin"/>
      </w:r>
      <w:r>
        <w:instrText xml:space="preserve"> HYPERLINK "https://doi.org/10.1108/IJTC-02-2021-0026" \t "_new" </w:instrText>
      </w:r>
      <w:r>
        <w:fldChar w:fldCharType="separate"/>
      </w:r>
      <w:r>
        <w:rPr>
          <w:rStyle w:val="10"/>
        </w:rPr>
        <w:t>https://doi.org/10.1108/IJTC-02-2021-0026</w:t>
      </w:r>
      <w:r>
        <w:rPr>
          <w:rStyle w:val="10"/>
        </w:rPr>
        <w:fldChar w:fldCharType="end"/>
      </w:r>
    </w:p>
    <w:p w14:paraId="3B684C7A">
      <w:pPr>
        <w:pStyle w:val="11"/>
        <w:spacing w:line="360" w:lineRule="auto"/>
      </w:pPr>
      <w:r>
        <w:t xml:space="preserve">Dias, Á., Patuleia, M., Silva, R., Estêvão, J. and González-Rodríguez, M.R., 2022. Post-pandemic recovery strategies: Revitalizing lifestyle entrepreneurship. </w:t>
      </w:r>
      <w:r>
        <w:rPr>
          <w:rStyle w:val="7"/>
        </w:rPr>
        <w:t>Journal of Policy Research in Tourism, Leisure and Events</w:t>
      </w:r>
      <w:r>
        <w:t xml:space="preserve">, 14(2), pp.97–114. </w:t>
      </w:r>
      <w:r>
        <w:fldChar w:fldCharType="begin"/>
      </w:r>
      <w:r>
        <w:instrText xml:space="preserve"> HYPERLINK "https://doi.org/10.1080/19407963.2021.1892124" \t "_new" </w:instrText>
      </w:r>
      <w:r>
        <w:fldChar w:fldCharType="separate"/>
      </w:r>
      <w:r>
        <w:rPr>
          <w:rStyle w:val="10"/>
        </w:rPr>
        <w:t>https://doi.org/10.1080/19407963.2021.1892124</w:t>
      </w:r>
      <w:r>
        <w:rPr>
          <w:rStyle w:val="10"/>
        </w:rPr>
        <w:fldChar w:fldCharType="end"/>
      </w:r>
    </w:p>
    <w:p w14:paraId="2B4AC547">
      <w:pPr>
        <w:pStyle w:val="11"/>
        <w:spacing w:line="360" w:lineRule="auto"/>
      </w:pPr>
      <w:r>
        <w:t xml:space="preserve">Eppang, B.M., Widjaja, H.R., Arifin, M., Azinuddin, M. and Salim, M.A.M., 2024. Model of resilience strategies of small and medium-sized tourism enterprises post pandemic crises in marine-based destination. </w:t>
      </w:r>
      <w:r>
        <w:rPr>
          <w:rStyle w:val="7"/>
        </w:rPr>
        <w:t>Journal of Applied Sciences in Travel and Hospitality</w:t>
      </w:r>
      <w:r>
        <w:t xml:space="preserve">, 7(2), pp.105–126. </w:t>
      </w:r>
      <w:r>
        <w:fldChar w:fldCharType="begin"/>
      </w:r>
      <w:r>
        <w:instrText xml:space="preserve"> HYPERLINK "https://doi.org/10.31940/jasth.v7i2.105-126" \t "_new" </w:instrText>
      </w:r>
      <w:r>
        <w:fldChar w:fldCharType="separate"/>
      </w:r>
      <w:r>
        <w:rPr>
          <w:rStyle w:val="10"/>
        </w:rPr>
        <w:t>https://doi.org/10.31940/jasth.v7i2.105-126</w:t>
      </w:r>
      <w:r>
        <w:rPr>
          <w:rStyle w:val="10"/>
        </w:rPr>
        <w:fldChar w:fldCharType="end"/>
      </w:r>
    </w:p>
    <w:p w14:paraId="6E7F1047">
      <w:pPr>
        <w:pStyle w:val="11"/>
        <w:spacing w:line="360" w:lineRule="auto"/>
      </w:pPr>
      <w:r>
        <w:t xml:space="preserve">European Union 2024. Regulation (EU) 2024/1689 of the European Parliament and of the Council laying down harmonised rules on artificial intelligence (Artificial Intelligence Act). </w:t>
      </w:r>
      <w:r>
        <w:fldChar w:fldCharType="begin"/>
      </w:r>
      <w:r>
        <w:instrText xml:space="preserve"> HYPERLINK "https://eur-lex.europa.eu/eli/reg/2024/1689/oj/eng" </w:instrText>
      </w:r>
      <w:r>
        <w:fldChar w:fldCharType="separate"/>
      </w:r>
      <w:r>
        <w:rPr>
          <w:rStyle w:val="10"/>
        </w:rPr>
        <w:t>https://eur-lex.europa.eu/eli/reg/2024/1689/oj/eng</w:t>
      </w:r>
      <w:r>
        <w:rPr>
          <w:rStyle w:val="10"/>
        </w:rPr>
        <w:fldChar w:fldCharType="end"/>
      </w:r>
      <w:r>
        <w:t xml:space="preserve"> </w:t>
      </w:r>
    </w:p>
    <w:p w14:paraId="1BA06BAE">
      <w:pPr>
        <w:pStyle w:val="11"/>
        <w:spacing w:line="360" w:lineRule="auto"/>
      </w:pPr>
      <w:r>
        <w:t xml:space="preserve">Eze, M., 2025. Digital greenwashing in the age of sustainability marketing: A meta-analysis of consumer perception, detection, and backlash. </w:t>
      </w:r>
      <w:r>
        <w:rPr>
          <w:rStyle w:val="7"/>
        </w:rPr>
        <w:t>International Journal of Marketing Studies</w:t>
      </w:r>
      <w:r>
        <w:t xml:space="preserve">, 17(2). </w:t>
      </w:r>
      <w:r>
        <w:fldChar w:fldCharType="begin"/>
      </w:r>
      <w:r>
        <w:instrText xml:space="preserve"> HYPERLINK "https://doi.org/10.5539/ijms.v17n2p32" \t "_new" </w:instrText>
      </w:r>
      <w:r>
        <w:fldChar w:fldCharType="separate"/>
      </w:r>
      <w:r>
        <w:rPr>
          <w:rStyle w:val="10"/>
        </w:rPr>
        <w:t>https://doi.org/10.5539/ijms.v17n2p32</w:t>
      </w:r>
      <w:r>
        <w:rPr>
          <w:rStyle w:val="10"/>
        </w:rPr>
        <w:fldChar w:fldCharType="end"/>
      </w:r>
    </w:p>
    <w:p w14:paraId="744FBDA9">
      <w:pPr>
        <w:pStyle w:val="11"/>
        <w:spacing w:line="360" w:lineRule="auto"/>
      </w:pPr>
      <w:r>
        <w:t xml:space="preserve">Free, C., Jones, S. and Tremblay, M.S., 2025. Greenwashing and sustainability assurance: A review and call for future research. </w:t>
      </w:r>
      <w:r>
        <w:rPr>
          <w:rStyle w:val="7"/>
        </w:rPr>
        <w:t>Journal of Accounting Literature</w:t>
      </w:r>
      <w:r>
        <w:t xml:space="preserve">, 47(4), pp.739–764. </w:t>
      </w:r>
      <w:r>
        <w:fldChar w:fldCharType="begin"/>
      </w:r>
      <w:r>
        <w:instrText xml:space="preserve"> HYPERLINK "https://doi.org/10.1108/JAL-11-2023-0201" \t "_new" </w:instrText>
      </w:r>
      <w:r>
        <w:fldChar w:fldCharType="separate"/>
      </w:r>
      <w:r>
        <w:rPr>
          <w:rStyle w:val="10"/>
        </w:rPr>
        <w:t>https://doi.org/10.1108/JAL-11-2023-0201</w:t>
      </w:r>
      <w:r>
        <w:rPr>
          <w:rStyle w:val="10"/>
        </w:rPr>
        <w:fldChar w:fldCharType="end"/>
      </w:r>
    </w:p>
    <w:p w14:paraId="322BF93A">
      <w:pPr>
        <w:pStyle w:val="11"/>
        <w:spacing w:line="360" w:lineRule="auto"/>
      </w:pPr>
      <w:r>
        <w:t xml:space="preserve">Gigauri, I., 2021. New economic concepts shaping business models in post-pandemic era. </w:t>
      </w:r>
      <w:r>
        <w:rPr>
          <w:rStyle w:val="7"/>
        </w:rPr>
        <w:t>International Journal of Innovative Technologies in Economy</w:t>
      </w:r>
      <w:r>
        <w:t xml:space="preserve">, (1), p.411513. </w:t>
      </w:r>
      <w:r>
        <w:fldChar w:fldCharType="begin"/>
      </w:r>
      <w:r>
        <w:instrText xml:space="preserve"> HYPERLINK "https://doi.org/10.31435/rsglobal_ijite/30032021/7392" \t "_new" </w:instrText>
      </w:r>
      <w:r>
        <w:fldChar w:fldCharType="separate"/>
      </w:r>
      <w:r>
        <w:rPr>
          <w:rStyle w:val="10"/>
        </w:rPr>
        <w:t>https://doi.org/10.31435/rsglobal_ijite/30032021/7392</w:t>
      </w:r>
      <w:r>
        <w:rPr>
          <w:rStyle w:val="10"/>
        </w:rPr>
        <w:fldChar w:fldCharType="end"/>
      </w:r>
    </w:p>
    <w:p w14:paraId="5C04F139">
      <w:pPr>
        <w:pStyle w:val="11"/>
        <w:spacing w:line="360" w:lineRule="auto"/>
      </w:pPr>
      <w:r>
        <w:t xml:space="preserve">Hán, J., Petříček, M. and Chalupa, Š., 2020. Business process management approach in the hospitality industry. </w:t>
      </w:r>
      <w:r>
        <w:fldChar w:fldCharType="begin"/>
      </w:r>
      <w:r>
        <w:instrText xml:space="preserve"> HYPERLINK "https://doi.org/10.1108/S1877-636120200000024011" \t "_new" </w:instrText>
      </w:r>
      <w:r>
        <w:fldChar w:fldCharType="separate"/>
      </w:r>
      <w:r>
        <w:rPr>
          <w:rStyle w:val="10"/>
        </w:rPr>
        <w:t>https://doi.org/10.1108/S1877-636120200000024011</w:t>
      </w:r>
      <w:r>
        <w:rPr>
          <w:rStyle w:val="10"/>
        </w:rPr>
        <w:fldChar w:fldCharType="end"/>
      </w:r>
    </w:p>
    <w:p w14:paraId="44A6F8AA">
      <w:pPr>
        <w:pStyle w:val="11"/>
        <w:spacing w:line="360" w:lineRule="auto"/>
      </w:pPr>
      <w:r>
        <w:t xml:space="preserve">Horngren, C., Sundem, G., Stratton, W., Burgstahler, D. and Schatzberg, J., 2022. </w:t>
      </w:r>
      <w:r>
        <w:rPr>
          <w:rStyle w:val="7"/>
        </w:rPr>
        <w:t>Introduction to Management Accounting</w:t>
      </w:r>
      <w:r>
        <w:t>. Global 17th ed. Harlow: Pearson.</w:t>
      </w:r>
    </w:p>
    <w:p w14:paraId="549E6D3F">
      <w:pPr>
        <w:pStyle w:val="11"/>
        <w:spacing w:line="360" w:lineRule="auto"/>
      </w:pPr>
      <w:r>
        <w:t xml:space="preserve">John, J. and Thakur, R., 2021. Long term effects of service adaptations made under pandemic conditions: The new “post COVID-19” normal. </w:t>
      </w:r>
      <w:r>
        <w:rPr>
          <w:rStyle w:val="7"/>
        </w:rPr>
        <w:t>European Journal of Marketing</w:t>
      </w:r>
      <w:r>
        <w:t xml:space="preserve">, 55(6), pp.1679–1700. </w:t>
      </w:r>
      <w:r>
        <w:fldChar w:fldCharType="begin"/>
      </w:r>
      <w:r>
        <w:instrText xml:space="preserve"> HYPERLINK "https://doi.org/10.1108/EJM-08-2020-0607" \t "_new" </w:instrText>
      </w:r>
      <w:r>
        <w:fldChar w:fldCharType="separate"/>
      </w:r>
      <w:r>
        <w:rPr>
          <w:rStyle w:val="10"/>
        </w:rPr>
        <w:t>https://doi.org/10.1108/EJM-08-2020-0607</w:t>
      </w:r>
      <w:r>
        <w:rPr>
          <w:rStyle w:val="10"/>
        </w:rPr>
        <w:fldChar w:fldCharType="end"/>
      </w:r>
    </w:p>
    <w:p w14:paraId="5CD1DB68">
      <w:pPr>
        <w:pStyle w:val="11"/>
        <w:spacing w:line="360" w:lineRule="auto"/>
      </w:pPr>
      <w:r>
        <w:t xml:space="preserve">Klimanov, D. and Tretyak, O., 2024. Pandemic-driven business model sustainability: a review. </w:t>
      </w:r>
      <w:r>
        <w:rPr>
          <w:rStyle w:val="7"/>
        </w:rPr>
        <w:t>Journal of Business &amp; Industrial Marketing</w:t>
      </w:r>
      <w:r>
        <w:t xml:space="preserve">, 39(8), pp.1645–1668. </w:t>
      </w:r>
      <w:r>
        <w:fldChar w:fldCharType="begin"/>
      </w:r>
      <w:r>
        <w:instrText xml:space="preserve"> HYPERLINK "https://doi.org/10.1108/JBIM-11-2022-0492" \t "_new" </w:instrText>
      </w:r>
      <w:r>
        <w:fldChar w:fldCharType="separate"/>
      </w:r>
      <w:r>
        <w:rPr>
          <w:rStyle w:val="10"/>
        </w:rPr>
        <w:t>https://doi.org/10.1108/JBIM-11-2022-0492</w:t>
      </w:r>
      <w:r>
        <w:rPr>
          <w:rStyle w:val="10"/>
        </w:rPr>
        <w:fldChar w:fldCharType="end"/>
      </w:r>
    </w:p>
    <w:p w14:paraId="79DB1698">
      <w:pPr>
        <w:pStyle w:val="11"/>
        <w:spacing w:line="360" w:lineRule="auto"/>
      </w:pPr>
      <w:r>
        <w:t xml:space="preserve">Lakhno, M., 2024. Green or green-washed? Examining sustainability reporting in higher education. </w:t>
      </w:r>
      <w:r>
        <w:rPr>
          <w:rStyle w:val="7"/>
        </w:rPr>
        <w:t>Higher Education Quarterly</w:t>
      </w:r>
      <w:r>
        <w:t xml:space="preserve">, 78(3), pp.1099–1122. </w:t>
      </w:r>
      <w:r>
        <w:fldChar w:fldCharType="begin"/>
      </w:r>
      <w:r>
        <w:instrText xml:space="preserve"> HYPERLINK "https://doi.org/10.1111/hequ.12513" \t "_new" </w:instrText>
      </w:r>
      <w:r>
        <w:fldChar w:fldCharType="separate"/>
      </w:r>
      <w:r>
        <w:rPr>
          <w:rStyle w:val="10"/>
        </w:rPr>
        <w:t>https://doi.org/10.1111/hequ.12513</w:t>
      </w:r>
      <w:r>
        <w:rPr>
          <w:rStyle w:val="10"/>
        </w:rPr>
        <w:fldChar w:fldCharType="end"/>
      </w:r>
    </w:p>
    <w:p w14:paraId="64FEC20C">
      <w:pPr>
        <w:pStyle w:val="11"/>
        <w:spacing w:line="360" w:lineRule="auto"/>
      </w:pPr>
      <w:r>
        <w:t xml:space="preserve">Lin, A.C.H., 2023. Emerging key elements of a business model for sustaining the cultural and creative industries in the post-pandemic era. </w:t>
      </w:r>
      <w:r>
        <w:rPr>
          <w:rStyle w:val="7"/>
        </w:rPr>
        <w:t>Sustainability</w:t>
      </w:r>
      <w:r>
        <w:t xml:space="preserve">, 15(11), p.8903. </w:t>
      </w:r>
      <w:r>
        <w:fldChar w:fldCharType="begin"/>
      </w:r>
      <w:r>
        <w:instrText xml:space="preserve"> HYPERLINK "https://doi.org/10.3390/su15118903" \t "_new" </w:instrText>
      </w:r>
      <w:r>
        <w:fldChar w:fldCharType="separate"/>
      </w:r>
      <w:r>
        <w:rPr>
          <w:rStyle w:val="10"/>
        </w:rPr>
        <w:t>https://doi.org/10.3390/su15118903</w:t>
      </w:r>
      <w:r>
        <w:rPr>
          <w:rStyle w:val="10"/>
        </w:rPr>
        <w:fldChar w:fldCharType="end"/>
      </w:r>
    </w:p>
    <w:p w14:paraId="1C6737E1">
      <w:pPr>
        <w:pStyle w:val="11"/>
        <w:spacing w:line="360" w:lineRule="auto"/>
      </w:pPr>
      <w:r>
        <w:t xml:space="preserve">Liutikas, D., Pociūtė-Sereikienė, G., Baranauskienė, V. and Kriaučiūnas, E., 2024. Re-tourism: changes of tourism in the post-pandemic era. In: </w:t>
      </w:r>
      <w:r>
        <w:rPr>
          <w:rStyle w:val="7"/>
        </w:rPr>
        <w:t>Handbook of Tourism and Consumer Behavior</w:t>
      </w:r>
      <w:r>
        <w:t xml:space="preserve">. pp.83–98. Edward Elgar Publishing. </w:t>
      </w:r>
      <w:r>
        <w:fldChar w:fldCharType="begin"/>
      </w:r>
      <w:r>
        <w:instrText xml:space="preserve"> HYPERLINK "https://doi.org/10.4337/9781035309801.00015" \t "_new" </w:instrText>
      </w:r>
      <w:r>
        <w:fldChar w:fldCharType="separate"/>
      </w:r>
      <w:r>
        <w:rPr>
          <w:rStyle w:val="10"/>
        </w:rPr>
        <w:t>https://doi.org/10.4337/9781035309801.00015</w:t>
      </w:r>
      <w:r>
        <w:rPr>
          <w:rStyle w:val="10"/>
        </w:rPr>
        <w:fldChar w:fldCharType="end"/>
      </w:r>
    </w:p>
    <w:p w14:paraId="3ED76D55">
      <w:pPr>
        <w:pStyle w:val="11"/>
        <w:spacing w:line="360" w:lineRule="auto"/>
      </w:pPr>
      <w:r>
        <w:t xml:space="preserve">Modica, P.D., Altinay, L., Farmaki, A., Gursoy, D. and Zenga, M., 2020. Consumer perceptions towards sustainable supply chain practices in the hospitality industry. </w:t>
      </w:r>
      <w:r>
        <w:rPr>
          <w:rStyle w:val="7"/>
        </w:rPr>
        <w:t>Current Issues in Tourism</w:t>
      </w:r>
      <w:r>
        <w:t xml:space="preserve">, 23(3), pp.358–375. </w:t>
      </w:r>
      <w:r>
        <w:fldChar w:fldCharType="begin"/>
      </w:r>
      <w:r>
        <w:instrText xml:space="preserve"> HYPERLINK "https://doi.org/10.1080/13683500.2018.1526258" \t "_new" </w:instrText>
      </w:r>
      <w:r>
        <w:fldChar w:fldCharType="separate"/>
      </w:r>
      <w:r>
        <w:rPr>
          <w:rStyle w:val="10"/>
        </w:rPr>
        <w:t>https://doi.org/10.1080/13683500.2018.1526258</w:t>
      </w:r>
      <w:r>
        <w:rPr>
          <w:rStyle w:val="10"/>
        </w:rPr>
        <w:fldChar w:fldCharType="end"/>
      </w:r>
    </w:p>
    <w:p w14:paraId="698A315D">
      <w:pPr>
        <w:pStyle w:val="11"/>
        <w:spacing w:line="360" w:lineRule="auto"/>
      </w:pPr>
      <w:r>
        <w:t xml:space="preserve">Montgomery, A.W., Lyon, T.P. and Barg, J., 2024. No end in sight? A greenwash review and research agenda. </w:t>
      </w:r>
      <w:r>
        <w:rPr>
          <w:rStyle w:val="7"/>
        </w:rPr>
        <w:t>Organization &amp; Environment</w:t>
      </w:r>
      <w:r>
        <w:t xml:space="preserve">, 37(2), pp.221–256. </w:t>
      </w:r>
      <w:r>
        <w:fldChar w:fldCharType="begin"/>
      </w:r>
      <w:r>
        <w:instrText xml:space="preserve"> HYPERLINK "https://doi.org/10.1177/1086026623116890" \t "_new" </w:instrText>
      </w:r>
      <w:r>
        <w:fldChar w:fldCharType="separate"/>
      </w:r>
      <w:r>
        <w:rPr>
          <w:rStyle w:val="10"/>
        </w:rPr>
        <w:t>https://doi.org/10.1177/1086026623116890</w:t>
      </w:r>
      <w:r>
        <w:rPr>
          <w:rStyle w:val="10"/>
        </w:rPr>
        <w:fldChar w:fldCharType="end"/>
      </w:r>
    </w:p>
    <w:p w14:paraId="7594B4AB">
      <w:pPr>
        <w:pStyle w:val="11"/>
        <w:spacing w:line="360" w:lineRule="auto"/>
      </w:pPr>
      <w:r>
        <w:t xml:space="preserve">Nemes, N., Scanlan, S.J., Smith, P., Smith, T., Aronczyk, M., Hill, S., Lewis, S.L., Montgomery, A.W., Tubiello, F.N. and Stabinsky, D., 2022. An integrated framework to assess greenwashing. </w:t>
      </w:r>
      <w:r>
        <w:rPr>
          <w:rStyle w:val="7"/>
        </w:rPr>
        <w:t>Sustainability</w:t>
      </w:r>
      <w:r>
        <w:t xml:space="preserve">, 14(8), p.4431. </w:t>
      </w:r>
      <w:r>
        <w:fldChar w:fldCharType="begin"/>
      </w:r>
      <w:r>
        <w:instrText xml:space="preserve"> HYPERLINK "https://doi.org/10.3390/su14084431" \t "_new" </w:instrText>
      </w:r>
      <w:r>
        <w:fldChar w:fldCharType="separate"/>
      </w:r>
      <w:r>
        <w:rPr>
          <w:rStyle w:val="10"/>
        </w:rPr>
        <w:t>https://doi.org/10.3390/su14084431</w:t>
      </w:r>
      <w:r>
        <w:rPr>
          <w:rStyle w:val="10"/>
        </w:rPr>
        <w:fldChar w:fldCharType="end"/>
      </w:r>
    </w:p>
    <w:p w14:paraId="64E3F5EF">
      <w:pPr>
        <w:pStyle w:val="11"/>
        <w:spacing w:line="360" w:lineRule="auto"/>
      </w:pPr>
      <w:r>
        <w:t xml:space="preserve">Nosike, C.J., Ojobor, O.S.N. and Nosike, C.U., 2024. Enhancing business resilience: Innovation and adaptation during and after the global pandemic. </w:t>
      </w:r>
      <w:r>
        <w:rPr>
          <w:rStyle w:val="7"/>
        </w:rPr>
        <w:t>International Journal of Financial, Accounting, and Management</w:t>
      </w:r>
      <w:r>
        <w:t xml:space="preserve">, 6(2), pp.217–229. </w:t>
      </w:r>
      <w:r>
        <w:fldChar w:fldCharType="begin"/>
      </w:r>
      <w:r>
        <w:instrText xml:space="preserve"> HYPERLINK "https://doi.org/10.35912/ijfam.v6i2.1891" \t "_new" </w:instrText>
      </w:r>
      <w:r>
        <w:fldChar w:fldCharType="separate"/>
      </w:r>
      <w:r>
        <w:rPr>
          <w:rStyle w:val="10"/>
        </w:rPr>
        <w:t>https://doi.org/10.35912/ijfam.v6i2.1891</w:t>
      </w:r>
      <w:r>
        <w:rPr>
          <w:rStyle w:val="10"/>
        </w:rPr>
        <w:fldChar w:fldCharType="end"/>
      </w:r>
    </w:p>
    <w:p w14:paraId="185ECEBC">
      <w:pPr>
        <w:pStyle w:val="11"/>
        <w:spacing w:line="360" w:lineRule="auto"/>
      </w:pPr>
      <w:r>
        <w:t xml:space="preserve">Nygaard, A., 2023. Is sustainable certification's ability to combat greenwashing trustworthy? </w:t>
      </w:r>
      <w:r>
        <w:rPr>
          <w:rStyle w:val="7"/>
        </w:rPr>
        <w:t>Frontiers in Sustainability</w:t>
      </w:r>
      <w:r>
        <w:t xml:space="preserve">, 4, p.1188069. </w:t>
      </w:r>
      <w:r>
        <w:fldChar w:fldCharType="begin"/>
      </w:r>
      <w:r>
        <w:instrText xml:space="preserve"> HYPERLINK "https://doi.org/10.3389/frsus.2023.1188069" \t "_new" </w:instrText>
      </w:r>
      <w:r>
        <w:fldChar w:fldCharType="separate"/>
      </w:r>
      <w:r>
        <w:rPr>
          <w:rStyle w:val="10"/>
        </w:rPr>
        <w:t>https://doi.org/10.3389/frsus.2023.1188069</w:t>
      </w:r>
      <w:r>
        <w:rPr>
          <w:rStyle w:val="10"/>
        </w:rPr>
        <w:fldChar w:fldCharType="end"/>
      </w:r>
    </w:p>
    <w:p w14:paraId="082DADE9">
      <w:pPr>
        <w:pStyle w:val="11"/>
        <w:spacing w:line="360" w:lineRule="auto"/>
      </w:pPr>
      <w:r>
        <w:t xml:space="preserve">Oktriono, K., 2021. Transformative tourism breakthrough in post pandemic: An enigma or eclipse. </w:t>
      </w:r>
      <w:r>
        <w:rPr>
          <w:rStyle w:val="7"/>
        </w:rPr>
        <w:t>Journal The Winners</w:t>
      </w:r>
      <w:r>
        <w:t xml:space="preserve">, 22(1), pp.47–55. </w:t>
      </w:r>
      <w:r>
        <w:fldChar w:fldCharType="begin"/>
      </w:r>
      <w:r>
        <w:instrText xml:space="preserve"> HYPERLINK "https://doi.org/10.21512/tw.v22i1.7001" \t "_new" </w:instrText>
      </w:r>
      <w:r>
        <w:fldChar w:fldCharType="separate"/>
      </w:r>
      <w:r>
        <w:rPr>
          <w:rStyle w:val="10"/>
        </w:rPr>
        <w:t>https://doi.org/10.21512/tw.v22i1.7001</w:t>
      </w:r>
      <w:r>
        <w:rPr>
          <w:rStyle w:val="10"/>
        </w:rPr>
        <w:fldChar w:fldCharType="end"/>
      </w:r>
    </w:p>
    <w:p w14:paraId="5B756C2E">
      <w:pPr>
        <w:pStyle w:val="11"/>
        <w:spacing w:line="360" w:lineRule="auto"/>
      </w:pPr>
      <w:r>
        <w:t xml:space="preserve">Ratković, R., Jablan, M. and Liješević, M., 2022. Innovation in tourism as a model of recovery in the postpandemic period. </w:t>
      </w:r>
      <w:r>
        <w:rPr>
          <w:rStyle w:val="7"/>
        </w:rPr>
        <w:t>Economics: Innovative &amp; Economic Research Journal</w:t>
      </w:r>
      <w:r>
        <w:t xml:space="preserve">, 10(2). </w:t>
      </w:r>
      <w:r>
        <w:fldChar w:fldCharType="begin"/>
      </w:r>
      <w:r>
        <w:instrText xml:space="preserve"> HYPERLINK "https://doi.org/10.2478/eoik-2022-0017" \t "_new" </w:instrText>
      </w:r>
      <w:r>
        <w:fldChar w:fldCharType="separate"/>
      </w:r>
      <w:r>
        <w:rPr>
          <w:rStyle w:val="10"/>
        </w:rPr>
        <w:t>https://doi.org/10.2478/eoik-2022-0017</w:t>
      </w:r>
      <w:r>
        <w:rPr>
          <w:rStyle w:val="10"/>
        </w:rPr>
        <w:fldChar w:fldCharType="end"/>
      </w:r>
    </w:p>
    <w:p w14:paraId="42C404D1">
      <w:pPr>
        <w:pStyle w:val="11"/>
        <w:spacing w:line="360" w:lineRule="auto"/>
      </w:pPr>
      <w:r>
        <w:t xml:space="preserve">Rhou, Y. and Singal, M., 2020. A review of the business case for CSR in the hospitality industry. </w:t>
      </w:r>
      <w:r>
        <w:rPr>
          <w:rStyle w:val="7"/>
        </w:rPr>
        <w:t>International Journal of Hospitality Management</w:t>
      </w:r>
      <w:r>
        <w:t xml:space="preserve">, 84, p.102330. </w:t>
      </w:r>
      <w:r>
        <w:fldChar w:fldCharType="begin"/>
      </w:r>
      <w:r>
        <w:instrText xml:space="preserve"> HYPERLINK "https://doi.org/10.1016/j.ijhm.2019.102330" \t "_new" </w:instrText>
      </w:r>
      <w:r>
        <w:fldChar w:fldCharType="separate"/>
      </w:r>
      <w:r>
        <w:rPr>
          <w:rStyle w:val="10"/>
        </w:rPr>
        <w:t>https://doi.org/10.1016/j.ijhm.2019.102330</w:t>
      </w:r>
      <w:r>
        <w:rPr>
          <w:rStyle w:val="10"/>
        </w:rPr>
        <w:fldChar w:fldCharType="end"/>
      </w:r>
    </w:p>
    <w:p w14:paraId="74F9932D">
      <w:pPr>
        <w:pStyle w:val="11"/>
        <w:spacing w:line="360" w:lineRule="auto"/>
      </w:pPr>
      <w:r>
        <w:t xml:space="preserve">Ruel, H. and Njoku, E., 2021. AI is redefining the hospitality industry. </w:t>
      </w:r>
      <w:r>
        <w:rPr>
          <w:rStyle w:val="7"/>
        </w:rPr>
        <w:t>Journal of Tourism Futures</w:t>
      </w:r>
      <w:r>
        <w:t xml:space="preserve">, 7(1), pp.53–66. </w:t>
      </w:r>
      <w:r>
        <w:fldChar w:fldCharType="begin"/>
      </w:r>
      <w:r>
        <w:instrText xml:space="preserve"> HYPERLINK "https://doi.org/10.1108/JTF-03-2020-0032" \t "_new" </w:instrText>
      </w:r>
      <w:r>
        <w:fldChar w:fldCharType="separate"/>
      </w:r>
      <w:r>
        <w:rPr>
          <w:rStyle w:val="10"/>
        </w:rPr>
        <w:t>https://doi.org/10.1108/JTF-03-2020-0032</w:t>
      </w:r>
      <w:r>
        <w:rPr>
          <w:rStyle w:val="10"/>
        </w:rPr>
        <w:fldChar w:fldCharType="end"/>
      </w:r>
    </w:p>
    <w:p w14:paraId="2590099B">
      <w:pPr>
        <w:pStyle w:val="11"/>
        <w:spacing w:line="360" w:lineRule="auto"/>
      </w:pPr>
      <w:r>
        <w:t xml:space="preserve">Sakshi, Shashi, Cerchione, R. and Bansal, H., 2020. Measuring the impact of sustainability policy and practices in the tourism and hospitality industry. </w:t>
      </w:r>
      <w:r>
        <w:rPr>
          <w:rStyle w:val="7"/>
        </w:rPr>
        <w:t>Business Strategy and the Environment</w:t>
      </w:r>
      <w:r>
        <w:t xml:space="preserve">, 29(3), pp.1109–1126. </w:t>
      </w:r>
      <w:r>
        <w:fldChar w:fldCharType="begin"/>
      </w:r>
      <w:r>
        <w:instrText xml:space="preserve"> HYPERLINK "https://doi.org/10.1002/bse.2420" \t "_new" </w:instrText>
      </w:r>
      <w:r>
        <w:fldChar w:fldCharType="separate"/>
      </w:r>
      <w:r>
        <w:rPr>
          <w:rStyle w:val="10"/>
        </w:rPr>
        <w:t>https://doi.org/10.1002/bse.2420</w:t>
      </w:r>
      <w:r>
        <w:rPr>
          <w:rStyle w:val="10"/>
        </w:rPr>
        <w:fldChar w:fldCharType="end"/>
      </w:r>
    </w:p>
    <w:p w14:paraId="21CD3449">
      <w:pPr>
        <w:pStyle w:val="11"/>
        <w:spacing w:line="360" w:lineRule="auto"/>
      </w:pPr>
      <w:r>
        <w:t xml:space="preserve">UK Government 2023. </w:t>
      </w:r>
      <w:r>
        <w:rPr>
          <w:i/>
          <w:iCs/>
        </w:rPr>
        <w:t>AI regulation: A pro-innovation approach</w:t>
      </w:r>
      <w:r>
        <w:t xml:space="preserve">. Department for Science, Innovation and Technology </w:t>
      </w:r>
      <w:r>
        <w:fldChar w:fldCharType="begin"/>
      </w:r>
      <w:r>
        <w:instrText xml:space="preserve"> HYPERLINK "https://www.gov.uk/government/publications/ai-regulation-a-pro-innovation-approach" </w:instrText>
      </w:r>
      <w:r>
        <w:fldChar w:fldCharType="separate"/>
      </w:r>
      <w:r>
        <w:rPr>
          <w:rStyle w:val="10"/>
        </w:rPr>
        <w:t>https://www.gov.uk/government/publications/ai-regulation-a-pro-innovation-approach</w:t>
      </w:r>
      <w:r>
        <w:rPr>
          <w:rStyle w:val="10"/>
        </w:rPr>
        <w:fldChar w:fldCharType="end"/>
      </w:r>
      <w:r>
        <w:t xml:space="preserve"> </w:t>
      </w:r>
    </w:p>
    <w:p w14:paraId="585B981B">
      <w:pPr>
        <w:pStyle w:val="11"/>
        <w:spacing w:line="360" w:lineRule="auto"/>
        <w:rPr>
          <w:i/>
          <w:iCs/>
        </w:rPr>
      </w:pPr>
      <w:r>
        <w:t xml:space="preserve">Unilever 2022. </w:t>
      </w:r>
      <w:r>
        <w:rPr>
          <w:i/>
          <w:iCs/>
        </w:rPr>
        <w:t xml:space="preserve">Responsible Partner Policy </w:t>
      </w:r>
      <w:r>
        <w:fldChar w:fldCharType="begin"/>
      </w:r>
      <w:r>
        <w:instrText xml:space="preserve"> HYPERLINK "https://www.unilever.com/files/56455dcf-0f8f-41cb-a3a9-2f77bf8a6291/unilever-responsible-partner-policy.pdf" </w:instrText>
      </w:r>
      <w:r>
        <w:fldChar w:fldCharType="separate"/>
      </w:r>
      <w:r>
        <w:rPr>
          <w:rStyle w:val="10"/>
          <w:i/>
          <w:iCs/>
        </w:rPr>
        <w:t>https://www.unilever.com/files/56455dcf-0f8f-41cb-a3a9-2f77bf8a6291/unilever-responsible-partner-policy.pdf</w:t>
      </w:r>
      <w:r>
        <w:rPr>
          <w:rStyle w:val="10"/>
          <w:i/>
          <w:iCs/>
        </w:rPr>
        <w:fldChar w:fldCharType="end"/>
      </w:r>
      <w:r>
        <w:rPr>
          <w:i/>
          <w:iCs/>
        </w:rPr>
        <w:t xml:space="preserve"> </w:t>
      </w:r>
    </w:p>
    <w:p w14:paraId="4CE71781">
      <w:pPr>
        <w:pStyle w:val="11"/>
        <w:spacing w:line="360" w:lineRule="auto"/>
      </w:pPr>
      <w:r>
        <w:t xml:space="preserve">Unilever 2024. </w:t>
      </w:r>
      <w:r>
        <w:rPr>
          <w:i/>
          <w:iCs/>
        </w:rPr>
        <w:t>The EU AI Act has arrived: How Unilever is preparing</w:t>
      </w:r>
      <w:r>
        <w:t xml:space="preserve">, 30 July </w:t>
      </w:r>
      <w:r>
        <w:fldChar w:fldCharType="begin"/>
      </w:r>
      <w:r>
        <w:instrText xml:space="preserve"> HYPERLINK "https://www.unilever.com/news/news-search/2024/the-eu-ai-act-has-arrived-how-unilever-is-preparing/" </w:instrText>
      </w:r>
      <w:r>
        <w:fldChar w:fldCharType="separate"/>
      </w:r>
      <w:r>
        <w:rPr>
          <w:rStyle w:val="10"/>
        </w:rPr>
        <w:t>https://www.unilever.com/news/news-search/2024/the-eu-ai-act-has-arrived-how-unilever-is-preparing/</w:t>
      </w:r>
      <w:r>
        <w:rPr>
          <w:rStyle w:val="10"/>
        </w:rPr>
        <w:fldChar w:fldCharType="end"/>
      </w:r>
      <w:r>
        <w:t xml:space="preserve"> </w:t>
      </w:r>
    </w:p>
    <w:p w14:paraId="587D8595">
      <w:pPr>
        <w:pStyle w:val="11"/>
        <w:spacing w:line="360" w:lineRule="auto"/>
      </w:pPr>
      <w:r>
        <w:t xml:space="preserve">Unilever 2025. </w:t>
      </w:r>
      <w:r>
        <w:rPr>
          <w:i/>
          <w:iCs/>
        </w:rPr>
        <w:t>How AI is transforming Unilever Ice Cream’s end-to-end supply chain</w:t>
      </w:r>
      <w:r>
        <w:t xml:space="preserve">, 22 January </w:t>
      </w:r>
      <w:r>
        <w:fldChar w:fldCharType="begin"/>
      </w:r>
      <w:r>
        <w:instrText xml:space="preserve"> HYPERLINK "https://www.unilever.com/news/news-search/2025/how-ai-is-transforming-unilever-ice-creams-end-to-end-supply-chain/" </w:instrText>
      </w:r>
      <w:r>
        <w:fldChar w:fldCharType="separate"/>
      </w:r>
      <w:r>
        <w:rPr>
          <w:rStyle w:val="10"/>
        </w:rPr>
        <w:t>https://www.unilever.com/news/news-search/2025/how-ai-is-transforming-unilever-ice-creams-end-to-end-supply-chain/</w:t>
      </w:r>
      <w:r>
        <w:rPr>
          <w:rStyle w:val="10"/>
        </w:rPr>
        <w:fldChar w:fldCharType="end"/>
      </w:r>
      <w:r>
        <w:t xml:space="preserve"> </w:t>
      </w:r>
    </w:p>
    <w:p w14:paraId="627A772C">
      <w:pPr>
        <w:pStyle w:val="11"/>
        <w:spacing w:line="360" w:lineRule="auto"/>
      </w:pPr>
      <w:r>
        <w:t xml:space="preserve">Urbański, M. and Ul Haque, A., 2020. Are you environmentally conscious enough to differentiate between greenwashed and sustainable items? A global consumers perspective. </w:t>
      </w:r>
      <w:r>
        <w:rPr>
          <w:rStyle w:val="7"/>
        </w:rPr>
        <w:t>Sustainability</w:t>
      </w:r>
      <w:r>
        <w:t xml:space="preserve">, 12(5), p.1786. </w:t>
      </w:r>
      <w:r>
        <w:fldChar w:fldCharType="begin"/>
      </w:r>
      <w:r>
        <w:instrText xml:space="preserve"> HYPERLINK "https://doi.org/10.3390/su12051786" \t "_new" </w:instrText>
      </w:r>
      <w:r>
        <w:fldChar w:fldCharType="separate"/>
      </w:r>
      <w:r>
        <w:rPr>
          <w:rStyle w:val="10"/>
        </w:rPr>
        <w:t>https://doi.org/10.3390/su12051786</w:t>
      </w:r>
      <w:r>
        <w:rPr>
          <w:rStyle w:val="10"/>
        </w:rPr>
        <w:fldChar w:fldCharType="end"/>
      </w:r>
    </w:p>
    <w:p w14:paraId="0F3ACF38">
      <w:pPr>
        <w:pStyle w:val="11"/>
        <w:spacing w:line="360" w:lineRule="auto"/>
      </w:pPr>
      <w:r>
        <w:t xml:space="preserve">Vogler, R. and Stoll, C., 2024. Transforming local Arctic tourism businesses in times of multiple crises: a post-pandemic perspective. </w:t>
      </w:r>
      <w:r>
        <w:rPr>
          <w:rStyle w:val="7"/>
        </w:rPr>
        <w:t>Polar Geography</w:t>
      </w:r>
      <w:r>
        <w:t xml:space="preserve">, 47(1), pp.33–48. </w:t>
      </w:r>
      <w:r>
        <w:fldChar w:fldCharType="begin"/>
      </w:r>
      <w:r>
        <w:instrText xml:space="preserve"> HYPERLINK "https://doi.org/10.1080/1088937X.2024.2309678" \t "_new" </w:instrText>
      </w:r>
      <w:r>
        <w:fldChar w:fldCharType="separate"/>
      </w:r>
      <w:r>
        <w:rPr>
          <w:rStyle w:val="10"/>
        </w:rPr>
        <w:t>https://doi.org/10.1080/1088937X.2024.2309678</w:t>
      </w:r>
      <w:r>
        <w:rPr>
          <w:rStyle w:val="10"/>
        </w:rPr>
        <w:fldChar w:fldCharType="end"/>
      </w:r>
    </w:p>
    <w:p w14:paraId="5E2C50F6">
      <w:pPr>
        <w:pStyle w:val="11"/>
        <w:spacing w:line="360" w:lineRule="auto"/>
      </w:pPr>
      <w:r>
        <w:t xml:space="preserve">Wafi, A.A., Mohamed, S., Hanapi, Z., Ibrahim, J.A. and Samsudin, N., 2025. Creating a sustainable tourism business model for small-scale tourism products in Malaysia: Embracing tourism opportunity for post-pandemic resilience. </w:t>
      </w:r>
      <w:r>
        <w:rPr>
          <w:rStyle w:val="7"/>
        </w:rPr>
        <w:t>Pertanika Journal of Social Sciences &amp; Humanities</w:t>
      </w:r>
      <w:r>
        <w:t xml:space="preserve">, 33(1). </w:t>
      </w:r>
      <w:r>
        <w:fldChar w:fldCharType="begin"/>
      </w:r>
      <w:r>
        <w:instrText xml:space="preserve"> HYPERLINK "https://doi.org/10.47836/pjssh.33.1.02" \t "_new" </w:instrText>
      </w:r>
      <w:r>
        <w:fldChar w:fldCharType="separate"/>
      </w:r>
      <w:r>
        <w:rPr>
          <w:rStyle w:val="10"/>
        </w:rPr>
        <w:t>https://doi.org/10.47836/pjssh.33.1.02</w:t>
      </w:r>
      <w:r>
        <w:rPr>
          <w:rStyle w:val="10"/>
        </w:rPr>
        <w:fldChar w:fldCharType="end"/>
      </w:r>
    </w:p>
    <w:p w14:paraId="652AE15B">
      <w:pPr>
        <w:pStyle w:val="11"/>
        <w:spacing w:line="360" w:lineRule="auto"/>
      </w:pPr>
      <w:r>
        <w:t xml:space="preserve">Yudha, A.T.R.C. and Basya, M.M., 2024. Adaptive business model in the post-pandemic era of Covid-19: Evidence in Greensa Inn. </w:t>
      </w:r>
      <w:r>
        <w:rPr>
          <w:rStyle w:val="7"/>
        </w:rPr>
        <w:t>Indonesian Interdisciplinary Journal of Sharia Economics (IIJSE)</w:t>
      </w:r>
      <w:r>
        <w:t xml:space="preserve">, 7(1), pp.15–32. </w:t>
      </w:r>
      <w:r>
        <w:fldChar w:fldCharType="begin"/>
      </w:r>
      <w:r>
        <w:instrText xml:space="preserve"> HYPERLINK "https://doi.org/10.31538/iijse.v7i1.3766" \t "_new" </w:instrText>
      </w:r>
      <w:r>
        <w:fldChar w:fldCharType="separate"/>
      </w:r>
      <w:r>
        <w:rPr>
          <w:rStyle w:val="10"/>
        </w:rPr>
        <w:t>https://doi.org/10.31538/iijse.v7i1.3766</w:t>
      </w:r>
      <w:r>
        <w:rPr>
          <w:rStyle w:val="10"/>
        </w:rPr>
        <w:fldChar w:fldCharType="end"/>
      </w:r>
    </w:p>
    <w:p w14:paraId="6BF8C394">
      <w:pPr>
        <w:pStyle w:val="11"/>
        <w:spacing w:line="360" w:lineRule="auto"/>
      </w:pPr>
    </w:p>
    <w:p w14:paraId="7AE85353">
      <w:pPr>
        <w:pStyle w:val="11"/>
        <w:spacing w:line="360" w:lineRule="auto"/>
      </w:pPr>
    </w:p>
    <w:p w14:paraId="51F3DC9B">
      <w:pPr>
        <w:pStyle w:val="11"/>
        <w:spacing w:line="360" w:lineRule="auto"/>
      </w:pPr>
    </w:p>
    <w:p w14:paraId="136316A1">
      <w:pPr>
        <w:pStyle w:val="11"/>
        <w:spacing w:line="360" w:lineRule="auto"/>
      </w:pPr>
    </w:p>
    <w:sectPr>
      <w:footerReference r:id="rId5" w:type="default"/>
      <w:pgSz w:w="11907" w:h="16839"/>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29665984"/>
      <w:docPartObj>
        <w:docPartGallery w:val="AutoText"/>
      </w:docPartObj>
    </w:sdtPr>
    <w:sdtContent>
      <w:p w14:paraId="07DC9607">
        <w:pPr>
          <w:pStyle w:val="8"/>
          <w:jc w:val="center"/>
        </w:pPr>
        <w:r>
          <w:fldChar w:fldCharType="begin"/>
        </w:r>
        <w:r>
          <w:instrText xml:space="preserve"> PAGE   \* MERGEFORMAT </w:instrText>
        </w:r>
        <w:r>
          <w:fldChar w:fldCharType="separate"/>
        </w:r>
        <w:r>
          <w:t>3</w:t>
        </w:r>
        <w:r>
          <w:fldChar w:fldCharType="end"/>
        </w:r>
      </w:p>
    </w:sdtContent>
  </w:sdt>
  <w:p w14:paraId="34743D6C">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4CE"/>
    <w:rsid w:val="00016107"/>
    <w:rsid w:val="00024422"/>
    <w:rsid w:val="00031B24"/>
    <w:rsid w:val="0009196A"/>
    <w:rsid w:val="000A2E32"/>
    <w:rsid w:val="001674AB"/>
    <w:rsid w:val="0016776A"/>
    <w:rsid w:val="00192798"/>
    <w:rsid w:val="0019797B"/>
    <w:rsid w:val="001A0F22"/>
    <w:rsid w:val="001F0322"/>
    <w:rsid w:val="00206F0E"/>
    <w:rsid w:val="00253252"/>
    <w:rsid w:val="00271FB0"/>
    <w:rsid w:val="002A416B"/>
    <w:rsid w:val="002B5E8D"/>
    <w:rsid w:val="003C34CE"/>
    <w:rsid w:val="003C4BC2"/>
    <w:rsid w:val="003E4906"/>
    <w:rsid w:val="00420F4C"/>
    <w:rsid w:val="00441B8E"/>
    <w:rsid w:val="0044735D"/>
    <w:rsid w:val="004C220A"/>
    <w:rsid w:val="00571882"/>
    <w:rsid w:val="00587F6E"/>
    <w:rsid w:val="0060002F"/>
    <w:rsid w:val="00616F3A"/>
    <w:rsid w:val="006470FD"/>
    <w:rsid w:val="006D620C"/>
    <w:rsid w:val="00710EFA"/>
    <w:rsid w:val="007262BF"/>
    <w:rsid w:val="007907B9"/>
    <w:rsid w:val="007F359D"/>
    <w:rsid w:val="007F6AFF"/>
    <w:rsid w:val="00801A73"/>
    <w:rsid w:val="008241D7"/>
    <w:rsid w:val="00824BE7"/>
    <w:rsid w:val="00833C2A"/>
    <w:rsid w:val="00847302"/>
    <w:rsid w:val="008E7EBA"/>
    <w:rsid w:val="009B7E1B"/>
    <w:rsid w:val="009E7E61"/>
    <w:rsid w:val="00A0286F"/>
    <w:rsid w:val="00A22DCD"/>
    <w:rsid w:val="00A24E36"/>
    <w:rsid w:val="00A264B4"/>
    <w:rsid w:val="00A33C67"/>
    <w:rsid w:val="00AC4C4E"/>
    <w:rsid w:val="00AE19F8"/>
    <w:rsid w:val="00AF3C14"/>
    <w:rsid w:val="00AF54AD"/>
    <w:rsid w:val="00B77BFB"/>
    <w:rsid w:val="00B93DB5"/>
    <w:rsid w:val="00B94AB4"/>
    <w:rsid w:val="00BF0647"/>
    <w:rsid w:val="00C143AE"/>
    <w:rsid w:val="00C16AEE"/>
    <w:rsid w:val="00C6662B"/>
    <w:rsid w:val="00C70191"/>
    <w:rsid w:val="00C874EF"/>
    <w:rsid w:val="00CC230A"/>
    <w:rsid w:val="00CF5FB3"/>
    <w:rsid w:val="00D173D3"/>
    <w:rsid w:val="00D949C5"/>
    <w:rsid w:val="00E0360B"/>
    <w:rsid w:val="00E04FA5"/>
    <w:rsid w:val="00E15580"/>
    <w:rsid w:val="00EC6218"/>
    <w:rsid w:val="00F17068"/>
    <w:rsid w:val="00F453DC"/>
    <w:rsid w:val="00F71FE7"/>
    <w:rsid w:val="00F734F6"/>
    <w:rsid w:val="00FD5871"/>
    <w:rsid w:val="00FE5D08"/>
    <w:rsid w:val="00FE60D7"/>
    <w:rsid w:val="74FB56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link w:val="15"/>
    <w:qFormat/>
    <w:uiPriority w:val="9"/>
    <w:pPr>
      <w:spacing w:before="100" w:beforeAutospacing="1" w:after="100" w:afterAutospacing="1"/>
      <w:outlineLvl w:val="0"/>
    </w:pPr>
    <w:rPr>
      <w:rFonts w:eastAsia="Times New Roman" w:cs="Times New Roman"/>
      <w:b/>
      <w:bCs/>
      <w:kern w:val="36"/>
      <w:sz w:val="32"/>
      <w:szCs w:val="48"/>
      <w:lang w:eastAsia="en-GB"/>
    </w:rPr>
  </w:style>
  <w:style w:type="paragraph" w:styleId="3">
    <w:name w:val="heading 2"/>
    <w:basedOn w:val="1"/>
    <w:link w:val="16"/>
    <w:qFormat/>
    <w:uiPriority w:val="9"/>
    <w:pPr>
      <w:spacing w:before="100" w:beforeAutospacing="1" w:after="100" w:afterAutospacing="1"/>
      <w:outlineLvl w:val="1"/>
    </w:pPr>
    <w:rPr>
      <w:rFonts w:eastAsia="Times New Roman" w:cs="Times New Roman"/>
      <w:b/>
      <w:bCs/>
      <w:sz w:val="28"/>
      <w:szCs w:val="36"/>
      <w:lang w:eastAsia="en-GB"/>
    </w:rPr>
  </w:style>
  <w:style w:type="paragraph" w:styleId="4">
    <w:name w:val="heading 3"/>
    <w:basedOn w:val="1"/>
    <w:next w:val="1"/>
    <w:link w:val="18"/>
    <w:unhideWhenUsed/>
    <w:qFormat/>
    <w:uiPriority w:val="9"/>
    <w:pPr>
      <w:keepNext/>
      <w:keepLines/>
      <w:spacing w:before="40" w:after="0"/>
      <w:outlineLvl w:val="2"/>
    </w:pPr>
    <w:rPr>
      <w:rFonts w:asciiTheme="majorHAnsi" w:hAnsiTheme="majorHAnsi" w:eastAsiaTheme="majorEastAsia" w:cstheme="majorBidi"/>
      <w:color w:val="1F4E79" w:themeColor="accent1" w:themeShade="80"/>
      <w:szCs w:val="24"/>
    </w:rPr>
  </w:style>
  <w:style w:type="character" w:default="1" w:styleId="5">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Emphasis"/>
    <w:basedOn w:val="5"/>
    <w:qFormat/>
    <w:uiPriority w:val="20"/>
    <w:rPr>
      <w:i/>
      <w:iCs/>
    </w:rPr>
  </w:style>
  <w:style w:type="paragraph" w:styleId="8">
    <w:name w:val="footer"/>
    <w:basedOn w:val="1"/>
    <w:link w:val="22"/>
    <w:unhideWhenUsed/>
    <w:uiPriority w:val="99"/>
    <w:pPr>
      <w:tabs>
        <w:tab w:val="center" w:pos="4680"/>
        <w:tab w:val="right" w:pos="9360"/>
      </w:tabs>
      <w:spacing w:after="0" w:line="240" w:lineRule="auto"/>
    </w:pPr>
  </w:style>
  <w:style w:type="paragraph" w:styleId="9">
    <w:name w:val="header"/>
    <w:basedOn w:val="1"/>
    <w:link w:val="21"/>
    <w:unhideWhenUsed/>
    <w:qFormat/>
    <w:uiPriority w:val="99"/>
    <w:pPr>
      <w:tabs>
        <w:tab w:val="center" w:pos="4680"/>
        <w:tab w:val="right" w:pos="9360"/>
      </w:tabs>
      <w:spacing w:after="0" w:line="240" w:lineRule="auto"/>
    </w:pPr>
  </w:style>
  <w:style w:type="character" w:styleId="10">
    <w:name w:val="Hyperlink"/>
    <w:basedOn w:val="5"/>
    <w:unhideWhenUsed/>
    <w:qFormat/>
    <w:uiPriority w:val="99"/>
    <w:rPr>
      <w:color w:val="0000FF"/>
      <w:u w:val="single"/>
    </w:rPr>
  </w:style>
  <w:style w:type="paragraph" w:styleId="11">
    <w:name w:val="Normal (Web)"/>
    <w:basedOn w:val="1"/>
    <w:unhideWhenUsed/>
    <w:qFormat/>
    <w:uiPriority w:val="99"/>
    <w:pPr>
      <w:spacing w:before="100" w:beforeAutospacing="1" w:after="100" w:afterAutospacing="1" w:line="240" w:lineRule="auto"/>
    </w:pPr>
    <w:rPr>
      <w:rFonts w:eastAsia="Times New Roman" w:cs="Times New Roman"/>
      <w:szCs w:val="24"/>
      <w:lang w:eastAsia="en-GB"/>
    </w:rPr>
  </w:style>
  <w:style w:type="character" w:styleId="12">
    <w:name w:val="Strong"/>
    <w:basedOn w:val="5"/>
    <w:qFormat/>
    <w:uiPriority w:val="22"/>
    <w:rPr>
      <w:b/>
      <w:bCs/>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40"/>
    </w:pPr>
  </w:style>
  <w:style w:type="character" w:customStyle="1" w:styleId="15">
    <w:name w:val="Heading 1 Char"/>
    <w:basedOn w:val="5"/>
    <w:link w:val="2"/>
    <w:qFormat/>
    <w:uiPriority w:val="9"/>
    <w:rPr>
      <w:rFonts w:ascii="Times New Roman" w:hAnsi="Times New Roman" w:eastAsia="Times New Roman" w:cs="Times New Roman"/>
      <w:b/>
      <w:bCs/>
      <w:kern w:val="36"/>
      <w:sz w:val="32"/>
      <w:szCs w:val="48"/>
      <w:lang w:val="en-GB" w:eastAsia="en-GB"/>
    </w:rPr>
  </w:style>
  <w:style w:type="character" w:customStyle="1" w:styleId="16">
    <w:name w:val="Heading 2 Char"/>
    <w:basedOn w:val="5"/>
    <w:link w:val="3"/>
    <w:qFormat/>
    <w:uiPriority w:val="9"/>
    <w:rPr>
      <w:rFonts w:ascii="Times New Roman" w:hAnsi="Times New Roman" w:eastAsia="Times New Roman" w:cs="Times New Roman"/>
      <w:b/>
      <w:bCs/>
      <w:sz w:val="28"/>
      <w:szCs w:val="36"/>
      <w:lang w:val="en-GB" w:eastAsia="en-GB"/>
    </w:rPr>
  </w:style>
  <w:style w:type="character" w:customStyle="1" w:styleId="17">
    <w:name w:val="whitespace-normal"/>
    <w:basedOn w:val="5"/>
    <w:qFormat/>
    <w:uiPriority w:val="0"/>
  </w:style>
  <w:style w:type="character" w:customStyle="1" w:styleId="18">
    <w:name w:val="Heading 3 Char"/>
    <w:basedOn w:val="5"/>
    <w:link w:val="4"/>
    <w:qFormat/>
    <w:uiPriority w:val="9"/>
    <w:rPr>
      <w:rFonts w:asciiTheme="majorHAnsi" w:hAnsiTheme="majorHAnsi" w:eastAsiaTheme="majorEastAsia" w:cstheme="majorBidi"/>
      <w:color w:val="1F4E79" w:themeColor="accent1" w:themeShade="80"/>
      <w:sz w:val="24"/>
      <w:szCs w:val="24"/>
      <w:lang w:val="en-GB"/>
    </w:rPr>
  </w:style>
  <w:style w:type="paragraph" w:styleId="19">
    <w:name w:val="List Paragraph"/>
    <w:basedOn w:val="1"/>
    <w:qFormat/>
    <w:uiPriority w:val="34"/>
    <w:pPr>
      <w:ind w:left="720"/>
      <w:contextualSpacing/>
    </w:pPr>
  </w:style>
  <w:style w:type="character" w:customStyle="1" w:styleId="20">
    <w:name w:val="bz_pyq_fadein"/>
    <w:basedOn w:val="5"/>
    <w:qFormat/>
    <w:uiPriority w:val="0"/>
  </w:style>
  <w:style w:type="character" w:customStyle="1" w:styleId="21">
    <w:name w:val="Header Char"/>
    <w:basedOn w:val="5"/>
    <w:link w:val="9"/>
    <w:uiPriority w:val="99"/>
    <w:rPr>
      <w:lang w:val="en-GB"/>
    </w:rPr>
  </w:style>
  <w:style w:type="character" w:customStyle="1" w:styleId="22">
    <w:name w:val="Footer Char"/>
    <w:basedOn w:val="5"/>
    <w:link w:val="8"/>
    <w:uiPriority w:val="99"/>
    <w:rPr>
      <w:lang w:val="en-GB"/>
    </w:rPr>
  </w:style>
  <w:style w:type="paragraph" w:customStyle="1" w:styleId="23">
    <w:name w:val="TOC Heading"/>
    <w:basedOn w:val="2"/>
    <w:next w:val="1"/>
    <w:unhideWhenUsed/>
    <w:qFormat/>
    <w:uiPriority w:val="39"/>
    <w:pPr>
      <w:keepNext/>
      <w:keepLines/>
      <w:spacing w:before="240" w:beforeAutospacing="0" w:after="0" w:afterAutospacing="0" w:line="259" w:lineRule="auto"/>
      <w:jc w:val="left"/>
      <w:outlineLvl w:val="9"/>
    </w:pPr>
    <w:rPr>
      <w:rFonts w:asciiTheme="majorHAnsi" w:hAnsiTheme="majorHAnsi" w:eastAsiaTheme="majorEastAsia" w:cstheme="majorBidi"/>
      <w:b w:val="0"/>
      <w:bCs w:val="0"/>
      <w:color w:val="2E75B6" w:themeColor="accent1" w:themeShade="BF"/>
      <w:kern w:val="0"/>
      <w:szCs w:val="32"/>
      <w:lang w:val="en-US" w:eastAsia="en-US"/>
    </w:rPr>
  </w:style>
  <w:style w:type="character" w:customStyle="1" w:styleId="24">
    <w:name w:val="Unresolved Mention"/>
    <w:basedOn w:val="5"/>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23942-F40E-4FAB-9F5B-0539773D8555}">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27</Pages>
  <Words>5600</Words>
  <Characters>31446</Characters>
  <DocSecurity>0</DocSecurity>
  <Lines>387</Lines>
  <Paragraphs>109</Paragraphs>
  <ScaleCrop>false</ScaleCrop>
  <LinksUpToDate>false</LinksUpToDate>
  <CharactersWithSpaces>36960</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2026-03-17T06:12:00Z</dcterms:created>
  <dcterms:modified xsi:type="dcterms:W3CDTF">2026-07-11T18:25:55Z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c41e2182-ddcf-4d9b-94fa-42dd35a4ceba</vt:lpwstr>
  </property>
  <property fmtid="{D5CDD505-2E9C-101B-9397-08002B2CF9AE}" pid="3" name="KSOTemplateDocerSaveRecord">
    <vt:lpwstr>eyJoZGlkIjoiZDA4YWM1YjQyMWM4MTc0ZGIwZjIzOTA1Yzg1MjFlNGEiLCJ1c2VySWQiOiIzMTYxMTAzNTg1NjAwIn0=</vt:lpwstr>
  </property>
  <property fmtid="{D5CDD505-2E9C-101B-9397-08002B2CF9AE}" pid="4" name="KSOProductBuildVer">
    <vt:lpwstr>1033-12.1.0.26880</vt:lpwstr>
  </property>
  <property fmtid="{D5CDD505-2E9C-101B-9397-08002B2CF9AE}" pid="5" name="ICV">
    <vt:lpwstr>2A33BCCDA9A449A1B0EAFEEB46DC13D6_13</vt:lpwstr>
  </property>
</Properties>
</file>