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A365BB" w14:textId="77777777" w:rsidR="00B81866" w:rsidRPr="00676BEF" w:rsidRDefault="00B81866" w:rsidP="00B81866">
      <w:pPr>
        <w:jc w:val="center"/>
        <w:rPr>
          <w:rFonts w:eastAsia="Times New Roman"/>
          <w:b/>
          <w:bCs/>
          <w:sz w:val="32"/>
          <w:szCs w:val="32"/>
          <w:lang w:val="en-GB"/>
        </w:rPr>
      </w:pPr>
      <w:r w:rsidRPr="00676BEF">
        <w:rPr>
          <w:rFonts w:eastAsia="Times New Roman"/>
          <w:b/>
          <w:bCs/>
          <w:noProof/>
          <w:sz w:val="32"/>
          <w:szCs w:val="32"/>
          <w:lang w:val="en-GB"/>
        </w:rPr>
        <w:drawing>
          <wp:anchor distT="0" distB="0" distL="114300" distR="114300" simplePos="0" relativeHeight="251658240" behindDoc="0" locked="0" layoutInCell="1" allowOverlap="1" wp14:anchorId="1A2C041D" wp14:editId="126EBD2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381250" cy="954104"/>
            <wp:effectExtent l="0" t="0" r="0" b="0"/>
            <wp:wrapTopAndBottom/>
            <wp:docPr id="8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81250" cy="954104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829AAA" w14:textId="77777777" w:rsidR="00B81866" w:rsidRPr="00676BEF" w:rsidRDefault="00B81866" w:rsidP="00B81866">
      <w:pPr>
        <w:jc w:val="center"/>
        <w:rPr>
          <w:rFonts w:eastAsia="Times New Roman"/>
          <w:b/>
          <w:bCs/>
          <w:sz w:val="32"/>
          <w:szCs w:val="32"/>
          <w:lang w:val="en-GB"/>
        </w:rPr>
      </w:pPr>
    </w:p>
    <w:p w14:paraId="33743C88" w14:textId="77777777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32"/>
          <w:szCs w:val="32"/>
          <w:lang w:val="en-GB"/>
        </w:rPr>
      </w:pPr>
      <w:r w:rsidRPr="00676BEF">
        <w:rPr>
          <w:rFonts w:eastAsia="Times New Roman"/>
          <w:b/>
          <w:bCs/>
          <w:sz w:val="32"/>
          <w:szCs w:val="32"/>
          <w:lang w:val="en-GB"/>
        </w:rPr>
        <w:t>Module Code: BMHP5021</w:t>
      </w:r>
    </w:p>
    <w:p w14:paraId="5E601A3B" w14:textId="6782B882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32"/>
          <w:szCs w:val="32"/>
          <w:lang w:val="en-GB"/>
        </w:rPr>
      </w:pPr>
      <w:r w:rsidRPr="00676BEF">
        <w:rPr>
          <w:rFonts w:eastAsia="Times New Roman"/>
          <w:b/>
          <w:bCs/>
          <w:sz w:val="32"/>
          <w:szCs w:val="32"/>
          <w:lang w:val="en-GB"/>
        </w:rPr>
        <w:t>Module Name: Protecting and Supporting Families in Health and Care</w:t>
      </w:r>
    </w:p>
    <w:p w14:paraId="27DB370E" w14:textId="77777777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32"/>
          <w:szCs w:val="32"/>
          <w:lang w:val="en-GB"/>
        </w:rPr>
      </w:pPr>
      <w:r w:rsidRPr="00676BEF">
        <w:rPr>
          <w:rFonts w:eastAsia="Times New Roman"/>
          <w:b/>
          <w:bCs/>
          <w:sz w:val="32"/>
          <w:szCs w:val="32"/>
          <w:lang w:val="en-GB"/>
        </w:rPr>
        <w:t>Assignment Title: Component 1: Presentation (Round-The-Table Group Discussion)</w:t>
      </w:r>
    </w:p>
    <w:p w14:paraId="1FDBE3F6" w14:textId="77777777" w:rsidR="00B81866" w:rsidRPr="00676BEF" w:rsidRDefault="00B81866" w:rsidP="00B81866">
      <w:pPr>
        <w:jc w:val="center"/>
        <w:rPr>
          <w:rFonts w:eastAsia="Times New Roman"/>
          <w:b/>
          <w:bCs/>
          <w:sz w:val="28"/>
          <w:szCs w:val="28"/>
          <w:lang w:val="en-GB"/>
        </w:rPr>
      </w:pPr>
    </w:p>
    <w:p w14:paraId="51C51FF8" w14:textId="77777777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28"/>
          <w:szCs w:val="28"/>
          <w:lang w:val="en-GB"/>
        </w:rPr>
      </w:pPr>
      <w:r w:rsidRPr="00676BEF">
        <w:rPr>
          <w:rFonts w:eastAsia="Times New Roman"/>
          <w:b/>
          <w:bCs/>
          <w:sz w:val="28"/>
          <w:szCs w:val="28"/>
          <w:lang w:val="en-GB"/>
        </w:rPr>
        <w:t>Presented By:</w:t>
      </w:r>
    </w:p>
    <w:p w14:paraId="12685180" w14:textId="77777777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28"/>
          <w:szCs w:val="28"/>
          <w:lang w:val="en-GB"/>
        </w:rPr>
      </w:pPr>
      <w:r w:rsidRPr="00676BEF">
        <w:rPr>
          <w:rFonts w:eastAsia="Times New Roman"/>
          <w:b/>
          <w:bCs/>
          <w:color w:val="1F1F1F"/>
          <w:sz w:val="28"/>
          <w:szCs w:val="28"/>
          <w:highlight w:val="white"/>
          <w:lang w:val="en-GB"/>
        </w:rPr>
        <w:t>Molly Ndoya</w:t>
      </w:r>
      <w:r w:rsidRPr="00676BEF">
        <w:rPr>
          <w:rFonts w:eastAsia="Times New Roman"/>
          <w:b/>
          <w:bCs/>
          <w:sz w:val="28"/>
          <w:szCs w:val="28"/>
          <w:lang w:val="en-GB"/>
        </w:rPr>
        <w:t xml:space="preserve"> </w:t>
      </w:r>
    </w:p>
    <w:p w14:paraId="53201932" w14:textId="1D786F90" w:rsidR="00B81866" w:rsidRPr="00676BEF" w:rsidRDefault="00B81866" w:rsidP="00B81866">
      <w:pPr>
        <w:spacing w:before="240"/>
        <w:jc w:val="center"/>
        <w:rPr>
          <w:rFonts w:eastAsia="Times New Roman"/>
          <w:b/>
          <w:bCs/>
          <w:sz w:val="24"/>
          <w:szCs w:val="24"/>
          <w:lang w:val="en-GB"/>
        </w:rPr>
      </w:pPr>
      <w:r w:rsidRPr="00676BEF">
        <w:rPr>
          <w:rFonts w:eastAsia="Times New Roman"/>
          <w:b/>
          <w:bCs/>
          <w:sz w:val="28"/>
          <w:szCs w:val="28"/>
          <w:lang w:val="en-GB"/>
        </w:rPr>
        <w:t>Student ID:</w:t>
      </w:r>
      <w:r w:rsidR="00B638CF">
        <w:rPr>
          <w:rFonts w:eastAsia="Times New Roman"/>
          <w:b/>
          <w:bCs/>
          <w:sz w:val="28"/>
          <w:szCs w:val="28"/>
          <w:lang w:val="en-GB"/>
        </w:rPr>
        <w:t xml:space="preserve"> 2423296</w:t>
      </w:r>
      <w:r w:rsidRPr="00676BEF">
        <w:rPr>
          <w:rFonts w:eastAsia="Times New Roman"/>
          <w:b/>
          <w:bCs/>
          <w:sz w:val="24"/>
          <w:szCs w:val="24"/>
          <w:lang w:val="en-GB"/>
        </w:rPr>
        <w:br w:type="page"/>
      </w:r>
    </w:p>
    <w:p w14:paraId="7548B0F5" w14:textId="77777777" w:rsidR="00B81866" w:rsidRPr="00676BEF" w:rsidRDefault="00B81866" w:rsidP="00B81866">
      <w:pPr>
        <w:rPr>
          <w:b/>
          <w:bCs/>
          <w:sz w:val="28"/>
          <w:szCs w:val="24"/>
          <w:lang w:val="en-GB"/>
        </w:rPr>
      </w:pPr>
      <w:r w:rsidRPr="00676BEF">
        <w:rPr>
          <w:b/>
          <w:bCs/>
          <w:sz w:val="28"/>
          <w:szCs w:val="24"/>
          <w:lang w:val="en-GB"/>
        </w:rPr>
        <w:lastRenderedPageBreak/>
        <w:t>References</w:t>
      </w:r>
    </w:p>
    <w:p w14:paraId="519CC10F" w14:textId="77777777" w:rsidR="009B5F17" w:rsidRPr="00676BEF" w:rsidRDefault="009B5F17" w:rsidP="00B81866">
      <w:pPr>
        <w:spacing w:before="240"/>
        <w:jc w:val="both"/>
        <w:rPr>
          <w:rFonts w:asciiTheme="minorBidi" w:hAnsiTheme="minorBidi" w:cstheme="minorBidi"/>
          <w:lang w:val="en-GB"/>
        </w:rPr>
      </w:pPr>
      <w:r w:rsidRPr="00676BEF">
        <w:rPr>
          <w:rFonts w:asciiTheme="minorBidi" w:hAnsiTheme="minorBidi" w:cstheme="minorBidi"/>
          <w:lang w:val="en-GB"/>
        </w:rPr>
        <w:t xml:space="preserve">Aumann, K. (2024) </w:t>
      </w:r>
      <w:r w:rsidRPr="00676BEF">
        <w:rPr>
          <w:rFonts w:asciiTheme="minorBidi" w:hAnsiTheme="minorBidi" w:cstheme="minorBidi"/>
          <w:i/>
          <w:iCs/>
          <w:lang w:val="en-GB"/>
        </w:rPr>
        <w:t>Partnership Working | NCCPE</w:t>
      </w:r>
      <w:r w:rsidRPr="00676BEF">
        <w:rPr>
          <w:rFonts w:asciiTheme="minorBidi" w:hAnsiTheme="minorBidi" w:cstheme="minorBidi"/>
          <w:lang w:val="en-GB"/>
        </w:rPr>
        <w:t xml:space="preserve">. [online] www.publicengagement.ac.uk. Available at: </w:t>
      </w:r>
      <w:hyperlink r:id="rId7" w:history="1">
        <w:r w:rsidRPr="00676BEF">
          <w:rPr>
            <w:rStyle w:val="Hyperlink"/>
            <w:rFonts w:asciiTheme="minorBidi" w:hAnsiTheme="minorBidi" w:cstheme="minorBidi"/>
            <w:lang w:val="en-GB"/>
          </w:rPr>
          <w:t>https://www.publicengagement.ac.uk/partnership-working</w:t>
        </w:r>
      </w:hyperlink>
      <w:r w:rsidRPr="00676BEF">
        <w:rPr>
          <w:rFonts w:asciiTheme="minorBidi" w:hAnsiTheme="minorBidi" w:cstheme="minorBidi"/>
          <w:lang w:val="en-GB"/>
        </w:rPr>
        <w:t xml:space="preserve"> [Accessed 16 June 2026]</w:t>
      </w:r>
    </w:p>
    <w:p w14:paraId="05A74820" w14:textId="77777777" w:rsidR="009B5F17" w:rsidRPr="00676BEF" w:rsidRDefault="009B5F17" w:rsidP="00B81866">
      <w:pPr>
        <w:spacing w:before="240"/>
        <w:jc w:val="both"/>
        <w:rPr>
          <w:lang w:val="en-GB"/>
        </w:rPr>
      </w:pPr>
      <w:r w:rsidRPr="00676BEF">
        <w:rPr>
          <w:lang w:val="en-GB"/>
        </w:rPr>
        <w:t xml:space="preserve">BASW (2023) </w:t>
      </w:r>
      <w:r w:rsidRPr="00676BEF">
        <w:rPr>
          <w:i/>
          <w:iCs/>
          <w:lang w:val="en-GB"/>
        </w:rPr>
        <w:t>What social workers do</w:t>
      </w:r>
      <w:r w:rsidRPr="00676BEF">
        <w:rPr>
          <w:lang w:val="en-GB"/>
        </w:rPr>
        <w:t xml:space="preserve">. [online] Basw.co.uk. Available at: </w:t>
      </w:r>
      <w:hyperlink r:id="rId8" w:history="1">
        <w:r w:rsidRPr="00676BEF">
          <w:rPr>
            <w:rStyle w:val="Hyperlink"/>
            <w:lang w:val="en-GB"/>
          </w:rPr>
          <w:t>https://basw.co.uk/about-social-work/what-social-work/what-social-workers-do</w:t>
        </w:r>
      </w:hyperlink>
      <w:r w:rsidRPr="00676BEF">
        <w:rPr>
          <w:lang w:val="en-GB"/>
        </w:rPr>
        <w:t xml:space="preserve"> [Accessed 16 June 2026]</w:t>
      </w:r>
    </w:p>
    <w:p w14:paraId="7D86A7C6" w14:textId="77777777" w:rsidR="009B5F17" w:rsidRPr="00340F68" w:rsidRDefault="009B5F17" w:rsidP="00340F68">
      <w:pPr>
        <w:spacing w:before="240"/>
        <w:jc w:val="both"/>
        <w:rPr>
          <w:lang w:val="en-GB"/>
        </w:rPr>
      </w:pPr>
      <w:r w:rsidRPr="00340F68">
        <w:rPr>
          <w:lang w:val="en-GB"/>
        </w:rPr>
        <w:t xml:space="preserve">Cediel Becerra, N.M., Olaya Medellin, A.M., Tomassone, L., Chiesa, F. and De Meneghi, D. (2021) </w:t>
      </w:r>
      <w:r w:rsidRPr="00676BEF">
        <w:rPr>
          <w:lang w:val="en-GB"/>
        </w:rPr>
        <w:t>‘</w:t>
      </w:r>
      <w:r w:rsidRPr="00340F68">
        <w:rPr>
          <w:lang w:val="en-GB"/>
        </w:rPr>
        <w:t>A Survey on One Health Approach in Colombia and Some Latin American Countries: From a Fragmented Health Organization to an Integrated Health Response to Global Challenges.</w:t>
      </w:r>
      <w:r w:rsidRPr="00676BEF">
        <w:rPr>
          <w:lang w:val="en-GB"/>
        </w:rPr>
        <w:t>’</w:t>
      </w:r>
      <w:r w:rsidRPr="00340F68">
        <w:rPr>
          <w:lang w:val="en-GB"/>
        </w:rPr>
        <w:t xml:space="preserve"> </w:t>
      </w:r>
      <w:r w:rsidRPr="00340F68">
        <w:rPr>
          <w:i/>
          <w:iCs/>
          <w:lang w:val="en-GB"/>
        </w:rPr>
        <w:t>Frontiers in Public Health</w:t>
      </w:r>
      <w:r w:rsidRPr="00340F68">
        <w:rPr>
          <w:lang w:val="en-GB"/>
        </w:rPr>
        <w:t xml:space="preserve">, 9. </w:t>
      </w:r>
      <w:r w:rsidRPr="00676BEF">
        <w:rPr>
          <w:lang w:val="en-GB"/>
        </w:rPr>
        <w:t xml:space="preserve">Available at: </w:t>
      </w:r>
      <w:hyperlink r:id="rId9" w:history="1">
        <w:r w:rsidRPr="00340F68">
          <w:rPr>
            <w:rStyle w:val="Hyperlink"/>
            <w:lang w:val="en-GB"/>
          </w:rPr>
          <w:t>https://doi.org/10.3389/fpubh.2021.649240</w:t>
        </w:r>
      </w:hyperlink>
      <w:r w:rsidRPr="00676BEF">
        <w:rPr>
          <w:lang w:val="en-GB"/>
        </w:rPr>
        <w:t xml:space="preserve"> </w:t>
      </w:r>
    </w:p>
    <w:p w14:paraId="31DF40F4" w14:textId="77777777" w:rsidR="009B5F17" w:rsidRPr="00676BEF" w:rsidRDefault="009B5F17" w:rsidP="00B81866">
      <w:pPr>
        <w:spacing w:before="240"/>
        <w:jc w:val="both"/>
        <w:rPr>
          <w:lang w:val="en-GB"/>
        </w:rPr>
      </w:pPr>
      <w:r w:rsidRPr="00676BEF">
        <w:rPr>
          <w:lang w:val="en-GB"/>
        </w:rPr>
        <w:t xml:space="preserve">Dixon, S., Kendall, B., Driscoll, J. and Pope, C. (2022) ‘Supporting the ‘Multi’ in Multi-agency working: Learning with and from Each Other Could Enable multi-agency Safeguarding.’ </w:t>
      </w:r>
      <w:r w:rsidRPr="00676BEF">
        <w:rPr>
          <w:i/>
          <w:iCs/>
          <w:lang w:val="en-GB"/>
        </w:rPr>
        <w:t>British Journal of General Practice</w:t>
      </w:r>
      <w:r w:rsidRPr="00676BEF">
        <w:rPr>
          <w:lang w:val="en-GB"/>
        </w:rPr>
        <w:t xml:space="preserve">, [online] 72(722), pp.438–439. Available at: </w:t>
      </w:r>
      <w:hyperlink r:id="rId10" w:history="1">
        <w:r w:rsidRPr="00676BEF">
          <w:rPr>
            <w:rStyle w:val="Hyperlink"/>
            <w:lang w:val="en-GB"/>
          </w:rPr>
          <w:t>https://doi.org/10.3399/bjgp22x720617</w:t>
        </w:r>
      </w:hyperlink>
      <w:r w:rsidRPr="00676BEF">
        <w:rPr>
          <w:lang w:val="en-GB"/>
        </w:rPr>
        <w:t xml:space="preserve"> </w:t>
      </w:r>
    </w:p>
    <w:p w14:paraId="5CCBAB61" w14:textId="77777777" w:rsidR="009B5F17" w:rsidRPr="0002664E" w:rsidRDefault="009B5F17" w:rsidP="0002664E">
      <w:pPr>
        <w:spacing w:before="240"/>
        <w:jc w:val="both"/>
        <w:rPr>
          <w:lang w:val="en-GB"/>
        </w:rPr>
      </w:pPr>
      <w:r w:rsidRPr="0002664E">
        <w:rPr>
          <w:lang w:val="en-GB"/>
        </w:rPr>
        <w:t xml:space="preserve">Feinstein, L., Hyde-Dryden, G., Baginsky, M. and Hood, R. (2023) </w:t>
      </w:r>
      <w:r w:rsidRPr="0002664E">
        <w:rPr>
          <w:i/>
          <w:iCs/>
          <w:lang w:val="en-GB"/>
        </w:rPr>
        <w:t>Overcoming Behavioural &amp; Cultural Barriers to Multi-agency Information Sharing in Children’s Social Care A rapid review to inform the Newham-led project for the DfE Data and Digital Fund</w:t>
      </w:r>
      <w:r w:rsidRPr="0002664E">
        <w:rPr>
          <w:lang w:val="en-GB"/>
        </w:rPr>
        <w:t xml:space="preserve">. [online] Available at: </w:t>
      </w:r>
      <w:hyperlink r:id="rId11" w:history="1">
        <w:r w:rsidRPr="0002664E">
          <w:rPr>
            <w:rStyle w:val="Hyperlink"/>
            <w:lang w:val="en-GB"/>
          </w:rPr>
          <w:t>https://www.education.ox.ac.uk/wp-content/uploads/2023/01/Rees-Centre-report-190723.pdf</w:t>
        </w:r>
      </w:hyperlink>
      <w:r w:rsidRPr="00676BEF">
        <w:rPr>
          <w:lang w:val="en-GB"/>
        </w:rPr>
        <w:t xml:space="preserve"> [Accessed 20 June 2026]</w:t>
      </w:r>
    </w:p>
    <w:p w14:paraId="0C7A80CF" w14:textId="77777777" w:rsidR="009B5F17" w:rsidRPr="00153EE8" w:rsidRDefault="009B5F17" w:rsidP="00153EE8">
      <w:pPr>
        <w:spacing w:before="240"/>
        <w:jc w:val="both"/>
        <w:rPr>
          <w:lang w:val="en-GB"/>
        </w:rPr>
      </w:pPr>
      <w:r w:rsidRPr="00153EE8">
        <w:rPr>
          <w:lang w:val="en-GB"/>
        </w:rPr>
        <w:t xml:space="preserve">Firmin, C., Lefevre, M., </w:t>
      </w:r>
      <w:proofErr w:type="spellStart"/>
      <w:r w:rsidRPr="00153EE8">
        <w:rPr>
          <w:lang w:val="en-GB"/>
        </w:rPr>
        <w:t>Huegler</w:t>
      </w:r>
      <w:proofErr w:type="spellEnd"/>
      <w:r w:rsidRPr="00153EE8">
        <w:rPr>
          <w:lang w:val="en-GB"/>
        </w:rPr>
        <w:t xml:space="preserve">, N. and Peace, D. (2022) </w:t>
      </w:r>
      <w:r w:rsidRPr="00676BEF">
        <w:rPr>
          <w:lang w:val="en-GB"/>
        </w:rPr>
        <w:t>‘</w:t>
      </w:r>
      <w:r w:rsidRPr="00153EE8">
        <w:rPr>
          <w:i/>
          <w:iCs/>
          <w:lang w:val="en-GB"/>
        </w:rPr>
        <w:t>Improving interagency collaboration</w:t>
      </w:r>
      <w:r w:rsidRPr="00153EE8">
        <w:rPr>
          <w:lang w:val="en-GB"/>
        </w:rPr>
        <w:t>.</w:t>
      </w:r>
      <w:r w:rsidRPr="00676BEF">
        <w:rPr>
          <w:lang w:val="en-GB"/>
        </w:rPr>
        <w:t>’</w:t>
      </w:r>
      <w:r w:rsidRPr="00153EE8">
        <w:rPr>
          <w:lang w:val="en-GB"/>
        </w:rPr>
        <w:t xml:space="preserve"> [online] </w:t>
      </w:r>
      <w:r w:rsidRPr="00153EE8">
        <w:rPr>
          <w:i/>
          <w:iCs/>
          <w:lang w:val="en-GB"/>
        </w:rPr>
        <w:t>bristoluniversitypressdigital.com</w:t>
      </w:r>
      <w:r w:rsidRPr="00153EE8">
        <w:rPr>
          <w:lang w:val="en-GB"/>
        </w:rPr>
        <w:t xml:space="preserve">. Policy Press. Available at: </w:t>
      </w:r>
      <w:hyperlink r:id="rId12" w:history="1">
        <w:r w:rsidRPr="00153EE8">
          <w:rPr>
            <w:rStyle w:val="Hyperlink"/>
            <w:lang w:val="en-GB"/>
          </w:rPr>
          <w:t>https://bristoluniversitypressdigital.com/display/book/9781447367277/ch004.xml</w:t>
        </w:r>
      </w:hyperlink>
      <w:r w:rsidRPr="00676BEF">
        <w:rPr>
          <w:lang w:val="en-GB"/>
        </w:rPr>
        <w:t xml:space="preserve"> [Accessed 20 June 2026]</w:t>
      </w:r>
    </w:p>
    <w:p w14:paraId="52AC2D23" w14:textId="77777777" w:rsidR="009B5F17" w:rsidRPr="00676BEF" w:rsidRDefault="009B5F17" w:rsidP="00B81866">
      <w:pPr>
        <w:spacing w:before="240"/>
        <w:jc w:val="both"/>
        <w:rPr>
          <w:lang w:val="en-GB"/>
        </w:rPr>
      </w:pPr>
      <w:r w:rsidRPr="00676BEF">
        <w:rPr>
          <w:lang w:val="en-GB"/>
        </w:rPr>
        <w:t xml:space="preserve">GOV.UK (2025) </w:t>
      </w:r>
      <w:r w:rsidRPr="00676BEF">
        <w:rPr>
          <w:i/>
          <w:iCs/>
          <w:lang w:val="en-GB"/>
        </w:rPr>
        <w:t>Care and Support Statutory Guidance</w:t>
      </w:r>
      <w:r w:rsidRPr="00676BEF">
        <w:rPr>
          <w:lang w:val="en-GB"/>
        </w:rPr>
        <w:t xml:space="preserve">. [online] GOV.UK. Available at: </w:t>
      </w:r>
      <w:hyperlink r:id="rId13" w:history="1">
        <w:r w:rsidRPr="00676BEF">
          <w:rPr>
            <w:rStyle w:val="Hyperlink"/>
            <w:lang w:val="en-GB"/>
          </w:rPr>
          <w:t>https://www.gov.uk/government/publications/care-act-statutory-guidance/care-and-support-statutory-guidance</w:t>
        </w:r>
      </w:hyperlink>
      <w:r w:rsidRPr="00676BEF">
        <w:rPr>
          <w:lang w:val="en-GB"/>
        </w:rPr>
        <w:t xml:space="preserve"> [Accessed 16 June 2026]</w:t>
      </w:r>
    </w:p>
    <w:p w14:paraId="324C6A70" w14:textId="77777777" w:rsidR="009B5F17" w:rsidRPr="00676BEF" w:rsidRDefault="009B5F17" w:rsidP="009A3FDB">
      <w:pPr>
        <w:spacing w:before="240"/>
        <w:jc w:val="both"/>
        <w:rPr>
          <w:rFonts w:asciiTheme="minorBidi" w:hAnsiTheme="minorBidi" w:cstheme="minorBidi"/>
          <w:lang w:val="en-GB"/>
        </w:rPr>
      </w:pPr>
      <w:proofErr w:type="spellStart"/>
      <w:r w:rsidRPr="00676BEF">
        <w:rPr>
          <w:rFonts w:asciiTheme="minorBidi" w:hAnsiTheme="minorBidi" w:cstheme="minorBidi"/>
          <w:lang w:val="en-GB"/>
        </w:rPr>
        <w:t>Jahans</w:t>
      </w:r>
      <w:proofErr w:type="spellEnd"/>
      <w:r w:rsidRPr="00676BEF">
        <w:rPr>
          <w:rFonts w:ascii="Cambria Math" w:hAnsi="Cambria Math" w:cs="Cambria Math"/>
          <w:lang w:val="en-GB"/>
        </w:rPr>
        <w:t>‐</w:t>
      </w:r>
      <w:r w:rsidRPr="00676BEF">
        <w:rPr>
          <w:rFonts w:asciiTheme="minorBidi" w:hAnsiTheme="minorBidi" w:cstheme="minorBidi"/>
          <w:lang w:val="en-GB"/>
        </w:rPr>
        <w:t xml:space="preserve">Baynton, K. and Grealish, A. (2021) ‘Safeguarding Communications between Multiagency Professionals When Working with Children and Young people: a Qualitative </w:t>
      </w:r>
      <w:r w:rsidRPr="00676BEF">
        <w:rPr>
          <w:rFonts w:asciiTheme="minorBidi" w:hAnsiTheme="minorBidi" w:cstheme="minorBidi"/>
          <w:lang w:val="en-GB"/>
        </w:rPr>
        <w:lastRenderedPageBreak/>
        <w:t xml:space="preserve">Study.’ </w:t>
      </w:r>
      <w:r w:rsidRPr="00676BEF">
        <w:rPr>
          <w:rFonts w:asciiTheme="minorBidi" w:hAnsiTheme="minorBidi" w:cstheme="minorBidi"/>
          <w:i/>
          <w:iCs/>
          <w:lang w:val="en-GB"/>
        </w:rPr>
        <w:t>Journal of Child and Adolescent Psychiatric Nursing</w:t>
      </w:r>
      <w:r w:rsidRPr="00676BEF">
        <w:rPr>
          <w:rFonts w:asciiTheme="minorBidi" w:hAnsiTheme="minorBidi" w:cstheme="minorBidi"/>
          <w:lang w:val="en-GB"/>
        </w:rPr>
        <w:t xml:space="preserve">, [online] 35(2). Available at:  </w:t>
      </w:r>
      <w:hyperlink r:id="rId14" w:history="1">
        <w:r w:rsidRPr="00676BEF">
          <w:rPr>
            <w:rStyle w:val="Hyperlink"/>
            <w:rFonts w:asciiTheme="minorBidi" w:hAnsiTheme="minorBidi" w:cstheme="minorBidi"/>
            <w:lang w:val="en-GB"/>
          </w:rPr>
          <w:t>https://doi.org/10.1111/jcap.12363</w:t>
        </w:r>
      </w:hyperlink>
      <w:r w:rsidRPr="00676BEF">
        <w:rPr>
          <w:rFonts w:asciiTheme="minorBidi" w:hAnsiTheme="minorBidi" w:cstheme="minorBidi"/>
          <w:lang w:val="en-GB"/>
        </w:rPr>
        <w:t xml:space="preserve"> </w:t>
      </w:r>
    </w:p>
    <w:p w14:paraId="389C128B" w14:textId="77777777" w:rsidR="009B5F17" w:rsidRPr="00676BEF" w:rsidRDefault="009B5F17" w:rsidP="00B81866">
      <w:pPr>
        <w:spacing w:before="240"/>
        <w:jc w:val="both"/>
        <w:rPr>
          <w:lang w:val="en-GB"/>
        </w:rPr>
      </w:pPr>
      <w:r w:rsidRPr="00676BEF">
        <w:rPr>
          <w:lang w:val="en-GB"/>
        </w:rPr>
        <w:t xml:space="preserve">NHS England (2023) </w:t>
      </w:r>
      <w:r w:rsidRPr="00676BEF">
        <w:rPr>
          <w:i/>
          <w:iCs/>
          <w:lang w:val="en-GB"/>
        </w:rPr>
        <w:t>NHS England Safeguarding</w:t>
      </w:r>
      <w:r w:rsidRPr="00676BEF">
        <w:rPr>
          <w:lang w:val="en-GB"/>
        </w:rPr>
        <w:t xml:space="preserve">. [online] NHS England. Available at: </w:t>
      </w:r>
      <w:hyperlink r:id="rId15" w:history="1">
        <w:r w:rsidRPr="00676BEF">
          <w:rPr>
            <w:rStyle w:val="Hyperlink"/>
            <w:lang w:val="en-GB"/>
          </w:rPr>
          <w:t>https://www.england.nhs.uk/long-read/safeguarding/</w:t>
        </w:r>
      </w:hyperlink>
      <w:r w:rsidRPr="00676BEF">
        <w:rPr>
          <w:lang w:val="en-GB"/>
        </w:rPr>
        <w:t xml:space="preserve"> [Accessed 16 June 2026]</w:t>
      </w:r>
    </w:p>
    <w:p w14:paraId="56803FC1" w14:textId="77777777" w:rsidR="009B5F17" w:rsidRPr="00676BEF" w:rsidRDefault="009B5F17" w:rsidP="009B5F17">
      <w:pPr>
        <w:spacing w:before="240"/>
        <w:jc w:val="both"/>
        <w:rPr>
          <w:rFonts w:asciiTheme="minorBidi" w:hAnsiTheme="minorBidi" w:cstheme="minorBidi"/>
          <w:lang w:val="en-GB"/>
        </w:rPr>
      </w:pPr>
      <w:r w:rsidRPr="00676BEF">
        <w:rPr>
          <w:rFonts w:asciiTheme="minorBidi" w:hAnsiTheme="minorBidi" w:cstheme="minorBidi"/>
          <w:lang w:val="en-GB"/>
        </w:rPr>
        <w:t xml:space="preserve">NSPCC, (2024) Local child safeguarding practice review: “Child HN” Available at: </w:t>
      </w:r>
      <w:hyperlink r:id="rId16" w:history="1">
        <w:r w:rsidRPr="00676BEF">
          <w:rPr>
            <w:rStyle w:val="Hyperlink"/>
            <w:rFonts w:asciiTheme="minorBidi" w:hAnsiTheme="minorBidi" w:cstheme="minorBidi"/>
            <w:lang w:val="en-GB"/>
          </w:rPr>
          <w:t>https://library.nspcc.org.uk/HeritageScripts/Hapi.dll/filetransfer/2024HerefordshireChildHNCSPR.pdf</w:t>
        </w:r>
      </w:hyperlink>
      <w:r w:rsidRPr="00676BEF">
        <w:rPr>
          <w:rFonts w:asciiTheme="minorBidi" w:hAnsiTheme="minorBidi" w:cstheme="minorBidi"/>
          <w:lang w:val="en-GB"/>
        </w:rPr>
        <w:t xml:space="preserve"> [Accessed 16 June 2026]</w:t>
      </w:r>
    </w:p>
    <w:p w14:paraId="111AA01D" w14:textId="77777777" w:rsidR="009B5F17" w:rsidRPr="00676BEF" w:rsidRDefault="009B5F17" w:rsidP="00B81866">
      <w:pPr>
        <w:spacing w:before="240"/>
        <w:jc w:val="both"/>
        <w:rPr>
          <w:lang w:val="en-GB"/>
        </w:rPr>
      </w:pPr>
      <w:r w:rsidRPr="00676BEF">
        <w:rPr>
          <w:lang w:val="en-GB"/>
        </w:rPr>
        <w:t xml:space="preserve">Sheehan, J., laver, K., </w:t>
      </w:r>
      <w:proofErr w:type="spellStart"/>
      <w:r w:rsidRPr="00676BEF">
        <w:rPr>
          <w:lang w:val="en-GB"/>
        </w:rPr>
        <w:t>Bhopti</w:t>
      </w:r>
      <w:proofErr w:type="spellEnd"/>
      <w:r w:rsidRPr="00676BEF">
        <w:rPr>
          <w:lang w:val="en-GB"/>
        </w:rPr>
        <w:t xml:space="preserve">, A., Rahja, M., Usherwood, T., Clemson, L. and Lannin, N. (2021) ‘Methods and effectiveness of communication between hospital allied health and primary care practitioners: A systematic narrative review.’ </w:t>
      </w:r>
      <w:r w:rsidRPr="00676BEF">
        <w:rPr>
          <w:i/>
          <w:iCs/>
          <w:lang w:val="en-GB"/>
        </w:rPr>
        <w:t>Journal of Multidisciplinary Healthcare</w:t>
      </w:r>
      <w:r w:rsidRPr="00676BEF">
        <w:rPr>
          <w:lang w:val="en-GB"/>
        </w:rPr>
        <w:t xml:space="preserve">, [online] 14(14), pp.493–511. Available at: </w:t>
      </w:r>
      <w:hyperlink r:id="rId17" w:history="1">
        <w:r w:rsidRPr="00676BEF">
          <w:rPr>
            <w:rStyle w:val="Hyperlink"/>
            <w:lang w:val="en-GB"/>
          </w:rPr>
          <w:t>https://doi.org/10.2147/JMDH.S295549</w:t>
        </w:r>
      </w:hyperlink>
      <w:r w:rsidRPr="00676BEF">
        <w:rPr>
          <w:lang w:val="en-GB"/>
        </w:rPr>
        <w:t xml:space="preserve"> </w:t>
      </w:r>
    </w:p>
    <w:p w14:paraId="314980B0" w14:textId="77777777" w:rsidR="00D0225C" w:rsidRPr="00676BEF" w:rsidRDefault="00D0225C" w:rsidP="00B81866">
      <w:pPr>
        <w:spacing w:before="240"/>
        <w:jc w:val="both"/>
        <w:rPr>
          <w:lang w:val="en-GB"/>
        </w:rPr>
      </w:pPr>
    </w:p>
    <w:p w14:paraId="14B3CD70" w14:textId="77777777" w:rsidR="00340F68" w:rsidRPr="00676BEF" w:rsidRDefault="00340F68" w:rsidP="00B81866">
      <w:pPr>
        <w:spacing w:before="240"/>
        <w:jc w:val="both"/>
        <w:rPr>
          <w:lang w:val="en-GB"/>
        </w:rPr>
      </w:pPr>
    </w:p>
    <w:p w14:paraId="2A6930D4" w14:textId="77777777" w:rsidR="004A4A5B" w:rsidRPr="00676BEF" w:rsidRDefault="004A4A5B">
      <w:pPr>
        <w:rPr>
          <w:lang w:val="en-GB"/>
        </w:rPr>
      </w:pPr>
    </w:p>
    <w:sectPr w:rsidR="004A4A5B" w:rsidRPr="00676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D2D245" w14:textId="77777777" w:rsidR="009A2492" w:rsidRDefault="009A2492" w:rsidP="0020338F">
      <w:pPr>
        <w:spacing w:line="240" w:lineRule="auto"/>
      </w:pPr>
      <w:r>
        <w:separator/>
      </w:r>
    </w:p>
  </w:endnote>
  <w:endnote w:type="continuationSeparator" w:id="0">
    <w:p w14:paraId="3ED3D65D" w14:textId="77777777" w:rsidR="009A2492" w:rsidRDefault="009A2492" w:rsidP="0020338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B0F559" w14:textId="77777777" w:rsidR="009A2492" w:rsidRDefault="009A2492" w:rsidP="0020338F">
      <w:pPr>
        <w:spacing w:line="240" w:lineRule="auto"/>
      </w:pPr>
      <w:r>
        <w:separator/>
      </w:r>
    </w:p>
  </w:footnote>
  <w:footnote w:type="continuationSeparator" w:id="0">
    <w:p w14:paraId="1393B624" w14:textId="77777777" w:rsidR="009A2492" w:rsidRDefault="009A2492" w:rsidP="0020338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D86"/>
    <w:rsid w:val="0002664E"/>
    <w:rsid w:val="00087A61"/>
    <w:rsid w:val="001363FF"/>
    <w:rsid w:val="00153EE8"/>
    <w:rsid w:val="00180C46"/>
    <w:rsid w:val="00197467"/>
    <w:rsid w:val="001B617B"/>
    <w:rsid w:val="0020338F"/>
    <w:rsid w:val="002224C4"/>
    <w:rsid w:val="002B44FE"/>
    <w:rsid w:val="00340F68"/>
    <w:rsid w:val="003D5D94"/>
    <w:rsid w:val="004A4A5B"/>
    <w:rsid w:val="004A5625"/>
    <w:rsid w:val="004F3A17"/>
    <w:rsid w:val="00522C68"/>
    <w:rsid w:val="005401D5"/>
    <w:rsid w:val="005C565E"/>
    <w:rsid w:val="00676BEF"/>
    <w:rsid w:val="00825D86"/>
    <w:rsid w:val="00842737"/>
    <w:rsid w:val="009A2492"/>
    <w:rsid w:val="009A3FDB"/>
    <w:rsid w:val="009B5F17"/>
    <w:rsid w:val="00A61B18"/>
    <w:rsid w:val="00B164EF"/>
    <w:rsid w:val="00B638CF"/>
    <w:rsid w:val="00B81866"/>
    <w:rsid w:val="00C50B36"/>
    <w:rsid w:val="00CB79BE"/>
    <w:rsid w:val="00D0225C"/>
    <w:rsid w:val="00D85873"/>
    <w:rsid w:val="00E46055"/>
    <w:rsid w:val="00E70783"/>
    <w:rsid w:val="00EC1423"/>
    <w:rsid w:val="00F30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AD7A3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before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565E"/>
    <w:pPr>
      <w:spacing w:before="0"/>
      <w:jc w:val="left"/>
    </w:pPr>
    <w:rPr>
      <w:rFonts w:ascii="Arial" w:eastAsia="Arial" w:hAnsi="Arial" w:cs="Arial"/>
      <w:kern w:val="0"/>
      <w:lang w:val="en" w:eastAsia="en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25D86"/>
    <w:pPr>
      <w:keepNext/>
      <w:keepLines/>
      <w:spacing w:before="360" w:after="80"/>
      <w:jc w:val="both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val="en-IN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5D86"/>
    <w:pPr>
      <w:keepNext/>
      <w:keepLines/>
      <w:spacing w:before="160" w:after="80"/>
      <w:jc w:val="both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val="en-IN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5D86"/>
    <w:pPr>
      <w:keepNext/>
      <w:keepLines/>
      <w:spacing w:before="160" w:after="80"/>
      <w:jc w:val="both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val="en-IN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5D86"/>
    <w:pPr>
      <w:keepNext/>
      <w:keepLines/>
      <w:spacing w:before="80" w:after="40"/>
      <w:jc w:val="both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sz w:val="24"/>
      <w:lang w:val="en-IN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5D86"/>
    <w:pPr>
      <w:keepNext/>
      <w:keepLines/>
      <w:spacing w:before="80" w:after="40"/>
      <w:jc w:val="both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sz w:val="24"/>
      <w:lang w:val="en-IN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5D86"/>
    <w:pPr>
      <w:keepNext/>
      <w:keepLines/>
      <w:spacing w:before="40"/>
      <w:jc w:val="both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lang w:val="en-IN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5D86"/>
    <w:pPr>
      <w:keepNext/>
      <w:keepLines/>
      <w:spacing w:before="40"/>
      <w:jc w:val="both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lang w:val="en-IN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5D86"/>
    <w:pPr>
      <w:keepNext/>
      <w:keepLines/>
      <w:jc w:val="both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lang w:val="en-IN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5D86"/>
    <w:pPr>
      <w:keepNext/>
      <w:keepLines/>
      <w:jc w:val="both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lang w:val="en-IN"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D8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5D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5D8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5D86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5D86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5D86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5D86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5D86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5D86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825D86"/>
    <w:pPr>
      <w:spacing w:after="80" w:line="240" w:lineRule="auto"/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IN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25D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5D86"/>
    <w:pPr>
      <w:numPr>
        <w:ilvl w:val="1"/>
      </w:numPr>
      <w:spacing w:before="240" w:after="160"/>
      <w:jc w:val="both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IN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25D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5D86"/>
    <w:pPr>
      <w:spacing w:before="160" w:after="160"/>
      <w:jc w:val="center"/>
    </w:pPr>
    <w:rPr>
      <w:rFonts w:ascii="Times New Roman" w:eastAsiaTheme="minorHAnsi" w:hAnsi="Times New Roman" w:cstheme="minorBidi"/>
      <w:i/>
      <w:iCs/>
      <w:color w:val="404040" w:themeColor="text1" w:themeTint="BF"/>
      <w:kern w:val="2"/>
      <w:sz w:val="24"/>
      <w:lang w:val="en-IN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25D86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825D86"/>
    <w:pPr>
      <w:spacing w:before="240"/>
      <w:ind w:left="720"/>
      <w:contextualSpacing/>
      <w:jc w:val="both"/>
    </w:pPr>
    <w:rPr>
      <w:rFonts w:ascii="Times New Roman" w:eastAsiaTheme="minorHAnsi" w:hAnsi="Times New Roman" w:cstheme="minorBidi"/>
      <w:kern w:val="2"/>
      <w:sz w:val="24"/>
      <w:lang w:val="en-IN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25D8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5D8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rFonts w:ascii="Times New Roman" w:eastAsiaTheme="minorHAnsi" w:hAnsi="Times New Roman" w:cstheme="minorBidi"/>
      <w:i/>
      <w:iCs/>
      <w:color w:val="2F5496" w:themeColor="accent1" w:themeShade="BF"/>
      <w:kern w:val="2"/>
      <w:sz w:val="24"/>
      <w:lang w:val="en-IN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5D86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825D8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18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F6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0338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338F"/>
    <w:rPr>
      <w:rFonts w:ascii="Arial" w:eastAsia="Arial" w:hAnsi="Arial" w:cs="Arial"/>
      <w:kern w:val="0"/>
      <w:lang w:val="en" w:eastAsia="en-I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0338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338F"/>
    <w:rPr>
      <w:rFonts w:ascii="Arial" w:eastAsia="Arial" w:hAnsi="Arial" w:cs="Arial"/>
      <w:kern w:val="0"/>
      <w:lang w:val="en" w:eastAsia="en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778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99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904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980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64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21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17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639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754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4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22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36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asw.co.uk/about-social-work/what-social-work/what-social-workers-do" TargetMode="External"/><Relationship Id="rId13" Type="http://schemas.openxmlformats.org/officeDocument/2006/relationships/hyperlink" Target="https://www.gov.uk/government/publications/care-act-statutory-guidance/care-and-support-statutory-guidanc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ublicengagement.ac.uk/partnership-working" TargetMode="External"/><Relationship Id="rId12" Type="http://schemas.openxmlformats.org/officeDocument/2006/relationships/hyperlink" Target="https://bristoluniversitypressdigital.com/display/book/9781447367277/ch004.xml" TargetMode="External"/><Relationship Id="rId17" Type="http://schemas.openxmlformats.org/officeDocument/2006/relationships/hyperlink" Target="https://doi.org/10.2147/JMDH.S29554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brary.nspcc.org.uk/HeritageScripts/Hapi.dll/filetransfer/2024HerefordshireChildHNCSPR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education.ox.ac.uk/wp-content/uploads/2023/01/Rees-Centre-report-190723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ngland.nhs.uk/long-read/safeguarding/" TargetMode="External"/><Relationship Id="rId10" Type="http://schemas.openxmlformats.org/officeDocument/2006/relationships/hyperlink" Target="https://doi.org/10.3399/bjgp22x720617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doi.org/10.3389/fpubh.2021.649240" TargetMode="External"/><Relationship Id="rId14" Type="http://schemas.openxmlformats.org/officeDocument/2006/relationships/hyperlink" Target="https://doi.org/10.1111/jcap.123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597</Words>
  <Characters>3403</Characters>
  <Application>Microsoft Office Word</Application>
  <DocSecurity>0</DocSecurity>
  <Lines>28</Lines>
  <Paragraphs>7</Paragraphs>
  <ScaleCrop>false</ScaleCrop>
  <Company/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2026-06-21T13:25:00Z</dcterms:created>
  <dcterms:modified xsi:type="dcterms:W3CDTF">2026-06-21T13:25:00Z</dcterms:modified>
</cp:coreProperties>
</file>