
<file path=[Content_Types].xml><?xml version="1.0" encoding="utf-8"?>
<Types xmlns="http://schemas.openxmlformats.org/package/2006/content-types">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NET 25.6.0 -->
  <w:body>
    <w:p w:rsidR="006C4769" w:rsidRPr="007F7B11" w:rsidP="007F7B11" w14:paraId="67377BC0" w14:textId="77777777">
      <w:pPr>
        <w:spacing w:line="360" w:lineRule="auto"/>
        <w:jc w:val="both"/>
        <w:rPr>
          <w:rFonts w:ascii="Arial" w:hAnsi="Arial" w:cs="Arial"/>
        </w:rPr>
      </w:pPr>
    </w:p>
    <w:p w:rsidR="006C4769" w:rsidRPr="007F7B11" w:rsidP="007F7B11" w14:paraId="6C9C8421" w14:textId="038DF40A">
      <w:pPr>
        <w:spacing w:line="360" w:lineRule="auto"/>
        <w:jc w:val="both"/>
        <w:rPr>
          <w:rFonts w:ascii="Arial" w:hAnsi="Arial" w:cs="Arial"/>
          <w:sz w:val="28"/>
          <w:szCs w:val="28"/>
        </w:rPr>
      </w:pPr>
      <w:r w:rsidRPr="007F7B11">
        <w:rPr>
          <w:rFonts w:ascii="Arial" w:hAnsi="Arial" w:cs="Arial"/>
          <w:sz w:val="28"/>
          <w:szCs w:val="28"/>
        </w:rPr>
        <w:t>Strategic Management for Business</w:t>
      </w:r>
    </w:p>
    <w:p w:rsidR="009031D9" w:rsidRPr="007F7B11" w:rsidP="007F7B11" w14:paraId="2B929F4E" w14:textId="75743BAE">
      <w:pPr>
        <w:spacing w:line="360" w:lineRule="auto"/>
        <w:jc w:val="both"/>
        <w:rPr>
          <w:rFonts w:ascii="Arial" w:hAnsi="Arial" w:cs="Arial"/>
          <w:sz w:val="28"/>
          <w:szCs w:val="28"/>
        </w:rPr>
      </w:pPr>
      <w:r w:rsidRPr="007F7B11">
        <w:rPr>
          <w:rFonts w:ascii="Arial" w:hAnsi="Arial" w:cs="Arial"/>
          <w:sz w:val="28"/>
          <w:szCs w:val="28"/>
        </w:rPr>
        <w:t>LCLM 6001</w:t>
      </w:r>
    </w:p>
    <w:p w:rsidR="00C23D54" w:rsidRPr="007F7B11" w:rsidP="007F7B11" w14:paraId="4F14EF28" w14:textId="77777777">
      <w:pPr>
        <w:spacing w:line="360" w:lineRule="auto"/>
        <w:jc w:val="both"/>
        <w:rPr>
          <w:rFonts w:ascii="Arial" w:hAnsi="Arial" w:cs="Arial"/>
        </w:rPr>
      </w:pPr>
    </w:p>
    <w:p w:rsidR="00C23D54" w:rsidRPr="007F7B11" w:rsidP="007F7B11" w14:paraId="1C16B3F8" w14:textId="77777777">
      <w:pPr>
        <w:spacing w:line="360" w:lineRule="auto"/>
        <w:jc w:val="both"/>
        <w:rPr>
          <w:rFonts w:ascii="Arial" w:hAnsi="Arial" w:cs="Arial"/>
        </w:rPr>
      </w:pPr>
    </w:p>
    <w:p w:rsidR="00C23D54" w:rsidRPr="007F7B11" w:rsidP="007F7B11" w14:paraId="4046C3DE" w14:textId="77777777">
      <w:pPr>
        <w:spacing w:line="360" w:lineRule="auto"/>
        <w:jc w:val="both"/>
        <w:rPr>
          <w:rFonts w:ascii="Arial" w:hAnsi="Arial" w:cs="Arial"/>
        </w:rPr>
      </w:pPr>
    </w:p>
    <w:p w:rsidR="00C23D54" w:rsidRPr="007F7B11" w:rsidP="007F7B11" w14:paraId="03B2A6EB" w14:textId="77777777">
      <w:pPr>
        <w:spacing w:line="360" w:lineRule="auto"/>
        <w:jc w:val="both"/>
        <w:rPr>
          <w:rFonts w:ascii="Arial" w:hAnsi="Arial" w:cs="Arial"/>
        </w:rPr>
      </w:pPr>
    </w:p>
    <w:p w:rsidR="00C23D54" w:rsidRPr="007F7B11" w:rsidP="007F7B11" w14:paraId="3BF047DA" w14:textId="77777777">
      <w:pPr>
        <w:spacing w:line="360" w:lineRule="auto"/>
        <w:jc w:val="both"/>
        <w:rPr>
          <w:rFonts w:ascii="Arial" w:hAnsi="Arial" w:cs="Arial"/>
        </w:rPr>
      </w:pPr>
    </w:p>
    <w:p w:rsidR="00C23D54" w:rsidRPr="007F7B11" w:rsidP="007F7B11" w14:paraId="29AD37D7" w14:textId="77777777">
      <w:pPr>
        <w:spacing w:line="360" w:lineRule="auto"/>
        <w:jc w:val="both"/>
        <w:rPr>
          <w:rFonts w:ascii="Arial" w:hAnsi="Arial" w:cs="Arial"/>
        </w:rPr>
      </w:pPr>
    </w:p>
    <w:p w:rsidR="00C23D54" w:rsidRPr="007F7B11" w:rsidP="007F7B11" w14:paraId="4B4D58A4" w14:textId="6FA7B64F">
      <w:pPr>
        <w:spacing w:line="360" w:lineRule="auto"/>
        <w:jc w:val="center"/>
        <w:rPr>
          <w:rFonts w:ascii="Arial" w:hAnsi="Arial" w:cs="Arial"/>
          <w:b/>
          <w:bCs/>
          <w:sz w:val="36"/>
          <w:szCs w:val="36"/>
        </w:rPr>
      </w:pPr>
      <w:r w:rsidRPr="007F7B11">
        <w:rPr>
          <w:rFonts w:ascii="Arial" w:hAnsi="Arial" w:cs="Arial"/>
          <w:b/>
          <w:bCs/>
          <w:sz w:val="36"/>
          <w:szCs w:val="36"/>
        </w:rPr>
        <w:t xml:space="preserve">Building Sustainable Competitive Advantage: A Strategic Analysis of </w:t>
      </w:r>
      <w:r w:rsidRPr="007F7B11">
        <w:rPr>
          <w:rFonts w:ascii="Arial" w:hAnsi="Arial" w:cs="Arial"/>
          <w:b/>
          <w:bCs/>
          <w:sz w:val="36"/>
          <w:szCs w:val="36"/>
        </w:rPr>
        <w:t>VodafoneThree</w:t>
      </w:r>
      <w:r w:rsidRPr="007F7B11">
        <w:rPr>
          <w:rFonts w:ascii="Arial" w:hAnsi="Arial" w:cs="Arial"/>
          <w:b/>
          <w:bCs/>
          <w:sz w:val="36"/>
          <w:szCs w:val="36"/>
        </w:rPr>
        <w:t xml:space="preserve"> in the United Kingdom Telecommunications Market</w:t>
      </w:r>
    </w:p>
    <w:p w:rsidR="006C4769" w:rsidRPr="007F7B11" w:rsidP="007F7B11" w14:paraId="670B6384" w14:textId="77777777">
      <w:pPr>
        <w:spacing w:line="360" w:lineRule="auto"/>
        <w:jc w:val="both"/>
        <w:rPr>
          <w:rFonts w:ascii="Arial" w:hAnsi="Arial" w:cs="Arial"/>
        </w:rPr>
      </w:pPr>
    </w:p>
    <w:p w:rsidR="006C4769" w:rsidRPr="007F7B11" w:rsidP="007F7B11" w14:paraId="7EEFE781" w14:textId="77777777">
      <w:pPr>
        <w:spacing w:line="360" w:lineRule="auto"/>
        <w:jc w:val="both"/>
        <w:rPr>
          <w:rFonts w:ascii="Arial" w:hAnsi="Arial" w:cs="Arial"/>
        </w:rPr>
      </w:pPr>
    </w:p>
    <w:p w:rsidR="006C4769" w:rsidRPr="007F7B11" w:rsidP="007F7B11" w14:paraId="797926C2" w14:textId="77777777">
      <w:pPr>
        <w:spacing w:line="360" w:lineRule="auto"/>
        <w:jc w:val="both"/>
        <w:rPr>
          <w:rFonts w:ascii="Arial" w:hAnsi="Arial" w:cs="Arial"/>
        </w:rPr>
      </w:pPr>
    </w:p>
    <w:p w:rsidR="006C4769" w:rsidRPr="007F7B11" w:rsidP="007F7B11" w14:paraId="01F045FD" w14:textId="19627E93">
      <w:pPr>
        <w:spacing w:line="360" w:lineRule="auto"/>
        <w:jc w:val="both"/>
        <w:rPr>
          <w:rFonts w:ascii="Arial" w:hAnsi="Arial" w:cs="Arial"/>
        </w:rPr>
      </w:pPr>
    </w:p>
    <w:p w:rsidR="001B3379" w:rsidRPr="007F7B11" w:rsidP="007F7B11" w14:paraId="0AB7C7A0" w14:textId="77777777">
      <w:pPr>
        <w:spacing w:line="360" w:lineRule="auto"/>
        <w:jc w:val="both"/>
        <w:rPr>
          <w:rFonts w:ascii="Arial" w:hAnsi="Arial" w:cs="Arial"/>
          <w:sz w:val="32"/>
          <w:szCs w:val="32"/>
        </w:rPr>
      </w:pPr>
      <w:r w:rsidRPr="007F7B11">
        <w:rPr>
          <w:rFonts w:ascii="Arial" w:hAnsi="Arial" w:cs="Arial"/>
          <w:sz w:val="32"/>
          <w:szCs w:val="32"/>
        </w:rPr>
        <w:t xml:space="preserve">Student: Ionut Alex Nica </w:t>
      </w:r>
    </w:p>
    <w:p w:rsidR="00544F32" w:rsidRPr="007F7B11" w:rsidP="007F7B11" w14:paraId="60C4BD8B" w14:textId="77777777">
      <w:pPr>
        <w:spacing w:line="360" w:lineRule="auto"/>
        <w:jc w:val="both"/>
        <w:rPr>
          <w:rFonts w:ascii="Arial" w:hAnsi="Arial" w:cs="Arial"/>
          <w:sz w:val="32"/>
          <w:szCs w:val="32"/>
        </w:rPr>
      </w:pPr>
      <w:r w:rsidRPr="007F7B11">
        <w:rPr>
          <w:rFonts w:ascii="Arial" w:hAnsi="Arial" w:cs="Arial"/>
          <w:sz w:val="32"/>
          <w:szCs w:val="32"/>
        </w:rPr>
        <w:t>ID: 2239653</w:t>
      </w:r>
    </w:p>
    <w:p w:rsidR="00544F32" w:rsidRPr="007F7B11" w:rsidP="007F7B11" w14:paraId="47C59243" w14:textId="77777777">
      <w:pPr>
        <w:spacing w:line="360" w:lineRule="auto"/>
        <w:jc w:val="both"/>
        <w:rPr>
          <w:rFonts w:ascii="Arial" w:hAnsi="Arial" w:cs="Arial"/>
        </w:rPr>
      </w:pPr>
    </w:p>
    <w:p w:rsidR="00544F32" w:rsidRPr="007F7B11" w:rsidP="007F7B11" w14:paraId="7BC77C28" w14:textId="77777777">
      <w:pPr>
        <w:spacing w:line="360" w:lineRule="auto"/>
        <w:jc w:val="both"/>
        <w:rPr>
          <w:rFonts w:ascii="Arial" w:hAnsi="Arial" w:cs="Arial"/>
        </w:rPr>
      </w:pPr>
    </w:p>
    <w:p w:rsidR="00544F32" w:rsidRPr="007F7B11" w:rsidP="007F7B11" w14:paraId="3D79A560" w14:textId="77777777">
      <w:pPr>
        <w:spacing w:line="360" w:lineRule="auto"/>
        <w:jc w:val="both"/>
        <w:rPr>
          <w:rFonts w:ascii="Arial" w:hAnsi="Arial" w:cs="Arial"/>
        </w:rPr>
      </w:pPr>
      <w:r w:rsidRPr="007F7B11">
        <w:rPr>
          <w:rFonts w:ascii="Arial" w:hAnsi="Arial" w:cs="Arial"/>
        </w:rPr>
        <w:br w:type="page"/>
      </w:r>
    </w:p>
    <w:p w:rsidR="006109CC" w:rsidRPr="007F7B11" w:rsidP="007F7B11" w14:paraId="3FB0DF51" w14:textId="2EF30E55">
      <w:pPr>
        <w:pStyle w:val="Heading1"/>
        <w:rPr>
          <w:b/>
          <w:bCs/>
          <w:color w:val="auto"/>
        </w:rPr>
      </w:pPr>
      <w:bookmarkStart w:id="0" w:name="_Toc234679279"/>
      <w:r w:rsidRPr="007F7B11">
        <w:rPr>
          <w:b/>
          <w:bCs/>
          <w:color w:val="auto"/>
        </w:rPr>
        <w:t>Executive Summary</w:t>
      </w:r>
      <w:bookmarkEnd w:id="0"/>
    </w:p>
    <w:p w:rsidR="006109CC" w:rsidRPr="007F7B11" w:rsidP="007F7B11" w14:paraId="7F73ED61" w14:textId="77777777">
      <w:pPr>
        <w:spacing w:line="360" w:lineRule="auto"/>
        <w:jc w:val="both"/>
        <w:rPr>
          <w:rFonts w:ascii="Arial" w:hAnsi="Arial" w:cs="Arial"/>
        </w:rPr>
      </w:pPr>
    </w:p>
    <w:p w:rsidR="006109CC" w:rsidRPr="007F7B11" w:rsidP="007F7B11" w14:paraId="1D66A2F8" w14:textId="7E5E9DF4">
      <w:pPr>
        <w:spacing w:line="360" w:lineRule="auto"/>
        <w:ind w:firstLine="720"/>
        <w:jc w:val="both"/>
        <w:rPr>
          <w:rFonts w:ascii="Arial" w:hAnsi="Arial" w:cs="Arial"/>
        </w:rPr>
      </w:pPr>
      <w:r w:rsidRPr="007F7B11">
        <w:rPr>
          <w:rFonts w:ascii="Arial" w:hAnsi="Arial" w:cs="Arial"/>
        </w:rPr>
        <w:t xml:space="preserve">This report assesses the strategic importance of Vodafone UK within the context of a time of dramatic organisational change as it became part of Three UK's merger to become </w:t>
      </w:r>
      <w:r w:rsidRPr="007F7B11">
        <w:rPr>
          <w:rFonts w:ascii="Arial" w:hAnsi="Arial" w:cs="Arial"/>
        </w:rPr>
        <w:t>VodafoneThree</w:t>
      </w:r>
      <w:r w:rsidRPr="007F7B11">
        <w:rPr>
          <w:rFonts w:ascii="Arial" w:hAnsi="Arial" w:cs="Arial"/>
        </w:rPr>
        <w:t xml:space="preserve">. Evaluation of the company's positioning and strategic direction, with use of recognised strategic management frameworks and referencing current academic articles and business examples, to analyse company external business environment and internal capabilities </w:t>
      </w:r>
      <w:r w:rsidRPr="007F7B11">
        <w:rPr>
          <w:rFonts w:ascii="Arial" w:hAnsi="Arial" w:cs="Arial"/>
        </w:rPr>
        <w:t>in order to</w:t>
      </w:r>
      <w:r w:rsidRPr="007F7B11">
        <w:rPr>
          <w:rFonts w:ascii="Arial" w:hAnsi="Arial" w:cs="Arial"/>
        </w:rPr>
        <w:t xml:space="preserve"> identify the current direction of the company. The report points out that the merger will significantly bolster Vodafone's market position, but the merger will be instrumental to Vodafone's long-term competitive edge provided its network integration, customer retention, digital innovation and sustainable value creation are successful. Various strategic growth options are aggressively </w:t>
      </w:r>
      <w:r w:rsidRPr="007F7B11" w:rsidR="007F7B11">
        <w:rPr>
          <w:rFonts w:ascii="Arial" w:hAnsi="Arial" w:cs="Arial"/>
        </w:rPr>
        <w:t>analysed</w:t>
      </w:r>
      <w:r w:rsidRPr="007F7B11">
        <w:rPr>
          <w:rFonts w:ascii="Arial" w:hAnsi="Arial" w:cs="Arial"/>
        </w:rPr>
        <w:t xml:space="preserve"> and a market development </w:t>
      </w:r>
      <w:r w:rsidR="007F7B11">
        <w:rPr>
          <w:rFonts w:ascii="Arial" w:hAnsi="Arial" w:cs="Arial"/>
        </w:rPr>
        <w:t>and</w:t>
      </w:r>
      <w:r w:rsidRPr="007F7B11">
        <w:rPr>
          <w:rFonts w:ascii="Arial" w:hAnsi="Arial" w:cs="Arial"/>
        </w:rPr>
        <w:t xml:space="preserve"> product development strategy based on supporting fifth generation network capabilities, enterprise digital services, AI-based connectivity &amp; solutions for the Internet of Things (IoT) is recommended. The proposed approach is then assessed in terms of Suitability, Acceptability and Feasibility and supported by stakeholder analysis and an implementation and monitoring plan with measurable key performance indicators. The recommendations will work in tandem to boost </w:t>
      </w:r>
      <w:r w:rsidRPr="007F7B11">
        <w:rPr>
          <w:rFonts w:ascii="Arial" w:hAnsi="Arial" w:cs="Arial"/>
        </w:rPr>
        <w:t>VodafoneThree's</w:t>
      </w:r>
      <w:r w:rsidRPr="007F7B11">
        <w:rPr>
          <w:rFonts w:ascii="Arial" w:hAnsi="Arial" w:cs="Arial"/>
        </w:rPr>
        <w:t xml:space="preserve"> competitive edge and provide the company with sustainable growth in the fast-changing telecom services landscape in the United Kingdom.</w:t>
      </w:r>
    </w:p>
    <w:p w:rsidR="006109CC" w:rsidRPr="007F7B11" w:rsidP="007F7B11" w14:paraId="0586B9F9" w14:textId="77777777">
      <w:pPr>
        <w:spacing w:line="360" w:lineRule="auto"/>
        <w:jc w:val="both"/>
        <w:rPr>
          <w:rFonts w:ascii="Arial" w:hAnsi="Arial" w:cs="Arial"/>
        </w:rPr>
      </w:pPr>
    </w:p>
    <w:p w:rsidR="006109CC" w:rsidRPr="007F7B11" w:rsidP="007F7B11" w14:paraId="1C992993" w14:textId="77777777">
      <w:pPr>
        <w:spacing w:line="360" w:lineRule="auto"/>
        <w:jc w:val="both"/>
        <w:rPr>
          <w:rFonts w:ascii="Arial" w:hAnsi="Arial" w:cs="Arial"/>
        </w:rPr>
      </w:pPr>
    </w:p>
    <w:p w:rsidR="006109CC" w:rsidRPr="007F7B11" w:rsidP="007F7B11" w14:paraId="3ADCB502" w14:textId="77777777">
      <w:pPr>
        <w:spacing w:line="360" w:lineRule="auto"/>
        <w:jc w:val="both"/>
        <w:rPr>
          <w:rFonts w:ascii="Arial" w:hAnsi="Arial" w:cs="Arial"/>
        </w:rPr>
      </w:pPr>
    </w:p>
    <w:p w:rsidR="006C4769" w:rsidRPr="007F7B11" w:rsidP="007F7B11" w14:paraId="61F9C4EE" w14:textId="77777777">
      <w:pPr>
        <w:spacing w:line="360" w:lineRule="auto"/>
        <w:jc w:val="both"/>
        <w:rPr>
          <w:rFonts w:ascii="Arial" w:hAnsi="Arial" w:cs="Arial"/>
        </w:rPr>
      </w:pPr>
    </w:p>
    <w:p w:rsidR="006C4769" w:rsidRPr="007F7B11" w:rsidP="007F7B11" w14:paraId="3EA36DB2" w14:textId="77777777">
      <w:pPr>
        <w:spacing w:line="360" w:lineRule="auto"/>
        <w:jc w:val="both"/>
        <w:rPr>
          <w:rFonts w:ascii="Arial" w:hAnsi="Arial" w:cs="Arial"/>
        </w:rPr>
      </w:pPr>
    </w:p>
    <w:p w:rsidR="006C4769" w:rsidRPr="007F7B11" w:rsidP="007F7B11" w14:paraId="7F6E666E" w14:textId="77777777">
      <w:pPr>
        <w:spacing w:line="360" w:lineRule="auto"/>
        <w:jc w:val="both"/>
        <w:rPr>
          <w:rFonts w:ascii="Arial" w:hAnsi="Arial" w:cs="Arial"/>
        </w:rPr>
      </w:pPr>
    </w:p>
    <w:p w:rsidR="006C4769" w:rsidRPr="007F7B11" w:rsidP="007F7B11" w14:paraId="7AC9260F" w14:textId="77777777">
      <w:pPr>
        <w:spacing w:line="360" w:lineRule="auto"/>
        <w:jc w:val="both"/>
        <w:rPr>
          <w:rFonts w:ascii="Arial" w:hAnsi="Arial" w:cs="Arial"/>
        </w:rPr>
      </w:pPr>
    </w:p>
    <w:p w:rsidR="006C4769" w:rsidRPr="007F7B11" w:rsidP="007F7B11" w14:paraId="73CA8B13" w14:textId="77777777">
      <w:pPr>
        <w:spacing w:line="360" w:lineRule="auto"/>
        <w:jc w:val="both"/>
        <w:rPr>
          <w:rFonts w:ascii="Arial" w:hAnsi="Arial" w:cs="Arial"/>
        </w:rPr>
      </w:pPr>
      <w:r w:rsidRPr="007F7B11">
        <w:rPr>
          <w:rFonts w:ascii="Arial" w:hAnsi="Arial" w:cs="Arial"/>
        </w:rPr>
        <w:br w:type="page"/>
      </w:r>
    </w:p>
    <w:sdt>
      <w:sdtPr>
        <w:id w:val="-1941910736"/>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rsidR="00DB22FD" w:rsidRPr="00DB22FD" w:rsidP="00DB22FD" w14:paraId="60899A54" w14:textId="2D16289A">
          <w:pPr>
            <w:pStyle w:val="TOCHeading"/>
            <w:jc w:val="center"/>
            <w:rPr>
              <w:b/>
              <w:bCs/>
              <w:color w:val="auto"/>
              <w:sz w:val="40"/>
              <w:szCs w:val="40"/>
            </w:rPr>
          </w:pPr>
          <w:r w:rsidRPr="00DB22FD">
            <w:rPr>
              <w:b/>
              <w:bCs/>
              <w:color w:val="auto"/>
              <w:sz w:val="40"/>
              <w:szCs w:val="40"/>
            </w:rPr>
            <w:t>Table of Contents</w:t>
          </w:r>
        </w:p>
        <w:p w:rsidR="00DB22FD" w:rsidRPr="00DB22FD" w:rsidP="00DB22FD" w14:paraId="3B1F3359" w14:textId="77777777">
          <w:pPr>
            <w:rPr>
              <w:lang w:val="en-US"/>
            </w:rPr>
          </w:pPr>
        </w:p>
        <w:p w:rsidR="00DB22FD" w:rsidRPr="00DB22FD" w:rsidP="00DB22FD" w14:paraId="558F9F2B" w14:textId="77777777">
          <w:pPr>
            <w:rPr>
              <w:lang w:val="en-US"/>
            </w:rPr>
          </w:pPr>
        </w:p>
        <w:p w:rsidR="00DB22FD" w:rsidRPr="00DB22FD" w14:paraId="3EEE776C" w14:textId="4B126B96">
          <w:pPr>
            <w:pStyle w:val="TOC1"/>
            <w:tabs>
              <w:tab w:val="right" w:leader="dot" w:pos="9016"/>
            </w:tabs>
            <w:rPr>
              <w:noProof/>
            </w:rPr>
          </w:pPr>
          <w:r w:rsidRPr="00DB22FD">
            <w:fldChar w:fldCharType="begin"/>
          </w:r>
          <w:r w:rsidRPr="00DB22FD">
            <w:instrText xml:space="preserve"> TOC \o "1-3" \h \z \u </w:instrText>
          </w:r>
          <w:r w:rsidRPr="00DB22FD">
            <w:fldChar w:fldCharType="separate"/>
          </w:r>
          <w:hyperlink w:anchor="_Toc234679279" w:history="1">
            <w:r w:rsidRPr="00DB22FD">
              <w:rPr>
                <w:rStyle w:val="Hyperlink"/>
                <w:noProof/>
              </w:rPr>
              <w:t>Executive Summary</w:t>
            </w:r>
            <w:r w:rsidRPr="00DB22FD">
              <w:rPr>
                <w:noProof/>
                <w:webHidden/>
              </w:rPr>
              <w:tab/>
            </w:r>
            <w:r w:rsidRPr="00DB22FD">
              <w:rPr>
                <w:noProof/>
                <w:webHidden/>
              </w:rPr>
              <w:fldChar w:fldCharType="begin"/>
            </w:r>
            <w:r w:rsidRPr="00DB22FD">
              <w:rPr>
                <w:noProof/>
                <w:webHidden/>
              </w:rPr>
              <w:instrText xml:space="preserve"> PAGEREF _Toc234679279 \h </w:instrText>
            </w:r>
            <w:r w:rsidRPr="00DB22FD">
              <w:rPr>
                <w:noProof/>
                <w:webHidden/>
              </w:rPr>
              <w:fldChar w:fldCharType="separate"/>
            </w:r>
            <w:r w:rsidRPr="00DB22FD">
              <w:rPr>
                <w:noProof/>
                <w:webHidden/>
              </w:rPr>
              <w:t>2</w:t>
            </w:r>
            <w:r w:rsidRPr="00DB22FD">
              <w:rPr>
                <w:noProof/>
                <w:webHidden/>
              </w:rPr>
              <w:fldChar w:fldCharType="end"/>
            </w:r>
          </w:hyperlink>
        </w:p>
        <w:p w:rsidR="00DB22FD" w:rsidRPr="00DB22FD" w14:paraId="5D685348" w14:textId="13804534">
          <w:pPr>
            <w:pStyle w:val="TOC1"/>
            <w:tabs>
              <w:tab w:val="right" w:leader="dot" w:pos="9016"/>
            </w:tabs>
            <w:rPr>
              <w:noProof/>
            </w:rPr>
          </w:pPr>
          <w:hyperlink w:anchor="_Toc234679280" w:history="1">
            <w:r w:rsidRPr="00DB22FD">
              <w:rPr>
                <w:rStyle w:val="Hyperlink"/>
                <w:noProof/>
              </w:rPr>
              <w:t>1. Introduction to Vodafone</w:t>
            </w:r>
            <w:r w:rsidRPr="00DB22FD">
              <w:rPr>
                <w:noProof/>
                <w:webHidden/>
              </w:rPr>
              <w:tab/>
            </w:r>
            <w:r w:rsidRPr="00DB22FD">
              <w:rPr>
                <w:noProof/>
                <w:webHidden/>
              </w:rPr>
              <w:fldChar w:fldCharType="begin"/>
            </w:r>
            <w:r w:rsidRPr="00DB22FD">
              <w:rPr>
                <w:noProof/>
                <w:webHidden/>
              </w:rPr>
              <w:instrText xml:space="preserve"> PAGEREF _Toc234679280 \h </w:instrText>
            </w:r>
            <w:r w:rsidRPr="00DB22FD">
              <w:rPr>
                <w:noProof/>
                <w:webHidden/>
              </w:rPr>
              <w:fldChar w:fldCharType="separate"/>
            </w:r>
            <w:r w:rsidRPr="00DB22FD">
              <w:rPr>
                <w:noProof/>
                <w:webHidden/>
              </w:rPr>
              <w:t>4</w:t>
            </w:r>
            <w:r w:rsidRPr="00DB22FD">
              <w:rPr>
                <w:noProof/>
                <w:webHidden/>
              </w:rPr>
              <w:fldChar w:fldCharType="end"/>
            </w:r>
          </w:hyperlink>
        </w:p>
        <w:p w:rsidR="00DB22FD" w:rsidRPr="00DB22FD" w14:paraId="064FE453" w14:textId="79D3BBB9">
          <w:pPr>
            <w:pStyle w:val="TOC1"/>
            <w:tabs>
              <w:tab w:val="right" w:leader="dot" w:pos="9016"/>
            </w:tabs>
            <w:rPr>
              <w:noProof/>
            </w:rPr>
          </w:pPr>
          <w:hyperlink w:anchor="_Toc234679281" w:history="1">
            <w:r w:rsidRPr="00DB22FD">
              <w:rPr>
                <w:rStyle w:val="Hyperlink"/>
                <w:noProof/>
              </w:rPr>
              <w:t>2. Evaluation of the Current Market Situation</w:t>
            </w:r>
            <w:r w:rsidRPr="00DB22FD">
              <w:rPr>
                <w:noProof/>
                <w:webHidden/>
              </w:rPr>
              <w:tab/>
            </w:r>
            <w:r w:rsidRPr="00DB22FD">
              <w:rPr>
                <w:noProof/>
                <w:webHidden/>
              </w:rPr>
              <w:fldChar w:fldCharType="begin"/>
            </w:r>
            <w:r w:rsidRPr="00DB22FD">
              <w:rPr>
                <w:noProof/>
                <w:webHidden/>
              </w:rPr>
              <w:instrText xml:space="preserve"> PAGEREF _Toc234679281 \h </w:instrText>
            </w:r>
            <w:r w:rsidRPr="00DB22FD">
              <w:rPr>
                <w:noProof/>
                <w:webHidden/>
              </w:rPr>
              <w:fldChar w:fldCharType="separate"/>
            </w:r>
            <w:r w:rsidRPr="00DB22FD">
              <w:rPr>
                <w:noProof/>
                <w:webHidden/>
              </w:rPr>
              <w:t>5</w:t>
            </w:r>
            <w:r w:rsidRPr="00DB22FD">
              <w:rPr>
                <w:noProof/>
                <w:webHidden/>
              </w:rPr>
              <w:fldChar w:fldCharType="end"/>
            </w:r>
          </w:hyperlink>
        </w:p>
        <w:p w:rsidR="00DB22FD" w:rsidRPr="00DB22FD" w14:paraId="41F6FE99" w14:textId="002C472C">
          <w:pPr>
            <w:pStyle w:val="TOC2"/>
            <w:tabs>
              <w:tab w:val="right" w:leader="dot" w:pos="9016"/>
            </w:tabs>
            <w:rPr>
              <w:noProof/>
            </w:rPr>
          </w:pPr>
          <w:hyperlink w:anchor="_Toc234679282" w:history="1">
            <w:r w:rsidRPr="00DB22FD">
              <w:rPr>
                <w:rStyle w:val="Hyperlink"/>
                <w:noProof/>
              </w:rPr>
              <w:t>2.1 External Environment Analysis (PESTLE)</w:t>
            </w:r>
            <w:r w:rsidRPr="00DB22FD">
              <w:rPr>
                <w:noProof/>
                <w:webHidden/>
              </w:rPr>
              <w:tab/>
            </w:r>
            <w:r w:rsidRPr="00DB22FD">
              <w:rPr>
                <w:noProof/>
                <w:webHidden/>
              </w:rPr>
              <w:fldChar w:fldCharType="begin"/>
            </w:r>
            <w:r w:rsidRPr="00DB22FD">
              <w:rPr>
                <w:noProof/>
                <w:webHidden/>
              </w:rPr>
              <w:instrText xml:space="preserve"> PAGEREF _Toc234679282 \h </w:instrText>
            </w:r>
            <w:r w:rsidRPr="00DB22FD">
              <w:rPr>
                <w:noProof/>
                <w:webHidden/>
              </w:rPr>
              <w:fldChar w:fldCharType="separate"/>
            </w:r>
            <w:r w:rsidRPr="00DB22FD">
              <w:rPr>
                <w:noProof/>
                <w:webHidden/>
              </w:rPr>
              <w:t>5</w:t>
            </w:r>
            <w:r w:rsidRPr="00DB22FD">
              <w:rPr>
                <w:noProof/>
                <w:webHidden/>
              </w:rPr>
              <w:fldChar w:fldCharType="end"/>
            </w:r>
          </w:hyperlink>
        </w:p>
        <w:p w:rsidR="00DB22FD" w:rsidRPr="00DB22FD" w14:paraId="3B920122" w14:textId="185DB678">
          <w:pPr>
            <w:pStyle w:val="TOC2"/>
            <w:tabs>
              <w:tab w:val="right" w:leader="dot" w:pos="9016"/>
            </w:tabs>
            <w:rPr>
              <w:noProof/>
            </w:rPr>
          </w:pPr>
          <w:hyperlink w:anchor="_Toc234679283" w:history="1">
            <w:r w:rsidRPr="00DB22FD">
              <w:rPr>
                <w:rStyle w:val="Hyperlink"/>
                <w:noProof/>
              </w:rPr>
              <w:t>2.2 Industry Competitiveness: Porter's Five Forces</w:t>
            </w:r>
            <w:r w:rsidRPr="00DB22FD">
              <w:rPr>
                <w:noProof/>
                <w:webHidden/>
              </w:rPr>
              <w:tab/>
            </w:r>
            <w:r w:rsidRPr="00DB22FD">
              <w:rPr>
                <w:noProof/>
                <w:webHidden/>
              </w:rPr>
              <w:fldChar w:fldCharType="begin"/>
            </w:r>
            <w:r w:rsidRPr="00DB22FD">
              <w:rPr>
                <w:noProof/>
                <w:webHidden/>
              </w:rPr>
              <w:instrText xml:space="preserve"> PAGEREF _Toc234679283 \h </w:instrText>
            </w:r>
            <w:r w:rsidRPr="00DB22FD">
              <w:rPr>
                <w:noProof/>
                <w:webHidden/>
              </w:rPr>
              <w:fldChar w:fldCharType="separate"/>
            </w:r>
            <w:r w:rsidRPr="00DB22FD">
              <w:rPr>
                <w:noProof/>
                <w:webHidden/>
              </w:rPr>
              <w:t>6</w:t>
            </w:r>
            <w:r w:rsidRPr="00DB22FD">
              <w:rPr>
                <w:noProof/>
                <w:webHidden/>
              </w:rPr>
              <w:fldChar w:fldCharType="end"/>
            </w:r>
          </w:hyperlink>
        </w:p>
        <w:p w:rsidR="00DB22FD" w:rsidRPr="00DB22FD" w14:paraId="6B424F1D" w14:textId="1F7CCD91">
          <w:pPr>
            <w:pStyle w:val="TOC2"/>
            <w:tabs>
              <w:tab w:val="right" w:leader="dot" w:pos="9016"/>
            </w:tabs>
            <w:rPr>
              <w:noProof/>
            </w:rPr>
          </w:pPr>
          <w:hyperlink w:anchor="_Toc234679284" w:history="1">
            <w:r w:rsidRPr="00DB22FD">
              <w:rPr>
                <w:rStyle w:val="Hyperlink"/>
                <w:noProof/>
              </w:rPr>
              <w:t>2.3 Strategic Position: SWOT Synthesis</w:t>
            </w:r>
            <w:r w:rsidRPr="00DB22FD">
              <w:rPr>
                <w:noProof/>
                <w:webHidden/>
              </w:rPr>
              <w:tab/>
            </w:r>
            <w:r w:rsidRPr="00DB22FD">
              <w:rPr>
                <w:noProof/>
                <w:webHidden/>
              </w:rPr>
              <w:fldChar w:fldCharType="begin"/>
            </w:r>
            <w:r w:rsidRPr="00DB22FD">
              <w:rPr>
                <w:noProof/>
                <w:webHidden/>
              </w:rPr>
              <w:instrText xml:space="preserve"> PAGEREF _Toc234679284 \h </w:instrText>
            </w:r>
            <w:r w:rsidRPr="00DB22FD">
              <w:rPr>
                <w:noProof/>
                <w:webHidden/>
              </w:rPr>
              <w:fldChar w:fldCharType="separate"/>
            </w:r>
            <w:r w:rsidRPr="00DB22FD">
              <w:rPr>
                <w:noProof/>
                <w:webHidden/>
              </w:rPr>
              <w:t>7</w:t>
            </w:r>
            <w:r w:rsidRPr="00DB22FD">
              <w:rPr>
                <w:noProof/>
                <w:webHidden/>
              </w:rPr>
              <w:fldChar w:fldCharType="end"/>
            </w:r>
          </w:hyperlink>
        </w:p>
        <w:p w:rsidR="00DB22FD" w:rsidRPr="00DB22FD" w14:paraId="69E1FC9A" w14:textId="6230357C">
          <w:pPr>
            <w:pStyle w:val="TOC1"/>
            <w:tabs>
              <w:tab w:val="right" w:leader="dot" w:pos="9016"/>
            </w:tabs>
            <w:rPr>
              <w:noProof/>
            </w:rPr>
          </w:pPr>
          <w:hyperlink w:anchor="_Toc234679285" w:history="1">
            <w:r w:rsidRPr="00DB22FD">
              <w:rPr>
                <w:rStyle w:val="Hyperlink"/>
                <w:noProof/>
              </w:rPr>
              <w:t>3. Strategic Growth Options and Proposed Strategy</w:t>
            </w:r>
            <w:r w:rsidRPr="00DB22FD">
              <w:rPr>
                <w:noProof/>
                <w:webHidden/>
              </w:rPr>
              <w:tab/>
            </w:r>
            <w:r w:rsidRPr="00DB22FD">
              <w:rPr>
                <w:noProof/>
                <w:webHidden/>
              </w:rPr>
              <w:fldChar w:fldCharType="begin"/>
            </w:r>
            <w:r w:rsidRPr="00DB22FD">
              <w:rPr>
                <w:noProof/>
                <w:webHidden/>
              </w:rPr>
              <w:instrText xml:space="preserve"> PAGEREF _Toc234679285 \h </w:instrText>
            </w:r>
            <w:r w:rsidRPr="00DB22FD">
              <w:rPr>
                <w:noProof/>
                <w:webHidden/>
              </w:rPr>
              <w:fldChar w:fldCharType="separate"/>
            </w:r>
            <w:r w:rsidRPr="00DB22FD">
              <w:rPr>
                <w:noProof/>
                <w:webHidden/>
              </w:rPr>
              <w:t>8</w:t>
            </w:r>
            <w:r w:rsidRPr="00DB22FD">
              <w:rPr>
                <w:noProof/>
                <w:webHidden/>
              </w:rPr>
              <w:fldChar w:fldCharType="end"/>
            </w:r>
          </w:hyperlink>
        </w:p>
        <w:p w:rsidR="00DB22FD" w:rsidRPr="00DB22FD" w14:paraId="1DA47D88" w14:textId="5CEDA659">
          <w:pPr>
            <w:pStyle w:val="TOC1"/>
            <w:tabs>
              <w:tab w:val="right" w:leader="dot" w:pos="9016"/>
            </w:tabs>
            <w:rPr>
              <w:noProof/>
            </w:rPr>
          </w:pPr>
          <w:hyperlink w:anchor="_Toc234679286" w:history="1">
            <w:r w:rsidRPr="00DB22FD">
              <w:rPr>
                <w:rStyle w:val="Hyperlink"/>
                <w:noProof/>
              </w:rPr>
              <w:t>4. Strategy Evaluation (SFA Framework)</w:t>
            </w:r>
            <w:r w:rsidRPr="00DB22FD">
              <w:rPr>
                <w:noProof/>
                <w:webHidden/>
              </w:rPr>
              <w:tab/>
            </w:r>
            <w:r w:rsidRPr="00DB22FD">
              <w:rPr>
                <w:noProof/>
                <w:webHidden/>
              </w:rPr>
              <w:fldChar w:fldCharType="begin"/>
            </w:r>
            <w:r w:rsidRPr="00DB22FD">
              <w:rPr>
                <w:noProof/>
                <w:webHidden/>
              </w:rPr>
              <w:instrText xml:space="preserve"> PAGEREF _Toc234679286 \h </w:instrText>
            </w:r>
            <w:r w:rsidRPr="00DB22FD">
              <w:rPr>
                <w:noProof/>
                <w:webHidden/>
              </w:rPr>
              <w:fldChar w:fldCharType="separate"/>
            </w:r>
            <w:r w:rsidRPr="00DB22FD">
              <w:rPr>
                <w:noProof/>
                <w:webHidden/>
              </w:rPr>
              <w:t>10</w:t>
            </w:r>
            <w:r w:rsidRPr="00DB22FD">
              <w:rPr>
                <w:noProof/>
                <w:webHidden/>
              </w:rPr>
              <w:fldChar w:fldCharType="end"/>
            </w:r>
          </w:hyperlink>
        </w:p>
        <w:p w:rsidR="00DB22FD" w:rsidRPr="00DB22FD" w14:paraId="4A709F3A" w14:textId="1B662973">
          <w:pPr>
            <w:pStyle w:val="TOC2"/>
            <w:tabs>
              <w:tab w:val="right" w:leader="dot" w:pos="9016"/>
            </w:tabs>
            <w:rPr>
              <w:noProof/>
            </w:rPr>
          </w:pPr>
          <w:hyperlink w:anchor="_Toc234679287" w:history="1">
            <w:r w:rsidRPr="00DB22FD">
              <w:rPr>
                <w:rStyle w:val="Hyperlink"/>
                <w:noProof/>
              </w:rPr>
              <w:t>Suitability</w:t>
            </w:r>
            <w:r w:rsidRPr="00DB22FD">
              <w:rPr>
                <w:noProof/>
                <w:webHidden/>
              </w:rPr>
              <w:tab/>
            </w:r>
            <w:r w:rsidRPr="00DB22FD">
              <w:rPr>
                <w:noProof/>
                <w:webHidden/>
              </w:rPr>
              <w:fldChar w:fldCharType="begin"/>
            </w:r>
            <w:r w:rsidRPr="00DB22FD">
              <w:rPr>
                <w:noProof/>
                <w:webHidden/>
              </w:rPr>
              <w:instrText xml:space="preserve"> PAGEREF _Toc234679287 \h </w:instrText>
            </w:r>
            <w:r w:rsidRPr="00DB22FD">
              <w:rPr>
                <w:noProof/>
                <w:webHidden/>
              </w:rPr>
              <w:fldChar w:fldCharType="separate"/>
            </w:r>
            <w:r w:rsidRPr="00DB22FD">
              <w:rPr>
                <w:noProof/>
                <w:webHidden/>
              </w:rPr>
              <w:t>10</w:t>
            </w:r>
            <w:r w:rsidRPr="00DB22FD">
              <w:rPr>
                <w:noProof/>
                <w:webHidden/>
              </w:rPr>
              <w:fldChar w:fldCharType="end"/>
            </w:r>
          </w:hyperlink>
        </w:p>
        <w:p w:rsidR="00DB22FD" w:rsidRPr="00DB22FD" w14:paraId="5D993F39" w14:textId="71B41C31">
          <w:pPr>
            <w:pStyle w:val="TOC2"/>
            <w:tabs>
              <w:tab w:val="right" w:leader="dot" w:pos="9016"/>
            </w:tabs>
            <w:rPr>
              <w:noProof/>
            </w:rPr>
          </w:pPr>
          <w:hyperlink w:anchor="_Toc234679288" w:history="1">
            <w:r w:rsidRPr="00DB22FD">
              <w:rPr>
                <w:rStyle w:val="Hyperlink"/>
                <w:noProof/>
              </w:rPr>
              <w:t>Feasibility</w:t>
            </w:r>
            <w:r w:rsidRPr="00DB22FD">
              <w:rPr>
                <w:noProof/>
                <w:webHidden/>
              </w:rPr>
              <w:tab/>
            </w:r>
            <w:r w:rsidRPr="00DB22FD">
              <w:rPr>
                <w:noProof/>
                <w:webHidden/>
              </w:rPr>
              <w:fldChar w:fldCharType="begin"/>
            </w:r>
            <w:r w:rsidRPr="00DB22FD">
              <w:rPr>
                <w:noProof/>
                <w:webHidden/>
              </w:rPr>
              <w:instrText xml:space="preserve"> PAGEREF _Toc234679288 \h </w:instrText>
            </w:r>
            <w:r w:rsidRPr="00DB22FD">
              <w:rPr>
                <w:noProof/>
                <w:webHidden/>
              </w:rPr>
              <w:fldChar w:fldCharType="separate"/>
            </w:r>
            <w:r w:rsidRPr="00DB22FD">
              <w:rPr>
                <w:noProof/>
                <w:webHidden/>
              </w:rPr>
              <w:t>11</w:t>
            </w:r>
            <w:r w:rsidRPr="00DB22FD">
              <w:rPr>
                <w:noProof/>
                <w:webHidden/>
              </w:rPr>
              <w:fldChar w:fldCharType="end"/>
            </w:r>
          </w:hyperlink>
        </w:p>
        <w:p w:rsidR="00DB22FD" w:rsidRPr="00DB22FD" w14:paraId="5B1B4EAA" w14:textId="15249F53">
          <w:pPr>
            <w:pStyle w:val="TOC2"/>
            <w:tabs>
              <w:tab w:val="right" w:leader="dot" w:pos="9016"/>
            </w:tabs>
            <w:rPr>
              <w:noProof/>
            </w:rPr>
          </w:pPr>
          <w:hyperlink w:anchor="_Toc234679289" w:history="1">
            <w:r w:rsidRPr="00DB22FD">
              <w:rPr>
                <w:rStyle w:val="Hyperlink"/>
                <w:noProof/>
              </w:rPr>
              <w:t>Acceptability</w:t>
            </w:r>
            <w:r w:rsidRPr="00DB22FD">
              <w:rPr>
                <w:noProof/>
                <w:webHidden/>
              </w:rPr>
              <w:tab/>
            </w:r>
            <w:r w:rsidRPr="00DB22FD">
              <w:rPr>
                <w:noProof/>
                <w:webHidden/>
              </w:rPr>
              <w:fldChar w:fldCharType="begin"/>
            </w:r>
            <w:r w:rsidRPr="00DB22FD">
              <w:rPr>
                <w:noProof/>
                <w:webHidden/>
              </w:rPr>
              <w:instrText xml:space="preserve"> PAGEREF _Toc234679289 \h </w:instrText>
            </w:r>
            <w:r w:rsidRPr="00DB22FD">
              <w:rPr>
                <w:noProof/>
                <w:webHidden/>
              </w:rPr>
              <w:fldChar w:fldCharType="separate"/>
            </w:r>
            <w:r w:rsidRPr="00DB22FD">
              <w:rPr>
                <w:noProof/>
                <w:webHidden/>
              </w:rPr>
              <w:t>11</w:t>
            </w:r>
            <w:r w:rsidRPr="00DB22FD">
              <w:rPr>
                <w:noProof/>
                <w:webHidden/>
              </w:rPr>
              <w:fldChar w:fldCharType="end"/>
            </w:r>
          </w:hyperlink>
        </w:p>
        <w:p w:rsidR="00DB22FD" w:rsidRPr="00DB22FD" w14:paraId="41A5AB3F" w14:textId="76AFF136">
          <w:pPr>
            <w:pStyle w:val="TOC1"/>
            <w:tabs>
              <w:tab w:val="right" w:leader="dot" w:pos="9016"/>
            </w:tabs>
            <w:rPr>
              <w:noProof/>
            </w:rPr>
          </w:pPr>
          <w:hyperlink w:anchor="_Toc234679290" w:history="1">
            <w:r w:rsidRPr="00DB22FD">
              <w:rPr>
                <w:rStyle w:val="Hyperlink"/>
                <w:noProof/>
              </w:rPr>
              <w:t>5. Stakeholder Analysis</w:t>
            </w:r>
            <w:r w:rsidRPr="00DB22FD">
              <w:rPr>
                <w:noProof/>
                <w:webHidden/>
              </w:rPr>
              <w:tab/>
            </w:r>
            <w:r w:rsidRPr="00DB22FD">
              <w:rPr>
                <w:noProof/>
                <w:webHidden/>
              </w:rPr>
              <w:fldChar w:fldCharType="begin"/>
            </w:r>
            <w:r w:rsidRPr="00DB22FD">
              <w:rPr>
                <w:noProof/>
                <w:webHidden/>
              </w:rPr>
              <w:instrText xml:space="preserve"> PAGEREF _Toc234679290 \h </w:instrText>
            </w:r>
            <w:r w:rsidRPr="00DB22FD">
              <w:rPr>
                <w:noProof/>
                <w:webHidden/>
              </w:rPr>
              <w:fldChar w:fldCharType="separate"/>
            </w:r>
            <w:r w:rsidRPr="00DB22FD">
              <w:rPr>
                <w:noProof/>
                <w:webHidden/>
              </w:rPr>
              <w:t>12</w:t>
            </w:r>
            <w:r w:rsidRPr="00DB22FD">
              <w:rPr>
                <w:noProof/>
                <w:webHidden/>
              </w:rPr>
              <w:fldChar w:fldCharType="end"/>
            </w:r>
          </w:hyperlink>
        </w:p>
        <w:p w:rsidR="00DB22FD" w:rsidRPr="00DB22FD" w14:paraId="0BA7616A" w14:textId="77483E59">
          <w:pPr>
            <w:pStyle w:val="TOC1"/>
            <w:tabs>
              <w:tab w:val="right" w:leader="dot" w:pos="9016"/>
            </w:tabs>
            <w:rPr>
              <w:noProof/>
            </w:rPr>
          </w:pPr>
          <w:hyperlink w:anchor="_Toc234679291" w:history="1">
            <w:r w:rsidRPr="00DB22FD">
              <w:rPr>
                <w:rStyle w:val="Hyperlink"/>
                <w:noProof/>
              </w:rPr>
              <w:t>6. Implementation and Monitoring</w:t>
            </w:r>
            <w:r w:rsidRPr="00DB22FD">
              <w:rPr>
                <w:noProof/>
                <w:webHidden/>
              </w:rPr>
              <w:tab/>
            </w:r>
            <w:r w:rsidRPr="00DB22FD">
              <w:rPr>
                <w:noProof/>
                <w:webHidden/>
              </w:rPr>
              <w:fldChar w:fldCharType="begin"/>
            </w:r>
            <w:r w:rsidRPr="00DB22FD">
              <w:rPr>
                <w:noProof/>
                <w:webHidden/>
              </w:rPr>
              <w:instrText xml:space="preserve"> PAGEREF _Toc234679291 \h </w:instrText>
            </w:r>
            <w:r w:rsidRPr="00DB22FD">
              <w:rPr>
                <w:noProof/>
                <w:webHidden/>
              </w:rPr>
              <w:fldChar w:fldCharType="separate"/>
            </w:r>
            <w:r w:rsidRPr="00DB22FD">
              <w:rPr>
                <w:noProof/>
                <w:webHidden/>
              </w:rPr>
              <w:t>14</w:t>
            </w:r>
            <w:r w:rsidRPr="00DB22FD">
              <w:rPr>
                <w:noProof/>
                <w:webHidden/>
              </w:rPr>
              <w:fldChar w:fldCharType="end"/>
            </w:r>
          </w:hyperlink>
        </w:p>
        <w:p w:rsidR="00DB22FD" w:rsidRPr="00DB22FD" w14:paraId="2F50C499" w14:textId="17FE933F">
          <w:pPr>
            <w:pStyle w:val="TOC1"/>
            <w:tabs>
              <w:tab w:val="right" w:leader="dot" w:pos="9016"/>
            </w:tabs>
            <w:rPr>
              <w:noProof/>
            </w:rPr>
          </w:pPr>
          <w:hyperlink w:anchor="_Toc234679292" w:history="1">
            <w:r w:rsidRPr="00DB22FD">
              <w:rPr>
                <w:rStyle w:val="Hyperlink"/>
                <w:noProof/>
              </w:rPr>
              <w:t>7. Conclusion</w:t>
            </w:r>
            <w:r w:rsidRPr="00DB22FD">
              <w:rPr>
                <w:noProof/>
                <w:webHidden/>
              </w:rPr>
              <w:tab/>
            </w:r>
            <w:r w:rsidRPr="00DB22FD">
              <w:rPr>
                <w:noProof/>
                <w:webHidden/>
              </w:rPr>
              <w:fldChar w:fldCharType="begin"/>
            </w:r>
            <w:r w:rsidRPr="00DB22FD">
              <w:rPr>
                <w:noProof/>
                <w:webHidden/>
              </w:rPr>
              <w:instrText xml:space="preserve"> PAGEREF _Toc234679292 \h </w:instrText>
            </w:r>
            <w:r w:rsidRPr="00DB22FD">
              <w:rPr>
                <w:noProof/>
                <w:webHidden/>
              </w:rPr>
              <w:fldChar w:fldCharType="separate"/>
            </w:r>
            <w:r w:rsidRPr="00DB22FD">
              <w:rPr>
                <w:noProof/>
                <w:webHidden/>
              </w:rPr>
              <w:t>16</w:t>
            </w:r>
            <w:r w:rsidRPr="00DB22FD">
              <w:rPr>
                <w:noProof/>
                <w:webHidden/>
              </w:rPr>
              <w:fldChar w:fldCharType="end"/>
            </w:r>
          </w:hyperlink>
        </w:p>
        <w:p w:rsidR="00DB22FD" w:rsidRPr="00DB22FD" w14:paraId="4892F80D" w14:textId="3375CE7B">
          <w:pPr>
            <w:pStyle w:val="TOC1"/>
            <w:tabs>
              <w:tab w:val="right" w:leader="dot" w:pos="9016"/>
            </w:tabs>
            <w:rPr>
              <w:noProof/>
            </w:rPr>
          </w:pPr>
          <w:hyperlink w:anchor="_Toc234679293" w:history="1">
            <w:r w:rsidRPr="00DB22FD">
              <w:rPr>
                <w:rStyle w:val="Hyperlink"/>
                <w:noProof/>
              </w:rPr>
              <w:t>References</w:t>
            </w:r>
            <w:r w:rsidRPr="00DB22FD">
              <w:rPr>
                <w:noProof/>
                <w:webHidden/>
              </w:rPr>
              <w:tab/>
            </w:r>
            <w:r w:rsidRPr="00DB22FD">
              <w:rPr>
                <w:noProof/>
                <w:webHidden/>
              </w:rPr>
              <w:fldChar w:fldCharType="begin"/>
            </w:r>
            <w:r w:rsidRPr="00DB22FD">
              <w:rPr>
                <w:noProof/>
                <w:webHidden/>
              </w:rPr>
              <w:instrText xml:space="preserve"> PAGEREF _Toc234679293 \h </w:instrText>
            </w:r>
            <w:r w:rsidRPr="00DB22FD">
              <w:rPr>
                <w:noProof/>
                <w:webHidden/>
              </w:rPr>
              <w:fldChar w:fldCharType="separate"/>
            </w:r>
            <w:r w:rsidRPr="00DB22FD">
              <w:rPr>
                <w:noProof/>
                <w:webHidden/>
              </w:rPr>
              <w:t>18</w:t>
            </w:r>
            <w:r w:rsidRPr="00DB22FD">
              <w:rPr>
                <w:noProof/>
                <w:webHidden/>
              </w:rPr>
              <w:fldChar w:fldCharType="end"/>
            </w:r>
          </w:hyperlink>
        </w:p>
        <w:p w:rsidR="00DB22FD" w:rsidRPr="00DB22FD" w14:paraId="19F266B4" w14:textId="497F20B2">
          <w:r w:rsidRPr="00DB22FD">
            <w:rPr>
              <w:noProof/>
            </w:rPr>
            <w:fldChar w:fldCharType="end"/>
          </w:r>
        </w:p>
      </w:sdtContent>
    </w:sdt>
    <w:p w:rsidR="006C4769" w:rsidRPr="007F7B11" w:rsidP="007F7B11" w14:paraId="6E089FA9" w14:textId="77777777">
      <w:pPr>
        <w:spacing w:line="360" w:lineRule="auto"/>
        <w:jc w:val="both"/>
        <w:rPr>
          <w:rFonts w:ascii="Arial" w:hAnsi="Arial" w:cs="Arial"/>
        </w:rPr>
      </w:pPr>
    </w:p>
    <w:p w:rsidR="006C4769" w:rsidRPr="007F7B11" w:rsidP="007F7B11" w14:paraId="074E0E2A" w14:textId="77777777">
      <w:pPr>
        <w:spacing w:line="360" w:lineRule="auto"/>
        <w:jc w:val="both"/>
        <w:rPr>
          <w:rFonts w:ascii="Arial" w:hAnsi="Arial" w:cs="Arial"/>
        </w:rPr>
      </w:pPr>
    </w:p>
    <w:p w:rsidR="006C4769" w:rsidRPr="007F7B11" w:rsidP="007F7B11" w14:paraId="1084EBEE" w14:textId="77777777">
      <w:pPr>
        <w:spacing w:line="360" w:lineRule="auto"/>
        <w:jc w:val="both"/>
        <w:rPr>
          <w:rFonts w:ascii="Arial" w:hAnsi="Arial" w:cs="Arial"/>
        </w:rPr>
      </w:pPr>
    </w:p>
    <w:p w:rsidR="006C4769" w:rsidRPr="007F7B11" w:rsidP="007F7B11" w14:paraId="19EA63A9" w14:textId="77777777">
      <w:pPr>
        <w:spacing w:line="360" w:lineRule="auto"/>
        <w:jc w:val="both"/>
        <w:rPr>
          <w:rFonts w:ascii="Arial" w:hAnsi="Arial" w:cs="Arial"/>
        </w:rPr>
      </w:pPr>
    </w:p>
    <w:p w:rsidR="006C4769" w:rsidRPr="007F7B11" w:rsidP="007F7B11" w14:paraId="62091741" w14:textId="77777777">
      <w:pPr>
        <w:spacing w:line="360" w:lineRule="auto"/>
        <w:jc w:val="both"/>
        <w:rPr>
          <w:rFonts w:ascii="Arial" w:hAnsi="Arial" w:cs="Arial"/>
        </w:rPr>
      </w:pPr>
    </w:p>
    <w:p w:rsidR="006C4769" w:rsidRPr="007F7B11" w:rsidP="007F7B11" w14:paraId="274AE1C0" w14:textId="77777777">
      <w:pPr>
        <w:spacing w:line="360" w:lineRule="auto"/>
        <w:jc w:val="both"/>
        <w:rPr>
          <w:rFonts w:ascii="Arial" w:hAnsi="Arial" w:cs="Arial"/>
        </w:rPr>
      </w:pPr>
    </w:p>
    <w:p w:rsidR="006C4769" w:rsidRPr="007F7B11" w:rsidP="007F7B11" w14:paraId="25E993DE" w14:textId="77777777">
      <w:pPr>
        <w:spacing w:line="360" w:lineRule="auto"/>
        <w:jc w:val="both"/>
        <w:rPr>
          <w:rFonts w:ascii="Arial" w:hAnsi="Arial" w:cs="Arial"/>
        </w:rPr>
      </w:pPr>
    </w:p>
    <w:p w:rsidR="006C4769" w:rsidRPr="007F7B11" w:rsidP="007F7B11" w14:paraId="349C30F7" w14:textId="77777777">
      <w:pPr>
        <w:spacing w:line="360" w:lineRule="auto"/>
        <w:jc w:val="both"/>
        <w:rPr>
          <w:rFonts w:ascii="Arial" w:hAnsi="Arial" w:cs="Arial"/>
        </w:rPr>
      </w:pPr>
    </w:p>
    <w:p w:rsidR="006C4769" w:rsidRPr="007F7B11" w:rsidP="007F7B11" w14:paraId="4F3CC170" w14:textId="77777777">
      <w:pPr>
        <w:spacing w:line="360" w:lineRule="auto"/>
        <w:jc w:val="both"/>
        <w:rPr>
          <w:rFonts w:ascii="Arial" w:hAnsi="Arial" w:cs="Arial"/>
        </w:rPr>
      </w:pPr>
    </w:p>
    <w:p w:rsidR="006C4769" w:rsidRPr="007F7B11" w:rsidP="007F7B11" w14:paraId="6B552D62" w14:textId="77777777">
      <w:pPr>
        <w:spacing w:line="360" w:lineRule="auto"/>
        <w:jc w:val="both"/>
        <w:rPr>
          <w:rFonts w:ascii="Arial" w:hAnsi="Arial" w:cs="Arial"/>
        </w:rPr>
      </w:pPr>
    </w:p>
    <w:p w:rsidR="006C4769" w:rsidRPr="007F7B11" w:rsidP="007F7B11" w14:paraId="4B9E14F6" w14:textId="77777777">
      <w:pPr>
        <w:spacing w:line="360" w:lineRule="auto"/>
        <w:jc w:val="both"/>
        <w:rPr>
          <w:rFonts w:ascii="Arial" w:hAnsi="Arial" w:cs="Arial"/>
        </w:rPr>
      </w:pPr>
      <w:r w:rsidRPr="007F7B11">
        <w:rPr>
          <w:rFonts w:ascii="Arial" w:hAnsi="Arial" w:cs="Arial"/>
        </w:rPr>
        <w:br w:type="page"/>
      </w:r>
    </w:p>
    <w:p w:rsidR="006109CC" w:rsidRPr="007F7B11" w:rsidP="007F7B11" w14:paraId="4018E7F1" w14:textId="3DBB0AE7">
      <w:pPr>
        <w:pStyle w:val="Heading1"/>
        <w:rPr>
          <w:b/>
          <w:bCs/>
          <w:color w:val="auto"/>
        </w:rPr>
      </w:pPr>
      <w:bookmarkStart w:id="1" w:name="_Toc234679280"/>
      <w:r w:rsidRPr="007F7B11">
        <w:rPr>
          <w:b/>
          <w:bCs/>
          <w:color w:val="auto"/>
        </w:rPr>
        <w:t>1. Introduction to Vodafone</w:t>
      </w:r>
      <w:bookmarkEnd w:id="1"/>
    </w:p>
    <w:p w:rsidR="006109CC" w:rsidRPr="007F7B11" w:rsidP="007F7B11" w14:paraId="1686D6B4" w14:textId="77777777">
      <w:pPr>
        <w:spacing w:line="360" w:lineRule="auto"/>
        <w:jc w:val="both"/>
        <w:rPr>
          <w:rFonts w:ascii="Arial" w:hAnsi="Arial" w:cs="Arial"/>
        </w:rPr>
      </w:pPr>
    </w:p>
    <w:p w:rsidR="006109CC" w:rsidRPr="007F7B11" w:rsidP="007F7B11" w14:paraId="4DE77C2D" w14:textId="77777777">
      <w:pPr>
        <w:spacing w:line="360" w:lineRule="auto"/>
        <w:ind w:firstLine="720"/>
        <w:jc w:val="both"/>
        <w:rPr>
          <w:rFonts w:ascii="Arial" w:hAnsi="Arial" w:cs="Arial"/>
        </w:rPr>
      </w:pPr>
      <w:r w:rsidRPr="007F7B11">
        <w:rPr>
          <w:rFonts w:ascii="Arial" w:hAnsi="Arial" w:cs="Arial"/>
        </w:rPr>
        <w:t xml:space="preserve">Vodafone Group Plc is one of the largest multinational telecommunications companies, offering mobile, broadband, fixed-line and digital solutions across Europe and Africa. It has more than 330 million mobile customers and is making digital connectivity, enterprise solutions and technological innovation core pillars in the creation of long-term value (Vodafone, 2025). The merger between Vodafone UK and Three UK is a major strategic shift in the UK, forming a single company known as </w:t>
      </w:r>
      <w:r w:rsidRPr="007F7B11">
        <w:rPr>
          <w:rFonts w:ascii="Arial" w:hAnsi="Arial" w:cs="Arial"/>
        </w:rPr>
        <w:t>VodafoneThree</w:t>
      </w:r>
      <w:r w:rsidRPr="007F7B11">
        <w:rPr>
          <w:rFonts w:ascii="Arial" w:hAnsi="Arial" w:cs="Arial"/>
        </w:rPr>
        <w:t>, which will be the country's largest mobile network operator. The united body plans to spend £11bn in the next 10 years on standing up standalone fifth generation (5G) infrastructure, boosting digital capability and the country's connectivity (Vodafone, 2025a).</w:t>
      </w:r>
    </w:p>
    <w:p w:rsidR="006109CC" w:rsidRPr="007F7B11" w:rsidP="007F7B11" w14:paraId="6D98E7EB" w14:textId="77777777">
      <w:pPr>
        <w:spacing w:line="360" w:lineRule="auto"/>
        <w:ind w:firstLine="720"/>
        <w:jc w:val="both"/>
        <w:rPr>
          <w:rFonts w:ascii="Arial" w:hAnsi="Arial" w:cs="Arial"/>
        </w:rPr>
      </w:pPr>
      <w:r w:rsidRPr="007F7B11">
        <w:rPr>
          <w:rFonts w:ascii="Arial" w:hAnsi="Arial" w:cs="Arial"/>
        </w:rPr>
        <w:t>Vodafone's corporate vision is to connect for a better future, a strategy that is focused on providing sustainable economic and social value through digital technologies. Organisational values underpin this purpose and include a focus on the customer, innovation, simplicity, speed and trust, all of which underpin strategic decision making and organisational development (Vodafone, 2025). However, the UK telecommunications market is facing significant pressures to fulfil these strategic goals, with the market being saturated, competitive prices being driven, technology advancing quickly, and government regulation becoming stricter (Johnson et al. 2020; Ofcom 2024).</w:t>
      </w:r>
    </w:p>
    <w:p w:rsidR="006109CC" w:rsidRPr="007F7B11" w:rsidP="007F7B11" w14:paraId="6C243640" w14:textId="77777777">
      <w:pPr>
        <w:spacing w:line="360" w:lineRule="auto"/>
        <w:ind w:firstLine="720"/>
        <w:jc w:val="both"/>
        <w:rPr>
          <w:rFonts w:ascii="Arial" w:hAnsi="Arial" w:cs="Arial"/>
        </w:rPr>
      </w:pPr>
      <w:r w:rsidRPr="007F7B11">
        <w:rPr>
          <w:rFonts w:ascii="Arial" w:hAnsi="Arial" w:cs="Arial"/>
        </w:rPr>
        <w:t xml:space="preserve">Network infrastructure and economies of scale can no longer provide sustainable competitive advantage, therefore. Rather, the key to long-term success will be the successful combination of the organisation's resources, ongoing innovation, and the creation of unique customer value propositions. Hence, this report aims at critically assessing the strategic position of </w:t>
      </w:r>
      <w:r w:rsidRPr="007F7B11">
        <w:rPr>
          <w:rFonts w:ascii="Arial" w:hAnsi="Arial" w:cs="Arial"/>
        </w:rPr>
        <w:t>VodafoneThree</w:t>
      </w:r>
      <w:r w:rsidRPr="007F7B11">
        <w:rPr>
          <w:rFonts w:ascii="Arial" w:hAnsi="Arial" w:cs="Arial"/>
        </w:rPr>
        <w:t xml:space="preserve"> and then prescribe evidence-based growth strategies which can support the sustainable growth of the organisation.</w:t>
      </w:r>
    </w:p>
    <w:p w:rsidR="006109CC" w:rsidRPr="007F7B11" w:rsidP="007F7B11" w14:paraId="44422BC9" w14:textId="77777777">
      <w:pPr>
        <w:spacing w:line="360" w:lineRule="auto"/>
        <w:jc w:val="both"/>
        <w:rPr>
          <w:rFonts w:ascii="Arial" w:hAnsi="Arial" w:cs="Arial"/>
        </w:rPr>
      </w:pPr>
    </w:p>
    <w:p w:rsidR="006109CC" w:rsidRPr="007F7B11" w:rsidP="007F7B11" w14:paraId="3996A5A5" w14:textId="77777777">
      <w:pPr>
        <w:pStyle w:val="Heading1"/>
        <w:rPr>
          <w:b/>
          <w:bCs/>
          <w:color w:val="auto"/>
        </w:rPr>
      </w:pPr>
      <w:bookmarkStart w:id="2" w:name="_Toc234679281"/>
      <w:r w:rsidRPr="007F7B11">
        <w:rPr>
          <w:b/>
          <w:bCs/>
          <w:color w:val="auto"/>
        </w:rPr>
        <w:t>2. Evaluation of the Current Market Situation</w:t>
      </w:r>
      <w:bookmarkEnd w:id="2"/>
    </w:p>
    <w:p w:rsidR="006109CC" w:rsidRPr="007F7B11" w:rsidP="007F7B11" w14:paraId="635D8CCC" w14:textId="77777777">
      <w:pPr>
        <w:pStyle w:val="Heading2"/>
        <w:rPr>
          <w:b/>
          <w:bCs/>
          <w:color w:val="auto"/>
        </w:rPr>
      </w:pPr>
      <w:bookmarkStart w:id="3" w:name="_Toc234679282"/>
      <w:r w:rsidRPr="007F7B11">
        <w:rPr>
          <w:b/>
          <w:bCs/>
          <w:color w:val="auto"/>
        </w:rPr>
        <w:t>2.1 External Environment Analysis (PESTLE)</w:t>
      </w:r>
      <w:bookmarkEnd w:id="3"/>
    </w:p>
    <w:p w:rsidR="006109CC" w:rsidRPr="007F7B11" w:rsidP="007F7B11" w14:paraId="16EF507E" w14:textId="77777777">
      <w:pPr>
        <w:spacing w:line="360" w:lineRule="auto"/>
        <w:jc w:val="both"/>
        <w:rPr>
          <w:rFonts w:ascii="Arial" w:hAnsi="Arial" w:cs="Arial"/>
        </w:rPr>
      </w:pPr>
    </w:p>
    <w:p w:rsidR="006109CC" w:rsidRPr="007F7B11" w:rsidP="007F7B11" w14:paraId="75EFB834" w14:textId="77777777">
      <w:pPr>
        <w:spacing w:line="360" w:lineRule="auto"/>
        <w:ind w:firstLine="720"/>
        <w:jc w:val="both"/>
        <w:rPr>
          <w:rFonts w:ascii="Arial" w:hAnsi="Arial" w:cs="Arial"/>
        </w:rPr>
      </w:pPr>
      <w:r w:rsidRPr="007F7B11">
        <w:rPr>
          <w:rFonts w:ascii="Arial" w:hAnsi="Arial" w:cs="Arial"/>
        </w:rPr>
        <w:t xml:space="preserve">Strategic flexibility is needed to maintain competitive advantage, as the external environment in which </w:t>
      </w:r>
      <w:r w:rsidRPr="007F7B11">
        <w:rPr>
          <w:rFonts w:ascii="Arial" w:hAnsi="Arial" w:cs="Arial"/>
        </w:rPr>
        <w:t>VodafoneThree</w:t>
      </w:r>
      <w:r w:rsidRPr="007F7B11">
        <w:rPr>
          <w:rFonts w:ascii="Arial" w:hAnsi="Arial" w:cs="Arial"/>
        </w:rPr>
        <w:t xml:space="preserve"> operates is highly uncertain and volatile in terms of technological shifts. The PESTLE framework from a strategic management point of view shows that political, economic, technological and regulatory aspects are the most influential factors affecting the performance of the organisations in the United Kingdom telecommunication sector (Johnson et al., 2020).</w:t>
      </w:r>
    </w:p>
    <w:p w:rsidR="006109CC" w:rsidRPr="007F7B11" w:rsidP="00DB22FD" w14:paraId="62543289" w14:textId="77777777">
      <w:pPr>
        <w:spacing w:line="360" w:lineRule="auto"/>
        <w:ind w:firstLine="720"/>
        <w:jc w:val="both"/>
        <w:rPr>
          <w:rFonts w:ascii="Arial" w:hAnsi="Arial" w:cs="Arial"/>
        </w:rPr>
      </w:pPr>
      <w:r w:rsidRPr="007F7B11">
        <w:rPr>
          <w:rFonts w:ascii="Arial" w:hAnsi="Arial" w:cs="Arial"/>
        </w:rPr>
        <w:t xml:space="preserve">Political and regulatory influences are becoming more prominent since approval of the Vodafone UK and Three UK merger by the United Kingdom Competition and Markets Authority. </w:t>
      </w:r>
      <w:r w:rsidRPr="007F7B11">
        <w:rPr>
          <w:rFonts w:ascii="Arial" w:hAnsi="Arial" w:cs="Arial"/>
        </w:rPr>
        <w:t>VodafoneThree</w:t>
      </w:r>
      <w:r w:rsidRPr="007F7B11">
        <w:rPr>
          <w:rFonts w:ascii="Arial" w:hAnsi="Arial" w:cs="Arial"/>
        </w:rPr>
        <w:t xml:space="preserve"> is required to make legally binding commitments to network investment, pricing protection and service quality enhancements, which should help alleviate concerns about concentration, and support long-term investment in infrastructure (Competition and Markets Authority, 2024). It is, therefore, a strategic restriction but also a possibility for regulatory supervision to add operational requirements and provide investors and consumers with more confidence.</w:t>
      </w:r>
    </w:p>
    <w:p w:rsidR="006109CC" w:rsidRPr="007F7B11" w:rsidP="00DB22FD" w14:paraId="17B23A32" w14:textId="7FC4CDBB">
      <w:pPr>
        <w:spacing w:line="360" w:lineRule="auto"/>
        <w:ind w:firstLine="720"/>
        <w:jc w:val="both"/>
        <w:rPr>
          <w:rFonts w:ascii="Arial" w:hAnsi="Arial" w:cs="Arial"/>
        </w:rPr>
      </w:pPr>
      <w:r w:rsidRPr="007F7B11">
        <w:rPr>
          <w:rFonts w:ascii="Arial" w:hAnsi="Arial" w:cs="Arial"/>
        </w:rPr>
        <w:t xml:space="preserve">There are continuing economic pressures. Operational expenditure (OPEX) has risen throughout the telecommunications sector due to persistent inflation and higher energy costs and borrowing rates, especially given the need for significant investment in network infrastructure (Ofcom, 2024). However, the demand for digital connectivity continues to be </w:t>
      </w:r>
      <w:r w:rsidRPr="007F7B11">
        <w:rPr>
          <w:rFonts w:ascii="Arial" w:hAnsi="Arial" w:cs="Arial"/>
        </w:rPr>
        <w:t>fairly price-insensitive</w:t>
      </w:r>
      <w:r w:rsidRPr="007F7B11">
        <w:rPr>
          <w:rFonts w:ascii="Arial" w:hAnsi="Arial" w:cs="Arial"/>
        </w:rPr>
        <w:t xml:space="preserve">, which helps keep telecom operators' revenue levels reasonably flat amid broad market uncertainty. The potential </w:t>
      </w:r>
      <w:r w:rsidRPr="007F7B11" w:rsidR="00DB22FD">
        <w:rPr>
          <w:rFonts w:ascii="Arial" w:hAnsi="Arial" w:cs="Arial"/>
        </w:rPr>
        <w:t>post-merger</w:t>
      </w:r>
      <w:r w:rsidRPr="007F7B11">
        <w:rPr>
          <w:rFonts w:ascii="Arial" w:hAnsi="Arial" w:cs="Arial"/>
        </w:rPr>
        <w:t xml:space="preserve"> cost efficiencies of c. £700 million per annum in the future could therefore boost operational efficiency and enhance the long-term profitability (Vodafone, 2025).</w:t>
      </w:r>
    </w:p>
    <w:p w:rsidR="006109CC" w:rsidRPr="007F7B11" w:rsidP="00DB22FD" w14:paraId="6AE0E9F1" w14:textId="77777777">
      <w:pPr>
        <w:spacing w:line="360" w:lineRule="auto"/>
        <w:ind w:firstLine="720"/>
        <w:jc w:val="both"/>
        <w:rPr>
          <w:rFonts w:ascii="Arial" w:hAnsi="Arial" w:cs="Arial"/>
        </w:rPr>
      </w:pPr>
      <w:r w:rsidRPr="007F7B11">
        <w:rPr>
          <w:rFonts w:ascii="Arial" w:hAnsi="Arial" w:cs="Arial"/>
        </w:rPr>
        <w:t xml:space="preserve">Social is now playing a greater role in competitive positioning due to consumers' expectation of seamless digital experiences, high-speed connectivity and personalised services across devices. Additionally, the advent of remote working, digital healthcare, online education and entertainment has significantly boosted reliance on the mobile network of future reliability (Deloitte, 2024). This has led to a </w:t>
      </w:r>
      <w:r w:rsidRPr="007F7B11">
        <w:rPr>
          <w:rFonts w:ascii="Arial" w:hAnsi="Arial" w:cs="Arial"/>
        </w:rPr>
        <w:t>shift from customer experience being an operational goal to it becoming a strategic capability that impacts on retention and market differentiation.</w:t>
      </w:r>
    </w:p>
    <w:p w:rsidR="006109CC" w:rsidRPr="007F7B11" w:rsidP="00DB22FD" w14:paraId="0F538CD5" w14:textId="77777777">
      <w:pPr>
        <w:spacing w:line="360" w:lineRule="auto"/>
        <w:ind w:firstLine="720"/>
        <w:jc w:val="both"/>
        <w:rPr>
          <w:rFonts w:ascii="Arial" w:hAnsi="Arial" w:cs="Arial"/>
        </w:rPr>
      </w:pPr>
      <w:r w:rsidRPr="007F7B11">
        <w:rPr>
          <w:rFonts w:ascii="Arial" w:hAnsi="Arial" w:cs="Arial"/>
        </w:rPr>
        <w:t xml:space="preserve">The most impactful external factor for </w:t>
      </w:r>
      <w:r w:rsidRPr="007F7B11">
        <w:rPr>
          <w:rFonts w:ascii="Arial" w:hAnsi="Arial" w:cs="Arial"/>
        </w:rPr>
        <w:t>VodafoneThree</w:t>
      </w:r>
      <w:r w:rsidRPr="007F7B11">
        <w:rPr>
          <w:rFonts w:ascii="Arial" w:hAnsi="Arial" w:cs="Arial"/>
        </w:rPr>
        <w:t xml:space="preserve"> is technological developments. The standalone 5G network, AI, cloud, edge, and IoT technologies are reshaping the consumer and enterprise markets (GSMA, 2024). Investment of £11b in network infrastructure is then not just about capacity growth, but also a strategic investment in building a future digital ecosystem that will enable new autonomous transport, smart city, industrial automation and advanced enterprise connectivity options (Vodafone, 2025a). But if technological leadership is to be maintained, it requires constant innovation and good commercialisation – it is not enough to make one-off investments in infrastructure.</w:t>
      </w:r>
    </w:p>
    <w:p w:rsidR="006109CC" w:rsidRPr="007F7B11" w:rsidP="007F7B11" w14:paraId="134E85DF" w14:textId="77777777">
      <w:pPr>
        <w:spacing w:line="360" w:lineRule="auto"/>
        <w:jc w:val="both"/>
        <w:rPr>
          <w:rFonts w:ascii="Arial" w:hAnsi="Arial" w:cs="Arial"/>
        </w:rPr>
      </w:pPr>
    </w:p>
    <w:p w:rsidR="006109CC" w:rsidRPr="00DB22FD" w:rsidP="00DB22FD" w14:paraId="46728238" w14:textId="77777777">
      <w:pPr>
        <w:pStyle w:val="Heading2"/>
        <w:rPr>
          <w:b/>
          <w:bCs/>
          <w:color w:val="auto"/>
        </w:rPr>
      </w:pPr>
      <w:bookmarkStart w:id="4" w:name="_Toc234679283"/>
      <w:r w:rsidRPr="00DB22FD">
        <w:rPr>
          <w:b/>
          <w:bCs/>
          <w:color w:val="auto"/>
        </w:rPr>
        <w:t>2.2 Industry Competitiveness: Porter's Five Forces</w:t>
      </w:r>
      <w:bookmarkEnd w:id="4"/>
    </w:p>
    <w:p w:rsidR="006109CC" w:rsidRPr="007F7B11" w:rsidP="007F7B11" w14:paraId="31FA7FC0" w14:textId="77777777">
      <w:pPr>
        <w:spacing w:line="360" w:lineRule="auto"/>
        <w:jc w:val="both"/>
        <w:rPr>
          <w:rFonts w:ascii="Arial" w:hAnsi="Arial" w:cs="Arial"/>
        </w:rPr>
      </w:pPr>
    </w:p>
    <w:p w:rsidR="006109CC" w:rsidRPr="007F7B11" w:rsidP="00DB22FD" w14:paraId="7203C7AE" w14:textId="77777777">
      <w:pPr>
        <w:spacing w:line="360" w:lineRule="auto"/>
        <w:ind w:firstLine="720"/>
        <w:jc w:val="both"/>
        <w:rPr>
          <w:rFonts w:ascii="Arial" w:hAnsi="Arial" w:cs="Arial"/>
        </w:rPr>
      </w:pPr>
      <w:r w:rsidRPr="007F7B11">
        <w:rPr>
          <w:rFonts w:ascii="Arial" w:hAnsi="Arial" w:cs="Arial"/>
        </w:rPr>
        <w:t xml:space="preserve">The </w:t>
      </w:r>
      <w:r w:rsidRPr="007F7B11">
        <w:rPr>
          <w:rFonts w:ascii="Arial" w:hAnsi="Arial" w:cs="Arial"/>
        </w:rPr>
        <w:t>VodafoneThree</w:t>
      </w:r>
      <w:r w:rsidRPr="007F7B11">
        <w:rPr>
          <w:rFonts w:ascii="Arial" w:hAnsi="Arial" w:cs="Arial"/>
        </w:rPr>
        <w:t xml:space="preserve"> merger has affected the structure of the telecommunications industry in the United Kingdom, but this does not mean the industry is less competitive, as demonstrated by Porter's Five Forces analysis. While the number of major mobile network operators has decreased, competitive rivalry is high, as organisations don't just compete on market share but on price, quality of their services and networks, innovation and customer experience (Porter, 2008; Johnson et al., 2020).</w:t>
      </w:r>
    </w:p>
    <w:p w:rsidR="000D639A" w:rsidRPr="007F7B11" w:rsidP="00DB22FD" w14:paraId="5C14123D" w14:textId="0DCEF127">
      <w:pPr>
        <w:spacing w:line="360" w:lineRule="auto"/>
        <w:ind w:firstLine="720"/>
        <w:jc w:val="both"/>
        <w:rPr>
          <w:rFonts w:ascii="Arial" w:hAnsi="Arial" w:cs="Arial"/>
        </w:rPr>
      </w:pPr>
      <w:r w:rsidRPr="007F7B11">
        <w:rPr>
          <w:rFonts w:ascii="Arial" w:hAnsi="Arial" w:cs="Arial"/>
        </w:rPr>
        <w:t xml:space="preserve">Competition is the greatest factor impacting </w:t>
      </w:r>
      <w:r w:rsidRPr="007F7B11">
        <w:rPr>
          <w:rFonts w:ascii="Arial" w:hAnsi="Arial" w:cs="Arial"/>
        </w:rPr>
        <w:t>VodafoneThree</w:t>
      </w:r>
      <w:r w:rsidRPr="007F7B11">
        <w:rPr>
          <w:rFonts w:ascii="Arial" w:hAnsi="Arial" w:cs="Arial"/>
        </w:rPr>
        <w:t>. BT/EE and Virgin Media O2 are the latest to heavily invest in fifth generation network infrastructure, fibre broadband and digital service innovation to stand out in the market (Ofcom, 2024). Thus, merely providing a broad network is not a viable way to establish sustainable competitive advantage as capabilities can be copied by ongoing investments. Long-term differentiation, however, will be achieved through better customer experiences, seamless digital service and the successful commercialisation of new technologies like artificial intelligence and Internet of Things solutions, according to Deloitte (2024).</w:t>
      </w:r>
    </w:p>
    <w:p w:rsidR="000F6008" w:rsidRPr="007F7B11" w:rsidP="007F7B11" w14:paraId="32D8135C" w14:textId="791CA3A0">
      <w:pPr>
        <w:spacing w:line="360" w:lineRule="auto"/>
        <w:jc w:val="both"/>
        <w:rPr>
          <w:rFonts w:ascii="Arial" w:hAnsi="Arial" w:cs="Arial"/>
        </w:rPr>
      </w:pPr>
      <w:r>
        <w:rPr>
          <w:rFonts w:ascii="Arial" w:hAnsi="Arial" w:cs="Arial"/>
        </w:rPr>
        <w:tab/>
      </w:r>
      <w:r w:rsidRPr="007F7B11">
        <w:rPr>
          <w:rFonts w:ascii="Arial" w:hAnsi="Arial" w:cs="Arial"/>
        </w:rPr>
        <w:t xml:space="preserve">Customers have about as much power as they can have: the switching costs are low, and consumers can shop around for the best networks and services by using </w:t>
      </w:r>
      <w:r w:rsidRPr="007F7B11">
        <w:rPr>
          <w:rFonts w:ascii="Arial" w:hAnsi="Arial" w:cs="Arial"/>
        </w:rPr>
        <w:t xml:space="preserve">several electronic channels. Operators have also faced further pressure to keep their charges competitive </w:t>
      </w:r>
      <w:r w:rsidRPr="007F7B11">
        <w:rPr>
          <w:rFonts w:ascii="Arial" w:hAnsi="Arial" w:cs="Arial"/>
        </w:rPr>
        <w:t>as a result of</w:t>
      </w:r>
      <w:r w:rsidRPr="007F7B11">
        <w:rPr>
          <w:rFonts w:ascii="Arial" w:hAnsi="Arial" w:cs="Arial"/>
        </w:rPr>
        <w:t xml:space="preserve"> regulatory work around transparency and number portability, which has enhanced consumer choice (Ofcom 2024). The implication here is that customer loyalty is becoming </w:t>
      </w:r>
      <w:r w:rsidRPr="007F7B11">
        <w:rPr>
          <w:rFonts w:ascii="Arial" w:hAnsi="Arial" w:cs="Arial"/>
        </w:rPr>
        <w:t>more and more</w:t>
      </w:r>
      <w:r w:rsidRPr="007F7B11">
        <w:rPr>
          <w:rFonts w:ascii="Arial" w:hAnsi="Arial" w:cs="Arial"/>
        </w:rPr>
        <w:t xml:space="preserve"> customer value focused and </w:t>
      </w:r>
      <w:r w:rsidRPr="007F7B11">
        <w:rPr>
          <w:rFonts w:ascii="Arial" w:hAnsi="Arial" w:cs="Arial"/>
        </w:rPr>
        <w:t>less and less</w:t>
      </w:r>
      <w:r w:rsidRPr="007F7B11">
        <w:rPr>
          <w:rFonts w:ascii="Arial" w:hAnsi="Arial" w:cs="Arial"/>
        </w:rPr>
        <w:t xml:space="preserve"> contractually bound.</w:t>
      </w:r>
    </w:p>
    <w:p w:rsidR="000F6008" w:rsidRPr="007F7B11" w:rsidP="00DB22FD" w14:paraId="072DF7CF" w14:textId="77777777">
      <w:pPr>
        <w:spacing w:line="360" w:lineRule="auto"/>
        <w:ind w:firstLine="720"/>
        <w:jc w:val="both"/>
        <w:rPr>
          <w:rFonts w:ascii="Arial" w:hAnsi="Arial" w:cs="Arial"/>
        </w:rPr>
      </w:pPr>
      <w:r w:rsidRPr="007F7B11">
        <w:rPr>
          <w:rFonts w:ascii="Arial" w:hAnsi="Arial" w:cs="Arial"/>
        </w:rPr>
        <w:t xml:space="preserve">On the other hand, the threat of new entrants is comparatively low as it requires a high level of financial investment, licensing of spectrum and regulatory approval to enter the market (Porter, 2008). Likewise, the scale of </w:t>
      </w:r>
      <w:r w:rsidRPr="007F7B11">
        <w:rPr>
          <w:rFonts w:ascii="Arial" w:hAnsi="Arial" w:cs="Arial"/>
        </w:rPr>
        <w:t>VodafoneThree's</w:t>
      </w:r>
      <w:r w:rsidRPr="007F7B11">
        <w:rPr>
          <w:rFonts w:ascii="Arial" w:hAnsi="Arial" w:cs="Arial"/>
        </w:rPr>
        <w:t xml:space="preserve"> buying power after the merger has enhanced their negotiating strength with network equipment suppliers and technology partners, thereby reducing supplier power. But reliance on a limited group of global suppliers of infrastructure remains a risk for the organisation in terms of supply chain disruption and technological dependency (GSMA, 2024).</w:t>
      </w:r>
    </w:p>
    <w:p w:rsidR="000F6008" w:rsidRPr="007F7B11" w:rsidP="00DB22FD" w14:paraId="51D350A4" w14:textId="77777777">
      <w:pPr>
        <w:spacing w:line="360" w:lineRule="auto"/>
        <w:ind w:firstLine="720"/>
        <w:jc w:val="both"/>
        <w:rPr>
          <w:rFonts w:ascii="Arial" w:hAnsi="Arial" w:cs="Arial"/>
        </w:rPr>
      </w:pPr>
      <w:r w:rsidRPr="007F7B11">
        <w:rPr>
          <w:rFonts w:ascii="Arial" w:hAnsi="Arial" w:cs="Arial"/>
        </w:rPr>
        <w:t>Lastly, traditional voice and messaging services are not competitive enough yet, but digital communication tools such as WhatsApp, Microsoft Teams and Zoom have lessened demand for their services. Hence, the growth of higher value digital ecosystems gets increasingly important, instead of on conventional telecommunication revenues.</w:t>
      </w:r>
    </w:p>
    <w:p w:rsidR="000F6008" w:rsidRPr="007F7B11" w:rsidP="007F7B11" w14:paraId="782AB48A" w14:textId="77777777">
      <w:pPr>
        <w:spacing w:line="360" w:lineRule="auto"/>
        <w:jc w:val="both"/>
        <w:rPr>
          <w:rFonts w:ascii="Arial" w:hAnsi="Arial" w:cs="Arial"/>
        </w:rPr>
      </w:pPr>
    </w:p>
    <w:p w:rsidR="000F6008" w:rsidRPr="00DB22FD" w:rsidP="00DB22FD" w14:paraId="195D0035" w14:textId="77777777">
      <w:pPr>
        <w:pStyle w:val="Heading2"/>
        <w:rPr>
          <w:b/>
          <w:bCs/>
          <w:color w:val="auto"/>
        </w:rPr>
      </w:pPr>
      <w:bookmarkStart w:id="5" w:name="_Toc234679284"/>
      <w:r w:rsidRPr="00DB22FD">
        <w:rPr>
          <w:b/>
          <w:bCs/>
          <w:color w:val="auto"/>
        </w:rPr>
        <w:t>2.3 Strategic Position: SWOT Synthesis</w:t>
      </w:r>
      <w:bookmarkEnd w:id="5"/>
    </w:p>
    <w:p w:rsidR="000F6008" w:rsidRPr="007F7B11" w:rsidP="007F7B11" w14:paraId="1FDD9E4A" w14:textId="77777777">
      <w:pPr>
        <w:spacing w:line="360" w:lineRule="auto"/>
        <w:jc w:val="both"/>
        <w:rPr>
          <w:rFonts w:ascii="Arial" w:hAnsi="Arial" w:cs="Arial"/>
        </w:rPr>
      </w:pPr>
    </w:p>
    <w:p w:rsidR="000F6008" w:rsidRPr="007F7B11" w:rsidP="00DB22FD" w14:paraId="140E36BB" w14:textId="77777777">
      <w:pPr>
        <w:spacing w:line="360" w:lineRule="auto"/>
        <w:ind w:firstLine="720"/>
        <w:jc w:val="both"/>
        <w:rPr>
          <w:rFonts w:ascii="Arial" w:hAnsi="Arial" w:cs="Arial"/>
        </w:rPr>
      </w:pPr>
      <w:r w:rsidRPr="007F7B11">
        <w:rPr>
          <w:rFonts w:ascii="Arial" w:hAnsi="Arial" w:cs="Arial"/>
        </w:rPr>
        <w:t xml:space="preserve">The strategic position of </w:t>
      </w:r>
      <w:r w:rsidRPr="007F7B11">
        <w:rPr>
          <w:rFonts w:ascii="Arial" w:hAnsi="Arial" w:cs="Arial"/>
        </w:rPr>
        <w:t>VodafoneThree</w:t>
      </w:r>
      <w:r w:rsidRPr="007F7B11">
        <w:rPr>
          <w:rFonts w:ascii="Arial" w:hAnsi="Arial" w:cs="Arial"/>
        </w:rPr>
        <w:t xml:space="preserve"> shown in the previous analysis features quite strong internal strengths which can be used to capitalise on new opportunities while certain operational and competitive issues exist. The benefits of the merger with Three UK are the organisation's increased scale, which offers around 27 million customers, wider range of assets, and greater financial resources to invest in cutting-edge digital infrastructure (Vodafone, 2025a). These resources will enhance the capacity of the organisation to realise economies of scale and network quality and improve operational efficiency.</w:t>
      </w:r>
    </w:p>
    <w:p w:rsidR="000F6008" w:rsidRPr="007F7B11" w:rsidP="00DB22FD" w14:paraId="0CB199D1" w14:textId="77777777">
      <w:pPr>
        <w:spacing w:line="360" w:lineRule="auto"/>
        <w:ind w:firstLine="720"/>
        <w:jc w:val="both"/>
        <w:rPr>
          <w:rFonts w:ascii="Arial" w:hAnsi="Arial" w:cs="Arial"/>
        </w:rPr>
      </w:pPr>
      <w:r w:rsidRPr="007F7B11">
        <w:rPr>
          <w:rFonts w:ascii="Arial" w:hAnsi="Arial" w:cs="Arial"/>
        </w:rPr>
        <w:t xml:space="preserve">These pluses come with major vulnerabilities within, though. The management of two large organisations is complex, such as organisational cultural convergence, information system convergence and the convergence of operational processes and </w:t>
      </w:r>
      <w:r w:rsidRPr="007F7B11">
        <w:rPr>
          <w:rFonts w:ascii="Arial" w:hAnsi="Arial" w:cs="Arial"/>
        </w:rPr>
        <w:t xml:space="preserve">customer services. Properly managing post-merger integration is important, and if not done effectively, can result in the inability to realize projected annual cost synergies, impacting customer satisfaction and diminishing the expected strategic benefits (Angwin, </w:t>
      </w:r>
      <w:r w:rsidRPr="007F7B11">
        <w:rPr>
          <w:rFonts w:ascii="Arial" w:hAnsi="Arial" w:cs="Arial"/>
        </w:rPr>
        <w:t>Mellahi</w:t>
      </w:r>
      <w:r w:rsidRPr="007F7B11">
        <w:rPr>
          <w:rFonts w:ascii="Arial" w:hAnsi="Arial" w:cs="Arial"/>
        </w:rPr>
        <w:t>, Gomes and Peter, 2016).</w:t>
      </w:r>
    </w:p>
    <w:p w:rsidR="000F6008" w:rsidRPr="007F7B11" w:rsidP="00DB22FD" w14:paraId="42465E8D" w14:textId="77777777">
      <w:pPr>
        <w:spacing w:line="360" w:lineRule="auto"/>
        <w:ind w:firstLine="720"/>
        <w:jc w:val="both"/>
        <w:rPr>
          <w:rFonts w:ascii="Arial" w:hAnsi="Arial" w:cs="Arial"/>
        </w:rPr>
      </w:pPr>
      <w:r w:rsidRPr="007F7B11">
        <w:rPr>
          <w:rFonts w:ascii="Arial" w:hAnsi="Arial" w:cs="Arial"/>
        </w:rPr>
        <w:t xml:space="preserve">The external environment has vast growth potential and opportunities related to growing demand of 5G, AI, Cloud Services, Internet of Things applications and Digital Enterprise solutions. The developments allow </w:t>
      </w:r>
      <w:r w:rsidRPr="007F7B11">
        <w:rPr>
          <w:rFonts w:ascii="Arial" w:hAnsi="Arial" w:cs="Arial"/>
        </w:rPr>
        <w:t>VodafoneThree</w:t>
      </w:r>
      <w:r w:rsidRPr="007F7B11">
        <w:rPr>
          <w:rFonts w:ascii="Arial" w:hAnsi="Arial" w:cs="Arial"/>
        </w:rPr>
        <w:t xml:space="preserve"> to diversify beyond mobile to higher value digital ecosystems, which is becoming less dependent upon less density saturated consumer markets (GSMA, 2024). However, these are all formidable challenges that can undermine competitive advantage if innovation is not up to speed with the market.</w:t>
      </w:r>
    </w:p>
    <w:p w:rsidR="000F6008" w:rsidRPr="007F7B11" w:rsidP="00DB22FD" w14:paraId="1D374814" w14:textId="77777777">
      <w:pPr>
        <w:spacing w:line="360" w:lineRule="auto"/>
        <w:ind w:firstLine="720"/>
        <w:jc w:val="both"/>
        <w:rPr>
          <w:rFonts w:ascii="Arial" w:hAnsi="Arial" w:cs="Arial"/>
        </w:rPr>
      </w:pPr>
      <w:r w:rsidRPr="007F7B11">
        <w:rPr>
          <w:rFonts w:ascii="Arial" w:hAnsi="Arial" w:cs="Arial"/>
        </w:rPr>
        <w:t xml:space="preserve">Overall, the analysis indicates that going forward, the key will be </w:t>
      </w:r>
      <w:r w:rsidRPr="007F7B11">
        <w:rPr>
          <w:rFonts w:ascii="Arial" w:hAnsi="Arial" w:cs="Arial"/>
        </w:rPr>
        <w:t>VodafoneThree's</w:t>
      </w:r>
      <w:r w:rsidRPr="007F7B11">
        <w:rPr>
          <w:rFonts w:ascii="Arial" w:hAnsi="Arial" w:cs="Arial"/>
        </w:rPr>
        <w:t xml:space="preserve"> ability to leverage its enlarged resource base in sustainable competitive advantage through innovation, operational integration and the creation of customer value.</w:t>
      </w:r>
    </w:p>
    <w:p w:rsidR="000F6008" w:rsidRPr="007F7B11" w:rsidP="007F7B11" w14:paraId="6CD4ED9F" w14:textId="77777777">
      <w:pPr>
        <w:spacing w:line="360" w:lineRule="auto"/>
        <w:jc w:val="both"/>
        <w:rPr>
          <w:rFonts w:ascii="Arial" w:hAnsi="Arial" w:cs="Arial"/>
        </w:rPr>
      </w:pPr>
    </w:p>
    <w:p w:rsidR="000F6008" w:rsidRPr="00DB22FD" w:rsidP="00DB22FD" w14:paraId="3FACDC1B" w14:textId="77777777">
      <w:pPr>
        <w:pStyle w:val="Heading1"/>
        <w:rPr>
          <w:b/>
          <w:bCs/>
          <w:color w:val="auto"/>
        </w:rPr>
      </w:pPr>
      <w:bookmarkStart w:id="6" w:name="_Toc234679285"/>
      <w:r w:rsidRPr="00DB22FD">
        <w:rPr>
          <w:b/>
          <w:bCs/>
          <w:color w:val="auto"/>
        </w:rPr>
        <w:t>3. Strategic Growth Options and Proposed Strategy</w:t>
      </w:r>
      <w:bookmarkEnd w:id="6"/>
    </w:p>
    <w:p w:rsidR="000F6008" w:rsidRPr="007F7B11" w:rsidP="007F7B11" w14:paraId="6584CEA6" w14:textId="77777777">
      <w:pPr>
        <w:spacing w:line="360" w:lineRule="auto"/>
        <w:jc w:val="both"/>
        <w:rPr>
          <w:rFonts w:ascii="Arial" w:hAnsi="Arial" w:cs="Arial"/>
        </w:rPr>
      </w:pPr>
    </w:p>
    <w:p w:rsidR="000F6008" w:rsidRPr="007F7B11" w:rsidP="00DB22FD" w14:paraId="32F8A427" w14:textId="77777777">
      <w:pPr>
        <w:spacing w:line="360" w:lineRule="auto"/>
        <w:ind w:firstLine="720"/>
        <w:jc w:val="both"/>
        <w:rPr>
          <w:rFonts w:ascii="Arial" w:hAnsi="Arial" w:cs="Arial"/>
        </w:rPr>
      </w:pPr>
      <w:r w:rsidRPr="007F7B11">
        <w:rPr>
          <w:rFonts w:ascii="Arial" w:hAnsi="Arial" w:cs="Arial"/>
        </w:rPr>
        <w:t xml:space="preserve">The strategic analysis highlights that </w:t>
      </w:r>
      <w:r w:rsidRPr="007F7B11">
        <w:rPr>
          <w:rFonts w:ascii="Arial" w:hAnsi="Arial" w:cs="Arial"/>
        </w:rPr>
        <w:t>VodafoneThree's</w:t>
      </w:r>
      <w:r w:rsidRPr="007F7B11">
        <w:rPr>
          <w:rFonts w:ascii="Arial" w:hAnsi="Arial" w:cs="Arial"/>
        </w:rPr>
        <w:t xml:space="preserve"> competitive position will be enhanced after the merger, but it will take the organization's ability to translate growth and scale into long-term competitive advantage for the company to continue its sustainable growth. Literature on strategic management indicates that growth strategies should be oriented towards opportunities in the external market, not only operation growth (Johnson et al., 2020). For this reason, three strategic options are analysed and the best route to take for </w:t>
      </w:r>
      <w:r w:rsidRPr="007F7B11">
        <w:rPr>
          <w:rFonts w:ascii="Arial" w:hAnsi="Arial" w:cs="Arial"/>
        </w:rPr>
        <w:t>VodafoneThree</w:t>
      </w:r>
      <w:r w:rsidRPr="007F7B11">
        <w:rPr>
          <w:rFonts w:ascii="Arial" w:hAnsi="Arial" w:cs="Arial"/>
        </w:rPr>
        <w:t xml:space="preserve"> is decided.</w:t>
      </w:r>
    </w:p>
    <w:p w:rsidR="000F6008" w:rsidRPr="007F7B11" w:rsidP="00DB22FD" w14:paraId="25747BBC" w14:textId="77777777">
      <w:pPr>
        <w:spacing w:line="360" w:lineRule="auto"/>
        <w:ind w:firstLine="720"/>
        <w:jc w:val="both"/>
        <w:rPr>
          <w:rFonts w:ascii="Arial" w:hAnsi="Arial" w:cs="Arial"/>
        </w:rPr>
      </w:pPr>
      <w:r w:rsidRPr="007F7B11">
        <w:rPr>
          <w:rFonts w:ascii="Arial" w:hAnsi="Arial" w:cs="Arial"/>
        </w:rPr>
        <w:t xml:space="preserve">The first strategic move is to penetrate the market and expand market share in the existing UK telecoms market by competitive pricing, customer retention strategies and improving service quality. The Ansoff Matrix suggests that this strategy is relatively </w:t>
      </w:r>
      <w:r w:rsidRPr="007F7B11">
        <w:rPr>
          <w:rFonts w:ascii="Arial" w:hAnsi="Arial" w:cs="Arial"/>
        </w:rPr>
        <w:t>low-risk</w:t>
      </w:r>
      <w:r w:rsidRPr="007F7B11">
        <w:rPr>
          <w:rFonts w:ascii="Arial" w:hAnsi="Arial" w:cs="Arial"/>
        </w:rPr>
        <w:t xml:space="preserve"> to implement, since it involves pursuing an established product with an existing market (Ansoff, 1957). In addition, the expanded customer base resulting from </w:t>
      </w:r>
      <w:r w:rsidRPr="007F7B11">
        <w:rPr>
          <w:rFonts w:ascii="Arial" w:hAnsi="Arial" w:cs="Arial"/>
        </w:rPr>
        <w:t>the merger opens new avenues to increase customer loyalty by providing customers with integrated mobile, broadband and digital services. This approach, however, has a relatively short lifespan, however, as the UK mobile market is highly mature and subscriber growth has been relatively low (Ofcom 2024). Aggressive pricing could also work against the margins as it could stimulate competitive reactions from BT/EE and Virgin Media O2.</w:t>
      </w:r>
    </w:p>
    <w:p w:rsidR="000F6008" w:rsidRPr="007F7B11" w:rsidP="00DB22FD" w14:paraId="38217F6D" w14:textId="77777777">
      <w:pPr>
        <w:spacing w:line="360" w:lineRule="auto"/>
        <w:ind w:firstLine="720"/>
        <w:jc w:val="both"/>
        <w:rPr>
          <w:rFonts w:ascii="Arial" w:hAnsi="Arial" w:cs="Arial"/>
        </w:rPr>
      </w:pPr>
      <w:r w:rsidRPr="007F7B11">
        <w:rPr>
          <w:rFonts w:ascii="Arial" w:hAnsi="Arial" w:cs="Arial"/>
        </w:rPr>
        <w:t xml:space="preserve">Market development via expansion of enterprise digital services in public and private sectors is a second strategic option. This growth in demand reflects the ongoing acceleration of digital transformation (DT) within organisations, which continues to rise for cloud computing, cybersecurity, IoT connectivity and AI solutions, among others (GSMA, 2024; Deloitte, 2024). </w:t>
      </w:r>
      <w:r w:rsidRPr="007F7B11">
        <w:rPr>
          <w:rFonts w:ascii="Arial" w:hAnsi="Arial" w:cs="Arial"/>
        </w:rPr>
        <w:t>VodafoneThree</w:t>
      </w:r>
      <w:r w:rsidRPr="007F7B11">
        <w:rPr>
          <w:rFonts w:ascii="Arial" w:hAnsi="Arial" w:cs="Arial"/>
        </w:rPr>
        <w:t xml:space="preserve"> also has vast network infrastructure, technical expertise and enterprise relationships that can help it grow this way. However, enterprise markets demand ongoing technological innovation and expertise, therefore posing a greater investment demand and implementation complexity.</w:t>
      </w:r>
    </w:p>
    <w:p w:rsidR="000F6008" w:rsidRPr="007F7B11" w:rsidP="00DB22FD" w14:paraId="5914A090" w14:textId="77777777">
      <w:pPr>
        <w:spacing w:line="360" w:lineRule="auto"/>
        <w:ind w:firstLine="720"/>
        <w:jc w:val="both"/>
        <w:rPr>
          <w:rFonts w:ascii="Arial" w:hAnsi="Arial" w:cs="Arial"/>
        </w:rPr>
      </w:pPr>
      <w:r w:rsidRPr="007F7B11">
        <w:rPr>
          <w:rFonts w:ascii="Arial" w:hAnsi="Arial" w:cs="Arial"/>
        </w:rPr>
        <w:t xml:space="preserve">The third strategic one is product development, which is related to the development of advanced digital ecosystems based on 5G connectivity. </w:t>
      </w:r>
      <w:r w:rsidRPr="007F7B11">
        <w:rPr>
          <w:rFonts w:ascii="Arial" w:hAnsi="Arial" w:cs="Arial"/>
        </w:rPr>
        <w:t>VodafoneThree's</w:t>
      </w:r>
      <w:r w:rsidRPr="007F7B11">
        <w:rPr>
          <w:rFonts w:ascii="Arial" w:hAnsi="Arial" w:cs="Arial"/>
        </w:rPr>
        <w:t xml:space="preserve"> strategy is not to compete mainly using traditional telecommunications but to combine and offer integrated solutions that include AI, smart city infrastructure, connected healthcare, autonomous transport and IoT applications in the industrial sector. This approach is in line with the Resource Based View that suggests that the most effective use of valuable, rare and previously difficult-to-imitate resources of an organisation will create sustainable competitive advantage (Barney, 1991). The wide-ranging assets, networks, finance and know-how acquired in the deal enable </w:t>
      </w:r>
      <w:r w:rsidRPr="007F7B11">
        <w:rPr>
          <w:rFonts w:ascii="Arial" w:hAnsi="Arial" w:cs="Arial"/>
        </w:rPr>
        <w:t>VodafoneThree</w:t>
      </w:r>
      <w:r w:rsidRPr="007F7B11">
        <w:rPr>
          <w:rFonts w:ascii="Arial" w:hAnsi="Arial" w:cs="Arial"/>
        </w:rPr>
        <w:t xml:space="preserve"> to gain the capacity to grow into innovative areas beyond traditional mobile services.</w:t>
      </w:r>
    </w:p>
    <w:p w:rsidR="00876D7A" w:rsidRPr="007F7B11" w:rsidP="00DB22FD" w14:paraId="54A7C451" w14:textId="1ED578DC">
      <w:pPr>
        <w:spacing w:line="360" w:lineRule="auto"/>
        <w:ind w:firstLine="720"/>
        <w:jc w:val="both"/>
        <w:rPr>
          <w:rFonts w:ascii="Arial" w:hAnsi="Arial" w:cs="Arial"/>
        </w:rPr>
      </w:pPr>
      <w:r w:rsidRPr="007F7B11">
        <w:rPr>
          <w:rFonts w:ascii="Arial" w:hAnsi="Arial" w:cs="Arial"/>
        </w:rPr>
        <w:t xml:space="preserve">A composite market development and product development offers the best market development strategy of the alternatives available. This recommendation is consistent with the strategic goals of Vodafone, such as delivering customer-focused innovation, achieving operational excellence, and achieving sustainable growth (Vodafone 2025). Additionally, it allows the organization to capitalize on new market opportunities created by artificial intelligence, 5G technology and digital enterprise </w:t>
      </w:r>
      <w:r w:rsidRPr="007F7B11">
        <w:rPr>
          <w:rFonts w:ascii="Arial" w:hAnsi="Arial" w:cs="Arial"/>
        </w:rPr>
        <w:t xml:space="preserve">services, as well as lessen reliance on the competitive consumer mobile markets. In addition to the price-based competition, </w:t>
      </w:r>
      <w:r w:rsidRPr="007F7B11">
        <w:rPr>
          <w:rFonts w:ascii="Arial" w:hAnsi="Arial" w:cs="Arial"/>
        </w:rPr>
        <w:t>VodafoneThree</w:t>
      </w:r>
      <w:r w:rsidRPr="007F7B11">
        <w:rPr>
          <w:rFonts w:ascii="Arial" w:hAnsi="Arial" w:cs="Arial"/>
        </w:rPr>
        <w:t xml:space="preserve"> would differentiate itself by value-added digital solutions, better customer relationships, and ongoing technological innovation.</w:t>
      </w:r>
    </w:p>
    <w:p w:rsidR="001A120B" w:rsidRPr="007F7B11" w:rsidP="00DB22FD" w14:paraId="6CE31255" w14:textId="77777777">
      <w:pPr>
        <w:spacing w:line="360" w:lineRule="auto"/>
        <w:ind w:firstLine="720"/>
        <w:jc w:val="both"/>
        <w:rPr>
          <w:rFonts w:ascii="Arial" w:hAnsi="Arial" w:cs="Arial"/>
        </w:rPr>
      </w:pPr>
      <w:r w:rsidRPr="007F7B11">
        <w:rPr>
          <w:rFonts w:ascii="Arial" w:hAnsi="Arial" w:cs="Arial"/>
        </w:rPr>
        <w:t>Strategically, this recommendation will also contribute to long term sustainability. Investing in intelligent connectivity solutions also plays a role in broader economic development, as they help drive digital inclusion, support low-carbon technologies and smart infrastructure, and provide diversified revenue streams that help build organizational resilience against future market disruptions (GSMA, 2024). The proposed strategy is therefore expected to support the competitive positioning and add value to customers, investors and society at large, in a sustainable way.</w:t>
      </w:r>
    </w:p>
    <w:p w:rsidR="001A120B" w:rsidRPr="007F7B11" w:rsidP="007F7B11" w14:paraId="5E433B9E" w14:textId="77777777">
      <w:pPr>
        <w:spacing w:line="360" w:lineRule="auto"/>
        <w:jc w:val="both"/>
        <w:rPr>
          <w:rFonts w:ascii="Arial" w:hAnsi="Arial" w:cs="Arial"/>
        </w:rPr>
      </w:pPr>
    </w:p>
    <w:p w:rsidR="001A120B" w:rsidRPr="00DB22FD" w:rsidP="00DB22FD" w14:paraId="5452F63D" w14:textId="77777777">
      <w:pPr>
        <w:pStyle w:val="Heading1"/>
        <w:rPr>
          <w:b/>
          <w:bCs/>
          <w:color w:val="auto"/>
        </w:rPr>
      </w:pPr>
      <w:bookmarkStart w:id="7" w:name="_Toc234679286"/>
      <w:r w:rsidRPr="00DB22FD">
        <w:rPr>
          <w:b/>
          <w:bCs/>
          <w:color w:val="auto"/>
        </w:rPr>
        <w:t>4. Strategy Evaluation (SFA Framework)</w:t>
      </w:r>
      <w:bookmarkEnd w:id="7"/>
    </w:p>
    <w:p w:rsidR="001A120B" w:rsidRPr="007F7B11" w:rsidP="007F7B11" w14:paraId="0DBD53D6" w14:textId="77777777">
      <w:pPr>
        <w:spacing w:line="360" w:lineRule="auto"/>
        <w:jc w:val="both"/>
        <w:rPr>
          <w:rFonts w:ascii="Arial" w:hAnsi="Arial" w:cs="Arial"/>
        </w:rPr>
      </w:pPr>
    </w:p>
    <w:p w:rsidR="001A120B" w:rsidRPr="007F7B11" w:rsidP="00DB22FD" w14:paraId="3345EBC5" w14:textId="59F00134">
      <w:pPr>
        <w:spacing w:line="360" w:lineRule="auto"/>
        <w:ind w:firstLine="720"/>
        <w:jc w:val="both"/>
        <w:rPr>
          <w:rFonts w:ascii="Arial" w:hAnsi="Arial" w:cs="Arial"/>
        </w:rPr>
      </w:pPr>
      <w:r w:rsidRPr="007F7B11">
        <w:rPr>
          <w:rFonts w:ascii="Arial" w:hAnsi="Arial" w:cs="Arial"/>
        </w:rPr>
        <w:t xml:space="preserve">Possible combined market and product development approach should be assessed to see if it offers a suitable direction for </w:t>
      </w:r>
      <w:r w:rsidRPr="007F7B11">
        <w:rPr>
          <w:rFonts w:ascii="Arial" w:hAnsi="Arial" w:cs="Arial"/>
        </w:rPr>
        <w:t>VodafoneThree</w:t>
      </w:r>
      <w:r w:rsidRPr="007F7B11">
        <w:rPr>
          <w:rFonts w:ascii="Arial" w:hAnsi="Arial" w:cs="Arial"/>
        </w:rPr>
        <w:t xml:space="preserve">. The Framework of Suitability, Feasibility and Acceptability (SFA) </w:t>
      </w:r>
      <w:r w:rsidRPr="007F7B11" w:rsidR="00DB22FD">
        <w:rPr>
          <w:rFonts w:ascii="Arial" w:hAnsi="Arial" w:cs="Arial"/>
        </w:rPr>
        <w:t>offer</w:t>
      </w:r>
      <w:r w:rsidRPr="007F7B11">
        <w:rPr>
          <w:rFonts w:ascii="Arial" w:hAnsi="Arial" w:cs="Arial"/>
        </w:rPr>
        <w:t xml:space="preserve"> a systematic method for determining the potential of a proposed strategy to solve strategic challenges and offer long term organisational value (Johnson et al., 2020).</w:t>
      </w:r>
    </w:p>
    <w:p w:rsidR="001A120B" w:rsidRPr="007F7B11" w:rsidP="007F7B11" w14:paraId="1C72B2CB" w14:textId="77777777">
      <w:pPr>
        <w:spacing w:line="360" w:lineRule="auto"/>
        <w:jc w:val="both"/>
        <w:rPr>
          <w:rFonts w:ascii="Arial" w:hAnsi="Arial" w:cs="Arial"/>
        </w:rPr>
      </w:pPr>
    </w:p>
    <w:p w:rsidR="001A120B" w:rsidRPr="00DB22FD" w:rsidP="00DB22FD" w14:paraId="7741E17F" w14:textId="77777777">
      <w:pPr>
        <w:pStyle w:val="Heading2"/>
        <w:rPr>
          <w:b/>
          <w:bCs/>
          <w:color w:val="auto"/>
        </w:rPr>
      </w:pPr>
      <w:bookmarkStart w:id="8" w:name="_Toc234679287"/>
      <w:r w:rsidRPr="00DB22FD">
        <w:rPr>
          <w:b/>
          <w:bCs/>
          <w:color w:val="auto"/>
        </w:rPr>
        <w:t>Suitability</w:t>
      </w:r>
      <w:bookmarkEnd w:id="8"/>
    </w:p>
    <w:p w:rsidR="001A120B" w:rsidRPr="007F7B11" w:rsidP="007F7B11" w14:paraId="3574B77A" w14:textId="77777777">
      <w:pPr>
        <w:spacing w:line="360" w:lineRule="auto"/>
        <w:jc w:val="both"/>
        <w:rPr>
          <w:rFonts w:ascii="Arial" w:hAnsi="Arial" w:cs="Arial"/>
        </w:rPr>
      </w:pPr>
    </w:p>
    <w:p w:rsidR="001A120B" w:rsidRPr="007F7B11" w:rsidP="00DB22FD" w14:paraId="59AFA45A" w14:textId="77777777">
      <w:pPr>
        <w:spacing w:line="360" w:lineRule="auto"/>
        <w:ind w:firstLine="720"/>
        <w:jc w:val="both"/>
        <w:rPr>
          <w:rFonts w:ascii="Arial" w:hAnsi="Arial" w:cs="Arial"/>
        </w:rPr>
      </w:pPr>
      <w:r w:rsidRPr="007F7B11">
        <w:rPr>
          <w:rFonts w:ascii="Arial" w:hAnsi="Arial" w:cs="Arial"/>
        </w:rPr>
        <w:t>The proposed strategy is well suited to the strategic level, as it addresses the opportunities and challenges found in the environmental analysis. The United Kingdom (UK) telecom industry has become highly saturated, with opportunities for sustainable growth in the telecom industry only possible if it is enabled by an additional new service rather than traditional mobile services (Ofcom, 2024). The move to more digital solutions in the enterprise and the development of new fifth-generation applications is therefore a more suitable strategy for the companies to pursue than to do so mainly through price cutting and the incremental penetration of new markets.</w:t>
      </w:r>
    </w:p>
    <w:p w:rsidR="001A120B" w:rsidRPr="007F7B11" w:rsidP="00DB22FD" w14:paraId="50BCEC91" w14:textId="77777777">
      <w:pPr>
        <w:spacing w:line="360" w:lineRule="auto"/>
        <w:ind w:firstLine="720"/>
        <w:jc w:val="both"/>
        <w:rPr>
          <w:rFonts w:ascii="Arial" w:hAnsi="Arial" w:cs="Arial"/>
        </w:rPr>
      </w:pPr>
      <w:r w:rsidRPr="007F7B11">
        <w:rPr>
          <w:rFonts w:ascii="Arial" w:hAnsi="Arial" w:cs="Arial"/>
        </w:rPr>
        <w:t xml:space="preserve">Moreover, the strategy is consistent with the long-term strategic courses of the company Vodafone, such as digital transformation, customer experience, operational simplification and sustainable growth (Vodafone, 2025). </w:t>
      </w:r>
      <w:r w:rsidRPr="007F7B11">
        <w:rPr>
          <w:rFonts w:ascii="Arial" w:hAnsi="Arial" w:cs="Arial"/>
        </w:rPr>
        <w:t>VodafoneThree's</w:t>
      </w:r>
      <w:r w:rsidRPr="007F7B11">
        <w:rPr>
          <w:rFonts w:ascii="Arial" w:hAnsi="Arial" w:cs="Arial"/>
        </w:rPr>
        <w:t xml:space="preserve"> significant investment to the merger also creates a suitable technological platform for the deployment of AI-powered connectivity, IoT services and smart infrastructure products. Hence, the suggested approach shows a high degree of strategic suitability of the external market developments and of the organisational goals.</w:t>
      </w:r>
    </w:p>
    <w:p w:rsidR="001A120B" w:rsidRPr="007F7B11" w:rsidP="007F7B11" w14:paraId="7ACC68DD" w14:textId="77777777">
      <w:pPr>
        <w:spacing w:line="360" w:lineRule="auto"/>
        <w:jc w:val="both"/>
        <w:rPr>
          <w:rFonts w:ascii="Arial" w:hAnsi="Arial" w:cs="Arial"/>
        </w:rPr>
      </w:pPr>
    </w:p>
    <w:p w:rsidR="001A120B" w:rsidRPr="00DB22FD" w:rsidP="00DB22FD" w14:paraId="0EDFDF99" w14:textId="77777777">
      <w:pPr>
        <w:pStyle w:val="Heading2"/>
        <w:rPr>
          <w:b/>
          <w:bCs/>
          <w:color w:val="auto"/>
        </w:rPr>
      </w:pPr>
      <w:bookmarkStart w:id="9" w:name="_Toc234679288"/>
      <w:r w:rsidRPr="00DB22FD">
        <w:rPr>
          <w:b/>
          <w:bCs/>
          <w:color w:val="auto"/>
        </w:rPr>
        <w:t>Feasibility</w:t>
      </w:r>
      <w:bookmarkEnd w:id="9"/>
    </w:p>
    <w:p w:rsidR="001A120B" w:rsidRPr="007F7B11" w:rsidP="007F7B11" w14:paraId="3D91A70E" w14:textId="77777777">
      <w:pPr>
        <w:spacing w:line="360" w:lineRule="auto"/>
        <w:jc w:val="both"/>
        <w:rPr>
          <w:rFonts w:ascii="Arial" w:hAnsi="Arial" w:cs="Arial"/>
        </w:rPr>
      </w:pPr>
    </w:p>
    <w:p w:rsidR="001A120B" w:rsidRPr="007F7B11" w:rsidP="00DB22FD" w14:paraId="17C29FF3" w14:textId="77777777">
      <w:pPr>
        <w:spacing w:line="360" w:lineRule="auto"/>
        <w:ind w:firstLine="720"/>
        <w:jc w:val="both"/>
        <w:rPr>
          <w:rFonts w:ascii="Arial" w:hAnsi="Arial" w:cs="Arial"/>
        </w:rPr>
      </w:pPr>
      <w:r w:rsidRPr="007F7B11">
        <w:rPr>
          <w:rFonts w:ascii="Arial" w:hAnsi="Arial" w:cs="Arial"/>
        </w:rPr>
        <w:t xml:space="preserve">Feasibility-wise, </w:t>
      </w:r>
      <w:r w:rsidRPr="007F7B11">
        <w:rPr>
          <w:rFonts w:ascii="Arial" w:hAnsi="Arial" w:cs="Arial"/>
        </w:rPr>
        <w:t>VodafoneThree</w:t>
      </w:r>
      <w:r w:rsidRPr="007F7B11">
        <w:rPr>
          <w:rFonts w:ascii="Arial" w:hAnsi="Arial" w:cs="Arial"/>
        </w:rPr>
        <w:t xml:space="preserve"> has a considerable amount of financial, technological and organisational resources to support implementation. The scale of the customer base, the wider range of spectrum and the planned investment of £11 billion in network infrastructure offer many competitive benefits that will be hard for many competitors to match (Vodafone, 2025a). Furthermore, the projected annual operating synergies of around £700m will enhance the companies' financial flexibility and will provide the possibility of investing in innovation in the future.</w:t>
      </w:r>
    </w:p>
    <w:p w:rsidR="001A120B" w:rsidRPr="007F7B11" w:rsidP="00DB22FD" w14:paraId="427AB001" w14:textId="77777777">
      <w:pPr>
        <w:spacing w:line="360" w:lineRule="auto"/>
        <w:ind w:firstLine="720"/>
        <w:jc w:val="both"/>
        <w:rPr>
          <w:rFonts w:ascii="Arial" w:hAnsi="Arial" w:cs="Arial"/>
        </w:rPr>
      </w:pPr>
      <w:r w:rsidRPr="007F7B11">
        <w:rPr>
          <w:rFonts w:ascii="Arial" w:hAnsi="Arial" w:cs="Arial"/>
        </w:rPr>
        <w:t xml:space="preserve">However, effective post-merger integration is crucial for the success of the implementation. If change management is not well coordinated, this can cause delays in implementation and/or lower the anticipated efficiency gains </w:t>
      </w:r>
      <w:r w:rsidRPr="007F7B11">
        <w:rPr>
          <w:rFonts w:ascii="Arial" w:hAnsi="Arial" w:cs="Arial"/>
        </w:rPr>
        <w:t>as a result of</w:t>
      </w:r>
      <w:r w:rsidRPr="007F7B11">
        <w:rPr>
          <w:rFonts w:ascii="Arial" w:hAnsi="Arial" w:cs="Arial"/>
        </w:rPr>
        <w:t xml:space="preserve"> organisational complexity, technology integration and workforce alignment. Investment in organisational capability, leadership development and digital skills will therefore be critical to bring technological resources to fruition in terms of sustainable competitive advantage.</w:t>
      </w:r>
    </w:p>
    <w:p w:rsidR="001A120B" w:rsidRPr="007F7B11" w:rsidP="007F7B11" w14:paraId="77BEEEB3" w14:textId="77777777">
      <w:pPr>
        <w:spacing w:line="360" w:lineRule="auto"/>
        <w:jc w:val="both"/>
        <w:rPr>
          <w:rFonts w:ascii="Arial" w:hAnsi="Arial" w:cs="Arial"/>
        </w:rPr>
      </w:pPr>
    </w:p>
    <w:p w:rsidR="001A120B" w:rsidRPr="00DB22FD" w:rsidP="00DB22FD" w14:paraId="72D84F25" w14:textId="77777777">
      <w:pPr>
        <w:pStyle w:val="Heading2"/>
        <w:rPr>
          <w:b/>
          <w:bCs/>
          <w:color w:val="auto"/>
        </w:rPr>
      </w:pPr>
      <w:bookmarkStart w:id="10" w:name="_Toc234679289"/>
      <w:r w:rsidRPr="00DB22FD">
        <w:rPr>
          <w:b/>
          <w:bCs/>
          <w:color w:val="auto"/>
        </w:rPr>
        <w:t>Acceptability</w:t>
      </w:r>
      <w:bookmarkEnd w:id="10"/>
    </w:p>
    <w:p w:rsidR="001A120B" w:rsidRPr="007F7B11" w:rsidP="007F7B11" w14:paraId="6F614409" w14:textId="77777777">
      <w:pPr>
        <w:spacing w:line="360" w:lineRule="auto"/>
        <w:jc w:val="both"/>
        <w:rPr>
          <w:rFonts w:ascii="Arial" w:hAnsi="Arial" w:cs="Arial"/>
        </w:rPr>
      </w:pPr>
    </w:p>
    <w:p w:rsidR="001A120B" w:rsidRPr="007F7B11" w:rsidP="00DB22FD" w14:paraId="017C0862" w14:textId="77777777">
      <w:pPr>
        <w:spacing w:line="360" w:lineRule="auto"/>
        <w:ind w:firstLine="720"/>
        <w:jc w:val="both"/>
        <w:rPr>
          <w:rFonts w:ascii="Arial" w:hAnsi="Arial" w:cs="Arial"/>
        </w:rPr>
      </w:pPr>
      <w:r w:rsidRPr="007F7B11">
        <w:rPr>
          <w:rFonts w:ascii="Arial" w:hAnsi="Arial" w:cs="Arial"/>
        </w:rPr>
        <w:t xml:space="preserve">The proposed strategy is likely to have positive impacts for most of the stakeholders. The shareholders will benefit from having diversified revenue streams, better efficiency, and long-term profitability. Customers should now enjoy a better </w:t>
      </w:r>
      <w:r w:rsidRPr="007F7B11">
        <w:rPr>
          <w:rFonts w:ascii="Arial" w:hAnsi="Arial" w:cs="Arial"/>
        </w:rPr>
        <w:t>network experience, better services and access to innovative digital products across a broader service area. There could be additional opportunities for the workforce to acquire higher-level digital skills, but in the short-term, the changes in the workforce structures that accompany integration may create some uncertainty.</w:t>
      </w:r>
    </w:p>
    <w:p w:rsidR="001A120B" w:rsidRPr="007F7B11" w:rsidP="00DB22FD" w14:paraId="35C3352F" w14:textId="77777777">
      <w:pPr>
        <w:spacing w:line="360" w:lineRule="auto"/>
        <w:ind w:firstLine="720"/>
        <w:jc w:val="both"/>
        <w:rPr>
          <w:rFonts w:ascii="Arial" w:hAnsi="Arial" w:cs="Arial"/>
        </w:rPr>
      </w:pPr>
      <w:r w:rsidRPr="007F7B11">
        <w:rPr>
          <w:rFonts w:ascii="Arial" w:hAnsi="Arial" w:cs="Arial"/>
        </w:rPr>
        <w:t xml:space="preserve">The strategy also aligns to broader economy and society goals, such as investments in digital infrastructure, national connectivity, and technology development for smart cities, digital healthcare and industrial innovation (GSMA, 2024). The analysis </w:t>
      </w:r>
      <w:r w:rsidRPr="007F7B11">
        <w:rPr>
          <w:rFonts w:ascii="Arial" w:hAnsi="Arial" w:cs="Arial"/>
        </w:rPr>
        <w:t>is based on the assumption</w:t>
      </w:r>
      <w:r w:rsidRPr="007F7B11">
        <w:rPr>
          <w:rFonts w:ascii="Arial" w:hAnsi="Arial" w:cs="Arial"/>
        </w:rPr>
        <w:t xml:space="preserve"> that </w:t>
      </w:r>
      <w:r w:rsidRPr="007F7B11">
        <w:rPr>
          <w:rFonts w:ascii="Arial" w:hAnsi="Arial" w:cs="Arial"/>
        </w:rPr>
        <w:t>VodafoneThree</w:t>
      </w:r>
      <w:r w:rsidRPr="007F7B11">
        <w:rPr>
          <w:rFonts w:ascii="Arial" w:hAnsi="Arial" w:cs="Arial"/>
        </w:rPr>
        <w:t xml:space="preserve"> can complete the </w:t>
      </w:r>
      <w:r w:rsidRPr="007F7B11">
        <w:rPr>
          <w:rFonts w:ascii="Arial" w:hAnsi="Arial" w:cs="Arial"/>
        </w:rPr>
        <w:t>aforementioned planned</w:t>
      </w:r>
      <w:r w:rsidRPr="007F7B11">
        <w:rPr>
          <w:rFonts w:ascii="Arial" w:hAnsi="Arial" w:cs="Arial"/>
        </w:rPr>
        <w:t xml:space="preserve"> network integration within the time frame when it is planning to invest and will realize the anticipated operational synergy effects mentioned in public corporate communication.</w:t>
      </w:r>
    </w:p>
    <w:p w:rsidR="001A120B" w:rsidRPr="007F7B11" w:rsidP="00DB22FD" w14:paraId="45F354C8" w14:textId="77777777">
      <w:pPr>
        <w:spacing w:line="360" w:lineRule="auto"/>
        <w:ind w:firstLine="720"/>
        <w:jc w:val="both"/>
        <w:rPr>
          <w:rFonts w:ascii="Arial" w:hAnsi="Arial" w:cs="Arial"/>
        </w:rPr>
      </w:pPr>
      <w:r w:rsidRPr="007F7B11">
        <w:rPr>
          <w:rFonts w:ascii="Arial" w:hAnsi="Arial" w:cs="Arial"/>
        </w:rPr>
        <w:t xml:space="preserve">In conclusion, the SFA's evaluation of the proposed strategy is that it is an appropriate, realistic and sustainable strategic direction which will help to ensure the long-term competitive position of </w:t>
      </w:r>
      <w:r w:rsidRPr="007F7B11">
        <w:rPr>
          <w:rFonts w:ascii="Arial" w:hAnsi="Arial" w:cs="Arial"/>
        </w:rPr>
        <w:t>VodafoneThree</w:t>
      </w:r>
      <w:r w:rsidRPr="007F7B11">
        <w:rPr>
          <w:rFonts w:ascii="Arial" w:hAnsi="Arial" w:cs="Arial"/>
        </w:rPr>
        <w:t>.</w:t>
      </w:r>
    </w:p>
    <w:p w:rsidR="001A120B" w:rsidRPr="007F7B11" w:rsidP="007F7B11" w14:paraId="10082D8A" w14:textId="77777777">
      <w:pPr>
        <w:spacing w:line="360" w:lineRule="auto"/>
        <w:jc w:val="both"/>
        <w:rPr>
          <w:rFonts w:ascii="Arial" w:hAnsi="Arial" w:cs="Arial"/>
        </w:rPr>
      </w:pPr>
    </w:p>
    <w:p w:rsidR="001A120B" w:rsidRPr="00DB22FD" w:rsidP="00DB22FD" w14:paraId="24C7BBF6" w14:textId="77777777">
      <w:pPr>
        <w:pStyle w:val="Heading1"/>
        <w:rPr>
          <w:b/>
          <w:bCs/>
        </w:rPr>
      </w:pPr>
      <w:bookmarkStart w:id="11" w:name="_Toc234679290"/>
      <w:r w:rsidRPr="00DB22FD">
        <w:rPr>
          <w:b/>
          <w:bCs/>
        </w:rPr>
        <w:t>5. Stakeholder Analysis</w:t>
      </w:r>
      <w:bookmarkEnd w:id="11"/>
    </w:p>
    <w:p w:rsidR="001A120B" w:rsidRPr="007F7B11" w:rsidP="007F7B11" w14:paraId="1D828205" w14:textId="77777777">
      <w:pPr>
        <w:spacing w:line="360" w:lineRule="auto"/>
        <w:jc w:val="both"/>
        <w:rPr>
          <w:rFonts w:ascii="Arial" w:hAnsi="Arial" w:cs="Arial"/>
        </w:rPr>
      </w:pPr>
    </w:p>
    <w:p w:rsidR="001A120B" w:rsidRPr="007F7B11" w:rsidP="00DB22FD" w14:paraId="32C2AF64" w14:textId="77777777">
      <w:pPr>
        <w:spacing w:line="360" w:lineRule="auto"/>
        <w:ind w:firstLine="720"/>
        <w:jc w:val="both"/>
        <w:rPr>
          <w:rFonts w:ascii="Arial" w:hAnsi="Arial" w:cs="Arial"/>
        </w:rPr>
      </w:pPr>
      <w:r w:rsidRPr="007F7B11">
        <w:rPr>
          <w:rFonts w:ascii="Arial" w:hAnsi="Arial" w:cs="Arial"/>
        </w:rPr>
        <w:t xml:space="preserve">Effective stakeholder engagement is crucial to the success of the proposed growth strategy as it will impact several stakeholders with conflicting interests and power. Based on the Stakeholder Theory, organisations can gain sustainable competitive advantage by generating value for many stakeholders instead of merely for the shareholders (Freeman, Phillips and Sisodia, 2020). So, </w:t>
      </w:r>
      <w:r w:rsidRPr="007F7B11">
        <w:rPr>
          <w:rFonts w:ascii="Arial" w:hAnsi="Arial" w:cs="Arial"/>
        </w:rPr>
        <w:t>VodafoneThree</w:t>
      </w:r>
      <w:r w:rsidRPr="007F7B11">
        <w:rPr>
          <w:rFonts w:ascii="Arial" w:hAnsi="Arial" w:cs="Arial"/>
        </w:rPr>
        <w:t xml:space="preserve"> </w:t>
      </w:r>
      <w:r w:rsidRPr="007F7B11">
        <w:rPr>
          <w:rFonts w:ascii="Arial" w:hAnsi="Arial" w:cs="Arial"/>
        </w:rPr>
        <w:t>has to</w:t>
      </w:r>
      <w:r w:rsidRPr="007F7B11">
        <w:rPr>
          <w:rFonts w:ascii="Arial" w:hAnsi="Arial" w:cs="Arial"/>
        </w:rPr>
        <w:t xml:space="preserve"> juggle commercial pressures and meet customer expectations, as well as those of employees, regulators, investors and strategic partners.</w:t>
      </w:r>
    </w:p>
    <w:p w:rsidR="001A120B" w:rsidRPr="007F7B11" w:rsidP="007F7B11" w14:paraId="3C4790B3" w14:textId="186C7A34">
      <w:pPr>
        <w:spacing w:line="360" w:lineRule="auto"/>
        <w:jc w:val="both"/>
        <w:rPr>
          <w:rFonts w:ascii="Arial" w:hAnsi="Arial" w:cs="Arial"/>
        </w:rPr>
      </w:pPr>
      <w:r>
        <w:rPr>
          <w:rFonts w:ascii="Arial" w:hAnsi="Arial" w:cs="Arial"/>
        </w:rPr>
        <w:tab/>
      </w:r>
      <w:r w:rsidRPr="007F7B11">
        <w:rPr>
          <w:rFonts w:ascii="Arial" w:hAnsi="Arial" w:cs="Arial"/>
        </w:rPr>
        <w:t xml:space="preserve">Mendelow's Matrix is a suitable tool for identifying the order of engagement for stakeholders based on their power and interest (Johnson et al., 2020). There is also high influence of shareholders, the Board of Directors and regulatory authorities (including Ofcom and the Competition and Markets Authority) and they should be closely managed during implementation. The stakeholders need to be communicated </w:t>
      </w:r>
      <w:r w:rsidRPr="007F7B11">
        <w:rPr>
          <w:rFonts w:ascii="Arial" w:hAnsi="Arial" w:cs="Arial"/>
        </w:rPr>
        <w:t>in a transparent manner about the investment performance, regulatory compliance status, and integration and progress on the merger's expected financial synergies.</w:t>
      </w:r>
    </w:p>
    <w:p w:rsidR="001A120B" w:rsidRPr="007F7B11" w:rsidP="00DB22FD" w14:paraId="75776421" w14:textId="77777777">
      <w:pPr>
        <w:spacing w:line="360" w:lineRule="auto"/>
        <w:ind w:firstLine="720"/>
        <w:jc w:val="both"/>
        <w:rPr>
          <w:rFonts w:ascii="Arial" w:hAnsi="Arial" w:cs="Arial"/>
        </w:rPr>
      </w:pPr>
      <w:r w:rsidRPr="007F7B11">
        <w:rPr>
          <w:rFonts w:ascii="Arial" w:hAnsi="Arial" w:cs="Arial"/>
        </w:rPr>
        <w:t>Customers are another key user base as the powers that be emphasize on delivering high quality of the network and providing digital services. It becomes vital to constantly communicate with customers about service enhancements, network expansion, and improved digital capabilities to keep customers confident in the service. If the commitments aren't met, consumers may find more reasons to switch to other providers in an already competitive market for telecoms (Ofcom, 2024).</w:t>
      </w:r>
    </w:p>
    <w:p w:rsidR="001A120B" w:rsidRPr="007F7B11" w:rsidP="00DB22FD" w14:paraId="132B392D" w14:textId="77777777">
      <w:pPr>
        <w:spacing w:line="360" w:lineRule="auto"/>
        <w:ind w:firstLine="720"/>
        <w:jc w:val="both"/>
        <w:rPr>
          <w:rFonts w:ascii="Arial" w:hAnsi="Arial" w:cs="Arial"/>
        </w:rPr>
      </w:pPr>
      <w:r w:rsidRPr="007F7B11">
        <w:rPr>
          <w:rFonts w:ascii="Arial" w:hAnsi="Arial" w:cs="Arial"/>
        </w:rPr>
        <w:t>Employees are also vital stakeholders as they help bring about new capabilities, effective leadership and workforce engagement in achieving organisational integration and digital transformation. Ongoing training, change management and communication will then need to be invested to limit resistance and build the digital skills needed to facilitate ongoing innovation (Kotter, 2017).</w:t>
      </w:r>
    </w:p>
    <w:p w:rsidR="001A120B" w:rsidRPr="007F7B11" w:rsidP="00DB22FD" w14:paraId="5199E618" w14:textId="77777777">
      <w:pPr>
        <w:spacing w:line="360" w:lineRule="auto"/>
        <w:ind w:firstLine="720"/>
        <w:jc w:val="both"/>
        <w:rPr>
          <w:rFonts w:ascii="Arial" w:hAnsi="Arial" w:cs="Arial"/>
        </w:rPr>
      </w:pPr>
      <w:r w:rsidRPr="007F7B11">
        <w:rPr>
          <w:rFonts w:ascii="Arial" w:hAnsi="Arial" w:cs="Arial"/>
        </w:rPr>
        <w:t>Important people within the strategic supply chain, from technology vendors to local communities, should be kept in the loop during the process, as they play a direct role in network deployment, technological innovation and wider economic development. It is anticipated that frequent engagement with these stakeholder groups will enhance project delivery and promote broader social and economic value from investments in digital advanced infrastructure.</w:t>
      </w:r>
    </w:p>
    <w:p w:rsidR="00742665" w:rsidP="00DB22FD" w14:paraId="4A021A97" w14:textId="2F0F5891">
      <w:pPr>
        <w:spacing w:line="360" w:lineRule="auto"/>
        <w:ind w:firstLine="720"/>
        <w:jc w:val="both"/>
        <w:rPr>
          <w:rFonts w:ascii="Arial" w:hAnsi="Arial" w:cs="Arial"/>
        </w:rPr>
      </w:pPr>
      <w:r w:rsidRPr="007F7B11">
        <w:rPr>
          <w:rFonts w:ascii="Arial" w:hAnsi="Arial" w:cs="Arial"/>
        </w:rPr>
        <w:t>In general, the successful engagement of stakeholders will help to mitigate implementation risk, enhance the legitimacy of an organisation and increase the potential for sustainable competitive advantage.</w:t>
      </w:r>
    </w:p>
    <w:p w:rsidR="00DB22FD" w:rsidRPr="007F7B11" w:rsidP="00DB22FD" w14:paraId="7503244B" w14:textId="77777777">
      <w:pPr>
        <w:spacing w:line="360" w:lineRule="auto"/>
        <w:ind w:firstLine="720"/>
        <w:jc w:val="both"/>
        <w:rPr>
          <w:rFonts w:ascii="Arial" w:hAnsi="Arial" w:cs="Arial"/>
        </w:rPr>
      </w:pPr>
    </w:p>
    <w:p w:rsidR="00EA3462" w:rsidRPr="00DB22FD" w:rsidP="007F7B11" w14:paraId="460E3C3F" w14:textId="77777777">
      <w:pPr>
        <w:spacing w:line="360" w:lineRule="auto"/>
        <w:jc w:val="both"/>
        <w:rPr>
          <w:rFonts w:ascii="Arial" w:hAnsi="Arial" w:cs="Arial"/>
          <w:b/>
          <w:bCs/>
        </w:rPr>
      </w:pPr>
      <w:r w:rsidRPr="00DB22FD">
        <w:rPr>
          <w:rFonts w:ascii="Arial" w:hAnsi="Arial" w:cs="Arial"/>
          <w:b/>
          <w:bCs/>
        </w:rPr>
        <w:t>Table 1. Stakeholder Engagement Plan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tblPr>
      <w:tblGrid>
        <w:gridCol w:w="1869"/>
        <w:gridCol w:w="1103"/>
        <w:gridCol w:w="1134"/>
        <w:gridCol w:w="4910"/>
      </w:tblGrid>
      <w:tr w14:paraId="56617D87" w14:textId="77777777" w:rsidTr="00DB22FD">
        <w:tblPrEx>
          <w:tblW w:w="0" w:type="auto"/>
          <w:tblLook w:val="04A0"/>
        </w:tblPrEx>
        <w:trPr>
          <w:tblHeader/>
        </w:trPr>
        <w:tc>
          <w:tcPr>
            <w:tcW w:w="0" w:type="auto"/>
            <w:vAlign w:val="center"/>
            <w:hideMark/>
          </w:tcPr>
          <w:p w:rsidR="00BA6D62" w:rsidRPr="007F7B11" w:rsidP="00DB22FD" w14:paraId="1C305F61" w14:textId="77777777">
            <w:pPr>
              <w:spacing w:after="0" w:line="360" w:lineRule="auto"/>
              <w:jc w:val="center"/>
              <w:rPr>
                <w:rFonts w:ascii="Arial" w:eastAsia="Times New Roman" w:hAnsi="Arial" w:cs="Arial"/>
                <w:b/>
                <w:bCs/>
                <w:kern w:val="0"/>
                <w:lang w:eastAsia="en-GB"/>
                <w14:ligatures w14:val="none"/>
              </w:rPr>
            </w:pPr>
            <w:r w:rsidRPr="007F7B11">
              <w:rPr>
                <w:rFonts w:ascii="Arial" w:eastAsia="Times New Roman" w:hAnsi="Arial" w:cs="Arial"/>
                <w:b/>
                <w:bCs/>
                <w:kern w:val="0"/>
                <w:lang w:eastAsia="en-GB"/>
                <w14:ligatures w14:val="none"/>
              </w:rPr>
              <w:t>Stakeholder</w:t>
            </w:r>
          </w:p>
        </w:tc>
        <w:tc>
          <w:tcPr>
            <w:tcW w:w="1073" w:type="dxa"/>
            <w:vAlign w:val="center"/>
            <w:hideMark/>
          </w:tcPr>
          <w:p w:rsidR="00BA6D62" w:rsidRPr="007F7B11" w:rsidP="00DB22FD" w14:paraId="06C7C3EA" w14:textId="77777777">
            <w:pPr>
              <w:spacing w:after="0" w:line="360" w:lineRule="auto"/>
              <w:jc w:val="center"/>
              <w:rPr>
                <w:rFonts w:ascii="Arial" w:eastAsia="Times New Roman" w:hAnsi="Arial" w:cs="Arial"/>
                <w:b/>
                <w:bCs/>
                <w:kern w:val="0"/>
                <w:lang w:eastAsia="en-GB"/>
                <w14:ligatures w14:val="none"/>
              </w:rPr>
            </w:pPr>
            <w:r w:rsidRPr="007F7B11">
              <w:rPr>
                <w:rFonts w:ascii="Arial" w:eastAsia="Times New Roman" w:hAnsi="Arial" w:cs="Arial"/>
                <w:b/>
                <w:bCs/>
                <w:kern w:val="0"/>
                <w:lang w:eastAsia="en-GB"/>
                <w14:ligatures w14:val="none"/>
              </w:rPr>
              <w:t>Power</w:t>
            </w:r>
          </w:p>
        </w:tc>
        <w:tc>
          <w:tcPr>
            <w:tcW w:w="1104" w:type="dxa"/>
            <w:vAlign w:val="center"/>
            <w:hideMark/>
          </w:tcPr>
          <w:p w:rsidR="00BA6D62" w:rsidRPr="007F7B11" w:rsidP="00DB22FD" w14:paraId="38B399E9" w14:textId="77777777">
            <w:pPr>
              <w:spacing w:after="0" w:line="360" w:lineRule="auto"/>
              <w:jc w:val="center"/>
              <w:rPr>
                <w:rFonts w:ascii="Arial" w:eastAsia="Times New Roman" w:hAnsi="Arial" w:cs="Arial"/>
                <w:b/>
                <w:bCs/>
                <w:kern w:val="0"/>
                <w:lang w:eastAsia="en-GB"/>
                <w14:ligatures w14:val="none"/>
              </w:rPr>
            </w:pPr>
            <w:r w:rsidRPr="007F7B11">
              <w:rPr>
                <w:rFonts w:ascii="Arial" w:eastAsia="Times New Roman" w:hAnsi="Arial" w:cs="Arial"/>
                <w:b/>
                <w:bCs/>
                <w:kern w:val="0"/>
                <w:lang w:eastAsia="en-GB"/>
                <w14:ligatures w14:val="none"/>
              </w:rPr>
              <w:t>Interest</w:t>
            </w:r>
          </w:p>
        </w:tc>
        <w:tc>
          <w:tcPr>
            <w:tcW w:w="4865" w:type="dxa"/>
            <w:vAlign w:val="center"/>
            <w:hideMark/>
          </w:tcPr>
          <w:p w:rsidR="00BA6D62" w:rsidRPr="007F7B11" w:rsidP="00DB22FD" w14:paraId="5D24586F" w14:textId="77777777">
            <w:pPr>
              <w:spacing w:after="0" w:line="360" w:lineRule="auto"/>
              <w:jc w:val="center"/>
              <w:rPr>
                <w:rFonts w:ascii="Arial" w:eastAsia="Times New Roman" w:hAnsi="Arial" w:cs="Arial"/>
                <w:b/>
                <w:bCs/>
                <w:kern w:val="0"/>
                <w:lang w:eastAsia="en-GB"/>
                <w14:ligatures w14:val="none"/>
              </w:rPr>
            </w:pPr>
            <w:r w:rsidRPr="007F7B11">
              <w:rPr>
                <w:rFonts w:ascii="Arial" w:eastAsia="Times New Roman" w:hAnsi="Arial" w:cs="Arial"/>
                <w:b/>
                <w:bCs/>
                <w:kern w:val="0"/>
                <w:lang w:eastAsia="en-GB"/>
                <w14:ligatures w14:val="none"/>
              </w:rPr>
              <w:t>Engagement Strategy</w:t>
            </w:r>
          </w:p>
        </w:tc>
      </w:tr>
      <w:tr w14:paraId="3BEDB6EC" w14:textId="77777777" w:rsidTr="00DB22FD">
        <w:tblPrEx>
          <w:tblW w:w="0" w:type="auto"/>
          <w:tblLook w:val="04A0"/>
        </w:tblPrEx>
        <w:tc>
          <w:tcPr>
            <w:tcW w:w="0" w:type="auto"/>
            <w:vAlign w:val="center"/>
            <w:hideMark/>
          </w:tcPr>
          <w:p w:rsidR="00BA6D62" w:rsidRPr="007F7B11" w:rsidP="007F7B11" w14:paraId="751990C3" w14:textId="77777777">
            <w:pPr>
              <w:spacing w:after="0" w:line="360" w:lineRule="auto"/>
              <w:jc w:val="both"/>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Shareholders</w:t>
            </w:r>
          </w:p>
        </w:tc>
        <w:tc>
          <w:tcPr>
            <w:tcW w:w="1073" w:type="dxa"/>
            <w:vAlign w:val="center"/>
            <w:hideMark/>
          </w:tcPr>
          <w:p w:rsidR="00BA6D62" w:rsidRPr="007F7B11" w:rsidP="00DB22FD" w14:paraId="70D3782E"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High</w:t>
            </w:r>
          </w:p>
        </w:tc>
        <w:tc>
          <w:tcPr>
            <w:tcW w:w="1104" w:type="dxa"/>
            <w:vAlign w:val="center"/>
            <w:hideMark/>
          </w:tcPr>
          <w:p w:rsidR="00BA6D62" w:rsidRPr="007F7B11" w:rsidP="00DB22FD" w14:paraId="7BB679EA"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High</w:t>
            </w:r>
          </w:p>
        </w:tc>
        <w:tc>
          <w:tcPr>
            <w:tcW w:w="4865" w:type="dxa"/>
            <w:vAlign w:val="center"/>
            <w:hideMark/>
          </w:tcPr>
          <w:p w:rsidR="00BA6D62" w:rsidRPr="007F7B11" w:rsidP="007F7B11" w14:paraId="226FF3EE" w14:textId="77777777">
            <w:pPr>
              <w:spacing w:after="0" w:line="360" w:lineRule="auto"/>
              <w:jc w:val="both"/>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Quarterly performance reporting and strategic updates</w:t>
            </w:r>
          </w:p>
        </w:tc>
      </w:tr>
      <w:tr w14:paraId="487CA0D0" w14:textId="77777777" w:rsidTr="00DB22FD">
        <w:tblPrEx>
          <w:tblW w:w="0" w:type="auto"/>
          <w:tblLook w:val="04A0"/>
        </w:tblPrEx>
        <w:tc>
          <w:tcPr>
            <w:tcW w:w="0" w:type="auto"/>
            <w:vAlign w:val="center"/>
            <w:hideMark/>
          </w:tcPr>
          <w:p w:rsidR="00BA6D62" w:rsidRPr="007F7B11" w:rsidP="007F7B11" w14:paraId="298F3DD3" w14:textId="77777777">
            <w:pPr>
              <w:spacing w:after="0" w:line="360" w:lineRule="auto"/>
              <w:jc w:val="both"/>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Board of Directors</w:t>
            </w:r>
          </w:p>
        </w:tc>
        <w:tc>
          <w:tcPr>
            <w:tcW w:w="1073" w:type="dxa"/>
            <w:vAlign w:val="center"/>
            <w:hideMark/>
          </w:tcPr>
          <w:p w:rsidR="00BA6D62" w:rsidRPr="007F7B11" w:rsidP="00DB22FD" w14:paraId="77438311"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High</w:t>
            </w:r>
          </w:p>
        </w:tc>
        <w:tc>
          <w:tcPr>
            <w:tcW w:w="1104" w:type="dxa"/>
            <w:vAlign w:val="center"/>
            <w:hideMark/>
          </w:tcPr>
          <w:p w:rsidR="00BA6D62" w:rsidRPr="007F7B11" w:rsidP="00DB22FD" w14:paraId="740824F3"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High</w:t>
            </w:r>
          </w:p>
        </w:tc>
        <w:tc>
          <w:tcPr>
            <w:tcW w:w="4865" w:type="dxa"/>
            <w:vAlign w:val="center"/>
            <w:hideMark/>
          </w:tcPr>
          <w:p w:rsidR="00BA6D62" w:rsidRPr="007F7B11" w:rsidP="007F7B11" w14:paraId="777E6F31" w14:textId="77777777">
            <w:pPr>
              <w:spacing w:after="0" w:line="360" w:lineRule="auto"/>
              <w:jc w:val="both"/>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Continuous monitoring through governance meetings and KPI reviews</w:t>
            </w:r>
          </w:p>
        </w:tc>
      </w:tr>
      <w:tr w14:paraId="6EE320CD" w14:textId="77777777" w:rsidTr="00DB22FD">
        <w:tblPrEx>
          <w:tblW w:w="0" w:type="auto"/>
          <w:tblLook w:val="04A0"/>
        </w:tblPrEx>
        <w:tc>
          <w:tcPr>
            <w:tcW w:w="0" w:type="auto"/>
            <w:vAlign w:val="center"/>
            <w:hideMark/>
          </w:tcPr>
          <w:p w:rsidR="00BA6D62" w:rsidRPr="007F7B11" w:rsidP="007F7B11" w14:paraId="703228B2" w14:textId="77777777">
            <w:pPr>
              <w:spacing w:after="0" w:line="360" w:lineRule="auto"/>
              <w:jc w:val="both"/>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Ofcom and CMA</w:t>
            </w:r>
          </w:p>
        </w:tc>
        <w:tc>
          <w:tcPr>
            <w:tcW w:w="1073" w:type="dxa"/>
            <w:vAlign w:val="center"/>
            <w:hideMark/>
          </w:tcPr>
          <w:p w:rsidR="00BA6D62" w:rsidRPr="007F7B11" w:rsidP="00DB22FD" w14:paraId="4F502C66"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High</w:t>
            </w:r>
          </w:p>
        </w:tc>
        <w:tc>
          <w:tcPr>
            <w:tcW w:w="1104" w:type="dxa"/>
            <w:vAlign w:val="center"/>
            <w:hideMark/>
          </w:tcPr>
          <w:p w:rsidR="00BA6D62" w:rsidRPr="007F7B11" w:rsidP="00DB22FD" w14:paraId="51C42915"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High</w:t>
            </w:r>
          </w:p>
        </w:tc>
        <w:tc>
          <w:tcPr>
            <w:tcW w:w="4865" w:type="dxa"/>
            <w:vAlign w:val="center"/>
            <w:hideMark/>
          </w:tcPr>
          <w:p w:rsidR="00BA6D62" w:rsidRPr="007F7B11" w:rsidP="007F7B11" w14:paraId="6D68F746" w14:textId="77777777">
            <w:pPr>
              <w:spacing w:after="0" w:line="360" w:lineRule="auto"/>
              <w:jc w:val="both"/>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Regulatory compliance reporting and consultation</w:t>
            </w:r>
          </w:p>
        </w:tc>
      </w:tr>
      <w:tr w14:paraId="1E50664F" w14:textId="77777777" w:rsidTr="00DB22FD">
        <w:tblPrEx>
          <w:tblW w:w="0" w:type="auto"/>
          <w:tblLook w:val="04A0"/>
        </w:tblPrEx>
        <w:tc>
          <w:tcPr>
            <w:tcW w:w="0" w:type="auto"/>
            <w:vAlign w:val="center"/>
            <w:hideMark/>
          </w:tcPr>
          <w:p w:rsidR="00BA6D62" w:rsidRPr="007F7B11" w:rsidP="007F7B11" w14:paraId="1A6E59BA" w14:textId="77777777">
            <w:pPr>
              <w:spacing w:after="0" w:line="360" w:lineRule="auto"/>
              <w:jc w:val="both"/>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Customers</w:t>
            </w:r>
          </w:p>
        </w:tc>
        <w:tc>
          <w:tcPr>
            <w:tcW w:w="1073" w:type="dxa"/>
            <w:vAlign w:val="center"/>
            <w:hideMark/>
          </w:tcPr>
          <w:p w:rsidR="00BA6D62" w:rsidRPr="007F7B11" w:rsidP="00DB22FD" w14:paraId="1674F4C9"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Medium</w:t>
            </w:r>
          </w:p>
        </w:tc>
        <w:tc>
          <w:tcPr>
            <w:tcW w:w="1104" w:type="dxa"/>
            <w:vAlign w:val="center"/>
            <w:hideMark/>
          </w:tcPr>
          <w:p w:rsidR="00BA6D62" w:rsidRPr="007F7B11" w:rsidP="00DB22FD" w14:paraId="1FDF900C"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High</w:t>
            </w:r>
          </w:p>
        </w:tc>
        <w:tc>
          <w:tcPr>
            <w:tcW w:w="4865" w:type="dxa"/>
            <w:vAlign w:val="center"/>
            <w:hideMark/>
          </w:tcPr>
          <w:p w:rsidR="00BA6D62" w:rsidRPr="007F7B11" w:rsidP="007F7B11" w14:paraId="5EA5EBB5" w14:textId="77777777">
            <w:pPr>
              <w:spacing w:after="0" w:line="360" w:lineRule="auto"/>
              <w:jc w:val="both"/>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Customer communication campaigns, feedback surveys and service updates</w:t>
            </w:r>
          </w:p>
        </w:tc>
      </w:tr>
      <w:tr w14:paraId="7F376D99" w14:textId="77777777" w:rsidTr="00DB22FD">
        <w:tblPrEx>
          <w:tblW w:w="0" w:type="auto"/>
          <w:tblLook w:val="04A0"/>
        </w:tblPrEx>
        <w:tc>
          <w:tcPr>
            <w:tcW w:w="0" w:type="auto"/>
            <w:vAlign w:val="center"/>
            <w:hideMark/>
          </w:tcPr>
          <w:p w:rsidR="00BA6D62" w:rsidRPr="007F7B11" w:rsidP="007F7B11" w14:paraId="0D71993A" w14:textId="77777777">
            <w:pPr>
              <w:spacing w:after="0" w:line="360" w:lineRule="auto"/>
              <w:jc w:val="both"/>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Employees</w:t>
            </w:r>
          </w:p>
        </w:tc>
        <w:tc>
          <w:tcPr>
            <w:tcW w:w="1073" w:type="dxa"/>
            <w:vAlign w:val="center"/>
            <w:hideMark/>
          </w:tcPr>
          <w:p w:rsidR="00BA6D62" w:rsidRPr="007F7B11" w:rsidP="00DB22FD" w14:paraId="5A100635"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Medium</w:t>
            </w:r>
          </w:p>
        </w:tc>
        <w:tc>
          <w:tcPr>
            <w:tcW w:w="1104" w:type="dxa"/>
            <w:vAlign w:val="center"/>
            <w:hideMark/>
          </w:tcPr>
          <w:p w:rsidR="00BA6D62" w:rsidRPr="007F7B11" w:rsidP="00DB22FD" w14:paraId="33CB0BAD"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High</w:t>
            </w:r>
          </w:p>
        </w:tc>
        <w:tc>
          <w:tcPr>
            <w:tcW w:w="4865" w:type="dxa"/>
            <w:vAlign w:val="center"/>
            <w:hideMark/>
          </w:tcPr>
          <w:p w:rsidR="00BA6D62" w:rsidRPr="007F7B11" w:rsidP="007F7B11" w14:paraId="0F8BBF52" w14:textId="77777777">
            <w:pPr>
              <w:spacing w:after="0" w:line="360" w:lineRule="auto"/>
              <w:jc w:val="both"/>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Training programmes, change management workshops and regular internal communication</w:t>
            </w:r>
          </w:p>
        </w:tc>
      </w:tr>
      <w:tr w14:paraId="57AA490B" w14:textId="77777777" w:rsidTr="00DB22FD">
        <w:tblPrEx>
          <w:tblW w:w="0" w:type="auto"/>
          <w:tblLook w:val="04A0"/>
        </w:tblPrEx>
        <w:tc>
          <w:tcPr>
            <w:tcW w:w="0" w:type="auto"/>
            <w:vAlign w:val="center"/>
            <w:hideMark/>
          </w:tcPr>
          <w:p w:rsidR="00BA6D62" w:rsidRPr="007F7B11" w:rsidP="007F7B11" w14:paraId="0C748B5C" w14:textId="77777777">
            <w:pPr>
              <w:spacing w:after="0" w:line="360" w:lineRule="auto"/>
              <w:jc w:val="both"/>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Technology Partners</w:t>
            </w:r>
          </w:p>
        </w:tc>
        <w:tc>
          <w:tcPr>
            <w:tcW w:w="1073" w:type="dxa"/>
            <w:vAlign w:val="center"/>
            <w:hideMark/>
          </w:tcPr>
          <w:p w:rsidR="00BA6D62" w:rsidRPr="007F7B11" w:rsidP="00DB22FD" w14:paraId="6E12F6CD"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Medium</w:t>
            </w:r>
          </w:p>
        </w:tc>
        <w:tc>
          <w:tcPr>
            <w:tcW w:w="1104" w:type="dxa"/>
            <w:vAlign w:val="center"/>
            <w:hideMark/>
          </w:tcPr>
          <w:p w:rsidR="00BA6D62" w:rsidRPr="007F7B11" w:rsidP="00DB22FD" w14:paraId="68930105"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Medium</w:t>
            </w:r>
          </w:p>
        </w:tc>
        <w:tc>
          <w:tcPr>
            <w:tcW w:w="4865" w:type="dxa"/>
            <w:vAlign w:val="center"/>
            <w:hideMark/>
          </w:tcPr>
          <w:p w:rsidR="00BA6D62" w:rsidRPr="007F7B11" w:rsidP="007F7B11" w14:paraId="6A9B020B" w14:textId="77777777">
            <w:pPr>
              <w:spacing w:after="0" w:line="360" w:lineRule="auto"/>
              <w:jc w:val="both"/>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Joint innovation planning and project coordination</w:t>
            </w:r>
          </w:p>
        </w:tc>
      </w:tr>
      <w:tr w14:paraId="16F7B622" w14:textId="77777777" w:rsidTr="00DB22FD">
        <w:tblPrEx>
          <w:tblW w:w="0" w:type="auto"/>
          <w:tblLook w:val="04A0"/>
        </w:tblPrEx>
        <w:tc>
          <w:tcPr>
            <w:tcW w:w="0" w:type="auto"/>
            <w:vAlign w:val="center"/>
            <w:hideMark/>
          </w:tcPr>
          <w:p w:rsidR="00BA6D62" w:rsidRPr="007F7B11" w:rsidP="007F7B11" w14:paraId="3AC11E29" w14:textId="77777777">
            <w:pPr>
              <w:spacing w:after="0" w:line="360" w:lineRule="auto"/>
              <w:jc w:val="both"/>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Local Communities</w:t>
            </w:r>
          </w:p>
        </w:tc>
        <w:tc>
          <w:tcPr>
            <w:tcW w:w="1073" w:type="dxa"/>
            <w:vAlign w:val="center"/>
            <w:hideMark/>
          </w:tcPr>
          <w:p w:rsidR="00BA6D62" w:rsidRPr="007F7B11" w:rsidP="00DB22FD" w14:paraId="1DAEEBB4"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Low</w:t>
            </w:r>
          </w:p>
        </w:tc>
        <w:tc>
          <w:tcPr>
            <w:tcW w:w="1104" w:type="dxa"/>
            <w:vAlign w:val="center"/>
            <w:hideMark/>
          </w:tcPr>
          <w:p w:rsidR="00BA6D62" w:rsidRPr="007F7B11" w:rsidP="00DB22FD" w14:paraId="5A9525F1"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Medium</w:t>
            </w:r>
          </w:p>
        </w:tc>
        <w:tc>
          <w:tcPr>
            <w:tcW w:w="4865" w:type="dxa"/>
            <w:vAlign w:val="center"/>
            <w:hideMark/>
          </w:tcPr>
          <w:p w:rsidR="00BA6D62" w:rsidRPr="007F7B11" w:rsidP="007F7B11" w14:paraId="26DD6851" w14:textId="77777777">
            <w:pPr>
              <w:spacing w:after="0" w:line="360" w:lineRule="auto"/>
              <w:jc w:val="both"/>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Community engagement and sustainability initiatives</w:t>
            </w:r>
          </w:p>
        </w:tc>
      </w:tr>
    </w:tbl>
    <w:p w:rsidR="00EA3462" w:rsidRPr="007F7B11" w:rsidP="007F7B11" w14:paraId="6657BA22" w14:textId="77777777">
      <w:pPr>
        <w:spacing w:line="360" w:lineRule="auto"/>
        <w:jc w:val="both"/>
        <w:rPr>
          <w:rFonts w:ascii="Arial" w:hAnsi="Arial" w:cs="Arial"/>
        </w:rPr>
      </w:pPr>
    </w:p>
    <w:p w:rsidR="00BA6D62" w:rsidRPr="007F7B11" w:rsidP="007F7B11" w14:paraId="25FACF10" w14:textId="77777777">
      <w:pPr>
        <w:spacing w:line="360" w:lineRule="auto"/>
        <w:jc w:val="both"/>
        <w:rPr>
          <w:rFonts w:ascii="Arial" w:hAnsi="Arial" w:cs="Arial"/>
        </w:rPr>
      </w:pPr>
    </w:p>
    <w:p w:rsidR="00D126BF" w:rsidRPr="00DB22FD" w:rsidP="00DB22FD" w14:paraId="663E9CE3" w14:textId="77777777">
      <w:pPr>
        <w:pStyle w:val="Heading1"/>
        <w:rPr>
          <w:b/>
          <w:bCs/>
          <w:color w:val="auto"/>
        </w:rPr>
      </w:pPr>
      <w:bookmarkStart w:id="12" w:name="_Toc234679291"/>
      <w:r w:rsidRPr="00DB22FD">
        <w:rPr>
          <w:b/>
          <w:bCs/>
          <w:color w:val="auto"/>
        </w:rPr>
        <w:t>6. Implementation and Monitoring</w:t>
      </w:r>
      <w:bookmarkEnd w:id="12"/>
    </w:p>
    <w:p w:rsidR="00D126BF" w:rsidRPr="007F7B11" w:rsidP="007F7B11" w14:paraId="0B159FA9" w14:textId="77777777">
      <w:pPr>
        <w:spacing w:line="360" w:lineRule="auto"/>
        <w:jc w:val="both"/>
        <w:rPr>
          <w:rFonts w:ascii="Arial" w:hAnsi="Arial" w:cs="Arial"/>
        </w:rPr>
      </w:pPr>
    </w:p>
    <w:p w:rsidR="00D126BF" w:rsidRPr="007F7B11" w:rsidP="00DB22FD" w14:paraId="579ADF26" w14:textId="77777777">
      <w:pPr>
        <w:spacing w:line="360" w:lineRule="auto"/>
        <w:ind w:firstLine="720"/>
        <w:jc w:val="both"/>
        <w:rPr>
          <w:rFonts w:ascii="Arial" w:hAnsi="Arial" w:cs="Arial"/>
        </w:rPr>
      </w:pPr>
      <w:r w:rsidRPr="007F7B11">
        <w:rPr>
          <w:rFonts w:ascii="Arial" w:hAnsi="Arial" w:cs="Arial"/>
        </w:rPr>
        <w:t xml:space="preserve">Implementing the proposed strategy successfully demands a structured strategy that properly links the strategic goals with the operational implementation. The importance of implementing strategy as a determinant of organisational performance, rather than of formulating it, is highlighted in strategic management literature (Johnson et al., 2020). </w:t>
      </w:r>
      <w:r w:rsidRPr="007F7B11">
        <w:rPr>
          <w:rFonts w:ascii="Arial" w:hAnsi="Arial" w:cs="Arial"/>
        </w:rPr>
        <w:t>VodafoneThree</w:t>
      </w:r>
      <w:r w:rsidRPr="007F7B11">
        <w:rPr>
          <w:rFonts w:ascii="Arial" w:hAnsi="Arial" w:cs="Arial"/>
        </w:rPr>
        <w:t xml:space="preserve"> therefore needs to have a phased implementation process with measurable goals, ongoing performance monitoring and good organisational governance.</w:t>
      </w:r>
    </w:p>
    <w:p w:rsidR="00D126BF" w:rsidRPr="007F7B11" w:rsidP="00DB22FD" w14:paraId="33E528EA" w14:textId="77777777">
      <w:pPr>
        <w:spacing w:line="360" w:lineRule="auto"/>
        <w:ind w:firstLine="720"/>
        <w:jc w:val="both"/>
        <w:rPr>
          <w:rFonts w:ascii="Arial" w:hAnsi="Arial" w:cs="Arial"/>
        </w:rPr>
      </w:pPr>
      <w:r w:rsidRPr="007F7B11">
        <w:rPr>
          <w:rFonts w:ascii="Arial" w:hAnsi="Arial" w:cs="Arial"/>
        </w:rPr>
        <w:t xml:space="preserve">The first task should be to finalise the business integration of Vodafone UK and Three UK, with ongoing operations and services to keep customers happy. The anticipated operational synergies and a seamless customer experience will require effective integration of network infrastructure, information systems and organisational processes. At the same time, investment should be continued in the fifth-generation infrastructure projects that have not been connected, which will enhance network </w:t>
      </w:r>
      <w:r w:rsidRPr="007F7B11">
        <w:rPr>
          <w:rFonts w:ascii="Arial" w:hAnsi="Arial" w:cs="Arial"/>
        </w:rPr>
        <w:t>coverage and improve the reliability of services while supporting the expansion of digital services for enterprises.</w:t>
      </w:r>
    </w:p>
    <w:p w:rsidR="00D126BF" w:rsidRPr="007F7B11" w:rsidP="00DB22FD" w14:paraId="5ABDA36C" w14:textId="5858F9B5">
      <w:pPr>
        <w:spacing w:line="360" w:lineRule="auto"/>
        <w:ind w:firstLine="720"/>
        <w:jc w:val="both"/>
        <w:rPr>
          <w:rFonts w:ascii="Arial" w:hAnsi="Arial" w:cs="Arial"/>
        </w:rPr>
      </w:pPr>
      <w:r w:rsidRPr="007F7B11">
        <w:rPr>
          <w:rFonts w:ascii="Arial" w:hAnsi="Arial" w:cs="Arial"/>
        </w:rPr>
        <w:t xml:space="preserve">The second phase should focus on commercializing advanced digital solutions, such as IoT platform, AI-powered connectivity, cloud services and smart infrastructure collaboration. These should aim to support both public and private sector organisations to diversify revenue </w:t>
      </w:r>
      <w:r w:rsidRPr="007F7B11" w:rsidR="00DB22FD">
        <w:rPr>
          <w:rFonts w:ascii="Arial" w:hAnsi="Arial" w:cs="Arial"/>
        </w:rPr>
        <w:t>streams and</w:t>
      </w:r>
      <w:r w:rsidRPr="007F7B11">
        <w:rPr>
          <w:rFonts w:ascii="Arial" w:hAnsi="Arial" w:cs="Arial"/>
        </w:rPr>
        <w:t xml:space="preserve"> reduce reliance on traditional consumer telecommunications services for </w:t>
      </w:r>
      <w:r w:rsidRPr="007F7B11">
        <w:rPr>
          <w:rFonts w:ascii="Arial" w:hAnsi="Arial" w:cs="Arial"/>
        </w:rPr>
        <w:t>VodafoneThree</w:t>
      </w:r>
      <w:r w:rsidRPr="007F7B11">
        <w:rPr>
          <w:rFonts w:ascii="Arial" w:hAnsi="Arial" w:cs="Arial"/>
        </w:rPr>
        <w:t>. Strategic relationships with technology vendors, local authorities, and enterprise customers will continue to enhance the innovation capability and expand market penetration.</w:t>
      </w:r>
    </w:p>
    <w:p w:rsidR="00D126BF" w:rsidRPr="007F7B11" w:rsidP="00DB22FD" w14:paraId="21226B18" w14:textId="77777777">
      <w:pPr>
        <w:spacing w:line="360" w:lineRule="auto"/>
        <w:ind w:firstLine="720"/>
        <w:jc w:val="both"/>
        <w:rPr>
          <w:rFonts w:ascii="Arial" w:hAnsi="Arial" w:cs="Arial"/>
        </w:rPr>
      </w:pPr>
      <w:r w:rsidRPr="007F7B11">
        <w:rPr>
          <w:rFonts w:ascii="Arial" w:hAnsi="Arial" w:cs="Arial"/>
        </w:rPr>
        <w:t xml:space="preserve">Continuous monitoring should be used to aid implementation with the use of clearly defined Key Performance Indicators that measure financial performance, operational efficiency, customer outcomes and innovation capability. Good performance reviews will allow senior management to spot implementation issues, as well as to measure progress against strategic targets and take corrective steps if needed. This continuous evaluation process is especially crucial as it is during the integration of the two entities that there is a lot of uncertainty regarding the operations and decisions </w:t>
      </w:r>
      <w:r w:rsidRPr="007F7B11">
        <w:rPr>
          <w:rFonts w:ascii="Arial" w:hAnsi="Arial" w:cs="Arial"/>
        </w:rPr>
        <w:t>have to</w:t>
      </w:r>
      <w:r w:rsidRPr="007F7B11">
        <w:rPr>
          <w:rFonts w:ascii="Arial" w:hAnsi="Arial" w:cs="Arial"/>
        </w:rPr>
        <w:t xml:space="preserve"> be made flexibly as the process goes on.</w:t>
      </w:r>
    </w:p>
    <w:p w:rsidR="00334212" w:rsidRPr="007F7B11" w:rsidP="00DB22FD" w14:paraId="6113EBE4" w14:textId="1FB4132A">
      <w:pPr>
        <w:spacing w:line="360" w:lineRule="auto"/>
        <w:ind w:firstLine="720"/>
        <w:jc w:val="both"/>
        <w:rPr>
          <w:rFonts w:ascii="Arial" w:hAnsi="Arial" w:cs="Arial"/>
        </w:rPr>
      </w:pPr>
      <w:r w:rsidRPr="007F7B11">
        <w:rPr>
          <w:rFonts w:ascii="Arial" w:hAnsi="Arial" w:cs="Arial"/>
        </w:rPr>
        <w:t xml:space="preserve">Overall, effective leadership, employee engagement and robust performance management will be key to successful implementation. </w:t>
      </w:r>
      <w:r w:rsidRPr="007F7B11">
        <w:rPr>
          <w:rFonts w:ascii="Arial" w:hAnsi="Arial" w:cs="Arial"/>
        </w:rPr>
        <w:t>VodafoneThree</w:t>
      </w:r>
      <w:r w:rsidRPr="007F7B11">
        <w:rPr>
          <w:rFonts w:ascii="Arial" w:hAnsi="Arial" w:cs="Arial"/>
        </w:rPr>
        <w:t xml:space="preserve"> will be in a stronger position to leverage its improved market position for long-term competitive advantage and organisational growth with the integration of strategic planning with measurable organisational outcomes.</w:t>
      </w:r>
    </w:p>
    <w:p w:rsidR="00D126BF" w:rsidRPr="007F7B11" w:rsidP="007F7B11" w14:paraId="0FEEB0D0" w14:textId="77777777">
      <w:pPr>
        <w:spacing w:line="360" w:lineRule="auto"/>
        <w:jc w:val="both"/>
        <w:rPr>
          <w:rFonts w:ascii="Arial" w:hAnsi="Arial" w:cs="Arial"/>
        </w:rPr>
      </w:pPr>
    </w:p>
    <w:p w:rsidR="00334212" w:rsidRPr="00DB22FD" w:rsidP="007F7B11" w14:paraId="3CAF9DD0" w14:textId="2E818B7B">
      <w:pPr>
        <w:spacing w:line="360" w:lineRule="auto"/>
        <w:jc w:val="both"/>
        <w:rPr>
          <w:rFonts w:ascii="Arial" w:hAnsi="Arial" w:cs="Arial"/>
          <w:b/>
          <w:bCs/>
        </w:rPr>
      </w:pPr>
      <w:r w:rsidRPr="00DB22FD">
        <w:rPr>
          <w:rFonts w:ascii="Arial" w:hAnsi="Arial" w:cs="Arial"/>
          <w:b/>
          <w:bCs/>
        </w:rPr>
        <w:t>Table 2. Implementation and Monitoring Plan</w:t>
      </w:r>
    </w:p>
    <w:p w:rsidR="009C2C28" w:rsidRPr="007F7B11" w:rsidP="007F7B11" w14:paraId="735E558F" w14:textId="77777777">
      <w:pPr>
        <w:spacing w:line="360" w:lineRule="auto"/>
        <w:jc w:val="both"/>
        <w:rPr>
          <w:rFonts w:ascii="Arial" w:hAnsi="Arial" w:cs="Arial"/>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tblPr>
      <w:tblGrid>
        <w:gridCol w:w="1890"/>
        <w:gridCol w:w="2070"/>
        <w:gridCol w:w="1695"/>
        <w:gridCol w:w="2057"/>
        <w:gridCol w:w="1304"/>
      </w:tblGrid>
      <w:tr w14:paraId="2141EA1B" w14:textId="77777777" w:rsidTr="009C2C28">
        <w:tblPrEx>
          <w:tblW w:w="0" w:type="auto"/>
          <w:tblLook w:val="04A0"/>
        </w:tblPrEx>
        <w:trPr>
          <w:tblHeader/>
        </w:trPr>
        <w:tc>
          <w:tcPr>
            <w:tcW w:w="0" w:type="auto"/>
            <w:vAlign w:val="center"/>
            <w:hideMark/>
          </w:tcPr>
          <w:p w:rsidR="009C2C28" w:rsidRPr="007F7B11" w:rsidP="00DB22FD" w14:paraId="0556E8EC" w14:textId="77777777">
            <w:pPr>
              <w:spacing w:after="0" w:line="360" w:lineRule="auto"/>
              <w:jc w:val="center"/>
              <w:rPr>
                <w:rFonts w:ascii="Arial" w:eastAsia="Times New Roman" w:hAnsi="Arial" w:cs="Arial"/>
                <w:b/>
                <w:bCs/>
                <w:kern w:val="0"/>
                <w:lang w:eastAsia="en-GB"/>
                <w14:ligatures w14:val="none"/>
              </w:rPr>
            </w:pPr>
            <w:r w:rsidRPr="007F7B11">
              <w:rPr>
                <w:rFonts w:ascii="Arial" w:eastAsia="Times New Roman" w:hAnsi="Arial" w:cs="Arial"/>
                <w:b/>
                <w:bCs/>
                <w:kern w:val="0"/>
                <w:lang w:eastAsia="en-GB"/>
                <w14:ligatures w14:val="none"/>
              </w:rPr>
              <w:t>Strategic Objective</w:t>
            </w:r>
          </w:p>
        </w:tc>
        <w:tc>
          <w:tcPr>
            <w:tcW w:w="0" w:type="auto"/>
            <w:vAlign w:val="center"/>
            <w:hideMark/>
          </w:tcPr>
          <w:p w:rsidR="009C2C28" w:rsidRPr="007F7B11" w:rsidP="00DB22FD" w14:paraId="72325430" w14:textId="77777777">
            <w:pPr>
              <w:spacing w:after="0" w:line="360" w:lineRule="auto"/>
              <w:jc w:val="center"/>
              <w:rPr>
                <w:rFonts w:ascii="Arial" w:eastAsia="Times New Roman" w:hAnsi="Arial" w:cs="Arial"/>
                <w:b/>
                <w:bCs/>
                <w:kern w:val="0"/>
                <w:lang w:eastAsia="en-GB"/>
                <w14:ligatures w14:val="none"/>
              </w:rPr>
            </w:pPr>
            <w:r w:rsidRPr="007F7B11">
              <w:rPr>
                <w:rFonts w:ascii="Arial" w:eastAsia="Times New Roman" w:hAnsi="Arial" w:cs="Arial"/>
                <w:b/>
                <w:bCs/>
                <w:kern w:val="0"/>
                <w:lang w:eastAsia="en-GB"/>
                <w14:ligatures w14:val="none"/>
              </w:rPr>
              <w:t>Key Actions</w:t>
            </w:r>
          </w:p>
        </w:tc>
        <w:tc>
          <w:tcPr>
            <w:tcW w:w="0" w:type="auto"/>
            <w:vAlign w:val="center"/>
            <w:hideMark/>
          </w:tcPr>
          <w:p w:rsidR="009C2C28" w:rsidRPr="007F7B11" w:rsidP="00DB22FD" w14:paraId="0FD4A6F5" w14:textId="77777777">
            <w:pPr>
              <w:spacing w:after="0" w:line="360" w:lineRule="auto"/>
              <w:jc w:val="center"/>
              <w:rPr>
                <w:rFonts w:ascii="Arial" w:eastAsia="Times New Roman" w:hAnsi="Arial" w:cs="Arial"/>
                <w:b/>
                <w:bCs/>
                <w:kern w:val="0"/>
                <w:lang w:eastAsia="en-GB"/>
                <w14:ligatures w14:val="none"/>
              </w:rPr>
            </w:pPr>
            <w:r w:rsidRPr="007F7B11">
              <w:rPr>
                <w:rFonts w:ascii="Arial" w:eastAsia="Times New Roman" w:hAnsi="Arial" w:cs="Arial"/>
                <w:b/>
                <w:bCs/>
                <w:kern w:val="0"/>
                <w:lang w:eastAsia="en-GB"/>
                <w14:ligatures w14:val="none"/>
              </w:rPr>
              <w:t>KPI</w:t>
            </w:r>
          </w:p>
        </w:tc>
        <w:tc>
          <w:tcPr>
            <w:tcW w:w="0" w:type="auto"/>
            <w:vAlign w:val="center"/>
            <w:hideMark/>
          </w:tcPr>
          <w:p w:rsidR="009C2C28" w:rsidRPr="007F7B11" w:rsidP="00DB22FD" w14:paraId="6C15BFAC" w14:textId="77777777">
            <w:pPr>
              <w:spacing w:after="0" w:line="360" w:lineRule="auto"/>
              <w:jc w:val="center"/>
              <w:rPr>
                <w:rFonts w:ascii="Arial" w:eastAsia="Times New Roman" w:hAnsi="Arial" w:cs="Arial"/>
                <w:b/>
                <w:bCs/>
                <w:kern w:val="0"/>
                <w:lang w:eastAsia="en-GB"/>
                <w14:ligatures w14:val="none"/>
              </w:rPr>
            </w:pPr>
            <w:r w:rsidRPr="007F7B11">
              <w:rPr>
                <w:rFonts w:ascii="Arial" w:eastAsia="Times New Roman" w:hAnsi="Arial" w:cs="Arial"/>
                <w:b/>
                <w:bCs/>
                <w:kern w:val="0"/>
                <w:lang w:eastAsia="en-GB"/>
                <w14:ligatures w14:val="none"/>
              </w:rPr>
              <w:t>Target</w:t>
            </w:r>
          </w:p>
        </w:tc>
        <w:tc>
          <w:tcPr>
            <w:tcW w:w="0" w:type="auto"/>
            <w:vAlign w:val="center"/>
            <w:hideMark/>
          </w:tcPr>
          <w:p w:rsidR="009C2C28" w:rsidRPr="007F7B11" w:rsidP="00DB22FD" w14:paraId="19670BF1" w14:textId="77777777">
            <w:pPr>
              <w:spacing w:after="0" w:line="360" w:lineRule="auto"/>
              <w:jc w:val="center"/>
              <w:rPr>
                <w:rFonts w:ascii="Arial" w:eastAsia="Times New Roman" w:hAnsi="Arial" w:cs="Arial"/>
                <w:b/>
                <w:bCs/>
                <w:kern w:val="0"/>
                <w:lang w:eastAsia="en-GB"/>
                <w14:ligatures w14:val="none"/>
              </w:rPr>
            </w:pPr>
            <w:r w:rsidRPr="007F7B11">
              <w:rPr>
                <w:rFonts w:ascii="Arial" w:eastAsia="Times New Roman" w:hAnsi="Arial" w:cs="Arial"/>
                <w:b/>
                <w:bCs/>
                <w:kern w:val="0"/>
                <w:lang w:eastAsia="en-GB"/>
                <w14:ligatures w14:val="none"/>
              </w:rPr>
              <w:t>Timescale</w:t>
            </w:r>
          </w:p>
        </w:tc>
      </w:tr>
      <w:tr w14:paraId="5F6A8EF5" w14:textId="77777777" w:rsidTr="009C2C28">
        <w:tblPrEx>
          <w:tblW w:w="0" w:type="auto"/>
          <w:tblLook w:val="04A0"/>
        </w:tblPrEx>
        <w:tc>
          <w:tcPr>
            <w:tcW w:w="0" w:type="auto"/>
            <w:vAlign w:val="center"/>
            <w:hideMark/>
          </w:tcPr>
          <w:p w:rsidR="009C2C28" w:rsidRPr="007F7B11" w:rsidP="00DB22FD" w14:paraId="78BEC135"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Complete organisational integration</w:t>
            </w:r>
          </w:p>
        </w:tc>
        <w:tc>
          <w:tcPr>
            <w:tcW w:w="0" w:type="auto"/>
            <w:vAlign w:val="center"/>
            <w:hideMark/>
          </w:tcPr>
          <w:p w:rsidR="009C2C28" w:rsidRPr="007F7B11" w:rsidP="00DB22FD" w14:paraId="4906FF52"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 xml:space="preserve">Integrate networks, systems </w:t>
            </w:r>
            <w:r w:rsidRPr="007F7B11">
              <w:rPr>
                <w:rFonts w:ascii="Arial" w:eastAsia="Times New Roman" w:hAnsi="Arial" w:cs="Arial"/>
                <w:kern w:val="0"/>
                <w:lang w:eastAsia="en-GB"/>
                <w14:ligatures w14:val="none"/>
              </w:rPr>
              <w:t>and operational processes</w:t>
            </w:r>
          </w:p>
        </w:tc>
        <w:tc>
          <w:tcPr>
            <w:tcW w:w="0" w:type="auto"/>
            <w:vAlign w:val="center"/>
            <w:hideMark/>
          </w:tcPr>
          <w:p w:rsidR="009C2C28" w:rsidRPr="007F7B11" w:rsidP="00DB22FD" w14:paraId="2C7DCA60"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Integration milestones achieved</w:t>
            </w:r>
          </w:p>
        </w:tc>
        <w:tc>
          <w:tcPr>
            <w:tcW w:w="0" w:type="auto"/>
            <w:vAlign w:val="center"/>
            <w:hideMark/>
          </w:tcPr>
          <w:p w:rsidR="009C2C28" w:rsidRPr="007F7B11" w:rsidP="00DB22FD" w14:paraId="70C999B1"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100% completion</w:t>
            </w:r>
          </w:p>
        </w:tc>
        <w:tc>
          <w:tcPr>
            <w:tcW w:w="0" w:type="auto"/>
            <w:vAlign w:val="center"/>
            <w:hideMark/>
          </w:tcPr>
          <w:p w:rsidR="009C2C28" w:rsidRPr="007F7B11" w:rsidP="00DB22FD" w14:paraId="011A0CD2"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12–18 months</w:t>
            </w:r>
          </w:p>
        </w:tc>
      </w:tr>
      <w:tr w14:paraId="624650AC" w14:textId="77777777" w:rsidTr="009C2C28">
        <w:tblPrEx>
          <w:tblW w:w="0" w:type="auto"/>
          <w:tblLook w:val="04A0"/>
        </w:tblPrEx>
        <w:tc>
          <w:tcPr>
            <w:tcW w:w="0" w:type="auto"/>
            <w:vAlign w:val="center"/>
            <w:hideMark/>
          </w:tcPr>
          <w:p w:rsidR="009C2C28" w:rsidRPr="007F7B11" w:rsidP="00DB22FD" w14:paraId="15FB2F77"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Improve customer experience</w:t>
            </w:r>
          </w:p>
        </w:tc>
        <w:tc>
          <w:tcPr>
            <w:tcW w:w="0" w:type="auto"/>
            <w:vAlign w:val="center"/>
            <w:hideMark/>
          </w:tcPr>
          <w:p w:rsidR="009C2C28" w:rsidRPr="007F7B11" w:rsidP="00DB22FD" w14:paraId="60589ABB"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Expand 5G coverage and improve service quality</w:t>
            </w:r>
          </w:p>
        </w:tc>
        <w:tc>
          <w:tcPr>
            <w:tcW w:w="0" w:type="auto"/>
            <w:vAlign w:val="center"/>
            <w:hideMark/>
          </w:tcPr>
          <w:p w:rsidR="009C2C28" w:rsidRPr="007F7B11" w:rsidP="00DB22FD" w14:paraId="4234E21B"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Net Promoter Score (NPS)</w:t>
            </w:r>
          </w:p>
        </w:tc>
        <w:tc>
          <w:tcPr>
            <w:tcW w:w="0" w:type="auto"/>
            <w:vAlign w:val="center"/>
            <w:hideMark/>
          </w:tcPr>
          <w:p w:rsidR="009C2C28" w:rsidRPr="007F7B11" w:rsidP="00DB22FD" w14:paraId="01D30E6A"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+10% improvement</w:t>
            </w:r>
          </w:p>
        </w:tc>
        <w:tc>
          <w:tcPr>
            <w:tcW w:w="0" w:type="auto"/>
            <w:vAlign w:val="center"/>
            <w:hideMark/>
          </w:tcPr>
          <w:p w:rsidR="009C2C28" w:rsidRPr="007F7B11" w:rsidP="00DB22FD" w14:paraId="18DC9B81"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24 months</w:t>
            </w:r>
          </w:p>
        </w:tc>
      </w:tr>
      <w:tr w14:paraId="04D3820F" w14:textId="77777777" w:rsidTr="009C2C28">
        <w:tblPrEx>
          <w:tblW w:w="0" w:type="auto"/>
          <w:tblLook w:val="04A0"/>
        </w:tblPrEx>
        <w:tc>
          <w:tcPr>
            <w:tcW w:w="0" w:type="auto"/>
            <w:vAlign w:val="center"/>
            <w:hideMark/>
          </w:tcPr>
          <w:p w:rsidR="009C2C28" w:rsidRPr="007F7B11" w:rsidP="00DB22FD" w14:paraId="3E91B8CA"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Expand enterprise digital services</w:t>
            </w:r>
          </w:p>
        </w:tc>
        <w:tc>
          <w:tcPr>
            <w:tcW w:w="0" w:type="auto"/>
            <w:vAlign w:val="center"/>
            <w:hideMark/>
          </w:tcPr>
          <w:p w:rsidR="009C2C28" w:rsidRPr="007F7B11" w:rsidP="00DB22FD" w14:paraId="776B0335"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Launch AI, IoT and cloud solutions</w:t>
            </w:r>
          </w:p>
        </w:tc>
        <w:tc>
          <w:tcPr>
            <w:tcW w:w="0" w:type="auto"/>
            <w:vAlign w:val="center"/>
            <w:hideMark/>
          </w:tcPr>
          <w:p w:rsidR="009C2C28" w:rsidRPr="007F7B11" w:rsidP="00DB22FD" w14:paraId="5F6702AF"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Enterprise revenue growth</w:t>
            </w:r>
          </w:p>
        </w:tc>
        <w:tc>
          <w:tcPr>
            <w:tcW w:w="0" w:type="auto"/>
            <w:vAlign w:val="center"/>
            <w:hideMark/>
          </w:tcPr>
          <w:p w:rsidR="009C2C28" w:rsidRPr="007F7B11" w:rsidP="00DB22FD" w14:paraId="0DDEEC49"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+15% annually</w:t>
            </w:r>
          </w:p>
        </w:tc>
        <w:tc>
          <w:tcPr>
            <w:tcW w:w="0" w:type="auto"/>
            <w:vAlign w:val="center"/>
            <w:hideMark/>
          </w:tcPr>
          <w:p w:rsidR="009C2C28" w:rsidRPr="007F7B11" w:rsidP="00DB22FD" w14:paraId="3C1B77E6"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3 years</w:t>
            </w:r>
          </w:p>
        </w:tc>
      </w:tr>
      <w:tr w14:paraId="19D738CC" w14:textId="77777777" w:rsidTr="009C2C28">
        <w:tblPrEx>
          <w:tblW w:w="0" w:type="auto"/>
          <w:tblLook w:val="04A0"/>
        </w:tblPrEx>
        <w:tc>
          <w:tcPr>
            <w:tcW w:w="0" w:type="auto"/>
            <w:vAlign w:val="center"/>
            <w:hideMark/>
          </w:tcPr>
          <w:p w:rsidR="009C2C28" w:rsidRPr="007F7B11" w:rsidP="00DB22FD" w14:paraId="41312236"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Improve operational efficiency</w:t>
            </w:r>
          </w:p>
        </w:tc>
        <w:tc>
          <w:tcPr>
            <w:tcW w:w="0" w:type="auto"/>
            <w:vAlign w:val="center"/>
            <w:hideMark/>
          </w:tcPr>
          <w:p w:rsidR="009C2C28" w:rsidRPr="007F7B11" w:rsidP="00DB22FD" w14:paraId="14FA4444"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Deliver merger synergies</w:t>
            </w:r>
          </w:p>
        </w:tc>
        <w:tc>
          <w:tcPr>
            <w:tcW w:w="0" w:type="auto"/>
            <w:vAlign w:val="center"/>
            <w:hideMark/>
          </w:tcPr>
          <w:p w:rsidR="009C2C28" w:rsidRPr="007F7B11" w:rsidP="00DB22FD" w14:paraId="6019A597"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Annual cost savings</w:t>
            </w:r>
          </w:p>
        </w:tc>
        <w:tc>
          <w:tcPr>
            <w:tcW w:w="0" w:type="auto"/>
            <w:vAlign w:val="center"/>
            <w:hideMark/>
          </w:tcPr>
          <w:p w:rsidR="009C2C28" w:rsidRPr="007F7B11" w:rsidP="00DB22FD" w14:paraId="52F2773C"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£700 million</w:t>
            </w:r>
          </w:p>
        </w:tc>
        <w:tc>
          <w:tcPr>
            <w:tcW w:w="0" w:type="auto"/>
            <w:vAlign w:val="center"/>
            <w:hideMark/>
          </w:tcPr>
          <w:p w:rsidR="009C2C28" w:rsidRPr="007F7B11" w:rsidP="00DB22FD" w14:paraId="3AD5096C"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3 years</w:t>
            </w:r>
          </w:p>
        </w:tc>
      </w:tr>
      <w:tr w14:paraId="4D6F3C70" w14:textId="77777777" w:rsidTr="009C2C28">
        <w:tblPrEx>
          <w:tblW w:w="0" w:type="auto"/>
          <w:tblLook w:val="04A0"/>
        </w:tblPrEx>
        <w:tc>
          <w:tcPr>
            <w:tcW w:w="0" w:type="auto"/>
            <w:vAlign w:val="center"/>
            <w:hideMark/>
          </w:tcPr>
          <w:p w:rsidR="009C2C28" w:rsidRPr="007F7B11" w:rsidP="00DB22FD" w14:paraId="70AAA54D"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Strengthen market position</w:t>
            </w:r>
          </w:p>
        </w:tc>
        <w:tc>
          <w:tcPr>
            <w:tcW w:w="0" w:type="auto"/>
            <w:vAlign w:val="center"/>
            <w:hideMark/>
          </w:tcPr>
          <w:p w:rsidR="009C2C28" w:rsidRPr="007F7B11" w:rsidP="00DB22FD" w14:paraId="5D9467D8"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Increase customer acquisition and retention</w:t>
            </w:r>
          </w:p>
        </w:tc>
        <w:tc>
          <w:tcPr>
            <w:tcW w:w="0" w:type="auto"/>
            <w:vAlign w:val="center"/>
            <w:hideMark/>
          </w:tcPr>
          <w:p w:rsidR="009C2C28" w:rsidRPr="007F7B11" w:rsidP="00DB22FD" w14:paraId="2160A076"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Market share and churn rate</w:t>
            </w:r>
          </w:p>
        </w:tc>
        <w:tc>
          <w:tcPr>
            <w:tcW w:w="0" w:type="auto"/>
            <w:vAlign w:val="center"/>
            <w:hideMark/>
          </w:tcPr>
          <w:p w:rsidR="009C2C28" w:rsidRPr="007F7B11" w:rsidP="00DB22FD" w14:paraId="12F8A44A"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Market share growth and churn below industry average</w:t>
            </w:r>
          </w:p>
        </w:tc>
        <w:tc>
          <w:tcPr>
            <w:tcW w:w="0" w:type="auto"/>
            <w:vAlign w:val="center"/>
            <w:hideMark/>
          </w:tcPr>
          <w:p w:rsidR="009C2C28" w:rsidRPr="007F7B11" w:rsidP="00DB22FD" w14:paraId="67C3610E"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Annual review</w:t>
            </w:r>
          </w:p>
        </w:tc>
      </w:tr>
      <w:tr w14:paraId="1F4F5FEE" w14:textId="77777777" w:rsidTr="009C2C28">
        <w:tblPrEx>
          <w:tblW w:w="0" w:type="auto"/>
          <w:tblLook w:val="04A0"/>
        </w:tblPrEx>
        <w:tc>
          <w:tcPr>
            <w:tcW w:w="0" w:type="auto"/>
            <w:vAlign w:val="center"/>
            <w:hideMark/>
          </w:tcPr>
          <w:p w:rsidR="009C2C28" w:rsidRPr="007F7B11" w:rsidP="00DB22FD" w14:paraId="3F6E732C"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Support sustainable growth</w:t>
            </w:r>
          </w:p>
        </w:tc>
        <w:tc>
          <w:tcPr>
            <w:tcW w:w="0" w:type="auto"/>
            <w:vAlign w:val="center"/>
            <w:hideMark/>
          </w:tcPr>
          <w:p w:rsidR="009C2C28" w:rsidRPr="007F7B11" w:rsidP="00DB22FD" w14:paraId="0B453AB3"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Reduce operational carbon emissions and improve energy efficiency</w:t>
            </w:r>
          </w:p>
        </w:tc>
        <w:tc>
          <w:tcPr>
            <w:tcW w:w="0" w:type="auto"/>
            <w:vAlign w:val="center"/>
            <w:hideMark/>
          </w:tcPr>
          <w:p w:rsidR="009C2C28" w:rsidRPr="007F7B11" w:rsidP="00DB22FD" w14:paraId="79E9A516"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ESG performance indicators</w:t>
            </w:r>
          </w:p>
        </w:tc>
        <w:tc>
          <w:tcPr>
            <w:tcW w:w="0" w:type="auto"/>
            <w:vAlign w:val="center"/>
            <w:hideMark/>
          </w:tcPr>
          <w:p w:rsidR="009C2C28" w:rsidRPr="007F7B11" w:rsidP="00DB22FD" w14:paraId="136F48D0"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Annual improvement</w:t>
            </w:r>
          </w:p>
        </w:tc>
        <w:tc>
          <w:tcPr>
            <w:tcW w:w="0" w:type="auto"/>
            <w:vAlign w:val="center"/>
            <w:hideMark/>
          </w:tcPr>
          <w:p w:rsidR="009C2C28" w:rsidRPr="007F7B11" w:rsidP="00DB22FD" w14:paraId="2F4904F1" w14:textId="77777777">
            <w:pPr>
              <w:spacing w:after="0" w:line="360" w:lineRule="auto"/>
              <w:jc w:val="center"/>
              <w:rPr>
                <w:rFonts w:ascii="Arial" w:eastAsia="Times New Roman" w:hAnsi="Arial" w:cs="Arial"/>
                <w:kern w:val="0"/>
                <w:lang w:eastAsia="en-GB"/>
                <w14:ligatures w14:val="none"/>
              </w:rPr>
            </w:pPr>
            <w:r w:rsidRPr="007F7B11">
              <w:rPr>
                <w:rFonts w:ascii="Arial" w:eastAsia="Times New Roman" w:hAnsi="Arial" w:cs="Arial"/>
                <w:kern w:val="0"/>
                <w:lang w:eastAsia="en-GB"/>
                <w14:ligatures w14:val="none"/>
              </w:rPr>
              <w:t>Ongoing</w:t>
            </w:r>
          </w:p>
        </w:tc>
      </w:tr>
    </w:tbl>
    <w:p w:rsidR="009C2C28" w:rsidRPr="007F7B11" w:rsidP="007F7B11" w14:paraId="381C1885" w14:textId="77777777">
      <w:pPr>
        <w:spacing w:line="360" w:lineRule="auto"/>
        <w:jc w:val="both"/>
        <w:rPr>
          <w:rFonts w:ascii="Arial" w:hAnsi="Arial" w:cs="Arial"/>
        </w:rPr>
      </w:pPr>
    </w:p>
    <w:p w:rsidR="006C4769" w:rsidRPr="00DB22FD" w:rsidP="00DB22FD" w14:paraId="2AE0DCB7" w14:textId="5038D82A">
      <w:pPr>
        <w:pStyle w:val="Heading1"/>
        <w:rPr>
          <w:b/>
          <w:bCs/>
          <w:color w:val="auto"/>
        </w:rPr>
      </w:pPr>
      <w:bookmarkStart w:id="13" w:name="_Toc234679292"/>
      <w:r w:rsidRPr="00DB22FD">
        <w:rPr>
          <w:b/>
          <w:bCs/>
          <w:color w:val="auto"/>
        </w:rPr>
        <w:t>7. Conclusion</w:t>
      </w:r>
      <w:bookmarkEnd w:id="13"/>
      <w:r w:rsidRPr="00DB22FD">
        <w:rPr>
          <w:b/>
          <w:bCs/>
          <w:color w:val="auto"/>
        </w:rPr>
        <w:t xml:space="preserve"> </w:t>
      </w:r>
    </w:p>
    <w:p w:rsidR="006C4769" w:rsidRPr="007F7B11" w:rsidP="007F7B11" w14:paraId="0F80103B" w14:textId="77777777">
      <w:pPr>
        <w:spacing w:line="360" w:lineRule="auto"/>
        <w:jc w:val="both"/>
        <w:rPr>
          <w:rFonts w:ascii="Arial" w:hAnsi="Arial" w:cs="Arial"/>
        </w:rPr>
      </w:pPr>
    </w:p>
    <w:p w:rsidR="006C4769" w:rsidRPr="007F7B11" w:rsidP="00DB22FD" w14:paraId="3EFB604E" w14:textId="26FFCF32">
      <w:pPr>
        <w:spacing w:line="360" w:lineRule="auto"/>
        <w:ind w:firstLine="720"/>
        <w:jc w:val="both"/>
        <w:rPr>
          <w:rFonts w:ascii="Arial" w:hAnsi="Arial" w:cs="Arial"/>
        </w:rPr>
      </w:pPr>
      <w:r w:rsidRPr="007F7B11">
        <w:rPr>
          <w:rFonts w:ascii="Arial" w:hAnsi="Arial" w:cs="Arial"/>
        </w:rPr>
        <w:t xml:space="preserve">The report has critically assessed the strategic position of </w:t>
      </w:r>
      <w:r w:rsidRPr="007F7B11">
        <w:rPr>
          <w:rFonts w:ascii="Arial" w:hAnsi="Arial" w:cs="Arial"/>
        </w:rPr>
        <w:t>VodafoneThree</w:t>
      </w:r>
      <w:r w:rsidRPr="007F7B11">
        <w:rPr>
          <w:rFonts w:ascii="Arial" w:hAnsi="Arial" w:cs="Arial"/>
        </w:rPr>
        <w:t xml:space="preserve"> in a time where the organization is undergoing a considerable change. The analysis showed that the merger has enhanced the market position, network capability and operational scale but it is not enough to create sustainable competitive advantage. </w:t>
      </w:r>
      <w:r w:rsidRPr="007F7B11">
        <w:rPr>
          <w:rFonts w:ascii="Arial" w:hAnsi="Arial" w:cs="Arial"/>
        </w:rPr>
        <w:t xml:space="preserve">The successful integration of organisational resources, ongoing technological innovation and the provision of customer value at an </w:t>
      </w:r>
      <w:r w:rsidRPr="007F7B11" w:rsidR="00DB22FD">
        <w:rPr>
          <w:rFonts w:ascii="Arial" w:hAnsi="Arial" w:cs="Arial"/>
        </w:rPr>
        <w:t>ever-increasing</w:t>
      </w:r>
      <w:r w:rsidRPr="007F7B11">
        <w:rPr>
          <w:rFonts w:ascii="Arial" w:hAnsi="Arial" w:cs="Arial"/>
        </w:rPr>
        <w:t xml:space="preserve"> level in a highly competitive telecommunications marketplace will be key to achieving long-term success.</w:t>
      </w:r>
    </w:p>
    <w:p w:rsidR="00A92F3A" w:rsidRPr="007F7B11" w:rsidP="00DB22FD" w14:paraId="4F0578DB" w14:textId="3FF1BAF1">
      <w:pPr>
        <w:spacing w:line="360" w:lineRule="auto"/>
        <w:ind w:firstLine="720"/>
        <w:jc w:val="both"/>
        <w:rPr>
          <w:rFonts w:ascii="Arial" w:hAnsi="Arial" w:cs="Arial"/>
        </w:rPr>
      </w:pPr>
      <w:r w:rsidRPr="007F7B11">
        <w:rPr>
          <w:rFonts w:ascii="Arial" w:hAnsi="Arial" w:cs="Arial"/>
        </w:rPr>
        <w:t xml:space="preserve">After consideration of other growth strategies, it was decided that the market development and product development strategy would be the most suitable strategic course of action. The plan is aligned with </w:t>
      </w:r>
      <w:r w:rsidRPr="007F7B11">
        <w:rPr>
          <w:rFonts w:ascii="Arial" w:hAnsi="Arial" w:cs="Arial"/>
        </w:rPr>
        <w:t>VodafoneThree's</w:t>
      </w:r>
      <w:r w:rsidRPr="007F7B11">
        <w:rPr>
          <w:rFonts w:ascii="Arial" w:hAnsi="Arial" w:cs="Arial"/>
        </w:rPr>
        <w:t xml:space="preserve"> strategic goals and addresses the ever-evolving customer needs and new possibilities offered by 5G, AI, and IoT solutions. Additionally, the SFA evaluation, stakeholder analysis and implementation plan suggests that the proposed approach can be accomplished and will enable the organisation to grow in a sustainable way. Therefore, if the strategy is implemented successfully, it will enhance the future competitiveness and resilience of </w:t>
      </w:r>
      <w:r w:rsidRPr="007F7B11">
        <w:rPr>
          <w:rFonts w:ascii="Arial" w:hAnsi="Arial" w:cs="Arial"/>
        </w:rPr>
        <w:t>VodafoneThree</w:t>
      </w:r>
      <w:r w:rsidRPr="007F7B11">
        <w:rPr>
          <w:rFonts w:ascii="Arial" w:hAnsi="Arial" w:cs="Arial"/>
        </w:rPr>
        <w:t xml:space="preserve"> in the dynamic UK telecom sector.</w:t>
      </w:r>
    </w:p>
    <w:p w:rsidR="00A92F3A" w:rsidRPr="007F7B11" w:rsidP="007F7B11" w14:paraId="5DDBDE87" w14:textId="56F4D2C8">
      <w:pPr>
        <w:spacing w:line="360" w:lineRule="auto"/>
        <w:jc w:val="both"/>
        <w:rPr>
          <w:rFonts w:ascii="Arial" w:hAnsi="Arial" w:cs="Arial"/>
        </w:rPr>
      </w:pPr>
      <w:r w:rsidRPr="007F7B11">
        <w:rPr>
          <w:rFonts w:ascii="Arial" w:hAnsi="Arial" w:cs="Arial"/>
        </w:rPr>
        <w:br w:type="page"/>
      </w:r>
    </w:p>
    <w:p w:rsidR="00EF7F9B" w:rsidRPr="00DB22FD" w:rsidP="00DB22FD" w14:paraId="5E66D8BF" w14:textId="77777777">
      <w:pPr>
        <w:pStyle w:val="Heading1"/>
        <w:rPr>
          <w:b/>
          <w:bCs/>
          <w:color w:val="auto"/>
        </w:rPr>
      </w:pPr>
      <w:bookmarkStart w:id="14" w:name="_Toc234679293"/>
      <w:r w:rsidRPr="00DB22FD">
        <w:rPr>
          <w:b/>
          <w:bCs/>
          <w:color w:val="auto"/>
        </w:rPr>
        <w:t>References</w:t>
      </w:r>
      <w:bookmarkEnd w:id="14"/>
    </w:p>
    <w:p w:rsidR="00EF7F9B" w:rsidRPr="007F7B11" w:rsidP="007F7B11" w14:paraId="2A96020C" w14:textId="77777777">
      <w:pPr>
        <w:spacing w:line="360" w:lineRule="auto"/>
        <w:jc w:val="both"/>
        <w:rPr>
          <w:rFonts w:ascii="Arial" w:hAnsi="Arial" w:cs="Arial"/>
        </w:rPr>
      </w:pPr>
    </w:p>
    <w:p w:rsidR="00EF7F9B" w:rsidRPr="007F7B11" w:rsidP="007F7B11" w14:paraId="57D962AB" w14:textId="77777777">
      <w:pPr>
        <w:spacing w:line="360" w:lineRule="auto"/>
        <w:jc w:val="both"/>
        <w:rPr>
          <w:rFonts w:ascii="Arial" w:hAnsi="Arial" w:cs="Arial"/>
        </w:rPr>
      </w:pPr>
      <w:r w:rsidRPr="007F7B11">
        <w:rPr>
          <w:rFonts w:ascii="Arial" w:hAnsi="Arial" w:cs="Arial"/>
        </w:rPr>
        <w:t xml:space="preserve">Ansoff, H.I. (1957) ‘Strategies for diversification’, </w:t>
      </w:r>
      <w:r w:rsidRPr="00DB22FD">
        <w:rPr>
          <w:rFonts w:ascii="Arial" w:hAnsi="Arial" w:cs="Arial"/>
          <w:i/>
          <w:iCs/>
        </w:rPr>
        <w:t>Harvard Business Review</w:t>
      </w:r>
      <w:r w:rsidRPr="007F7B11">
        <w:rPr>
          <w:rFonts w:ascii="Arial" w:hAnsi="Arial" w:cs="Arial"/>
        </w:rPr>
        <w:t>, 35(5), pp. 113–124.</w:t>
      </w:r>
    </w:p>
    <w:p w:rsidR="00EF7F9B" w:rsidRPr="007F7B11" w:rsidP="007F7B11" w14:paraId="49AB31EE" w14:textId="77777777">
      <w:pPr>
        <w:spacing w:line="360" w:lineRule="auto"/>
        <w:jc w:val="both"/>
        <w:rPr>
          <w:rFonts w:ascii="Arial" w:hAnsi="Arial" w:cs="Arial"/>
        </w:rPr>
      </w:pPr>
    </w:p>
    <w:p w:rsidR="00EF7F9B" w:rsidRPr="007F7B11" w:rsidP="007F7B11" w14:paraId="47A7624F" w14:textId="77777777">
      <w:pPr>
        <w:spacing w:line="360" w:lineRule="auto"/>
        <w:jc w:val="both"/>
        <w:rPr>
          <w:rFonts w:ascii="Arial" w:hAnsi="Arial" w:cs="Arial"/>
        </w:rPr>
      </w:pPr>
      <w:r w:rsidRPr="007F7B11">
        <w:rPr>
          <w:rFonts w:ascii="Arial" w:hAnsi="Arial" w:cs="Arial"/>
        </w:rPr>
        <w:t xml:space="preserve">Barney, J.B. (1991) ‘Firm resources and sustained competitive advantage’, </w:t>
      </w:r>
      <w:r w:rsidRPr="00DB22FD">
        <w:rPr>
          <w:rFonts w:ascii="Arial" w:hAnsi="Arial" w:cs="Arial"/>
          <w:i/>
          <w:iCs/>
        </w:rPr>
        <w:t>Journal of Management</w:t>
      </w:r>
      <w:r w:rsidRPr="007F7B11">
        <w:rPr>
          <w:rFonts w:ascii="Arial" w:hAnsi="Arial" w:cs="Arial"/>
        </w:rPr>
        <w:t>, 17(1), pp. 99–120.</w:t>
      </w:r>
    </w:p>
    <w:p w:rsidR="00EF7F9B" w:rsidRPr="007F7B11" w:rsidP="007F7B11" w14:paraId="7B734B49" w14:textId="77777777">
      <w:pPr>
        <w:spacing w:line="360" w:lineRule="auto"/>
        <w:jc w:val="both"/>
        <w:rPr>
          <w:rFonts w:ascii="Arial" w:hAnsi="Arial" w:cs="Arial"/>
        </w:rPr>
      </w:pPr>
    </w:p>
    <w:p w:rsidR="00EF7F9B" w:rsidRPr="007F7B11" w:rsidP="007F7B11" w14:paraId="111C2084" w14:textId="77777777">
      <w:pPr>
        <w:spacing w:line="360" w:lineRule="auto"/>
        <w:jc w:val="both"/>
        <w:rPr>
          <w:rFonts w:ascii="Arial" w:hAnsi="Arial" w:cs="Arial"/>
        </w:rPr>
      </w:pPr>
      <w:r w:rsidRPr="007F7B11">
        <w:rPr>
          <w:rFonts w:ascii="Arial" w:hAnsi="Arial" w:cs="Arial"/>
        </w:rPr>
        <w:t>Competition and Markets Authority (2024) V</w:t>
      </w:r>
      <w:r w:rsidRPr="00DB22FD">
        <w:rPr>
          <w:rFonts w:ascii="Arial" w:hAnsi="Arial" w:cs="Arial"/>
          <w:i/>
          <w:iCs/>
        </w:rPr>
        <w:t>odafone and Three merger inquiry.</w:t>
      </w:r>
      <w:r w:rsidRPr="007F7B11">
        <w:rPr>
          <w:rFonts w:ascii="Arial" w:hAnsi="Arial" w:cs="Arial"/>
        </w:rPr>
        <w:t xml:space="preserve"> London: Competition and Markets Authority.</w:t>
      </w:r>
    </w:p>
    <w:p w:rsidR="00EF7F9B" w:rsidRPr="007F7B11" w:rsidP="007F7B11" w14:paraId="7F181821" w14:textId="77777777">
      <w:pPr>
        <w:spacing w:line="360" w:lineRule="auto"/>
        <w:jc w:val="both"/>
        <w:rPr>
          <w:rFonts w:ascii="Arial" w:hAnsi="Arial" w:cs="Arial"/>
        </w:rPr>
      </w:pPr>
    </w:p>
    <w:p w:rsidR="00EF7F9B" w:rsidRPr="007F7B11" w:rsidP="007F7B11" w14:paraId="5A62A252" w14:textId="77777777">
      <w:pPr>
        <w:spacing w:line="360" w:lineRule="auto"/>
        <w:jc w:val="both"/>
        <w:rPr>
          <w:rFonts w:ascii="Arial" w:hAnsi="Arial" w:cs="Arial"/>
        </w:rPr>
      </w:pPr>
      <w:r w:rsidRPr="007F7B11">
        <w:rPr>
          <w:rFonts w:ascii="Arial" w:hAnsi="Arial" w:cs="Arial"/>
        </w:rPr>
        <w:t xml:space="preserve">Deloitte (2024) </w:t>
      </w:r>
      <w:r w:rsidRPr="00DB22FD">
        <w:rPr>
          <w:rFonts w:ascii="Arial" w:hAnsi="Arial" w:cs="Arial"/>
          <w:i/>
          <w:iCs/>
        </w:rPr>
        <w:t>2024 Global Telecommunications Outlook</w:t>
      </w:r>
      <w:r w:rsidRPr="007F7B11">
        <w:rPr>
          <w:rFonts w:ascii="Arial" w:hAnsi="Arial" w:cs="Arial"/>
        </w:rPr>
        <w:t>. London: Deloitte.</w:t>
      </w:r>
    </w:p>
    <w:p w:rsidR="00EF7F9B" w:rsidRPr="007F7B11" w:rsidP="007F7B11" w14:paraId="14FA1934" w14:textId="77777777">
      <w:pPr>
        <w:spacing w:line="360" w:lineRule="auto"/>
        <w:jc w:val="both"/>
        <w:rPr>
          <w:rFonts w:ascii="Arial" w:hAnsi="Arial" w:cs="Arial"/>
        </w:rPr>
      </w:pPr>
    </w:p>
    <w:p w:rsidR="00EF7F9B" w:rsidRPr="007F7B11" w:rsidP="007F7B11" w14:paraId="59A5AB91" w14:textId="77777777">
      <w:pPr>
        <w:spacing w:line="360" w:lineRule="auto"/>
        <w:jc w:val="both"/>
        <w:rPr>
          <w:rFonts w:ascii="Arial" w:hAnsi="Arial" w:cs="Arial"/>
        </w:rPr>
      </w:pPr>
      <w:r w:rsidRPr="007F7B11">
        <w:rPr>
          <w:rFonts w:ascii="Arial" w:hAnsi="Arial" w:cs="Arial"/>
        </w:rPr>
        <w:t>Freeman, R.E., Phillips, R.A. and Sisodia, R. (2020) ‘</w:t>
      </w:r>
      <w:r w:rsidRPr="00DB22FD">
        <w:rPr>
          <w:rFonts w:ascii="Arial" w:hAnsi="Arial" w:cs="Arial"/>
          <w:i/>
          <w:iCs/>
        </w:rPr>
        <w:t>Tensions in stakeholder theory’, Business and Society</w:t>
      </w:r>
      <w:r w:rsidRPr="007F7B11">
        <w:rPr>
          <w:rFonts w:ascii="Arial" w:hAnsi="Arial" w:cs="Arial"/>
        </w:rPr>
        <w:t>, 59(2), pp. 213–231.</w:t>
      </w:r>
    </w:p>
    <w:p w:rsidR="00EF7F9B" w:rsidRPr="007F7B11" w:rsidP="007F7B11" w14:paraId="43B3C50C" w14:textId="77777777">
      <w:pPr>
        <w:spacing w:line="360" w:lineRule="auto"/>
        <w:jc w:val="both"/>
        <w:rPr>
          <w:rFonts w:ascii="Arial" w:hAnsi="Arial" w:cs="Arial"/>
        </w:rPr>
      </w:pPr>
    </w:p>
    <w:p w:rsidR="00EF7F9B" w:rsidRPr="007F7B11" w:rsidP="007F7B11" w14:paraId="629B425C" w14:textId="77777777">
      <w:pPr>
        <w:spacing w:line="360" w:lineRule="auto"/>
        <w:jc w:val="both"/>
        <w:rPr>
          <w:rFonts w:ascii="Arial" w:hAnsi="Arial" w:cs="Arial"/>
        </w:rPr>
      </w:pPr>
      <w:r w:rsidRPr="007F7B11">
        <w:rPr>
          <w:rFonts w:ascii="Arial" w:hAnsi="Arial" w:cs="Arial"/>
        </w:rPr>
        <w:t xml:space="preserve">GSMA (2024) </w:t>
      </w:r>
      <w:r w:rsidRPr="00DB22FD">
        <w:rPr>
          <w:rFonts w:ascii="Arial" w:hAnsi="Arial" w:cs="Arial"/>
          <w:i/>
          <w:iCs/>
        </w:rPr>
        <w:t>The Mobile Economy Europe 2024</w:t>
      </w:r>
      <w:r w:rsidRPr="007F7B11">
        <w:rPr>
          <w:rFonts w:ascii="Arial" w:hAnsi="Arial" w:cs="Arial"/>
        </w:rPr>
        <w:t>. London: GSMA.</w:t>
      </w:r>
    </w:p>
    <w:p w:rsidR="00EF7F9B" w:rsidRPr="007F7B11" w:rsidP="007F7B11" w14:paraId="794DBDED" w14:textId="77777777">
      <w:pPr>
        <w:spacing w:line="360" w:lineRule="auto"/>
        <w:jc w:val="both"/>
        <w:rPr>
          <w:rFonts w:ascii="Arial" w:hAnsi="Arial" w:cs="Arial"/>
        </w:rPr>
      </w:pPr>
    </w:p>
    <w:p w:rsidR="00EF7F9B" w:rsidRPr="007F7B11" w:rsidP="007F7B11" w14:paraId="367C2CA0" w14:textId="77777777">
      <w:pPr>
        <w:spacing w:line="360" w:lineRule="auto"/>
        <w:jc w:val="both"/>
        <w:rPr>
          <w:rFonts w:ascii="Arial" w:hAnsi="Arial" w:cs="Arial"/>
        </w:rPr>
      </w:pPr>
      <w:r w:rsidRPr="007F7B11">
        <w:rPr>
          <w:rFonts w:ascii="Arial" w:hAnsi="Arial" w:cs="Arial"/>
        </w:rPr>
        <w:t xml:space="preserve">Johnson, G., Scholes, K., Whittington, R., Angwin, D. and </w:t>
      </w:r>
      <w:r w:rsidRPr="007F7B11">
        <w:rPr>
          <w:rFonts w:ascii="Arial" w:hAnsi="Arial" w:cs="Arial"/>
        </w:rPr>
        <w:t>Regnér</w:t>
      </w:r>
      <w:r w:rsidRPr="007F7B11">
        <w:rPr>
          <w:rFonts w:ascii="Arial" w:hAnsi="Arial" w:cs="Arial"/>
        </w:rPr>
        <w:t xml:space="preserve">, P. (2020) </w:t>
      </w:r>
      <w:r w:rsidRPr="00DB22FD">
        <w:rPr>
          <w:rFonts w:ascii="Arial" w:hAnsi="Arial" w:cs="Arial"/>
          <w:i/>
          <w:iCs/>
        </w:rPr>
        <w:t>Exploring Strategy.</w:t>
      </w:r>
      <w:r w:rsidRPr="007F7B11">
        <w:rPr>
          <w:rFonts w:ascii="Arial" w:hAnsi="Arial" w:cs="Arial"/>
        </w:rPr>
        <w:t xml:space="preserve"> 12th </w:t>
      </w:r>
      <w:r w:rsidRPr="007F7B11">
        <w:rPr>
          <w:rFonts w:ascii="Arial" w:hAnsi="Arial" w:cs="Arial"/>
        </w:rPr>
        <w:t>edn</w:t>
      </w:r>
      <w:r w:rsidRPr="007F7B11">
        <w:rPr>
          <w:rFonts w:ascii="Arial" w:hAnsi="Arial" w:cs="Arial"/>
        </w:rPr>
        <w:t>. Harlow: Pearson.</w:t>
      </w:r>
    </w:p>
    <w:p w:rsidR="00EF7F9B" w:rsidRPr="007F7B11" w:rsidP="007F7B11" w14:paraId="54C8D5F5" w14:textId="77777777">
      <w:pPr>
        <w:spacing w:line="360" w:lineRule="auto"/>
        <w:jc w:val="both"/>
        <w:rPr>
          <w:rFonts w:ascii="Arial" w:hAnsi="Arial" w:cs="Arial"/>
        </w:rPr>
      </w:pPr>
    </w:p>
    <w:p w:rsidR="00EF7F9B" w:rsidRPr="007F7B11" w:rsidP="007F7B11" w14:paraId="37C4FE0F" w14:textId="77777777">
      <w:pPr>
        <w:spacing w:line="360" w:lineRule="auto"/>
        <w:jc w:val="both"/>
        <w:rPr>
          <w:rFonts w:ascii="Arial" w:hAnsi="Arial" w:cs="Arial"/>
        </w:rPr>
      </w:pPr>
      <w:r w:rsidRPr="007F7B11">
        <w:rPr>
          <w:rFonts w:ascii="Arial" w:hAnsi="Arial" w:cs="Arial"/>
        </w:rPr>
        <w:t>Kotter, J.P. (2017</w:t>
      </w:r>
      <w:r w:rsidRPr="00DB22FD">
        <w:rPr>
          <w:rFonts w:ascii="Arial" w:hAnsi="Arial" w:cs="Arial"/>
          <w:i/>
          <w:iCs/>
        </w:rPr>
        <w:t>) Leading Change</w:t>
      </w:r>
      <w:r w:rsidRPr="007F7B11">
        <w:rPr>
          <w:rFonts w:ascii="Arial" w:hAnsi="Arial" w:cs="Arial"/>
        </w:rPr>
        <w:t>. Boston: Harvard Business Review Press.</w:t>
      </w:r>
    </w:p>
    <w:p w:rsidR="00EF7F9B" w:rsidRPr="007F7B11" w:rsidP="007F7B11" w14:paraId="1B534810" w14:textId="77777777">
      <w:pPr>
        <w:spacing w:line="360" w:lineRule="auto"/>
        <w:jc w:val="both"/>
        <w:rPr>
          <w:rFonts w:ascii="Arial" w:hAnsi="Arial" w:cs="Arial"/>
        </w:rPr>
      </w:pPr>
    </w:p>
    <w:p w:rsidR="00EF7F9B" w:rsidRPr="007F7B11" w:rsidP="007F7B11" w14:paraId="650053A5" w14:textId="77777777">
      <w:pPr>
        <w:spacing w:line="360" w:lineRule="auto"/>
        <w:jc w:val="both"/>
        <w:rPr>
          <w:rFonts w:ascii="Arial" w:hAnsi="Arial" w:cs="Arial"/>
        </w:rPr>
      </w:pPr>
      <w:r w:rsidRPr="007F7B11">
        <w:rPr>
          <w:rFonts w:ascii="Arial" w:hAnsi="Arial" w:cs="Arial"/>
        </w:rPr>
        <w:t>Ofcom (2024</w:t>
      </w:r>
      <w:r w:rsidRPr="00DB22FD">
        <w:rPr>
          <w:rFonts w:ascii="Arial" w:hAnsi="Arial" w:cs="Arial"/>
          <w:i/>
          <w:iCs/>
        </w:rPr>
        <w:t>) Connected Nations UK Report 2024</w:t>
      </w:r>
      <w:r w:rsidRPr="007F7B11">
        <w:rPr>
          <w:rFonts w:ascii="Arial" w:hAnsi="Arial" w:cs="Arial"/>
        </w:rPr>
        <w:t>. London: Ofcom.</w:t>
      </w:r>
    </w:p>
    <w:p w:rsidR="00EF7F9B" w:rsidRPr="007F7B11" w:rsidP="007F7B11" w14:paraId="5895C5DE" w14:textId="77777777">
      <w:pPr>
        <w:spacing w:line="360" w:lineRule="auto"/>
        <w:jc w:val="both"/>
        <w:rPr>
          <w:rFonts w:ascii="Arial" w:hAnsi="Arial" w:cs="Arial"/>
        </w:rPr>
      </w:pPr>
    </w:p>
    <w:p w:rsidR="00EF7F9B" w:rsidRPr="007F7B11" w:rsidP="007F7B11" w14:paraId="04D4C931" w14:textId="77777777">
      <w:pPr>
        <w:spacing w:line="360" w:lineRule="auto"/>
        <w:jc w:val="both"/>
        <w:rPr>
          <w:rFonts w:ascii="Arial" w:hAnsi="Arial" w:cs="Arial"/>
        </w:rPr>
      </w:pPr>
      <w:r w:rsidRPr="007F7B11">
        <w:rPr>
          <w:rFonts w:ascii="Arial" w:hAnsi="Arial" w:cs="Arial"/>
        </w:rPr>
        <w:t xml:space="preserve">Porter, M.E. (2008) ‘The five competitive forces that shape strategy’, </w:t>
      </w:r>
      <w:r w:rsidRPr="00DB22FD">
        <w:rPr>
          <w:rFonts w:ascii="Arial" w:hAnsi="Arial" w:cs="Arial"/>
          <w:i/>
          <w:iCs/>
        </w:rPr>
        <w:t>Harvard Business Review</w:t>
      </w:r>
      <w:r w:rsidRPr="007F7B11">
        <w:rPr>
          <w:rFonts w:ascii="Arial" w:hAnsi="Arial" w:cs="Arial"/>
        </w:rPr>
        <w:t>, 86(1), pp. 78–93.</w:t>
      </w:r>
    </w:p>
    <w:p w:rsidR="00EF7F9B" w:rsidRPr="007F7B11" w:rsidP="007F7B11" w14:paraId="723713B8" w14:textId="77777777">
      <w:pPr>
        <w:spacing w:line="360" w:lineRule="auto"/>
        <w:jc w:val="both"/>
        <w:rPr>
          <w:rFonts w:ascii="Arial" w:hAnsi="Arial" w:cs="Arial"/>
        </w:rPr>
      </w:pPr>
    </w:p>
    <w:p w:rsidR="00EF7F9B" w:rsidRPr="007F7B11" w:rsidP="007F7B11" w14:paraId="45FC7F84" w14:textId="77777777">
      <w:pPr>
        <w:spacing w:line="360" w:lineRule="auto"/>
        <w:jc w:val="both"/>
        <w:rPr>
          <w:rFonts w:ascii="Arial" w:hAnsi="Arial" w:cs="Arial"/>
        </w:rPr>
      </w:pPr>
      <w:r w:rsidRPr="007F7B11">
        <w:rPr>
          <w:rFonts w:ascii="Arial" w:hAnsi="Arial" w:cs="Arial"/>
        </w:rPr>
        <w:t xml:space="preserve">Vodafone Group Plc (2025) </w:t>
      </w:r>
      <w:r w:rsidRPr="00DB22FD">
        <w:rPr>
          <w:rFonts w:ascii="Arial" w:hAnsi="Arial" w:cs="Arial"/>
          <w:i/>
          <w:iCs/>
        </w:rPr>
        <w:t>Annual Report 2025.</w:t>
      </w:r>
      <w:r w:rsidRPr="007F7B11">
        <w:rPr>
          <w:rFonts w:ascii="Arial" w:hAnsi="Arial" w:cs="Arial"/>
        </w:rPr>
        <w:t xml:space="preserve"> Newbury: Vodafone Group Plc.</w:t>
      </w:r>
    </w:p>
    <w:p w:rsidR="00EF7F9B" w:rsidRPr="007F7B11" w:rsidP="007F7B11" w14:paraId="02B4C698" w14:textId="77777777">
      <w:pPr>
        <w:spacing w:line="360" w:lineRule="auto"/>
        <w:jc w:val="both"/>
        <w:rPr>
          <w:rFonts w:ascii="Arial" w:hAnsi="Arial" w:cs="Arial"/>
        </w:rPr>
      </w:pPr>
    </w:p>
    <w:p w:rsidR="00A92F3A" w:rsidRPr="007F7B11" w:rsidP="007F7B11" w14:paraId="09473886" w14:textId="6C336E50">
      <w:pPr>
        <w:spacing w:line="360" w:lineRule="auto"/>
        <w:jc w:val="both"/>
        <w:rPr>
          <w:rFonts w:ascii="Arial" w:hAnsi="Arial" w:cs="Arial"/>
        </w:rPr>
      </w:pPr>
      <w:r w:rsidRPr="007F7B11">
        <w:rPr>
          <w:rFonts w:ascii="Arial" w:hAnsi="Arial" w:cs="Arial"/>
        </w:rPr>
        <w:t xml:space="preserve">Vodafone Group Plc (2025a) </w:t>
      </w:r>
      <w:r w:rsidRPr="007F7B11">
        <w:rPr>
          <w:rFonts w:ascii="Arial" w:hAnsi="Arial" w:cs="Arial"/>
        </w:rPr>
        <w:t>VodafoneThree</w:t>
      </w:r>
      <w:r w:rsidRPr="007F7B11">
        <w:rPr>
          <w:rFonts w:ascii="Arial" w:hAnsi="Arial" w:cs="Arial"/>
        </w:rPr>
        <w:t xml:space="preserve">: </w:t>
      </w:r>
      <w:r w:rsidRPr="00DB22FD">
        <w:rPr>
          <w:rFonts w:ascii="Arial" w:hAnsi="Arial" w:cs="Arial"/>
          <w:i/>
          <w:iCs/>
        </w:rPr>
        <w:t xml:space="preserve">Creating the United Kingdom's Leading Mobile Network. </w:t>
      </w:r>
      <w:r w:rsidRPr="007F7B11">
        <w:rPr>
          <w:rFonts w:ascii="Arial" w:hAnsi="Arial" w:cs="Arial"/>
        </w:rPr>
        <w:t>Newbury: Vodafone Group Plc.</w:t>
      </w:r>
    </w:p>
    <w:sectPr>
      <w:footerReference w:type="default" r:id="rI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930896272"/>
      <w:docPartObj>
        <w:docPartGallery w:val="Page Numbers (Bottom of Page)"/>
        <w:docPartUnique/>
      </w:docPartObj>
    </w:sdtPr>
    <w:sdtEndPr>
      <w:rPr>
        <w:color w:val="7F7F7F" w:themeColor="background1" w:themeShade="7F"/>
        <w:spacing w:val="60"/>
      </w:rPr>
    </w:sdtEndPr>
    <w:sdtContent>
      <w:p w:rsidR="007F7B11" w14:paraId="3C18D753" w14:textId="1FDC5F5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7F7B11" w14:paraId="1ED196BF" w14:textId="77777777">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5F3"/>
    <w:rsid w:val="000B7732"/>
    <w:rsid w:val="000D639A"/>
    <w:rsid w:val="000F6008"/>
    <w:rsid w:val="001A120B"/>
    <w:rsid w:val="001B3379"/>
    <w:rsid w:val="00262334"/>
    <w:rsid w:val="00280AFF"/>
    <w:rsid w:val="00292A92"/>
    <w:rsid w:val="00334212"/>
    <w:rsid w:val="00446EED"/>
    <w:rsid w:val="00544F32"/>
    <w:rsid w:val="005721E6"/>
    <w:rsid w:val="006109CC"/>
    <w:rsid w:val="006C4769"/>
    <w:rsid w:val="00742665"/>
    <w:rsid w:val="007F7B11"/>
    <w:rsid w:val="00825719"/>
    <w:rsid w:val="00876D7A"/>
    <w:rsid w:val="009031D9"/>
    <w:rsid w:val="009C2C28"/>
    <w:rsid w:val="00A92F3A"/>
    <w:rsid w:val="00AF65F3"/>
    <w:rsid w:val="00B503B7"/>
    <w:rsid w:val="00BA6D62"/>
    <w:rsid w:val="00C23D54"/>
    <w:rsid w:val="00D126BF"/>
    <w:rsid w:val="00DB22FD"/>
    <w:rsid w:val="00EA3462"/>
    <w:rsid w:val="00EF7F9B"/>
    <w:rsid w:val="00F31E6F"/>
    <w:rsid w:val="00FF6679"/>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4:docId w14:val="0B04E34B"/>
  <w15:chartTrackingRefBased/>
  <w15:docId w15:val="{0E292219-F9C5-4CF5-BF2D-736C241AA9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65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F65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65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65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65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65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65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65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65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65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F65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65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65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65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65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65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65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65F3"/>
    <w:rPr>
      <w:rFonts w:eastAsiaTheme="majorEastAsia" w:cstheme="majorBidi"/>
      <w:color w:val="272727" w:themeColor="text1" w:themeTint="D8"/>
    </w:rPr>
  </w:style>
  <w:style w:type="paragraph" w:styleId="Title">
    <w:name w:val="Title"/>
    <w:basedOn w:val="Normal"/>
    <w:next w:val="Normal"/>
    <w:link w:val="TitleChar"/>
    <w:uiPriority w:val="10"/>
    <w:qFormat/>
    <w:rsid w:val="00AF65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65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65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65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65F3"/>
    <w:pPr>
      <w:spacing w:before="160"/>
      <w:jc w:val="center"/>
    </w:pPr>
    <w:rPr>
      <w:i/>
      <w:iCs/>
      <w:color w:val="404040" w:themeColor="text1" w:themeTint="BF"/>
    </w:rPr>
  </w:style>
  <w:style w:type="character" w:customStyle="1" w:styleId="QuoteChar">
    <w:name w:val="Quote Char"/>
    <w:basedOn w:val="DefaultParagraphFont"/>
    <w:link w:val="Quote"/>
    <w:uiPriority w:val="29"/>
    <w:rsid w:val="00AF65F3"/>
    <w:rPr>
      <w:i/>
      <w:iCs/>
      <w:color w:val="404040" w:themeColor="text1" w:themeTint="BF"/>
    </w:rPr>
  </w:style>
  <w:style w:type="paragraph" w:styleId="ListParagraph">
    <w:name w:val="List Paragraph"/>
    <w:basedOn w:val="Normal"/>
    <w:uiPriority w:val="34"/>
    <w:qFormat/>
    <w:rsid w:val="00AF65F3"/>
    <w:pPr>
      <w:ind w:left="720"/>
      <w:contextualSpacing/>
    </w:pPr>
  </w:style>
  <w:style w:type="character" w:styleId="IntenseEmphasis">
    <w:name w:val="Intense Emphasis"/>
    <w:basedOn w:val="DefaultParagraphFont"/>
    <w:uiPriority w:val="21"/>
    <w:qFormat/>
    <w:rsid w:val="00AF65F3"/>
    <w:rPr>
      <w:i/>
      <w:iCs/>
      <w:color w:val="0F4761" w:themeColor="accent1" w:themeShade="BF"/>
    </w:rPr>
  </w:style>
  <w:style w:type="paragraph" w:styleId="IntenseQuote">
    <w:name w:val="Intense Quote"/>
    <w:basedOn w:val="Normal"/>
    <w:next w:val="Normal"/>
    <w:link w:val="IntenseQuoteChar"/>
    <w:uiPriority w:val="30"/>
    <w:qFormat/>
    <w:rsid w:val="00AF65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65F3"/>
    <w:rPr>
      <w:i/>
      <w:iCs/>
      <w:color w:val="0F4761" w:themeColor="accent1" w:themeShade="BF"/>
    </w:rPr>
  </w:style>
  <w:style w:type="character" w:styleId="IntenseReference">
    <w:name w:val="Intense Reference"/>
    <w:basedOn w:val="DefaultParagraphFont"/>
    <w:uiPriority w:val="32"/>
    <w:qFormat/>
    <w:rsid w:val="00AF65F3"/>
    <w:rPr>
      <w:b/>
      <w:bCs/>
      <w:smallCaps/>
      <w:color w:val="0F4761" w:themeColor="accent1" w:themeShade="BF"/>
      <w:spacing w:val="5"/>
    </w:rPr>
  </w:style>
  <w:style w:type="paragraph" w:styleId="Header">
    <w:name w:val="header"/>
    <w:basedOn w:val="Normal"/>
    <w:link w:val="HeaderChar"/>
    <w:uiPriority w:val="99"/>
    <w:unhideWhenUsed/>
    <w:rsid w:val="007F7B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7B11"/>
  </w:style>
  <w:style w:type="paragraph" w:styleId="Footer">
    <w:name w:val="footer"/>
    <w:basedOn w:val="Normal"/>
    <w:link w:val="FooterChar"/>
    <w:uiPriority w:val="99"/>
    <w:unhideWhenUsed/>
    <w:rsid w:val="007F7B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7B11"/>
  </w:style>
  <w:style w:type="paragraph" w:styleId="TOCHeading">
    <w:name w:val="TOC Heading"/>
    <w:basedOn w:val="Heading1"/>
    <w:next w:val="Normal"/>
    <w:uiPriority w:val="39"/>
    <w:unhideWhenUsed/>
    <w:qFormat/>
    <w:rsid w:val="00DB22F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B22FD"/>
    <w:pPr>
      <w:spacing w:after="100"/>
    </w:pPr>
  </w:style>
  <w:style w:type="paragraph" w:styleId="TOC2">
    <w:name w:val="toc 2"/>
    <w:basedOn w:val="Normal"/>
    <w:next w:val="Normal"/>
    <w:autoRedefine/>
    <w:uiPriority w:val="39"/>
    <w:unhideWhenUsed/>
    <w:rsid w:val="00DB22FD"/>
    <w:pPr>
      <w:spacing w:after="100"/>
      <w:ind w:left="240"/>
    </w:pPr>
  </w:style>
  <w:style w:type="character" w:styleId="Hyperlink">
    <w:name w:val="Hyperlink"/>
    <w:basedOn w:val="DefaultParagraphFont"/>
    <w:uiPriority w:val="99"/>
    <w:unhideWhenUsed/>
    <w:rsid w:val="00DB22F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footer" Target="footer1.xml" /><Relationship Id="rId6" Type="http://schemas.openxmlformats.org/officeDocument/2006/relationships/theme" Target="theme/theme1.xml" /><Relationship Id="rId7"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00AB62-184A-46FE-B463-AC2B484D53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535</TotalTime>
  <Pages>20</Pages>
  <Words>4595</Words>
  <Characters>26194</Characters>
  <Application>Microsoft Office Word</Application>
  <DocSecurity>0</DocSecurity>
  <Lines>218</Lines>
  <Paragraphs>61</Paragraphs>
  <ScaleCrop>false</ScaleCrop>
  <Company/>
  <LinksUpToDate>false</LinksUpToDate>
  <CharactersWithSpaces>30728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 Nica</dc:creator>
  <cp:revision>289</cp:revision>
  <dcterms:created xsi:type="dcterms:W3CDTF">2026-07-05T19:28:00Z</dcterms:created>
  <dcterms:modified xsi:type="dcterms:W3CDTF">2026-07-11T15:21:00Z</dcterms:modified>
</cp:coreProperties>
</file>