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296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Gift list header"/>
      </w:tblPr>
      <w:tblGrid>
        <w:gridCol w:w="3510"/>
        <w:gridCol w:w="9455"/>
      </w:tblGrid>
      <w:tr w:rsidR="00156C1A" w:rsidRPr="007218E2" w:rsidTr="0013147D">
        <w:tc>
          <w:tcPr>
            <w:tcW w:w="3510" w:type="dxa"/>
            <w:shd w:val="clear" w:color="auto" w:fill="auto"/>
            <w:vAlign w:val="center"/>
          </w:tcPr>
          <w:p w:rsidR="00156C1A" w:rsidRPr="007218E2" w:rsidRDefault="00156C1A" w:rsidP="0013147D">
            <w:pPr>
              <w:jc w:val="center"/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  <w:noProof/>
              </w:rPr>
              <w:drawing>
                <wp:inline distT="0" distB="0" distL="0" distR="0" wp14:anchorId="4E8D9F4F" wp14:editId="2A256CCC">
                  <wp:extent cx="1653540" cy="1197390"/>
                  <wp:effectExtent l="0" t="0" r="3810" b="317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Gift box with ribbon and bow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89786" cy="12236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9455" w:type="dxa"/>
            <w:shd w:val="clear" w:color="auto" w:fill="auto"/>
            <w:vAlign w:val="center"/>
          </w:tcPr>
          <w:p w:rsidR="007218E2" w:rsidRPr="007218E2" w:rsidRDefault="00156C1A" w:rsidP="0013147D">
            <w:pPr>
              <w:pStyle w:val="Title"/>
              <w:rPr>
                <w:rFonts w:ascii="Calibri" w:hAnsi="Calibri" w:cs="Calibri"/>
                <w:color w:val="70AD47" w:themeColor="accent6"/>
                <w:sz w:val="72"/>
              </w:rPr>
            </w:pPr>
            <w:r w:rsidRPr="007218E2">
              <w:rPr>
                <w:rFonts w:ascii="Calibri" w:hAnsi="Calibri" w:cs="Calibri"/>
                <w:color w:val="70AD47" w:themeColor="accent6"/>
                <w:sz w:val="72"/>
              </w:rPr>
              <w:t>reading LIST:</w:t>
            </w:r>
            <w:r w:rsidR="007218E2" w:rsidRPr="007218E2">
              <w:rPr>
                <w:rFonts w:ascii="Calibri" w:hAnsi="Calibri" w:cs="Calibri"/>
                <w:color w:val="70AD47" w:themeColor="accent6"/>
                <w:sz w:val="72"/>
              </w:rPr>
              <w:t xml:space="preserve"> </w:t>
            </w:r>
          </w:p>
          <w:p w:rsidR="007218E2" w:rsidRPr="007218E2" w:rsidRDefault="007218E2" w:rsidP="0013147D">
            <w:pPr>
              <w:pStyle w:val="Title"/>
              <w:rPr>
                <w:rFonts w:ascii="Calibri" w:hAnsi="Calibri" w:cs="Calibri"/>
                <w:color w:val="70AD47" w:themeColor="accent6"/>
                <w:sz w:val="72"/>
              </w:rPr>
            </w:pPr>
            <w:r w:rsidRPr="007218E2">
              <w:rPr>
                <w:rFonts w:ascii="Calibri" w:hAnsi="Calibri" w:cs="Calibri"/>
                <w:color w:val="70AD47" w:themeColor="accent6"/>
                <w:sz w:val="72"/>
              </w:rPr>
              <w:t xml:space="preserve">L5 SITE SPECIFIC MODULE </w:t>
            </w:r>
          </w:p>
          <w:p w:rsidR="00156C1A" w:rsidRPr="007218E2" w:rsidRDefault="007218E2" w:rsidP="0013147D">
            <w:pPr>
              <w:pStyle w:val="Title"/>
              <w:rPr>
                <w:rFonts w:ascii="Calibri" w:hAnsi="Calibri" w:cs="Calibri"/>
                <w:color w:val="70AD47" w:themeColor="accent6"/>
                <w:sz w:val="72"/>
              </w:rPr>
            </w:pPr>
            <w:r w:rsidRPr="007218E2">
              <w:rPr>
                <w:rFonts w:ascii="Calibri" w:hAnsi="Calibri" w:cs="Calibri"/>
                <w:color w:val="70AD47" w:themeColor="accent6"/>
                <w:sz w:val="48"/>
              </w:rPr>
              <w:t xml:space="preserve">HPCP5003 </w:t>
            </w:r>
            <w:r w:rsidR="00156C1A" w:rsidRPr="007218E2">
              <w:rPr>
                <w:rFonts w:ascii="Calibri" w:hAnsi="Calibri" w:cs="Calibri"/>
                <w:color w:val="70AD47" w:themeColor="accent6"/>
                <w:sz w:val="48"/>
              </w:rPr>
              <w:t xml:space="preserve"> </w:t>
            </w:r>
          </w:p>
          <w:p w:rsidR="007218E2" w:rsidRPr="007218E2" w:rsidRDefault="007218E2" w:rsidP="007218E2">
            <w:pPr>
              <w:rPr>
                <w:rFonts w:ascii="Calibri" w:hAnsi="Calibri" w:cs="Calibri"/>
              </w:rPr>
            </w:pPr>
          </w:p>
        </w:tc>
      </w:tr>
    </w:tbl>
    <w:p w:rsidR="00156C1A" w:rsidRPr="007218E2" w:rsidRDefault="00156C1A" w:rsidP="00156C1A">
      <w:pPr>
        <w:pStyle w:val="NoSpacing"/>
        <w:rPr>
          <w:rFonts w:ascii="Calibri" w:hAnsi="Calibri" w:cs="Calibri"/>
          <w:sz w:val="12"/>
          <w:szCs w:val="12"/>
        </w:rPr>
      </w:pPr>
    </w:p>
    <w:tbl>
      <w:tblPr>
        <w:tblStyle w:val="GridTable4-Accent1"/>
        <w:tblW w:w="5000" w:type="pct"/>
        <w:tbl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single" w:sz="4" w:space="0" w:color="70AD47" w:themeColor="accent6"/>
          <w:insideV w:val="single" w:sz="4" w:space="0" w:color="70AD47" w:themeColor="accent6"/>
        </w:tblBorders>
        <w:tblLook w:val="0620" w:firstRow="1" w:lastRow="0" w:firstColumn="0" w:lastColumn="0" w:noHBand="1" w:noVBand="1"/>
        <w:tblDescription w:val="Gift list"/>
      </w:tblPr>
      <w:tblGrid>
        <w:gridCol w:w="716"/>
        <w:gridCol w:w="1405"/>
        <w:gridCol w:w="7516"/>
        <w:gridCol w:w="703"/>
        <w:gridCol w:w="991"/>
        <w:gridCol w:w="1619"/>
      </w:tblGrid>
      <w:tr w:rsidR="00D94914" w:rsidRPr="007218E2" w:rsidTr="0002766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04"/>
          <w:tblHeader/>
        </w:trPr>
        <w:tc>
          <w:tcPr>
            <w:tcW w:w="286" w:type="pct"/>
            <w:tcBorders>
              <w:bottom w:val="single" w:sz="4" w:space="0" w:color="70AD47" w:themeColor="accent6"/>
            </w:tcBorders>
            <w:shd w:val="clear" w:color="auto" w:fill="70AD47" w:themeFill="accent6"/>
            <w:vAlign w:val="center"/>
          </w:tcPr>
          <w:p w:rsidR="00156C1A" w:rsidRPr="007218E2" w:rsidRDefault="00D94914" w:rsidP="0013147D">
            <w:pPr>
              <w:spacing w:before="0"/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>Read</w:t>
            </w:r>
          </w:p>
        </w:tc>
        <w:tc>
          <w:tcPr>
            <w:tcW w:w="754" w:type="pct"/>
            <w:tcBorders>
              <w:bottom w:val="single" w:sz="4" w:space="0" w:color="70AD47" w:themeColor="accent6"/>
            </w:tcBorders>
            <w:shd w:val="clear" w:color="auto" w:fill="70AD47" w:themeFill="accent6"/>
            <w:vAlign w:val="center"/>
          </w:tcPr>
          <w:p w:rsidR="00156C1A" w:rsidRPr="007218E2" w:rsidRDefault="00156C1A" w:rsidP="0013147D">
            <w:pPr>
              <w:spacing w:before="0"/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>Author</w:t>
            </w:r>
          </w:p>
        </w:tc>
        <w:tc>
          <w:tcPr>
            <w:tcW w:w="2583" w:type="pct"/>
            <w:tcBorders>
              <w:bottom w:val="single" w:sz="4" w:space="0" w:color="70AD47" w:themeColor="accent6"/>
            </w:tcBorders>
            <w:shd w:val="clear" w:color="auto" w:fill="70AD47" w:themeFill="accent6"/>
            <w:vAlign w:val="center"/>
          </w:tcPr>
          <w:p w:rsidR="00156C1A" w:rsidRPr="007218E2" w:rsidRDefault="005619D0" w:rsidP="0013147D">
            <w:pPr>
              <w:spacing w:before="0"/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>Reference (Harvard Formatting)</w:t>
            </w:r>
          </w:p>
        </w:tc>
        <w:tc>
          <w:tcPr>
            <w:tcW w:w="278" w:type="pct"/>
            <w:tcBorders>
              <w:bottom w:val="single" w:sz="4" w:space="0" w:color="70AD47" w:themeColor="accent6"/>
            </w:tcBorders>
            <w:shd w:val="clear" w:color="auto" w:fill="70AD47" w:themeFill="accent6"/>
          </w:tcPr>
          <w:p w:rsidR="00156C1A" w:rsidRPr="007218E2" w:rsidRDefault="00156C1A" w:rsidP="0013147D">
            <w:pPr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>Year</w:t>
            </w:r>
          </w:p>
        </w:tc>
        <w:tc>
          <w:tcPr>
            <w:tcW w:w="473" w:type="pct"/>
            <w:tcBorders>
              <w:bottom w:val="single" w:sz="4" w:space="0" w:color="70AD47" w:themeColor="accent6"/>
            </w:tcBorders>
            <w:shd w:val="clear" w:color="auto" w:fill="70AD47" w:themeFill="accent6"/>
          </w:tcPr>
          <w:p w:rsidR="00156C1A" w:rsidRPr="007218E2" w:rsidRDefault="00156C1A" w:rsidP="0013147D">
            <w:pPr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>Type</w:t>
            </w:r>
          </w:p>
        </w:tc>
        <w:tc>
          <w:tcPr>
            <w:tcW w:w="625" w:type="pct"/>
            <w:tcBorders>
              <w:bottom w:val="single" w:sz="4" w:space="0" w:color="70AD47" w:themeColor="accent6"/>
            </w:tcBorders>
            <w:shd w:val="clear" w:color="auto" w:fill="70AD47" w:themeFill="accent6"/>
            <w:vAlign w:val="center"/>
          </w:tcPr>
          <w:p w:rsidR="00156C1A" w:rsidRPr="007218E2" w:rsidRDefault="00156C1A" w:rsidP="0013147D">
            <w:pPr>
              <w:spacing w:before="0"/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>Location</w:t>
            </w:r>
          </w:p>
        </w:tc>
      </w:tr>
      <w:tr w:rsidR="00156C1A" w:rsidRPr="007218E2" w:rsidTr="00027660">
        <w:tblPrEx>
          <w:tblBorders>
            <w:top w:val="single" w:sz="4" w:space="0" w:color="9CC2E5" w:themeColor="accent1" w:themeTint="99"/>
            <w:left w:val="single" w:sz="4" w:space="0" w:color="9CC2E5" w:themeColor="accent1" w:themeTint="99"/>
            <w:bottom w:val="single" w:sz="4" w:space="0" w:color="9CC2E5" w:themeColor="accent1" w:themeTint="99"/>
            <w:right w:val="single" w:sz="4" w:space="0" w:color="9CC2E5" w:themeColor="accent1" w:themeTint="99"/>
            <w:insideH w:val="single" w:sz="4" w:space="0" w:color="9CC2E5" w:themeColor="accent1" w:themeTint="99"/>
            <w:insideV w:val="single" w:sz="4" w:space="0" w:color="9CC2E5" w:themeColor="accent1" w:themeTint="99"/>
          </w:tblBorders>
        </w:tblPrEx>
        <w:trPr>
          <w:trHeight w:val="504"/>
        </w:trPr>
        <w:sdt>
          <w:sdtPr>
            <w:rPr>
              <w:rFonts w:ascii="Calibri" w:hAnsi="Calibri" w:cs="Calibri"/>
            </w:rPr>
            <w:id w:val="-2054302728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286" w:type="pct"/>
                <w:tcBorders>
                  <w:top w:val="single" w:sz="4" w:space="0" w:color="70AD47" w:themeColor="accent6"/>
                  <w:left w:val="single" w:sz="4" w:space="0" w:color="70AD47" w:themeColor="accent6"/>
                  <w:bottom w:val="single" w:sz="4" w:space="0" w:color="70AD47" w:themeColor="accent6"/>
                  <w:right w:val="single" w:sz="4" w:space="0" w:color="70AD47" w:themeColor="accent6"/>
                </w:tcBorders>
              </w:tcPr>
              <w:p w:rsidR="00156C1A" w:rsidRPr="007218E2" w:rsidRDefault="00156C1A" w:rsidP="0013147D">
                <w:pPr>
                  <w:pStyle w:val="Checkbox"/>
                  <w:spacing w:before="0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  <w:tcBorders>
              <w:top w:val="single" w:sz="4" w:space="0" w:color="70AD47" w:themeColor="accent6"/>
              <w:left w:val="single" w:sz="4" w:space="0" w:color="70AD47" w:themeColor="accent6"/>
              <w:bottom w:val="single" w:sz="4" w:space="0" w:color="70AD47" w:themeColor="accent6"/>
              <w:right w:val="single" w:sz="4" w:space="0" w:color="70AD47" w:themeColor="accent6"/>
            </w:tcBorders>
          </w:tcPr>
          <w:p w:rsidR="00156C1A" w:rsidRPr="007218E2" w:rsidRDefault="00027660" w:rsidP="0013147D">
            <w:pPr>
              <w:spacing w:before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Birch &amp; Tompkins</w:t>
            </w:r>
          </w:p>
        </w:tc>
        <w:tc>
          <w:tcPr>
            <w:tcW w:w="2583" w:type="pct"/>
            <w:tcBorders>
              <w:top w:val="single" w:sz="4" w:space="0" w:color="70AD47" w:themeColor="accent6"/>
              <w:left w:val="single" w:sz="4" w:space="0" w:color="70AD47" w:themeColor="accent6"/>
              <w:bottom w:val="single" w:sz="4" w:space="0" w:color="70AD47" w:themeColor="accent6"/>
              <w:right w:val="single" w:sz="4" w:space="0" w:color="70AD47" w:themeColor="accent6"/>
            </w:tcBorders>
          </w:tcPr>
          <w:p w:rsidR="00156C1A" w:rsidRPr="00027660" w:rsidRDefault="00027660" w:rsidP="007218E2">
            <w:pPr>
              <w:rPr>
                <w:rFonts w:ascii="Calibri" w:hAnsi="Calibri" w:cs="Calibri"/>
                <w:lang w:val="en-GB"/>
              </w:rPr>
            </w:pPr>
            <w:r w:rsidRPr="00027660">
              <w:rPr>
                <w:rFonts w:ascii="Calibri" w:hAnsi="Calibri" w:cs="Calibri"/>
                <w:lang w:val="en-GB"/>
              </w:rPr>
              <w:t xml:space="preserve">Birch, A. and Tompkins, J. (2012) </w:t>
            </w:r>
            <w:r w:rsidRPr="00027660">
              <w:rPr>
                <w:rFonts w:ascii="Calibri" w:hAnsi="Calibri" w:cs="Calibri"/>
                <w:i/>
                <w:iCs/>
                <w:lang w:val="en-GB"/>
              </w:rPr>
              <w:t>Performing site-specific theatre: politics, place, practice</w:t>
            </w:r>
            <w:r w:rsidRPr="00027660">
              <w:rPr>
                <w:rFonts w:ascii="Calibri" w:hAnsi="Calibri" w:cs="Calibri"/>
                <w:lang w:val="en-GB"/>
              </w:rPr>
              <w:t>. Basingstoke: Palgrave Macmillan (Performance interventions).</w:t>
            </w:r>
          </w:p>
        </w:tc>
        <w:tc>
          <w:tcPr>
            <w:tcW w:w="278" w:type="pct"/>
            <w:tcBorders>
              <w:top w:val="single" w:sz="4" w:space="0" w:color="70AD47" w:themeColor="accent6"/>
              <w:left w:val="single" w:sz="4" w:space="0" w:color="70AD47" w:themeColor="accent6"/>
              <w:bottom w:val="single" w:sz="4" w:space="0" w:color="70AD47" w:themeColor="accent6"/>
              <w:right w:val="single" w:sz="4" w:space="0" w:color="70AD47" w:themeColor="accent6"/>
            </w:tcBorders>
          </w:tcPr>
          <w:p w:rsidR="00156C1A" w:rsidRPr="007218E2" w:rsidRDefault="00027660" w:rsidP="0013147D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2012</w:t>
            </w:r>
          </w:p>
        </w:tc>
        <w:tc>
          <w:tcPr>
            <w:tcW w:w="473" w:type="pct"/>
            <w:tcBorders>
              <w:top w:val="single" w:sz="4" w:space="0" w:color="70AD47" w:themeColor="accent6"/>
              <w:left w:val="single" w:sz="4" w:space="0" w:color="70AD47" w:themeColor="accent6"/>
              <w:bottom w:val="single" w:sz="4" w:space="0" w:color="70AD47" w:themeColor="accent6"/>
              <w:right w:val="single" w:sz="4" w:space="0" w:color="70AD47" w:themeColor="accent6"/>
            </w:tcBorders>
          </w:tcPr>
          <w:p w:rsidR="00156C1A" w:rsidRPr="007218E2" w:rsidRDefault="00027660" w:rsidP="0013147D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Book</w:t>
            </w:r>
          </w:p>
        </w:tc>
        <w:tc>
          <w:tcPr>
            <w:tcW w:w="625" w:type="pct"/>
            <w:tcBorders>
              <w:top w:val="single" w:sz="4" w:space="0" w:color="70AD47" w:themeColor="accent6"/>
              <w:left w:val="single" w:sz="4" w:space="0" w:color="70AD47" w:themeColor="accent6"/>
              <w:bottom w:val="single" w:sz="4" w:space="0" w:color="70AD47" w:themeColor="accent6"/>
              <w:right w:val="single" w:sz="4" w:space="0" w:color="70AD47" w:themeColor="accent6"/>
            </w:tcBorders>
          </w:tcPr>
          <w:p w:rsidR="00156C1A" w:rsidRPr="007218E2" w:rsidRDefault="00027660" w:rsidP="0013147D">
            <w:pPr>
              <w:spacing w:before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Library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</w:rPr>
            <w:id w:val="866648476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spacing w:before="0"/>
              <w:rPr>
                <w:rFonts w:ascii="Calibri" w:hAnsi="Calibri" w:cs="Calibri"/>
              </w:rPr>
            </w:pPr>
            <w:proofErr w:type="spellStart"/>
            <w:r w:rsidRPr="007218E2">
              <w:rPr>
                <w:rFonts w:ascii="Calibri" w:hAnsi="Calibri" w:cs="Calibri"/>
              </w:rPr>
              <w:t>Blumenfeld</w:t>
            </w:r>
            <w:proofErr w:type="spellEnd"/>
            <w:r w:rsidRPr="007218E2">
              <w:rPr>
                <w:rFonts w:ascii="Calibri" w:hAnsi="Calibri" w:cs="Calibri"/>
              </w:rPr>
              <w:t>-Jones</w:t>
            </w:r>
          </w:p>
        </w:tc>
        <w:tc>
          <w:tcPr>
            <w:tcW w:w="2583" w:type="pct"/>
          </w:tcPr>
          <w:p w:rsidR="00027660" w:rsidRPr="007218E2" w:rsidRDefault="00027660" w:rsidP="00027660">
            <w:pPr>
              <w:rPr>
                <w:rFonts w:ascii="Calibri" w:hAnsi="Calibri" w:cs="Calibri"/>
                <w:kern w:val="0"/>
                <w14:ligatures w14:val="none"/>
              </w:rPr>
            </w:pPr>
            <w:proofErr w:type="spellStart"/>
            <w:r w:rsidRPr="007218E2">
              <w:rPr>
                <w:rFonts w:ascii="Calibri" w:hAnsi="Calibri" w:cs="Calibri"/>
              </w:rPr>
              <w:t>Blumenfeld</w:t>
            </w:r>
            <w:proofErr w:type="spellEnd"/>
            <w:r w:rsidRPr="007218E2">
              <w:rPr>
                <w:rFonts w:ascii="Calibri" w:hAnsi="Calibri" w:cs="Calibri"/>
              </w:rPr>
              <w:t xml:space="preserve">-Jones, D. S. (2016) ‘The Artistic Process and Arts-Based Research: A Phenomenological Account of the Practice’, </w:t>
            </w:r>
            <w:r w:rsidRPr="007218E2">
              <w:rPr>
                <w:rFonts w:ascii="Calibri" w:hAnsi="Calibri" w:cs="Calibri"/>
                <w:i/>
                <w:iCs/>
              </w:rPr>
              <w:t>Qualitative Inquiry</w:t>
            </w:r>
            <w:r w:rsidRPr="007218E2">
              <w:rPr>
                <w:rFonts w:ascii="Calibri" w:hAnsi="Calibri" w:cs="Calibri"/>
              </w:rPr>
              <w:t xml:space="preserve">, 22(5), pp. 322–333. </w:t>
            </w:r>
            <w:proofErr w:type="spellStart"/>
            <w:r w:rsidRPr="007218E2">
              <w:rPr>
                <w:rFonts w:ascii="Calibri" w:hAnsi="Calibri" w:cs="Calibri"/>
              </w:rPr>
              <w:t>doi</w:t>
            </w:r>
            <w:proofErr w:type="spellEnd"/>
            <w:r w:rsidRPr="007218E2">
              <w:rPr>
                <w:rFonts w:ascii="Calibri" w:hAnsi="Calibri" w:cs="Calibri"/>
              </w:rPr>
              <w:t>: 10.1177/1077800415620212.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2016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Journal Article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spacing w:before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Library/Online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</w:rPr>
            <w:id w:val="1859621061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spacing w:before="0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Hill &amp; Paris</w:t>
            </w:r>
          </w:p>
        </w:tc>
        <w:tc>
          <w:tcPr>
            <w:tcW w:w="2583" w:type="pct"/>
          </w:tcPr>
          <w:p w:rsidR="00027660" w:rsidRPr="00027660" w:rsidRDefault="00027660" w:rsidP="00027660">
            <w:pPr>
              <w:tabs>
                <w:tab w:val="left" w:pos="1200"/>
              </w:tabs>
              <w:rPr>
                <w:rFonts w:ascii="Calibri" w:hAnsi="Calibri" w:cs="Calibri"/>
                <w:lang w:val="en-GB"/>
              </w:rPr>
            </w:pPr>
            <w:r w:rsidRPr="00027660">
              <w:rPr>
                <w:rFonts w:ascii="Calibri" w:hAnsi="Calibri" w:cs="Calibri"/>
                <w:lang w:val="en-GB"/>
              </w:rPr>
              <w:t xml:space="preserve">Hill, L. and Paris, H. (2006) </w:t>
            </w:r>
            <w:r w:rsidRPr="00027660">
              <w:rPr>
                <w:rFonts w:ascii="Calibri" w:hAnsi="Calibri" w:cs="Calibri"/>
                <w:i/>
                <w:iCs/>
                <w:lang w:val="en-GB"/>
              </w:rPr>
              <w:t>Performance and place</w:t>
            </w:r>
            <w:r w:rsidRPr="00027660">
              <w:rPr>
                <w:rFonts w:ascii="Calibri" w:hAnsi="Calibri" w:cs="Calibri"/>
                <w:lang w:val="en-GB"/>
              </w:rPr>
              <w:t>. Basingstoke: Palgrave Macmillan (Performance interventions).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2006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Book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Library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</w:rPr>
            <w:id w:val="1307430277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>Hunter</w:t>
            </w:r>
          </w:p>
        </w:tc>
        <w:tc>
          <w:tcPr>
            <w:tcW w:w="258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 xml:space="preserve">Hunter, V. (2010) </w:t>
            </w:r>
            <w:r w:rsidRPr="007218E2">
              <w:rPr>
                <w:rFonts w:ascii="Calibri" w:hAnsi="Calibri" w:cs="Calibri"/>
                <w:i/>
                <w:iCs/>
              </w:rPr>
              <w:t>Moving Sites: Investigating Site-Specific Dance Performance (Paperback) - Routledge</w:t>
            </w:r>
            <w:r w:rsidRPr="007218E2">
              <w:rPr>
                <w:rFonts w:ascii="Calibri" w:hAnsi="Calibri" w:cs="Calibri"/>
              </w:rPr>
              <w:t>. Available at: https://www.routledge.com/Moving-Sites-Investigating-Site-Specific-Dance-Perform</w:t>
            </w:r>
            <w:bookmarkStart w:id="0" w:name="_GoBack"/>
            <w:bookmarkEnd w:id="0"/>
            <w:r w:rsidRPr="007218E2">
              <w:rPr>
                <w:rFonts w:ascii="Calibri" w:hAnsi="Calibri" w:cs="Calibri"/>
              </w:rPr>
              <w:t>ance/Hunter/p/book/9780415713252 (Accessed: 1 March 2018).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2010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Book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Library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</w:rPr>
            <w:id w:val="-1908838884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spacing w:before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Kaye</w:t>
            </w:r>
          </w:p>
        </w:tc>
        <w:tc>
          <w:tcPr>
            <w:tcW w:w="2583" w:type="pct"/>
          </w:tcPr>
          <w:p w:rsidR="00027660" w:rsidRPr="00947F5B" w:rsidRDefault="00027660" w:rsidP="00027660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Calibri"/>
                <w:i/>
                <w:lang w:val="en-GB"/>
              </w:rPr>
            </w:pPr>
            <w:r w:rsidRPr="00947F5B">
              <w:rPr>
                <w:rFonts w:ascii="Calibri" w:hAnsi="Calibri" w:cs="Calibri"/>
                <w:lang w:val="en-GB"/>
              </w:rPr>
              <w:t>Kaye, N.</w:t>
            </w:r>
            <w:r w:rsidRPr="00947F5B">
              <w:rPr>
                <w:rFonts w:ascii="Calibri" w:hAnsi="Calibri" w:cs="Calibri"/>
                <w:i/>
                <w:lang w:val="en-GB"/>
              </w:rPr>
              <w:t xml:space="preserve"> (2000) </w:t>
            </w:r>
            <w:r w:rsidRPr="00947F5B">
              <w:rPr>
                <w:rFonts w:ascii="Calibri" w:hAnsi="Calibri" w:cs="Calibri"/>
                <w:i/>
                <w:iCs/>
                <w:lang w:val="en-GB"/>
              </w:rPr>
              <w:t>Site-specific Art: Performance, Place and Documentation</w:t>
            </w:r>
            <w:r w:rsidRPr="00947F5B">
              <w:rPr>
                <w:rFonts w:ascii="Calibri" w:hAnsi="Calibri" w:cs="Calibri"/>
                <w:i/>
                <w:lang w:val="en-GB"/>
              </w:rPr>
              <w:t>. London and New York: Psychology Press.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2000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Book/E-Book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spacing w:before="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E-book/Library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</w:rPr>
            <w:id w:val="1890833770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947F5B" w:rsidRDefault="00027660" w:rsidP="00027660">
            <w:pPr>
              <w:rPr>
                <w:rFonts w:ascii="Calibri" w:hAnsi="Calibri" w:cs="Calibri"/>
              </w:rPr>
            </w:pPr>
            <w:proofErr w:type="spellStart"/>
            <w:r>
              <w:rPr>
                <w:rFonts w:ascii="Calibri" w:hAnsi="Calibri" w:cs="Calibri"/>
              </w:rPr>
              <w:t>Kozel</w:t>
            </w:r>
            <w:proofErr w:type="spellEnd"/>
          </w:p>
        </w:tc>
        <w:tc>
          <w:tcPr>
            <w:tcW w:w="258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proofErr w:type="spellStart"/>
            <w:r w:rsidRPr="007218E2">
              <w:rPr>
                <w:rFonts w:ascii="Calibri" w:hAnsi="Calibri" w:cs="Calibri"/>
              </w:rPr>
              <w:t>Kozel</w:t>
            </w:r>
            <w:proofErr w:type="spellEnd"/>
            <w:r w:rsidRPr="007218E2">
              <w:rPr>
                <w:rFonts w:ascii="Calibri" w:hAnsi="Calibri" w:cs="Calibri"/>
              </w:rPr>
              <w:t xml:space="preserve">, S. (2007) </w:t>
            </w:r>
            <w:r>
              <w:rPr>
                <w:rFonts w:ascii="Calibri" w:hAnsi="Calibri" w:cs="Calibri"/>
                <w:i/>
                <w:iCs/>
              </w:rPr>
              <w:t>Closer</w:t>
            </w:r>
            <w:r w:rsidRPr="007218E2">
              <w:rPr>
                <w:rFonts w:ascii="Calibri" w:hAnsi="Calibri" w:cs="Calibri"/>
                <w:i/>
                <w:iCs/>
              </w:rPr>
              <w:t>: performance, technologies, phenomenology</w:t>
            </w:r>
            <w:r w:rsidRPr="007218E2">
              <w:rPr>
                <w:rFonts w:ascii="Calibri" w:hAnsi="Calibri" w:cs="Calibri"/>
              </w:rPr>
              <w:t>. MIT Press. Available at: http://hdl.handle.net/2043/15363.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2007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Book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Web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  <w:sz w:val="22"/>
            </w:rPr>
            <w:id w:val="646630469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  <w:sz w:val="22"/>
                  </w:rPr>
                </w:pPr>
                <w:r w:rsidRPr="007218E2">
                  <w:rPr>
                    <w:rFonts w:ascii="Segoe UI Symbol" w:hAnsi="Segoe UI Symbol" w:cs="Segoe UI Symbol"/>
                    <w:sz w:val="22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proofErr w:type="spellStart"/>
            <w:r>
              <w:rPr>
                <w:rFonts w:ascii="Calibri" w:hAnsi="Calibri" w:cs="Calibri"/>
              </w:rPr>
              <w:t>Moustakas</w:t>
            </w:r>
            <w:proofErr w:type="spellEnd"/>
          </w:p>
        </w:tc>
        <w:tc>
          <w:tcPr>
            <w:tcW w:w="258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proofErr w:type="spellStart"/>
            <w:r w:rsidRPr="007218E2">
              <w:rPr>
                <w:rFonts w:ascii="Calibri" w:hAnsi="Calibri" w:cs="Calibri"/>
              </w:rPr>
              <w:t>Moustakas</w:t>
            </w:r>
            <w:proofErr w:type="spellEnd"/>
            <w:r w:rsidRPr="007218E2">
              <w:rPr>
                <w:rFonts w:ascii="Calibri" w:hAnsi="Calibri" w:cs="Calibri"/>
              </w:rPr>
              <w:t xml:space="preserve">, C. (1990) </w:t>
            </w:r>
            <w:r w:rsidRPr="007218E2">
              <w:rPr>
                <w:rFonts w:ascii="Calibri" w:hAnsi="Calibri" w:cs="Calibri"/>
                <w:i/>
                <w:iCs/>
              </w:rPr>
              <w:t>Heuristic Research: Design, Methodology, and Applications</w:t>
            </w:r>
            <w:r w:rsidRPr="007218E2">
              <w:rPr>
                <w:rFonts w:ascii="Calibri" w:hAnsi="Calibri" w:cs="Calibri"/>
              </w:rPr>
              <w:t>. 1 edition. Newbury Park: Sage Publications, Inc.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1990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Book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Library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  <w:sz w:val="22"/>
            </w:rPr>
            <w:id w:val="-2007900059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  <w:sz w:val="22"/>
                  </w:rPr>
                </w:pPr>
                <w:r w:rsidRPr="007218E2">
                  <w:rPr>
                    <w:rFonts w:ascii="Segoe UI Symbol" w:hAnsi="Segoe UI Symbol" w:cs="Segoe UI Symbol"/>
                    <w:sz w:val="22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rPr>
                <w:rFonts w:ascii="Calibri" w:hAnsi="Calibri" w:cs="Calibri"/>
                <w:color w:val="222222"/>
                <w:sz w:val="20"/>
                <w:szCs w:val="20"/>
                <w:shd w:val="clear" w:color="auto" w:fill="FFFFFF"/>
              </w:rPr>
            </w:pPr>
            <w:r w:rsidRPr="00947F5B">
              <w:rPr>
                <w:rFonts w:ascii="Calibri" w:hAnsi="Calibri" w:cs="Calibri"/>
                <w:color w:val="222222"/>
                <w:szCs w:val="20"/>
                <w:shd w:val="clear" w:color="auto" w:fill="FFFFFF"/>
              </w:rPr>
              <w:t>Newman</w:t>
            </w:r>
          </w:p>
        </w:tc>
        <w:tc>
          <w:tcPr>
            <w:tcW w:w="258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 xml:space="preserve">Newman, J. (2012) ‘The Phenomenology of Non-Theatre Sites on Audience’, </w:t>
            </w:r>
            <w:r w:rsidRPr="007218E2">
              <w:rPr>
                <w:rFonts w:ascii="Calibri" w:hAnsi="Calibri" w:cs="Calibri"/>
                <w:i/>
                <w:iCs/>
              </w:rPr>
              <w:t>Theatre Notebook</w:t>
            </w:r>
            <w:r w:rsidRPr="007218E2">
              <w:rPr>
                <w:rFonts w:ascii="Calibri" w:hAnsi="Calibri" w:cs="Calibri"/>
              </w:rPr>
              <w:t>, 66(1), pp. 48–60.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2012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Article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Library/Online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</w:rPr>
            <w:id w:val="-701166594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rPr>
                <w:rFonts w:ascii="Calibri" w:hAnsi="Calibri" w:cs="Calibri"/>
                <w:color w:val="222222"/>
                <w:shd w:val="clear" w:color="auto" w:fill="FFFFFF"/>
              </w:rPr>
            </w:pPr>
            <w:r>
              <w:rPr>
                <w:rFonts w:ascii="Calibri" w:hAnsi="Calibri" w:cs="Calibri"/>
                <w:color w:val="222222"/>
                <w:shd w:val="clear" w:color="auto" w:fill="FFFFFF"/>
              </w:rPr>
              <w:t>Pearson</w:t>
            </w:r>
          </w:p>
        </w:tc>
        <w:tc>
          <w:tcPr>
            <w:tcW w:w="258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 xml:space="preserve">Pearson, M. (2010) </w:t>
            </w:r>
            <w:r w:rsidRPr="007218E2">
              <w:rPr>
                <w:rFonts w:ascii="Calibri" w:hAnsi="Calibri" w:cs="Calibri"/>
                <w:i/>
                <w:iCs/>
              </w:rPr>
              <w:t>Site-specific performance</w:t>
            </w:r>
            <w:r w:rsidRPr="007218E2">
              <w:rPr>
                <w:rFonts w:ascii="Calibri" w:hAnsi="Calibri" w:cs="Calibri"/>
              </w:rPr>
              <w:t xml:space="preserve">. </w:t>
            </w:r>
            <w:proofErr w:type="spellStart"/>
            <w:r w:rsidRPr="007218E2">
              <w:rPr>
                <w:rFonts w:ascii="Calibri" w:hAnsi="Calibri" w:cs="Calibri"/>
              </w:rPr>
              <w:t>Houndmills</w:t>
            </w:r>
            <w:proofErr w:type="spellEnd"/>
            <w:r w:rsidRPr="007218E2">
              <w:rPr>
                <w:rFonts w:ascii="Calibri" w:hAnsi="Calibri" w:cs="Calibri"/>
              </w:rPr>
              <w:t>, Basingstoke, Hampshire; New York: Palgrave Macmillan.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2006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Book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Library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</w:rPr>
            <w:id w:val="-1504196552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947F5B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Tufnell &amp; </w:t>
            </w:r>
            <w:proofErr w:type="spellStart"/>
            <w:r>
              <w:rPr>
                <w:rFonts w:ascii="Calibri" w:hAnsi="Calibri" w:cs="Calibri"/>
              </w:rPr>
              <w:t>Crickmay</w:t>
            </w:r>
            <w:proofErr w:type="spellEnd"/>
          </w:p>
        </w:tc>
        <w:tc>
          <w:tcPr>
            <w:tcW w:w="258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 w:rsidRPr="007218E2">
              <w:rPr>
                <w:rFonts w:ascii="Calibri" w:hAnsi="Calibri" w:cs="Calibri"/>
              </w:rPr>
              <w:t xml:space="preserve">Tufnell, M. and </w:t>
            </w:r>
            <w:proofErr w:type="spellStart"/>
            <w:r w:rsidRPr="007218E2">
              <w:rPr>
                <w:rFonts w:ascii="Calibri" w:hAnsi="Calibri" w:cs="Calibri"/>
              </w:rPr>
              <w:t>Crickmay</w:t>
            </w:r>
            <w:proofErr w:type="spellEnd"/>
            <w:r w:rsidRPr="007218E2">
              <w:rPr>
                <w:rFonts w:ascii="Calibri" w:hAnsi="Calibri" w:cs="Calibri"/>
              </w:rPr>
              <w:t xml:space="preserve">, C. (2006) </w:t>
            </w:r>
            <w:r>
              <w:rPr>
                <w:rFonts w:ascii="Calibri" w:hAnsi="Calibri" w:cs="Calibri"/>
                <w:i/>
                <w:iCs/>
              </w:rPr>
              <w:t>Body space image</w:t>
            </w:r>
            <w:r w:rsidRPr="007218E2">
              <w:rPr>
                <w:rFonts w:ascii="Calibri" w:hAnsi="Calibri" w:cs="Calibri"/>
                <w:i/>
                <w:iCs/>
              </w:rPr>
              <w:t>: notes towards improvisation and performance</w:t>
            </w:r>
            <w:r w:rsidRPr="007218E2">
              <w:rPr>
                <w:rFonts w:ascii="Calibri" w:hAnsi="Calibri" w:cs="Calibri"/>
              </w:rPr>
              <w:t>. London: Dance Books.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2006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Book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Library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</w:rPr>
            <w:id w:val="-1236242977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proofErr w:type="spellStart"/>
            <w:r>
              <w:rPr>
                <w:rFonts w:ascii="Calibri" w:hAnsi="Calibri" w:cs="Calibri"/>
              </w:rPr>
              <w:t>Wilkie</w:t>
            </w:r>
            <w:proofErr w:type="spellEnd"/>
          </w:p>
        </w:tc>
        <w:tc>
          <w:tcPr>
            <w:tcW w:w="258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proofErr w:type="spellStart"/>
            <w:r w:rsidRPr="007218E2">
              <w:rPr>
                <w:rFonts w:ascii="Calibri" w:hAnsi="Calibri" w:cs="Calibri"/>
              </w:rPr>
              <w:t>Wilkie</w:t>
            </w:r>
            <w:proofErr w:type="spellEnd"/>
            <w:r w:rsidRPr="007218E2">
              <w:rPr>
                <w:rFonts w:ascii="Calibri" w:hAnsi="Calibri" w:cs="Calibri"/>
              </w:rPr>
              <w:t xml:space="preserve">, F. (2002a) ‘Kinds of Place at Bore Place: Site-Specific Performance and the Rules of Spatial </w:t>
            </w:r>
            <w:proofErr w:type="spellStart"/>
            <w:r w:rsidRPr="007218E2">
              <w:rPr>
                <w:rFonts w:ascii="Calibri" w:hAnsi="Calibri" w:cs="Calibri"/>
              </w:rPr>
              <w:t>Behaviour</w:t>
            </w:r>
            <w:proofErr w:type="spellEnd"/>
            <w:r w:rsidRPr="007218E2">
              <w:rPr>
                <w:rFonts w:ascii="Calibri" w:hAnsi="Calibri" w:cs="Calibri"/>
              </w:rPr>
              <w:t xml:space="preserve">’, </w:t>
            </w:r>
            <w:r w:rsidRPr="007218E2">
              <w:rPr>
                <w:rFonts w:ascii="Calibri" w:hAnsi="Calibri" w:cs="Calibri"/>
                <w:i/>
                <w:iCs/>
              </w:rPr>
              <w:t>NTQ - New Theatre Quarterly; Cambridge, Eng.</w:t>
            </w:r>
            <w:r w:rsidRPr="007218E2">
              <w:rPr>
                <w:rFonts w:ascii="Calibri" w:hAnsi="Calibri" w:cs="Calibri"/>
              </w:rPr>
              <w:t>, 18(3), pp. 243–260.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2002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Journal Article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Online/Library</w:t>
            </w:r>
          </w:p>
        </w:tc>
      </w:tr>
      <w:tr w:rsidR="00027660" w:rsidRPr="007218E2" w:rsidTr="00027660">
        <w:trPr>
          <w:trHeight w:val="504"/>
        </w:trPr>
        <w:sdt>
          <w:sdtPr>
            <w:rPr>
              <w:rFonts w:ascii="Calibri" w:hAnsi="Calibri" w:cs="Calibri"/>
            </w:rPr>
            <w:id w:val="918909361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7218E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7218E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proofErr w:type="spellStart"/>
            <w:r>
              <w:rPr>
                <w:rFonts w:ascii="Calibri" w:hAnsi="Calibri" w:cs="Calibri"/>
              </w:rPr>
              <w:t>Wilkie</w:t>
            </w:r>
            <w:proofErr w:type="spellEnd"/>
          </w:p>
        </w:tc>
        <w:tc>
          <w:tcPr>
            <w:tcW w:w="258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proofErr w:type="spellStart"/>
            <w:r w:rsidRPr="007218E2">
              <w:rPr>
                <w:rFonts w:ascii="Calibri" w:hAnsi="Calibri" w:cs="Calibri"/>
              </w:rPr>
              <w:t>Wilkie</w:t>
            </w:r>
            <w:proofErr w:type="spellEnd"/>
            <w:r w:rsidRPr="007218E2">
              <w:rPr>
                <w:rFonts w:ascii="Calibri" w:hAnsi="Calibri" w:cs="Calibri"/>
              </w:rPr>
              <w:t xml:space="preserve">, F. (2002b) ‘Mapping the terrain: a survey of site-specific performance in Britain.’, </w:t>
            </w:r>
            <w:r w:rsidRPr="007218E2">
              <w:rPr>
                <w:rFonts w:ascii="Calibri" w:hAnsi="Calibri" w:cs="Calibri"/>
                <w:i/>
                <w:iCs/>
              </w:rPr>
              <w:t>New Theatre Quarterly</w:t>
            </w:r>
            <w:r w:rsidRPr="007218E2">
              <w:rPr>
                <w:rFonts w:ascii="Calibri" w:hAnsi="Calibri" w:cs="Calibri"/>
              </w:rPr>
              <w:t>, 18(2), pp. 140–161.</w:t>
            </w: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2002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Journal Article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Online/Library</w:t>
            </w: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302896602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proofErr w:type="spellStart"/>
            <w:r>
              <w:rPr>
                <w:rFonts w:ascii="Calibri" w:hAnsi="Calibri" w:cs="Calibri"/>
              </w:rPr>
              <w:t>Wilkie</w:t>
            </w:r>
            <w:proofErr w:type="spellEnd"/>
          </w:p>
        </w:tc>
        <w:tc>
          <w:tcPr>
            <w:tcW w:w="2583" w:type="pct"/>
          </w:tcPr>
          <w:p w:rsidR="00027660" w:rsidRPr="00CB4F12" w:rsidRDefault="00027660" w:rsidP="00027660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Calibri"/>
                <w:lang w:val="en-GB"/>
              </w:rPr>
            </w:pPr>
            <w:proofErr w:type="spellStart"/>
            <w:r w:rsidRPr="00CB4F12">
              <w:rPr>
                <w:rFonts w:ascii="Calibri" w:hAnsi="Calibri" w:cs="Calibri"/>
                <w:lang w:val="en-GB"/>
              </w:rPr>
              <w:t>Wilkie</w:t>
            </w:r>
            <w:proofErr w:type="spellEnd"/>
            <w:r w:rsidRPr="00CB4F12">
              <w:rPr>
                <w:rFonts w:ascii="Calibri" w:hAnsi="Calibri" w:cs="Calibri"/>
                <w:lang w:val="en-GB"/>
              </w:rPr>
              <w:t xml:space="preserve">, F. (2007) ‘The Production of “Site”: Site-Specific Theatre’, in </w:t>
            </w:r>
            <w:proofErr w:type="spellStart"/>
            <w:r>
              <w:rPr>
                <w:rFonts w:ascii="Calibri" w:hAnsi="Calibri" w:cs="Calibri"/>
                <w:lang w:val="en-GB"/>
              </w:rPr>
              <w:t>Holdsworth</w:t>
            </w:r>
            <w:proofErr w:type="spellEnd"/>
            <w:r>
              <w:rPr>
                <w:rFonts w:ascii="Calibri" w:hAnsi="Calibri" w:cs="Calibri"/>
                <w:lang w:val="en-GB"/>
              </w:rPr>
              <w:t xml:space="preserve">, N. and </w:t>
            </w:r>
            <w:proofErr w:type="spellStart"/>
            <w:r>
              <w:rPr>
                <w:rFonts w:ascii="Calibri" w:hAnsi="Calibri" w:cs="Calibri"/>
                <w:lang w:val="en-GB"/>
              </w:rPr>
              <w:t>Luckhurst</w:t>
            </w:r>
            <w:proofErr w:type="spellEnd"/>
            <w:r>
              <w:rPr>
                <w:rFonts w:ascii="Calibri" w:hAnsi="Calibri" w:cs="Calibri"/>
                <w:lang w:val="en-GB"/>
              </w:rPr>
              <w:t>, M.</w:t>
            </w:r>
            <w:r w:rsidRPr="00CB4F12">
              <w:rPr>
                <w:rFonts w:ascii="Calibri" w:hAnsi="Calibri" w:cs="Calibri"/>
                <w:lang w:val="en-GB"/>
              </w:rPr>
              <w:t xml:space="preserve"> (</w:t>
            </w:r>
            <w:proofErr w:type="spellStart"/>
            <w:r w:rsidRPr="00CB4F12">
              <w:rPr>
                <w:rFonts w:ascii="Calibri" w:hAnsi="Calibri" w:cs="Calibri"/>
                <w:lang w:val="en-GB"/>
              </w:rPr>
              <w:t>eds</w:t>
            </w:r>
            <w:proofErr w:type="spellEnd"/>
            <w:r w:rsidRPr="00CB4F12">
              <w:rPr>
                <w:rFonts w:ascii="Calibri" w:hAnsi="Calibri" w:cs="Calibri"/>
                <w:lang w:val="en-GB"/>
              </w:rPr>
              <w:t xml:space="preserve">) </w:t>
            </w:r>
            <w:r w:rsidRPr="00CB4F12">
              <w:rPr>
                <w:rFonts w:ascii="Calibri" w:hAnsi="Calibri" w:cs="Calibri"/>
                <w:i/>
                <w:iCs/>
                <w:lang w:val="en-GB"/>
              </w:rPr>
              <w:t>A Concise Companion to Contemporary British and Irish Drama</w:t>
            </w:r>
            <w:r w:rsidRPr="00CB4F12">
              <w:rPr>
                <w:rFonts w:ascii="Calibri" w:hAnsi="Calibri" w:cs="Calibri"/>
                <w:lang w:val="en-GB"/>
              </w:rPr>
              <w:t>. Blackwell Publishing Ltd, pp. 85–106. Available at: http://onlinelibrary.wiley.com/doi/10.1002/9780470690987.ch5/summary.</w:t>
            </w:r>
          </w:p>
          <w:p w:rsidR="00027660" w:rsidRPr="00CB4F12" w:rsidRDefault="00027660" w:rsidP="00027660">
            <w:pPr>
              <w:tabs>
                <w:tab w:val="num" w:pos="720"/>
                <w:tab w:val="left" w:pos="1440"/>
              </w:tabs>
              <w:jc w:val="both"/>
              <w:rPr>
                <w:rFonts w:ascii="Calibri" w:hAnsi="Calibri" w:cs="Calibri"/>
              </w:rPr>
            </w:pPr>
          </w:p>
        </w:tc>
        <w:tc>
          <w:tcPr>
            <w:tcW w:w="278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2002</w:t>
            </w:r>
          </w:p>
        </w:tc>
        <w:tc>
          <w:tcPr>
            <w:tcW w:w="473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Book Chapter</w:t>
            </w:r>
          </w:p>
        </w:tc>
        <w:tc>
          <w:tcPr>
            <w:tcW w:w="625" w:type="pct"/>
          </w:tcPr>
          <w:p w:rsidR="00027660" w:rsidRPr="007218E2" w:rsidRDefault="00027660" w:rsidP="00027660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Online/Library</w:t>
            </w: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-305864664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spacing w:before="0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</w:p>
        </w:tc>
        <w:tc>
          <w:tcPr>
            <w:tcW w:w="2583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  <w:i/>
              </w:rPr>
            </w:pP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625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2030522867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2583" w:type="pct"/>
          </w:tcPr>
          <w:p w:rsidR="00027660" w:rsidRPr="00CB4F12" w:rsidRDefault="00027660" w:rsidP="00027660">
            <w:pPr>
              <w:tabs>
                <w:tab w:val="num" w:pos="720"/>
                <w:tab w:val="left" w:pos="1440"/>
              </w:tabs>
              <w:rPr>
                <w:rFonts w:ascii="Calibri" w:hAnsi="Calibri" w:cs="Calibri"/>
                <w:i/>
                <w:lang w:val="en-GB"/>
              </w:rPr>
            </w:pP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625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903182004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2583" w:type="pct"/>
          </w:tcPr>
          <w:p w:rsidR="00027660" w:rsidRPr="00CB4F12" w:rsidRDefault="00027660" w:rsidP="00027660">
            <w:pPr>
              <w:tabs>
                <w:tab w:val="num" w:pos="720"/>
                <w:tab w:val="left" w:pos="1440"/>
              </w:tabs>
              <w:rPr>
                <w:rFonts w:ascii="Calibri" w:hAnsi="Calibri" w:cs="Calibri"/>
                <w:lang w:val="en-GB"/>
              </w:rPr>
            </w:pP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625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1858994158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N/A</w:t>
            </w:r>
          </w:p>
        </w:tc>
        <w:tc>
          <w:tcPr>
            <w:tcW w:w="2583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  <w:hyperlink r:id="rId7" w:history="1">
              <w:r w:rsidRPr="00CB4F12">
                <w:rPr>
                  <w:rStyle w:val="Hyperlink"/>
                  <w:rFonts w:ascii="Calibri" w:hAnsi="Calibri" w:cs="Calibri"/>
                </w:rPr>
                <w:t>New Theatre Quarterly</w:t>
              </w:r>
            </w:hyperlink>
            <w:r w:rsidRPr="00CB4F12">
              <w:rPr>
                <w:rFonts w:ascii="Calibri" w:hAnsi="Calibri" w:cs="Calibri"/>
              </w:rPr>
              <w:t xml:space="preserve"> </w:t>
            </w:r>
          </w:p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Cambridge, England: Cambridge University Press</w:t>
            </w: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E-Journal</w:t>
            </w:r>
          </w:p>
        </w:tc>
        <w:tc>
          <w:tcPr>
            <w:tcW w:w="625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</w:tr>
      <w:tr w:rsidR="00027660" w:rsidRPr="00CB4F12" w:rsidTr="00027660">
        <w:trPr>
          <w:trHeight w:val="504"/>
        </w:trPr>
        <w:tc>
          <w:tcPr>
            <w:tcW w:w="286" w:type="pct"/>
          </w:tcPr>
          <w:p w:rsidR="00027660" w:rsidRPr="00CB4F12" w:rsidRDefault="00027660" w:rsidP="00027660">
            <w:pPr>
              <w:pStyle w:val="Checkbox"/>
              <w:rPr>
                <w:rFonts w:ascii="Calibri" w:hAnsi="Calibri" w:cs="Calibri"/>
              </w:rPr>
            </w:pPr>
          </w:p>
        </w:tc>
        <w:tc>
          <w:tcPr>
            <w:tcW w:w="754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N/A</w:t>
            </w:r>
          </w:p>
        </w:tc>
        <w:tc>
          <w:tcPr>
            <w:tcW w:w="2583" w:type="pct"/>
          </w:tcPr>
          <w:p w:rsidR="00027660" w:rsidRPr="00CB4F12" w:rsidRDefault="00027660" w:rsidP="00027660">
            <w:pPr>
              <w:pStyle w:val="Default"/>
            </w:pPr>
            <w:hyperlink r:id="rId8" w:history="1">
              <w:r w:rsidRPr="00CB4F12">
                <w:rPr>
                  <w:rStyle w:val="Hyperlink"/>
                </w:rPr>
                <w:t>Performance Research, Centre for Performance Research</w:t>
              </w:r>
            </w:hyperlink>
          </w:p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proofErr w:type="gramStart"/>
            <w:r w:rsidRPr="00CB4F12">
              <w:rPr>
                <w:rFonts w:ascii="Calibri" w:hAnsi="Calibri" w:cs="Calibri"/>
              </w:rPr>
              <w:t>London :</w:t>
            </w:r>
            <w:proofErr w:type="gramEnd"/>
            <w:r w:rsidRPr="00CB4F12">
              <w:rPr>
                <w:rFonts w:ascii="Calibri" w:hAnsi="Calibri" w:cs="Calibri"/>
              </w:rPr>
              <w:t xml:space="preserve"> Routledge </w:t>
            </w: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E-Journal</w:t>
            </w:r>
          </w:p>
        </w:tc>
        <w:tc>
          <w:tcPr>
            <w:tcW w:w="625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-1921322775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spacing w:before="0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N/A</w:t>
            </w:r>
          </w:p>
        </w:tc>
        <w:tc>
          <w:tcPr>
            <w:tcW w:w="2583" w:type="pct"/>
          </w:tcPr>
          <w:p w:rsidR="00027660" w:rsidRPr="00CB4F12" w:rsidRDefault="00027660" w:rsidP="00027660">
            <w:pPr>
              <w:pStyle w:val="Default"/>
            </w:pPr>
            <w:hyperlink r:id="rId9" w:history="1">
              <w:r w:rsidRPr="00CB4F12">
                <w:rPr>
                  <w:rStyle w:val="Hyperlink"/>
                </w:rPr>
                <w:t>Studies in theatre and performance</w:t>
              </w:r>
            </w:hyperlink>
            <w:r w:rsidRPr="00CB4F12">
              <w:t>, Standing Conference of University Drama Departments</w:t>
            </w:r>
          </w:p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  <w:proofErr w:type="gramStart"/>
            <w:r w:rsidRPr="00CB4F12">
              <w:rPr>
                <w:rFonts w:ascii="Calibri" w:hAnsi="Calibri" w:cs="Calibri"/>
              </w:rPr>
              <w:t>Exeter :</w:t>
            </w:r>
            <w:proofErr w:type="gramEnd"/>
            <w:r w:rsidRPr="00CB4F12">
              <w:rPr>
                <w:rFonts w:ascii="Calibri" w:hAnsi="Calibri" w:cs="Calibri"/>
              </w:rPr>
              <w:t xml:space="preserve"> Intellect </w:t>
            </w: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E-Journal</w:t>
            </w:r>
          </w:p>
        </w:tc>
        <w:tc>
          <w:tcPr>
            <w:tcW w:w="625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Online</w:t>
            </w: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260507092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N/A</w:t>
            </w:r>
          </w:p>
        </w:tc>
        <w:tc>
          <w:tcPr>
            <w:tcW w:w="2583" w:type="pct"/>
          </w:tcPr>
          <w:p w:rsidR="00027660" w:rsidRPr="00CB4F12" w:rsidRDefault="00027660" w:rsidP="00027660">
            <w:pPr>
              <w:pStyle w:val="Default"/>
            </w:pPr>
            <w:hyperlink r:id="rId10" w:history="1">
              <w:r w:rsidRPr="00CB4F12">
                <w:rPr>
                  <w:rStyle w:val="Hyperlink"/>
                </w:rPr>
                <w:t>Theatre, dance and performance training</w:t>
              </w:r>
            </w:hyperlink>
          </w:p>
          <w:p w:rsidR="00027660" w:rsidRPr="00CB4F12" w:rsidRDefault="00027660" w:rsidP="00027660">
            <w:pPr>
              <w:pStyle w:val="Default"/>
            </w:pPr>
            <w:r w:rsidRPr="00CB4F12">
              <w:t xml:space="preserve">Abingdon, </w:t>
            </w:r>
            <w:proofErr w:type="gramStart"/>
            <w:r w:rsidRPr="00CB4F12">
              <w:t>UK :</w:t>
            </w:r>
            <w:proofErr w:type="gramEnd"/>
            <w:r w:rsidRPr="00CB4F12">
              <w:t xml:space="preserve"> Routledge, Taylor &amp; Francis </w:t>
            </w: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E-Journal</w:t>
            </w:r>
          </w:p>
        </w:tc>
        <w:tc>
          <w:tcPr>
            <w:tcW w:w="625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Online</w:t>
            </w: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-825436428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N/A</w:t>
            </w:r>
          </w:p>
        </w:tc>
        <w:tc>
          <w:tcPr>
            <w:tcW w:w="2583" w:type="pct"/>
          </w:tcPr>
          <w:p w:rsidR="00027660" w:rsidRPr="00CB4F12" w:rsidRDefault="00027660" w:rsidP="00027660">
            <w:pPr>
              <w:pStyle w:val="Default"/>
            </w:pPr>
            <w:hyperlink r:id="rId11" w:history="1">
              <w:r w:rsidRPr="00CB4F12">
                <w:rPr>
                  <w:rStyle w:val="Hyperlink"/>
                </w:rPr>
                <w:t>PAJ: a journal of performance and art</w:t>
              </w:r>
            </w:hyperlink>
            <w:r w:rsidRPr="00CB4F12">
              <w:t xml:space="preserve"> </w:t>
            </w:r>
          </w:p>
          <w:p w:rsidR="00027660" w:rsidRPr="00CB4F12" w:rsidRDefault="00027660" w:rsidP="00027660">
            <w:pPr>
              <w:pStyle w:val="Default"/>
            </w:pPr>
            <w:r w:rsidRPr="00CB4F12">
              <w:t xml:space="preserve">Published Baltimore, </w:t>
            </w:r>
            <w:proofErr w:type="gramStart"/>
            <w:r w:rsidRPr="00CB4F12">
              <w:t>Md. :</w:t>
            </w:r>
            <w:proofErr w:type="gramEnd"/>
            <w:r w:rsidRPr="00CB4F12">
              <w:t xml:space="preserve"> Johns Hopkins University Press for PAJ Publications </w:t>
            </w: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E-Journal</w:t>
            </w:r>
          </w:p>
        </w:tc>
        <w:tc>
          <w:tcPr>
            <w:tcW w:w="625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Online</w:t>
            </w: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-1789647810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N/A</w:t>
            </w:r>
          </w:p>
        </w:tc>
        <w:tc>
          <w:tcPr>
            <w:tcW w:w="2583" w:type="pct"/>
          </w:tcPr>
          <w:p w:rsidR="00027660" w:rsidRPr="00CB4F12" w:rsidRDefault="00027660" w:rsidP="00027660">
            <w:pPr>
              <w:pStyle w:val="Default"/>
            </w:pPr>
            <w:hyperlink r:id="rId12" w:history="1">
              <w:r w:rsidRPr="00CB4F12">
                <w:rPr>
                  <w:rStyle w:val="Hyperlink"/>
                </w:rPr>
                <w:t>Performing arts journal</w:t>
              </w:r>
            </w:hyperlink>
            <w:r w:rsidRPr="00CB4F12">
              <w:t xml:space="preserve"> </w:t>
            </w:r>
          </w:p>
          <w:p w:rsidR="00027660" w:rsidRPr="00CB4F12" w:rsidRDefault="00027660" w:rsidP="00027660">
            <w:pPr>
              <w:pStyle w:val="Default"/>
            </w:pPr>
            <w:r w:rsidRPr="00CB4F12">
              <w:t xml:space="preserve">Published New York, </w:t>
            </w:r>
            <w:proofErr w:type="gramStart"/>
            <w:r w:rsidRPr="00CB4F12">
              <w:t>N.Y. :</w:t>
            </w:r>
            <w:proofErr w:type="gramEnd"/>
            <w:r w:rsidRPr="00CB4F12">
              <w:t xml:space="preserve"> Performing Arts Journal.</w:t>
            </w: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E-Journal</w:t>
            </w:r>
          </w:p>
        </w:tc>
        <w:tc>
          <w:tcPr>
            <w:tcW w:w="625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Online</w:t>
            </w: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-551460751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2583" w:type="pct"/>
          </w:tcPr>
          <w:p w:rsidR="00027660" w:rsidRPr="00CB4F12" w:rsidRDefault="00027660" w:rsidP="00027660">
            <w:pPr>
              <w:pStyle w:val="Default"/>
            </w:pP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625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Online</w:t>
            </w:r>
          </w:p>
        </w:tc>
      </w:tr>
      <w:tr w:rsidR="00027660" w:rsidRPr="00CB4F12" w:rsidTr="00027660">
        <w:trPr>
          <w:trHeight w:val="504"/>
        </w:trPr>
        <w:sdt>
          <w:sdtPr>
            <w:rPr>
              <w:rFonts w:ascii="Calibri" w:hAnsi="Calibri" w:cs="Calibri"/>
            </w:rPr>
            <w:id w:val="1560975822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Content>
            <w:tc>
              <w:tcPr>
                <w:tcW w:w="286" w:type="pct"/>
              </w:tcPr>
              <w:p w:rsidR="00027660" w:rsidRPr="00CB4F12" w:rsidRDefault="00027660" w:rsidP="00027660">
                <w:pPr>
                  <w:pStyle w:val="Checkbox"/>
                  <w:rPr>
                    <w:rFonts w:ascii="Calibri" w:hAnsi="Calibri" w:cs="Calibri"/>
                  </w:rPr>
                </w:pPr>
                <w:r w:rsidRPr="00CB4F12">
                  <w:rPr>
                    <w:rFonts w:ascii="Segoe UI Symbol" w:hAnsi="Segoe UI Symbol" w:cs="Segoe UI Symbol"/>
                  </w:rPr>
                  <w:t>☐</w:t>
                </w:r>
              </w:p>
            </w:tc>
          </w:sdtContent>
        </w:sdt>
        <w:tc>
          <w:tcPr>
            <w:tcW w:w="754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2583" w:type="pct"/>
          </w:tcPr>
          <w:p w:rsidR="00027660" w:rsidRPr="00CB4F12" w:rsidRDefault="00027660" w:rsidP="00027660">
            <w:pPr>
              <w:pStyle w:val="Default"/>
            </w:pPr>
          </w:p>
        </w:tc>
        <w:tc>
          <w:tcPr>
            <w:tcW w:w="278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473" w:type="pct"/>
          </w:tcPr>
          <w:p w:rsidR="00027660" w:rsidRPr="00CB4F12" w:rsidRDefault="00027660" w:rsidP="00027660">
            <w:pPr>
              <w:rPr>
                <w:rFonts w:ascii="Calibri" w:hAnsi="Calibri" w:cs="Calibri"/>
              </w:rPr>
            </w:pPr>
          </w:p>
        </w:tc>
        <w:tc>
          <w:tcPr>
            <w:tcW w:w="625" w:type="pct"/>
          </w:tcPr>
          <w:p w:rsidR="00027660" w:rsidRPr="00CB4F12" w:rsidRDefault="00027660" w:rsidP="00027660">
            <w:pPr>
              <w:spacing w:before="0"/>
              <w:rPr>
                <w:rFonts w:ascii="Calibri" w:hAnsi="Calibri" w:cs="Calibri"/>
              </w:rPr>
            </w:pPr>
            <w:r w:rsidRPr="00CB4F12">
              <w:rPr>
                <w:rFonts w:ascii="Calibri" w:hAnsi="Calibri" w:cs="Calibri"/>
              </w:rPr>
              <w:t>Online</w:t>
            </w:r>
          </w:p>
        </w:tc>
      </w:tr>
    </w:tbl>
    <w:p w:rsidR="00156C1A" w:rsidRPr="00CB4F12" w:rsidRDefault="00156C1A" w:rsidP="00156C1A">
      <w:pPr>
        <w:pStyle w:val="NoSpacing"/>
        <w:rPr>
          <w:rFonts w:ascii="Calibri" w:hAnsi="Calibri" w:cs="Calibri"/>
          <w:sz w:val="24"/>
          <w:szCs w:val="24"/>
        </w:rPr>
      </w:pPr>
    </w:p>
    <w:p w:rsidR="00156C1A" w:rsidRPr="007218E2" w:rsidRDefault="00156C1A" w:rsidP="00156C1A">
      <w:pPr>
        <w:rPr>
          <w:rFonts w:ascii="Calibri" w:hAnsi="Calibri" w:cs="Calibri"/>
        </w:rPr>
      </w:pPr>
    </w:p>
    <w:p w:rsidR="008D147C" w:rsidRPr="007218E2" w:rsidRDefault="008D147C">
      <w:pPr>
        <w:rPr>
          <w:rFonts w:ascii="Calibri" w:hAnsi="Calibri" w:cs="Calibri"/>
        </w:rPr>
      </w:pPr>
    </w:p>
    <w:sectPr w:rsidR="008D147C" w:rsidRPr="007218E2">
      <w:footerReference w:type="default" r:id="rId13"/>
      <w:pgSz w:w="15840" w:h="12240" w:orient="landscape"/>
      <w:pgMar w:top="720" w:right="1440" w:bottom="720" w:left="1440" w:header="288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064F6" w:rsidRDefault="00E064F6">
      <w:r>
        <w:separator/>
      </w:r>
    </w:p>
  </w:endnote>
  <w:endnote w:type="continuationSeparator" w:id="0">
    <w:p w:rsidR="00E064F6" w:rsidRDefault="00E064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F" w:usb1="1200FFEF" w:usb2="0064C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D5013" w:rsidRDefault="00D9491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>
      <w:rPr>
        <w:noProof/>
      </w:rPr>
      <w:t>2</w:t>
    </w:r>
    <w:r>
      <w:fldChar w:fldCharType="end"/>
    </w:r>
    <w:r>
      <w:t xml:space="preserve"> of </w:t>
    </w:r>
    <w:fldSimple w:instr=" NUMPAGES  \* Arabic  \* MERGEFORMAT ">
      <w:r>
        <w:rPr>
          <w:noProof/>
        </w:rPr>
        <w:t>3</w:t>
      </w:r>
    </w:fldSimple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064F6" w:rsidRDefault="00E064F6">
      <w:r>
        <w:separator/>
      </w:r>
    </w:p>
  </w:footnote>
  <w:footnote w:type="continuationSeparator" w:id="0">
    <w:p w:rsidR="00E064F6" w:rsidRDefault="00E064F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18E2"/>
    <w:rsid w:val="00012A38"/>
    <w:rsid w:val="00021171"/>
    <w:rsid w:val="00027660"/>
    <w:rsid w:val="0003441F"/>
    <w:rsid w:val="00040B66"/>
    <w:rsid w:val="00073196"/>
    <w:rsid w:val="000A3FA4"/>
    <w:rsid w:val="00110AA4"/>
    <w:rsid w:val="001113A5"/>
    <w:rsid w:val="00121C6D"/>
    <w:rsid w:val="00123E01"/>
    <w:rsid w:val="001414F7"/>
    <w:rsid w:val="00156C1A"/>
    <w:rsid w:val="001A1BCC"/>
    <w:rsid w:val="001A2644"/>
    <w:rsid w:val="001A3B34"/>
    <w:rsid w:val="001D79EF"/>
    <w:rsid w:val="002026F3"/>
    <w:rsid w:val="00205D9F"/>
    <w:rsid w:val="00227954"/>
    <w:rsid w:val="00266C1F"/>
    <w:rsid w:val="002720F6"/>
    <w:rsid w:val="00274ED0"/>
    <w:rsid w:val="002765A8"/>
    <w:rsid w:val="00280F57"/>
    <w:rsid w:val="00282541"/>
    <w:rsid w:val="002B4571"/>
    <w:rsid w:val="0036541B"/>
    <w:rsid w:val="003706A4"/>
    <w:rsid w:val="0039188F"/>
    <w:rsid w:val="003C1CFC"/>
    <w:rsid w:val="003D475D"/>
    <w:rsid w:val="00403094"/>
    <w:rsid w:val="004139D2"/>
    <w:rsid w:val="00431C27"/>
    <w:rsid w:val="004558BE"/>
    <w:rsid w:val="004603DD"/>
    <w:rsid w:val="004812F5"/>
    <w:rsid w:val="004C7837"/>
    <w:rsid w:val="004D0813"/>
    <w:rsid w:val="004E09F3"/>
    <w:rsid w:val="00507952"/>
    <w:rsid w:val="005202F8"/>
    <w:rsid w:val="00541F73"/>
    <w:rsid w:val="00543C67"/>
    <w:rsid w:val="0055405E"/>
    <w:rsid w:val="005619D0"/>
    <w:rsid w:val="005733A5"/>
    <w:rsid w:val="00580DF6"/>
    <w:rsid w:val="005855BC"/>
    <w:rsid w:val="005938AE"/>
    <w:rsid w:val="006044B8"/>
    <w:rsid w:val="00652988"/>
    <w:rsid w:val="00693F7C"/>
    <w:rsid w:val="0069602F"/>
    <w:rsid w:val="006B74B2"/>
    <w:rsid w:val="006F6673"/>
    <w:rsid w:val="0071293D"/>
    <w:rsid w:val="007218E2"/>
    <w:rsid w:val="007255F6"/>
    <w:rsid w:val="00780196"/>
    <w:rsid w:val="007C474E"/>
    <w:rsid w:val="007E2285"/>
    <w:rsid w:val="007E2F7B"/>
    <w:rsid w:val="007F45EA"/>
    <w:rsid w:val="00804A98"/>
    <w:rsid w:val="0081468F"/>
    <w:rsid w:val="00831D92"/>
    <w:rsid w:val="00861510"/>
    <w:rsid w:val="00880CBE"/>
    <w:rsid w:val="00885307"/>
    <w:rsid w:val="008C0684"/>
    <w:rsid w:val="008D147C"/>
    <w:rsid w:val="008F3F2B"/>
    <w:rsid w:val="00906CED"/>
    <w:rsid w:val="0093368D"/>
    <w:rsid w:val="00947F5B"/>
    <w:rsid w:val="00972884"/>
    <w:rsid w:val="009A3DA8"/>
    <w:rsid w:val="009C013D"/>
    <w:rsid w:val="009C3BBE"/>
    <w:rsid w:val="009C6087"/>
    <w:rsid w:val="009C68F6"/>
    <w:rsid w:val="009E4C7B"/>
    <w:rsid w:val="009F2983"/>
    <w:rsid w:val="00A654BB"/>
    <w:rsid w:val="00A810E7"/>
    <w:rsid w:val="00A952FA"/>
    <w:rsid w:val="00AA050C"/>
    <w:rsid w:val="00AD66B7"/>
    <w:rsid w:val="00AE2FA5"/>
    <w:rsid w:val="00B06846"/>
    <w:rsid w:val="00B4645C"/>
    <w:rsid w:val="00B64D77"/>
    <w:rsid w:val="00B81C7E"/>
    <w:rsid w:val="00B8540B"/>
    <w:rsid w:val="00BB5069"/>
    <w:rsid w:val="00BD0E7B"/>
    <w:rsid w:val="00BD57A7"/>
    <w:rsid w:val="00C25C73"/>
    <w:rsid w:val="00C30FAE"/>
    <w:rsid w:val="00C3777F"/>
    <w:rsid w:val="00CA371F"/>
    <w:rsid w:val="00CB4F12"/>
    <w:rsid w:val="00CC4203"/>
    <w:rsid w:val="00CD7A3C"/>
    <w:rsid w:val="00D02E30"/>
    <w:rsid w:val="00D26B03"/>
    <w:rsid w:val="00D330FF"/>
    <w:rsid w:val="00D63C94"/>
    <w:rsid w:val="00D748C9"/>
    <w:rsid w:val="00D94914"/>
    <w:rsid w:val="00DD34A7"/>
    <w:rsid w:val="00DD6160"/>
    <w:rsid w:val="00DD79BD"/>
    <w:rsid w:val="00E064F6"/>
    <w:rsid w:val="00E56C31"/>
    <w:rsid w:val="00E9317E"/>
    <w:rsid w:val="00EA5968"/>
    <w:rsid w:val="00EB62B2"/>
    <w:rsid w:val="00ED369A"/>
    <w:rsid w:val="00F078CF"/>
    <w:rsid w:val="00F2435B"/>
    <w:rsid w:val="00F247AC"/>
    <w:rsid w:val="00F4477D"/>
    <w:rsid w:val="00F5079C"/>
    <w:rsid w:val="00F64985"/>
    <w:rsid w:val="00F85D1C"/>
    <w:rsid w:val="00F96A2D"/>
    <w:rsid w:val="00F96B85"/>
    <w:rsid w:val="00FA45A4"/>
    <w:rsid w:val="00FA7114"/>
    <w:rsid w:val="00FB6595"/>
    <w:rsid w:val="00FC6419"/>
    <w:rsid w:val="00FD610A"/>
    <w:rsid w:val="00FE68CE"/>
    <w:rsid w:val="00FF0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D45F7A"/>
  <w15:chartTrackingRefBased/>
  <w15:docId w15:val="{7E3F6DF2-08C5-6545-B341-7DA4158664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3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218E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"/>
    <w:qFormat/>
    <w:rsid w:val="00156C1A"/>
    <w:pPr>
      <w:spacing w:line="216" w:lineRule="auto"/>
      <w:contextualSpacing/>
    </w:pPr>
    <w:rPr>
      <w:rFonts w:asciiTheme="majorHAnsi" w:eastAsiaTheme="majorEastAsia" w:hAnsiTheme="majorHAnsi" w:cstheme="majorBidi"/>
      <w:caps/>
      <w:color w:val="2E74B5" w:themeColor="accent1" w:themeShade="BF"/>
      <w:spacing w:val="-10"/>
      <w:kern w:val="28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"/>
    <w:rsid w:val="00156C1A"/>
    <w:rPr>
      <w:rFonts w:asciiTheme="majorHAnsi" w:eastAsiaTheme="majorEastAsia" w:hAnsiTheme="majorHAnsi" w:cstheme="majorBidi"/>
      <w:caps/>
      <w:color w:val="2E74B5" w:themeColor="accent1" w:themeShade="BF"/>
      <w:spacing w:val="-10"/>
      <w:kern w:val="28"/>
      <w:sz w:val="96"/>
      <w:szCs w:val="96"/>
      <w:lang w:val="en-US"/>
      <w14:ligatures w14:val="standard"/>
    </w:rPr>
  </w:style>
  <w:style w:type="table" w:styleId="GridTable4-Accent1">
    <w:name w:val="Grid Table 4 Accent 1"/>
    <w:basedOn w:val="TableNormal"/>
    <w:uiPriority w:val="49"/>
    <w:rsid w:val="00156C1A"/>
    <w:pPr>
      <w:spacing w:before="60" w:after="60" w:line="240" w:lineRule="auto"/>
    </w:pPr>
    <w:rPr>
      <w:kern w:val="2"/>
      <w:lang w:val="en-US"/>
      <w14:ligatures w14:val="standard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  <w:tblCellMar>
        <w:top w:w="29" w:type="dxa"/>
        <w:bottom w:w="29" w:type="dxa"/>
      </w:tblCellMar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Footer">
    <w:name w:val="footer"/>
    <w:basedOn w:val="Normal"/>
    <w:link w:val="FooterChar"/>
    <w:uiPriority w:val="99"/>
    <w:unhideWhenUsed/>
    <w:rsid w:val="00156C1A"/>
    <w:pPr>
      <w:jc w:val="center"/>
    </w:pPr>
    <w:rPr>
      <w:color w:val="767171" w:themeColor="background2" w:themeShade="80"/>
    </w:rPr>
  </w:style>
  <w:style w:type="character" w:customStyle="1" w:styleId="FooterChar">
    <w:name w:val="Footer Char"/>
    <w:basedOn w:val="DefaultParagraphFont"/>
    <w:link w:val="Footer"/>
    <w:uiPriority w:val="99"/>
    <w:rsid w:val="00156C1A"/>
    <w:rPr>
      <w:color w:val="767171" w:themeColor="background2" w:themeShade="80"/>
      <w:kern w:val="2"/>
      <w:lang w:val="en-US"/>
      <w14:ligatures w14:val="standard"/>
    </w:rPr>
  </w:style>
  <w:style w:type="paragraph" w:styleId="NoSpacing">
    <w:name w:val="No Spacing"/>
    <w:uiPriority w:val="3"/>
    <w:unhideWhenUsed/>
    <w:rsid w:val="00156C1A"/>
    <w:pPr>
      <w:spacing w:after="0" w:line="240" w:lineRule="auto"/>
    </w:pPr>
    <w:rPr>
      <w:kern w:val="2"/>
      <w:lang w:val="en-US"/>
      <w14:ligatures w14:val="standard"/>
    </w:rPr>
  </w:style>
  <w:style w:type="paragraph" w:customStyle="1" w:styleId="Checkbox">
    <w:name w:val="Checkbox"/>
    <w:basedOn w:val="Normal"/>
    <w:next w:val="Normal"/>
    <w:qFormat/>
    <w:rsid w:val="00156C1A"/>
    <w:pPr>
      <w:jc w:val="center"/>
    </w:pPr>
    <w:rPr>
      <w:rFonts w:ascii="MS Gothic" w:eastAsia="MS Gothic" w:hAnsi="MS Gothic"/>
    </w:rPr>
  </w:style>
  <w:style w:type="paragraph" w:customStyle="1" w:styleId="Default">
    <w:name w:val="Default"/>
    <w:rsid w:val="00156C1A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14:ligatures w14:val="standard"/>
    </w:rPr>
  </w:style>
  <w:style w:type="character" w:styleId="Hyperlink">
    <w:name w:val="Hyperlink"/>
    <w:basedOn w:val="DefaultParagraphFont"/>
    <w:uiPriority w:val="99"/>
    <w:unhideWhenUsed/>
    <w:rsid w:val="00156C1A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156C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72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31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2352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18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81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10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825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268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0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827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35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852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438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097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980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389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2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17540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01145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626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86065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53340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62811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81532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545267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32152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02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037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147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688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661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4896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0622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981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469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756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139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423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830316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03307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77981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80842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11909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91295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83457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63592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94056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518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438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5992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813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06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68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erformance-research.org/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cambridge.org/core/journals/new-theatre-quarterly" TargetMode="External"/><Relationship Id="rId12" Type="http://schemas.openxmlformats.org/officeDocument/2006/relationships/hyperlink" Target="https://www.jstor.org/journal/performingartsj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muse.jhu.edu/journal/149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://www.tandfonline.com/loi/rtdp2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tandfonline.com/loi/rstp20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Thania/Library/Group%20Containers/UBF8T346G9.Office/User%20Content.localized/Templates.localized/Reading%20Lis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Reading List Template.dotx</Template>
  <TotalTime>32</TotalTime>
  <Pages>3</Pages>
  <Words>562</Words>
  <Characters>3207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Thania Acaron</dc:creator>
  <cp:keywords/>
  <dc:description/>
  <cp:lastModifiedBy>Thania Acaron</cp:lastModifiedBy>
  <cp:revision>4</cp:revision>
  <dcterms:created xsi:type="dcterms:W3CDTF">2018-03-01T17:30:00Z</dcterms:created>
  <dcterms:modified xsi:type="dcterms:W3CDTF">2018-03-03T11:18:00Z</dcterms:modified>
</cp:coreProperties>
</file>