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5A4167" w:rsidRDefault="005A4167" w:rsidP="005A4167">
      <w:pPr>
        <w:pStyle w:val="Title"/>
        <w:jc w:val="center"/>
        <w:rPr>
          <w:rFonts w:eastAsia="Times New Roman"/>
        </w:rPr>
      </w:pPr>
      <w:r>
        <w:rPr>
          <w:rFonts w:eastAsia="Times New Roman"/>
        </w:rPr>
        <w:t>Community Engagement</w:t>
      </w:r>
    </w:p>
    <w:p w:rsidR="005A4167" w:rsidRDefault="005A4167" w:rsidP="005A4167" w:rsidRPr="005A4167">
      <w:pPr>
        <w:pStyle w:val="Title"/>
        <w:jc w:val="center"/>
        <w:rPr>
          <w:sz w:val="36"/>
          <w:szCs w:val="28"/>
        </w:rPr>
      </w:pPr>
      <w:r>
        <w:rPr>
          <w:rFonts w:eastAsia="Times New Roman"/>
          <w:sz w:val="36"/>
        </w:rPr>
        <w:t>iulia albu. student id:2209400</w:t>
      </w:r>
    </w:p>
    <w:sdt>
      <w:sdtPr>
        <w:rPr>
          <w:rFonts w:asciiTheme="minorHAnsi" w:eastAsiaTheme="minorEastAsia" w:hAnsiTheme="minorHAnsi" w:cstheme="minorBidi"/>
          <w:b w:val="0"/>
          <w:bCs w:val="0"/>
          <w:color w:val="auto"/>
          <w:sz w:val="22"/>
          <w:szCs w:val="22"/>
        </w:rPr>
        <w:id w:val="57637761"/>
        <w:docPartObj>
          <w:docPartGallery w:val="Table of Contents"/>
          <w:docPartUnique/>
        </w:docPartObj>
      </w:sdtPr>
      <w:sdtContent>
        <w:p w:rsidR="005A4167" w:rsidRDefault="005A4167" w:rsidP="005A4167">
          <w:pPr>
            <w:pStyle w:val="TOCHeading"/>
          </w:pPr>
        </w:p>
      </w:sdtContent>
    </w:sdt>
    <w:p>
      <w:pPr>
        <w:pStyle w:val="Heading1"/>
        <w:rPr>
          <w:sz w:val="48"/>
        </w:rPr>
      </w:pPr>
      <w:r>
        <w:rPr>
          <w:sz w:val="48"/>
        </w:rPr>
      </w:r>
    </w:p>
    <w:p w:rsidR="00CE5079" w:rsidRDefault="005A4167" w:rsidP="005A4167" w:rsidRPr="005A4167">
      <w:pPr>
        <w:pStyle w:val="Heading1"/>
        <w:jc w:val="center"/>
        <w:rPr>
          <w:rFonts w:eastAsia="Times New Roman"/>
        </w:rPr>
      </w:pPr>
      <w:r>
        <w:rPr>
          <w:rFonts w:eastAsia="Times New Roman"/>
        </w:rPr>
        <w:t>Reflective Piece</w:t>
        <w:lastRenderedPageBreak/>
      </w:r>
    </w:p>
    <w:p w:rsidR="00644871" w:rsidRDefault="00644871" w:rsidP="00644871" w:rsidRPr="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 xml:space="preserve">Engagement from the community is crucial to the achievement of any development project that has as its major purpose the improvement of the living conditions of the community's populace as a whole. According to </w:t>
      </w:r>
      <w:proofErr w:type="spellStart"/>
      <w:r w:rsidRPr="00644871">
        <w:rPr>
          <w:rFonts w:ascii="Times New Roman" w:cs="Times New Roman" w:eastAsia="Times New Roman" w:hAnsi="Times New Roman"/>
          <w:sz w:val="24"/>
          <w:szCs w:val="24"/>
        </w:rPr>
        <w:t>Zakus</w:t>
      </w:r>
      <w:proofErr w:type="spellEnd"/>
      <w:r w:rsidRPr="00644871">
        <w:rPr>
          <w:rFonts w:ascii="Times New Roman" w:cs="Times New Roman" w:eastAsia="Times New Roman" w:hAnsi="Times New Roman"/>
          <w:sz w:val="24"/>
          <w:szCs w:val="24"/>
        </w:rPr>
        <w:t xml:space="preserve"> and </w:t>
      </w:r>
      <w:proofErr w:type="spellStart"/>
      <w:r w:rsidRPr="00644871">
        <w:rPr>
          <w:rFonts w:ascii="Times New Roman" w:cs="Times New Roman" w:eastAsia="Times New Roman" w:hAnsi="Times New Roman"/>
          <w:sz w:val="24"/>
          <w:szCs w:val="24"/>
        </w:rPr>
        <w:t>Lysack</w:t>
      </w:r>
      <w:proofErr w:type="spellEnd"/>
      <w:r w:rsidRPr="00644871">
        <w:rPr>
          <w:rFonts w:ascii="Times New Roman" w:cs="Times New Roman" w:eastAsia="Times New Roman" w:hAnsi="Times New Roman"/>
          <w:sz w:val="24"/>
          <w:szCs w:val="24"/>
        </w:rPr>
        <w:t xml:space="preserve"> (1998), in order to be a successful officer of a community engagement programme, it is essential to have a comprehensive awareness of the various strategies, concepts, approaches, and standards that can be applied in order to ensure effective community participation. These can be applied in order to ensure effective community participation. The accomplishment of my objective, which is to function effectively as an officer of a community engagement programme, seems to demand that I take this step. The purpose of this reflective report that I am writing is to investigate the numerous ways in which individuals understand the idea of community engagement, as well as the various methods in which one may arrange a participation programme within the community.</w:t>
      </w:r>
    </w:p>
    <w:p w:rsidR="00644871" w:rsidRDefault="00644871" w:rsidP="00644871" w:rsidRPr="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Developing a fruitful link between the community council and the people in the community is, in my opinion, one of the most important aspects that must be present for effective community participation. This is one of the most essential components that must be present for effective community participation. In order for this relationship between the persons engaged to be fruitful, it is necessary that there be open communication, confidence between the parties concerned, and responsibility distributed equally (Newman, 2006). According to the case study that was discussed in the paper, the efforts made by the council to lower the rate of crime consisted of a variety of various activities. The implementation of these activities will encompass a number of different methods, some of which include community policing, neighbourhood watch programmes, and educational campaigns. As a consequence of these initiatives, the overall rate of criminal activity is anticipated to decrease, and the community as a whole is anticipated to develop into a more secure setting in which to reside.</w:t>
      </w:r>
    </w:p>
    <w:p w:rsidR="00CE5079" w:rsidRDefault="00644871" w:rsidP="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If I were in charge of community involvement in my position as an officer, the first thing I would do would be to identify the major components of the task that need the participation of the community. In order for me to go on to the next phase, which would be to construct a strategy for community involvement that includes the objectives, strategies, and resources that are necessary in order to achieve these goals (</w:t>
      </w:r>
      <w:proofErr w:type="spellStart"/>
      <w:r w:rsidRPr="00644871">
        <w:rPr>
          <w:rFonts w:ascii="Times New Roman" w:cs="Times New Roman" w:eastAsia="Times New Roman" w:hAnsi="Times New Roman"/>
          <w:sz w:val="24"/>
          <w:szCs w:val="24"/>
        </w:rPr>
        <w:t>Myhill</w:t>
      </w:r>
      <w:proofErr w:type="spellEnd"/>
      <w:r w:rsidRPr="00644871">
        <w:rPr>
          <w:rFonts w:ascii="Times New Roman" w:cs="Times New Roman" w:eastAsia="Times New Roman" w:hAnsi="Times New Roman"/>
          <w:sz w:val="24"/>
          <w:szCs w:val="24"/>
        </w:rPr>
        <w:t>, 2006), I must first complete this step. The plan would consist of a broad range of parts, some of which will be discussed in further detail in the paragraphs that follow</w:t>
      </w:r>
      <w:r w:rsidR="001B3415">
        <w:rPr>
          <w:rFonts w:ascii="Times New Roman" w:cs="Times New Roman" w:eastAsia="Times New Roman" w:hAnsi="Times New Roman"/>
          <w:sz w:val="24"/>
          <w:szCs w:val="24"/>
        </w:rPr>
        <w:t>:</w:t>
      </w:r>
    </w:p>
    <w:p w:rsidR="00CE5079" w:rsidRDefault="001B3415">
      <w:pPr>
        <w:pStyle w:val="Normal1"/>
        <w:numPr>
          <w:ilvl w:val="0"/>
          <w:numId w:val="4"/>
        </w:numPr>
        <w:jc w:val="both"/>
        <w:spacing w:line="36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Creating an Open Communication:</w:t>
        <w:lastRenderedPageBreak/>
      </w:r>
    </w:p>
    <w:p w:rsidR="00CE5079" w:rsidRDefault="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It is essential to have communication that is both clear and effective in order to fulfil the obligation placed on the community to keep community members apprised of the project's goals, its progress, and its effects. To do this, I would provide a communication channel available to the members of the community so that they could voice their thoughts, seek clarification on issues, and discuss potential solutions. This might be performed via the use of public forums, newsletters, social media platforms, or face-to-face meetings, among other potential avenues of communication (Men, 2015)</w:t>
      </w:r>
      <w:r w:rsidR="001B3415">
        <w:rPr>
          <w:rFonts w:ascii="Times New Roman" w:cs="Times New Roman" w:eastAsia="Times New Roman" w:hAnsi="Times New Roman"/>
          <w:sz w:val="24"/>
          <w:szCs w:val="24"/>
        </w:rPr>
        <w:t>.</w:t>
      </w:r>
    </w:p>
    <w:p w:rsidR="00CE5079" w:rsidRDefault="001B3415">
      <w:pPr>
        <w:pStyle w:val="Normal1"/>
        <w:numPr>
          <w:ilvl w:val="0"/>
          <w:numId w:val="5"/>
        </w:numPr>
        <w:jc w:val="both"/>
        <w:spacing w:line="36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Involving Community Members in Decision-Making Processes:</w:t>
      </w:r>
    </w:p>
    <w:p w:rsidR="00CE5079" w:rsidRDefault="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Those who live in the community should be able to participate in the decision-making processes that affect their day-to-day lives and have their opinions heard. (</w:t>
      </w:r>
      <w:proofErr w:type="spellStart"/>
      <w:r w:rsidRPr="00644871">
        <w:rPr>
          <w:rFonts w:ascii="Times New Roman" w:cs="Times New Roman" w:eastAsia="Times New Roman" w:hAnsi="Times New Roman"/>
          <w:sz w:val="24"/>
          <w:szCs w:val="24"/>
        </w:rPr>
        <w:t>Chirenje</w:t>
      </w:r>
      <w:proofErr w:type="spellEnd"/>
      <w:r w:rsidRPr="00644871">
        <w:rPr>
          <w:rFonts w:ascii="Times New Roman" w:cs="Times New Roman" w:eastAsia="Times New Roman" w:hAnsi="Times New Roman"/>
          <w:sz w:val="24"/>
          <w:szCs w:val="24"/>
        </w:rPr>
        <w:t>, et al., 2013) If it were up to me, one of my top priorities would be to set up means through which members of the local community could have input into the planning, implementation, and evaluation stages of the project. It is possible to achieve this objective via the establishment of advisory committees, focus groups, or public dialogues, all of which are valid possibilities</w:t>
      </w:r>
      <w:r w:rsidR="001B3415">
        <w:rPr>
          <w:rFonts w:ascii="Times New Roman" w:cs="Times New Roman" w:eastAsia="Times New Roman" w:hAnsi="Times New Roman"/>
          <w:sz w:val="24"/>
          <w:szCs w:val="24"/>
        </w:rPr>
        <w:t>.</w:t>
      </w:r>
    </w:p>
    <w:p w:rsidR="00CE5079" w:rsidRDefault="001B3415">
      <w:pPr>
        <w:pStyle w:val="Normal1"/>
        <w:numPr>
          <w:ilvl w:val="0"/>
          <w:numId w:val="6"/>
        </w:numPr>
        <w:jc w:val="both"/>
        <w:spacing w:line="36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Using Community Events:</w:t>
      </w:r>
    </w:p>
    <w:p w:rsidR="00CE5079" w:rsidRDefault="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 xml:space="preserve">People have the opportunity to meet one another, form connections with one another, and talk about the things that have occurred to them in their life when they participate in community activities (Arnold, et al., 2008). I would be in charge of </w:t>
      </w:r>
      <w:proofErr w:type="spellStart"/>
      <w:r w:rsidRPr="00644871">
        <w:rPr>
          <w:rFonts w:ascii="Times New Roman" w:cs="Times New Roman" w:eastAsia="Times New Roman" w:hAnsi="Times New Roman"/>
          <w:sz w:val="24"/>
          <w:szCs w:val="24"/>
        </w:rPr>
        <w:t>organising</w:t>
      </w:r>
      <w:proofErr w:type="spellEnd"/>
      <w:r w:rsidRPr="00644871">
        <w:rPr>
          <w:rFonts w:ascii="Times New Roman" w:cs="Times New Roman" w:eastAsia="Times New Roman" w:hAnsi="Times New Roman"/>
          <w:sz w:val="24"/>
          <w:szCs w:val="24"/>
        </w:rPr>
        <w:t xml:space="preserve"> community get-togethers that are relevant to the objectives and aspirations of the programme. This might be achieved via the organisation of fairs, festivals, or several other sorts of community gatherings</w:t>
      </w:r>
      <w:r w:rsidR="001B3415">
        <w:rPr>
          <w:rFonts w:ascii="Times New Roman" w:cs="Times New Roman" w:eastAsia="Times New Roman" w:hAnsi="Times New Roman"/>
          <w:sz w:val="24"/>
          <w:szCs w:val="24"/>
        </w:rPr>
        <w:t>.</w:t>
      </w:r>
    </w:p>
    <w:p w:rsidR="00CE5079" w:rsidRDefault="001B3415">
      <w:pPr>
        <w:pStyle w:val="Normal1"/>
        <w:numPr>
          <w:ilvl w:val="0"/>
          <w:numId w:val="2"/>
        </w:numPr>
        <w:jc w:val="both"/>
        <w:spacing w:line="36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Collaborative Planning:</w:t>
      </w:r>
    </w:p>
    <w:p w:rsidR="00CE5079" w:rsidRDefault="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 xml:space="preserve">Working with members of the community to determine what problems exist, how they should be </w:t>
      </w:r>
      <w:proofErr w:type="spellStart"/>
      <w:r w:rsidRPr="00644871">
        <w:rPr>
          <w:rFonts w:ascii="Times New Roman" w:cs="Times New Roman" w:eastAsia="Times New Roman" w:hAnsi="Times New Roman"/>
          <w:sz w:val="24"/>
          <w:szCs w:val="24"/>
        </w:rPr>
        <w:t>prioritised</w:t>
      </w:r>
      <w:proofErr w:type="spellEnd"/>
      <w:r w:rsidRPr="00644871">
        <w:rPr>
          <w:rFonts w:ascii="Times New Roman" w:cs="Times New Roman" w:eastAsia="Times New Roman" w:hAnsi="Times New Roman"/>
          <w:sz w:val="24"/>
          <w:szCs w:val="24"/>
        </w:rPr>
        <w:t xml:space="preserve">, and how action plans should be developed is an example of collaborative planning. I commit to making an attempt to work together with those who are already part of the community. I will also interact with organisations that offer services to the community, as well as any other stakeholders that have a vested interest in the project. I will do this by engaging with organisations that provide services to the community. The primary emphasis should be on determining the most urgent obstacles that must be overcome by the project. In </w:t>
      </w:r>
      <w:r w:rsidRPr="00644871">
        <w:rPr>
          <w:rFonts w:ascii="Times New Roman" w:cs="Times New Roman" w:eastAsia="Times New Roman" w:hAnsi="Times New Roman"/>
          <w:sz w:val="24"/>
          <w:szCs w:val="24"/>
        </w:rPr>
        <w:t>addition to this, the project's aims and objectives need to be clarified for me, and I must choose a strategy to go forward (Ahmed, et al.,2016)</w:t>
        <w:lastRenderedPageBreak/>
      </w:r>
      <w:r w:rsidR="001B3415">
        <w:rPr>
          <w:rFonts w:ascii="Times New Roman" w:cs="Times New Roman" w:eastAsia="Times New Roman" w:hAnsi="Times New Roman"/>
          <w:sz w:val="24"/>
          <w:szCs w:val="24"/>
        </w:rPr>
        <w:t>.</w:t>
      </w:r>
    </w:p>
    <w:p w:rsidR="00CE5079" w:rsidRDefault="001B3415">
      <w:pPr>
        <w:pStyle w:val="Normal1"/>
        <w:numPr>
          <w:ilvl w:val="0"/>
          <w:numId w:val="7"/>
        </w:numPr>
        <w:jc w:val="both"/>
        <w:spacing w:line="36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Partnership:</w:t>
      </w:r>
    </w:p>
    <w:p w:rsidR="00CE5079" w:rsidRDefault="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The act of working together with community organisations, commercial businesses, and any other parties that have an interest in achieving a common goal is what is meant when we talk about entering into a "partnership." My opinion is that forming cooperation with many different groups would be the most effective method to reach this goal. They must all have goals and objectives that are similar to one another (</w:t>
      </w:r>
      <w:proofErr w:type="gramStart"/>
      <w:r w:rsidRPr="00644871">
        <w:rPr>
          <w:rFonts w:ascii="Times New Roman" w:cs="Times New Roman" w:eastAsia="Times New Roman" w:hAnsi="Times New Roman"/>
          <w:sz w:val="24"/>
          <w:szCs w:val="24"/>
        </w:rPr>
        <w:t>Vidal ,</w:t>
      </w:r>
      <w:proofErr w:type="gramEnd"/>
      <w:r w:rsidRPr="00644871">
        <w:rPr>
          <w:rFonts w:ascii="Times New Roman" w:cs="Times New Roman" w:eastAsia="Times New Roman" w:hAnsi="Times New Roman"/>
          <w:sz w:val="24"/>
          <w:szCs w:val="24"/>
        </w:rPr>
        <w:t xml:space="preserve"> et al., 2002). This might be done via the establishment of informal or official partnerships, as well as alliances and networks, as well as through the formation of partnerships</w:t>
      </w:r>
      <w:r w:rsidR="001B3415">
        <w:rPr>
          <w:rFonts w:ascii="Times New Roman" w:cs="Times New Roman" w:eastAsia="Times New Roman" w:hAnsi="Times New Roman"/>
          <w:sz w:val="24"/>
          <w:szCs w:val="24"/>
        </w:rPr>
        <w:t>.</w:t>
      </w:r>
    </w:p>
    <w:p w:rsidR="00CE5079" w:rsidRDefault="001B3415">
      <w:pPr>
        <w:pStyle w:val="Normal1"/>
        <w:numPr>
          <w:ilvl w:val="0"/>
          <w:numId w:val="3"/>
        </w:numPr>
        <w:jc w:val="both"/>
        <w:spacing w:line="36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Awareness Programs:</w:t>
      </w:r>
    </w:p>
    <w:p w:rsidR="00CE5079" w:rsidRDefault="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 xml:space="preserve">Disseminating information about a project's anticipated advantages and implications is a frequent component of awareness-raising programmes, which are aimed to increase public knowledge. If I were involved in this project, one of the things that I would do is strive to create awareness campaigns that are related to the aims and objectives of the project. I will </w:t>
      </w:r>
      <w:proofErr w:type="spellStart"/>
      <w:r w:rsidRPr="00644871">
        <w:rPr>
          <w:rFonts w:ascii="Times New Roman" w:cs="Times New Roman" w:eastAsia="Times New Roman" w:hAnsi="Times New Roman"/>
          <w:sz w:val="24"/>
          <w:szCs w:val="24"/>
        </w:rPr>
        <w:t>organise</w:t>
      </w:r>
      <w:proofErr w:type="spellEnd"/>
      <w:r w:rsidRPr="00644871">
        <w:rPr>
          <w:rFonts w:ascii="Times New Roman" w:cs="Times New Roman" w:eastAsia="Times New Roman" w:hAnsi="Times New Roman"/>
          <w:sz w:val="24"/>
          <w:szCs w:val="24"/>
        </w:rPr>
        <w:t xml:space="preserve"> campaigns with the goal of educating the general public, and I will also offer workshops and gatherings in the form of town halls (McCabe, et al., 2006)</w:t>
      </w:r>
      <w:r w:rsidR="001B3415">
        <w:rPr>
          <w:rFonts w:ascii="Times New Roman" w:cs="Times New Roman" w:eastAsia="Times New Roman" w:hAnsi="Times New Roman"/>
          <w:sz w:val="24"/>
          <w:szCs w:val="24"/>
        </w:rPr>
        <w:t>.</w:t>
      </w:r>
    </w:p>
    <w:p w:rsidR="00CE5079" w:rsidRDefault="001B3415">
      <w:pPr>
        <w:pStyle w:val="Normal1"/>
        <w:numPr>
          <w:ilvl w:val="0"/>
          <w:numId w:val="1"/>
        </w:numPr>
        <w:jc w:val="both"/>
        <w:spacing w:line="36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Volunteer Programs:</w:t>
      </w:r>
    </w:p>
    <w:p w:rsidR="00644871" w:rsidRDefault="00644871" w:rsidP="00644871" w:rsidRPr="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The end result of volunteer efforts should be to increase the level of participation of locals in the process of actually carrying out the project. It is my ambition to provide volunteer opportunities that will directly contribute to the goals that have been outlined for this project. This objective may be achieved via a variety of types of service, including mentorship, volunteering, and so on.</w:t>
      </w:r>
    </w:p>
    <w:p w:rsidR="00644871" w:rsidRDefault="00644871" w:rsidP="00644871" w:rsidRPr="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 xml:space="preserve">When the community engagement plan was finished, I would try to put it into action by talking with local people, business owners, and other organisations having a vested interest in its success. I would do this by communicating with those who had a stake in the outcome of the strategy. If it were required, I would reconsider how far along we are in the programme, make adjustments to the approach, and work to improve it. It is very necessary for me to maintain in the back of my mind that being involved in the community is an ongoing process </w:t>
      </w:r>
      <w:r w:rsidRPr="00644871">
        <w:rPr>
          <w:rFonts w:ascii="Times New Roman" w:cs="Times New Roman" w:eastAsia="Times New Roman" w:hAnsi="Times New Roman"/>
          <w:sz w:val="24"/>
          <w:szCs w:val="24"/>
        </w:rPr>
        <w:t>that calls for consistent effort and attention, and I intend to keep being involved in that process.</w:t>
        <w:lastRenderedPageBreak/>
      </w:r>
    </w:p>
    <w:p w:rsidR="00644871" w:rsidRDefault="00644871" w:rsidP="00644871" w:rsidRPr="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 xml:space="preserve">As I consider the approaches, concepts, strategies, principles, and standards that can be </w:t>
      </w:r>
      <w:proofErr w:type="spellStart"/>
      <w:r w:rsidRPr="00644871">
        <w:rPr>
          <w:rFonts w:ascii="Times New Roman" w:cs="Times New Roman" w:eastAsia="Times New Roman" w:hAnsi="Times New Roman"/>
          <w:sz w:val="24"/>
          <w:szCs w:val="24"/>
        </w:rPr>
        <w:t>utilised</w:t>
      </w:r>
      <w:proofErr w:type="spellEnd"/>
      <w:r w:rsidRPr="00644871">
        <w:rPr>
          <w:rFonts w:ascii="Times New Roman" w:cs="Times New Roman" w:eastAsia="Times New Roman" w:hAnsi="Times New Roman"/>
          <w:sz w:val="24"/>
          <w:szCs w:val="24"/>
        </w:rPr>
        <w:t xml:space="preserve"> to ensure effective community engagement, I am confident that I will be able to effectively coordinate a programme for community engagement. This conviction stems from the fact that I am convinced that I will be able to effectively coordinate a programme for community engagement. I have a great deal of excitement about the prospects of developing long-lasting connections with members of the community and cooperating with them to achieve goals that we have all identified as important. </w:t>
      </w:r>
      <w:proofErr w:type="gramStart"/>
      <w:r w:rsidRPr="00644871">
        <w:rPr>
          <w:rFonts w:ascii="Times New Roman" w:cs="Times New Roman" w:eastAsia="Times New Roman" w:hAnsi="Times New Roman"/>
          <w:sz w:val="24"/>
          <w:szCs w:val="24"/>
        </w:rPr>
        <w:t>But,</w:t>
      </w:r>
      <w:proofErr w:type="gramEnd"/>
      <w:r w:rsidRPr="00644871">
        <w:rPr>
          <w:rFonts w:ascii="Times New Roman" w:cs="Times New Roman" w:eastAsia="Times New Roman" w:hAnsi="Times New Roman"/>
          <w:sz w:val="24"/>
          <w:szCs w:val="24"/>
        </w:rPr>
        <w:t xml:space="preserve"> I am also aware that engaging the community may be a tough and challenging undertaking, especially in situations in which there are several conflicting interests or a limited number of resources. This is something that I am conscious of. In situations like this, it is critical for me to have an open mind and approach things with respect; if I don't, I risk running into resistance or distrust from some members of the community or stakeholders. In addition, I am aware that in order to effectively engage the community, it is necessary to be willing to take into consideration the feedback and recommendations of community members and to adjust the programme in accordance with those considerations (O'Meara and Jaeger, 2006). I am aware of this fact.</w:t>
      </w:r>
    </w:p>
    <w:p w:rsidR="00644871" w:rsidRDefault="00644871" w:rsidP="00644871" w:rsidRPr="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I will monitor the program's effect on the community, gather feedback from people of the community, and perform frequent evaluations of the program's progress towards its objectives in order to decide whether or not the programme for community involvement is successful. Throughout the course of my analysis, I want to make use of a wide range of methodologies, such as surveys, focus groups, and several other kinds of feedback mechanisms. In addition to this, I will work to identify indicators that might be used to measure the impact of the programme. These indicators could include changes in the ways in which community members view the level of safety in the area or increased participation in community events. I will work on identifying these indicators.</w:t>
      </w:r>
    </w:p>
    <w:p w:rsidR="00644871" w:rsidRDefault="00644871" w:rsidP="00644871" w:rsidRPr="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 xml:space="preserve">In order to do an analysis about how helpful the programme would be for fostering community involvement, I will take into account both the qualitative and quantitative data that will acquire during the course of the assessment. Identifying patterns or trends in the data, figuring out which portions of the project have been successful, and locating those areas of the programme that still have space for improvement would be the next step for me to take. In addition to this, I will make it a priority to keep in mind the impact that the programme </w:t>
      </w:r>
      <w:r w:rsidRPr="00644871">
        <w:rPr>
          <w:rFonts w:ascii="Times New Roman" w:cs="Times New Roman" w:eastAsia="Times New Roman" w:hAnsi="Times New Roman"/>
          <w:sz w:val="24"/>
          <w:szCs w:val="24"/>
        </w:rPr>
        <w:t>will have on the myriad of subgroups that come together to form the community, and I will do all in my power to ensure that the programme is both equitable and welcoming to everyone.</w:t>
        <w:lastRenderedPageBreak/>
      </w:r>
    </w:p>
    <w:p w:rsidR="00CE5079" w:rsidRDefault="00644871" w:rsidP="00644871">
      <w:pPr>
        <w:pStyle w:val="Normal1"/>
        <w:jc w:val="both"/>
        <w:spacing w:line="360" w:lineRule="auto"/>
        <w:rPr>
          <w:rFonts w:ascii="Times New Roman" w:cs="Times New Roman" w:eastAsia="Times New Roman" w:hAnsi="Times New Roman"/>
          <w:sz w:val="24"/>
          <w:szCs w:val="24"/>
        </w:rPr>
      </w:pPr>
      <w:r w:rsidRPr="00644871">
        <w:rPr>
          <w:rFonts w:ascii="Times New Roman" w:cs="Times New Roman" w:eastAsia="Times New Roman" w:hAnsi="Times New Roman"/>
          <w:sz w:val="24"/>
          <w:szCs w:val="24"/>
        </w:rPr>
        <w:t xml:space="preserve">To </w:t>
      </w:r>
      <w:proofErr w:type="spellStart"/>
      <w:r w:rsidRPr="00644871">
        <w:rPr>
          <w:rFonts w:ascii="Times New Roman" w:cs="Times New Roman" w:eastAsia="Times New Roman" w:hAnsi="Times New Roman"/>
          <w:sz w:val="24"/>
          <w:szCs w:val="24"/>
        </w:rPr>
        <w:t>summarise</w:t>
      </w:r>
      <w:proofErr w:type="spellEnd"/>
      <w:r w:rsidRPr="00644871">
        <w:rPr>
          <w:rFonts w:ascii="Times New Roman" w:cs="Times New Roman" w:eastAsia="Times New Roman" w:hAnsi="Times New Roman"/>
          <w:sz w:val="24"/>
          <w:szCs w:val="24"/>
        </w:rPr>
        <w:t xml:space="preserve">, active engagement by members of the community is an imperative need if individuals within the community are to witness an increase in the quality of life they lead. As the manager of a programme that seeks to increase community involvement, it is vital for you to put into </w:t>
      </w:r>
      <w:proofErr w:type="spellStart"/>
      <w:r w:rsidRPr="00644871">
        <w:rPr>
          <w:rFonts w:ascii="Times New Roman" w:cs="Times New Roman" w:eastAsia="Times New Roman" w:hAnsi="Times New Roman"/>
          <w:sz w:val="24"/>
          <w:szCs w:val="24"/>
        </w:rPr>
        <w:t>practise</w:t>
      </w:r>
      <w:proofErr w:type="spellEnd"/>
      <w:r w:rsidRPr="00644871">
        <w:rPr>
          <w:rFonts w:ascii="Times New Roman" w:cs="Times New Roman" w:eastAsia="Times New Roman" w:hAnsi="Times New Roman"/>
          <w:sz w:val="24"/>
          <w:szCs w:val="24"/>
        </w:rPr>
        <w:t xml:space="preserve"> a number of methods, ideas, processes, principles, and standards in order to increase the possibility that the programme will be successful. To get started, I would go to work on a plan for engaging the community that includes keeping the lines of communication open, including community members in the decision-making process, and </w:t>
      </w:r>
      <w:proofErr w:type="spellStart"/>
      <w:r w:rsidRPr="00644871">
        <w:rPr>
          <w:rFonts w:ascii="Times New Roman" w:cs="Times New Roman" w:eastAsia="Times New Roman" w:hAnsi="Times New Roman"/>
          <w:sz w:val="24"/>
          <w:szCs w:val="24"/>
        </w:rPr>
        <w:t>organising</w:t>
      </w:r>
      <w:proofErr w:type="spellEnd"/>
      <w:r w:rsidRPr="00644871">
        <w:rPr>
          <w:rFonts w:ascii="Times New Roman" w:cs="Times New Roman" w:eastAsia="Times New Roman" w:hAnsi="Times New Roman"/>
          <w:sz w:val="24"/>
          <w:szCs w:val="24"/>
        </w:rPr>
        <w:t xml:space="preserve"> activities for the community. In addition to this, I would investigate the possibility of establishing volunteer programmes, </w:t>
      </w:r>
      <w:proofErr w:type="spellStart"/>
      <w:r w:rsidRPr="00644871">
        <w:rPr>
          <w:rFonts w:ascii="Times New Roman" w:cs="Times New Roman" w:eastAsia="Times New Roman" w:hAnsi="Times New Roman"/>
          <w:sz w:val="24"/>
          <w:szCs w:val="24"/>
        </w:rPr>
        <w:t>organising</w:t>
      </w:r>
      <w:proofErr w:type="spellEnd"/>
      <w:r w:rsidRPr="00644871">
        <w:rPr>
          <w:rFonts w:ascii="Times New Roman" w:cs="Times New Roman" w:eastAsia="Times New Roman" w:hAnsi="Times New Roman"/>
          <w:sz w:val="24"/>
          <w:szCs w:val="24"/>
        </w:rPr>
        <w:t xml:space="preserve"> initiatives to raise awareness, and forging collaborations. I would monitor the program's impacts, gather feedback on its performance, and conduct periodic evaluations of the program's progress towards its objectives in order to decide whether or not the programme is effective. It is very necessary to have an open mind, demonstrate respect, and be flexible in order to ensure that the programme will satisfy the needs of the community</w:t>
      </w:r>
      <w:r w:rsidR="001B3415">
        <w:rPr>
          <w:rFonts w:ascii="Times New Roman" w:cs="Times New Roman" w:eastAsia="Times New Roman" w:hAnsi="Times New Roman"/>
          <w:sz w:val="24"/>
          <w:szCs w:val="24"/>
        </w:rPr>
        <w:t>.</w:t>
      </w:r>
    </w:p>
    <w:p w:rsidR="004275E1" w:rsidRDefault="004275E1">
      <w:pPr>
        <w:rPr>
          <w:rFonts w:ascii="Times New Roman" w:cs="Times New Roman" w:eastAsia="Times New Roman" w:hAnsi="Times New Roman"/>
          <w:sz w:val="24"/>
          <w:szCs w:val="24"/>
        </w:rPr>
      </w:pPr>
      <w:r>
        <w:rPr>
          <w:rFonts w:ascii="Times New Roman" w:cs="Times New Roman" w:eastAsia="Times New Roman" w:hAnsi="Times New Roman"/>
          <w:sz w:val="24"/>
          <w:szCs w:val="24"/>
        </w:rPr>
        <w:br w:type="page"/>
      </w:r>
    </w:p>
    <w:p w:rsidR="004275E1" w:rsidRDefault="004275E1" w:rsidP="004275E1">
      <w:pPr>
        <w:pStyle w:val="Heading1"/>
        <w:rPr>
          <w:rFonts w:eastAsia="Times New Roman"/>
        </w:rPr>
      </w:pPr>
      <w:bookmarkStart w:id="0" w:name="_Toc128656641"/>
      <w:r>
        <w:rPr>
          <w:rFonts w:eastAsia="Times New Roman"/>
        </w:rPr>
        <w:t>References</w:t>
        <w:lastRenderedPageBreak/>
      </w:r>
      <w:bookmarkEnd w:id="0"/>
    </w:p>
    <w:p w:rsidR="005A4167" w:rsidRDefault="005A4167">
      <w:pPr>
        <w:pStyle w:val="Normal1"/>
        <w:jc w:val="both"/>
        <w:spacing w:line="360" w:lineRule="auto"/>
        <w:rPr>
          <w:rFonts w:ascii="Times New Roman" w:cs="Times New Roman" w:eastAsia="Times New Roman" w:hAnsi="Times New Roman"/>
          <w:sz w:val="24"/>
          <w:szCs w:val="24"/>
        </w:rPr>
      </w:pPr>
    </w:p>
    <w:p w:rsidR="005A4167" w:rsidRDefault="005A4167" w:rsidP="00644871" w:rsidRPr="00644871">
      <w:pPr>
        <w:pStyle w:val="Normal1"/>
        <w:jc w:val="both"/>
        <w:spacing w:line="360" w:lineRule="auto"/>
        <w:rPr>
          <w:color w:val="222222"/>
          <w:rFonts w:ascii="Times New Roman" w:cs="Times New Roman" w:hAnsi="Times New Roman"/>
          <w:sz w:val="24"/>
          <w:szCs w:val="24"/>
          <w:shd w:fill="FFFFFF" w:color="auto" w:val="clear"/>
        </w:rPr>
      </w:pPr>
      <w:r w:rsidRPr="00644871">
        <w:rPr>
          <w:color w:val="222222"/>
          <w:rFonts w:ascii="Times New Roman" w:cs="Times New Roman" w:hAnsi="Times New Roman"/>
          <w:sz w:val="24"/>
          <w:szCs w:val="24"/>
          <w:shd w:fill="FFFFFF" w:color="auto" w:val="clear"/>
        </w:rPr>
        <w:t xml:space="preserve">Ahmed, S.M., </w:t>
      </w:r>
      <w:proofErr w:type="spellStart"/>
      <w:r w:rsidRPr="00644871">
        <w:rPr>
          <w:color w:val="222222"/>
          <w:rFonts w:ascii="Times New Roman" w:cs="Times New Roman" w:hAnsi="Times New Roman"/>
          <w:sz w:val="24"/>
          <w:szCs w:val="24"/>
          <w:shd w:fill="FFFFFF" w:color="auto" w:val="clear"/>
        </w:rPr>
        <w:t>Maurana</w:t>
      </w:r>
      <w:proofErr w:type="spellEnd"/>
      <w:r w:rsidRPr="00644871">
        <w:rPr>
          <w:color w:val="222222"/>
          <w:rFonts w:ascii="Times New Roman" w:cs="Times New Roman" w:hAnsi="Times New Roman"/>
          <w:sz w:val="24"/>
          <w:szCs w:val="24"/>
          <w:shd w:fill="FFFFFF" w:color="auto" w:val="clear"/>
        </w:rPr>
        <w:t>, C., Nelson, D., Meister, T., Young, S.N. and Lucey, P., 2016. Opening the black box: Conceptualizing community engagement from 109 community–academic partnership programs. </w:t>
      </w:r>
      <w:r w:rsidRPr="00644871">
        <w:rPr>
          <w:iCs/>
          <w:i/>
          <w:color w:val="222222"/>
          <w:rFonts w:ascii="Times New Roman" w:cs="Times New Roman" w:hAnsi="Times New Roman"/>
          <w:sz w:val="24"/>
          <w:szCs w:val="24"/>
          <w:shd w:fill="FFFFFF" w:color="auto" w:val="clear"/>
        </w:rPr>
        <w:t>Progress in community health partnerships: research, education, and action</w:t>
      </w:r>
      <w:r w:rsidRPr="00644871">
        <w:rPr>
          <w:color w:val="222222"/>
          <w:rFonts w:ascii="Times New Roman" w:cs="Times New Roman" w:hAnsi="Times New Roman"/>
          <w:sz w:val="24"/>
          <w:szCs w:val="24"/>
          <w:shd w:fill="FFFFFF" w:color="auto" w:val="clear"/>
        </w:rPr>
        <w:t>, </w:t>
      </w:r>
      <w:r w:rsidRPr="00644871">
        <w:rPr>
          <w:iCs/>
          <w:i/>
          <w:color w:val="222222"/>
          <w:rFonts w:ascii="Times New Roman" w:cs="Times New Roman" w:hAnsi="Times New Roman"/>
          <w:sz w:val="24"/>
          <w:szCs w:val="24"/>
          <w:shd w:fill="FFFFFF" w:color="auto" w:val="clear"/>
        </w:rPr>
        <w:t>10</w:t>
      </w:r>
      <w:r w:rsidRPr="00644871">
        <w:rPr>
          <w:color w:val="222222"/>
          <w:rFonts w:ascii="Times New Roman" w:cs="Times New Roman" w:hAnsi="Times New Roman"/>
          <w:sz w:val="24"/>
          <w:szCs w:val="24"/>
          <w:shd w:fill="FFFFFF" w:color="auto" w:val="clear"/>
        </w:rPr>
        <w:t>(1), pp.51-61.</w:t>
      </w:r>
    </w:p>
    <w:p w:rsidR="005A4167" w:rsidRDefault="005A4167" w:rsidP="00644871" w:rsidRPr="00644871">
      <w:pPr>
        <w:pStyle w:val="Normal1"/>
        <w:jc w:val="both"/>
        <w:spacing w:line="360" w:lineRule="auto"/>
        <w:rPr>
          <w:color w:val="222222"/>
          <w:rFonts w:ascii="Times New Roman" w:cs="Times New Roman" w:hAnsi="Times New Roman"/>
          <w:sz w:val="24"/>
          <w:szCs w:val="24"/>
          <w:shd w:fill="FFFFFF" w:color="auto" w:val="clear"/>
        </w:rPr>
      </w:pPr>
      <w:r w:rsidRPr="00644871">
        <w:rPr>
          <w:color w:val="222222"/>
          <w:rFonts w:ascii="Times New Roman" w:cs="Times New Roman" w:hAnsi="Times New Roman"/>
          <w:sz w:val="24"/>
          <w:szCs w:val="24"/>
          <w:shd w:fill="FFFFFF" w:color="auto" w:val="clear"/>
        </w:rPr>
        <w:t xml:space="preserve">Arnold, M.E., </w:t>
      </w:r>
      <w:proofErr w:type="spellStart"/>
      <w:r w:rsidRPr="00644871">
        <w:rPr>
          <w:color w:val="222222"/>
          <w:rFonts w:ascii="Times New Roman" w:cs="Times New Roman" w:hAnsi="Times New Roman"/>
          <w:sz w:val="24"/>
          <w:szCs w:val="24"/>
          <w:shd w:fill="FFFFFF" w:color="auto" w:val="clear"/>
        </w:rPr>
        <w:t>Dolenc</w:t>
      </w:r>
      <w:proofErr w:type="spellEnd"/>
      <w:r w:rsidRPr="00644871">
        <w:rPr>
          <w:color w:val="222222"/>
          <w:rFonts w:ascii="Times New Roman" w:cs="Times New Roman" w:hAnsi="Times New Roman"/>
          <w:sz w:val="24"/>
          <w:szCs w:val="24"/>
          <w:shd w:fill="FFFFFF" w:color="auto" w:val="clear"/>
        </w:rPr>
        <w:t>, B. and Wells, E.E., 2008. Youth community engagement: A recipe for success. </w:t>
      </w:r>
      <w:r w:rsidRPr="00644871">
        <w:rPr>
          <w:iCs/>
          <w:i/>
          <w:color w:val="222222"/>
          <w:rFonts w:ascii="Times New Roman" w:cs="Times New Roman" w:hAnsi="Times New Roman"/>
          <w:sz w:val="24"/>
          <w:szCs w:val="24"/>
          <w:shd w:fill="FFFFFF" w:color="auto" w:val="clear"/>
        </w:rPr>
        <w:t>Journal of Community Engagement and Scholarship</w:t>
      </w:r>
      <w:r w:rsidRPr="00644871">
        <w:rPr>
          <w:color w:val="222222"/>
          <w:rFonts w:ascii="Times New Roman" w:cs="Times New Roman" w:hAnsi="Times New Roman"/>
          <w:sz w:val="24"/>
          <w:szCs w:val="24"/>
          <w:shd w:fill="FFFFFF" w:color="auto" w:val="clear"/>
        </w:rPr>
        <w:t>, </w:t>
      </w:r>
      <w:r w:rsidRPr="00644871">
        <w:rPr>
          <w:iCs/>
          <w:i/>
          <w:color w:val="222222"/>
          <w:rFonts w:ascii="Times New Roman" w:cs="Times New Roman" w:hAnsi="Times New Roman"/>
          <w:sz w:val="24"/>
          <w:szCs w:val="24"/>
          <w:shd w:fill="FFFFFF" w:color="auto" w:val="clear"/>
        </w:rPr>
        <w:t>1</w:t>
      </w:r>
      <w:r w:rsidRPr="00644871">
        <w:rPr>
          <w:color w:val="222222"/>
          <w:rFonts w:ascii="Times New Roman" w:cs="Times New Roman" w:hAnsi="Times New Roman"/>
          <w:sz w:val="24"/>
          <w:szCs w:val="24"/>
          <w:shd w:fill="FFFFFF" w:color="auto" w:val="clear"/>
        </w:rPr>
        <w:t>(1), pp.56-65.</w:t>
      </w:r>
    </w:p>
    <w:p w:rsidR="005A4167" w:rsidRDefault="005A4167" w:rsidP="00644871" w:rsidRPr="00644871">
      <w:pPr>
        <w:pStyle w:val="Normal1"/>
        <w:jc w:val="both"/>
        <w:spacing w:line="360" w:lineRule="auto"/>
        <w:rPr>
          <w:color w:val="222222"/>
          <w:rFonts w:ascii="Times New Roman" w:cs="Times New Roman" w:hAnsi="Times New Roman"/>
          <w:sz w:val="24"/>
          <w:szCs w:val="24"/>
          <w:shd w:fill="FFFFFF" w:color="auto" w:val="clear"/>
        </w:rPr>
      </w:pPr>
      <w:proofErr w:type="spellStart"/>
      <w:r w:rsidRPr="00644871">
        <w:rPr>
          <w:color w:val="222222"/>
          <w:rFonts w:ascii="Times New Roman" w:cs="Times New Roman" w:hAnsi="Times New Roman"/>
          <w:sz w:val="24"/>
          <w:szCs w:val="24"/>
          <w:shd w:fill="FFFFFF" w:color="auto" w:val="clear"/>
        </w:rPr>
        <w:t>Chirenje</w:t>
      </w:r>
      <w:proofErr w:type="spellEnd"/>
      <w:r w:rsidRPr="00644871">
        <w:rPr>
          <w:color w:val="222222"/>
          <w:rFonts w:ascii="Times New Roman" w:cs="Times New Roman" w:hAnsi="Times New Roman"/>
          <w:sz w:val="24"/>
          <w:szCs w:val="24"/>
          <w:shd w:fill="FFFFFF" w:color="auto" w:val="clear"/>
        </w:rPr>
        <w:t xml:space="preserve">, L.I., </w:t>
      </w:r>
      <w:proofErr w:type="spellStart"/>
      <w:r w:rsidRPr="00644871">
        <w:rPr>
          <w:color w:val="222222"/>
          <w:rFonts w:ascii="Times New Roman" w:cs="Times New Roman" w:hAnsi="Times New Roman"/>
          <w:sz w:val="24"/>
          <w:szCs w:val="24"/>
          <w:shd w:fill="FFFFFF" w:color="auto" w:val="clear"/>
        </w:rPr>
        <w:t>Giliba</w:t>
      </w:r>
      <w:proofErr w:type="spellEnd"/>
      <w:r w:rsidRPr="00644871">
        <w:rPr>
          <w:color w:val="222222"/>
          <w:rFonts w:ascii="Times New Roman" w:cs="Times New Roman" w:hAnsi="Times New Roman"/>
          <w:sz w:val="24"/>
          <w:szCs w:val="24"/>
          <w:shd w:fill="FFFFFF" w:color="auto" w:val="clear"/>
        </w:rPr>
        <w:t xml:space="preserve">, R.A. and </w:t>
      </w:r>
      <w:proofErr w:type="spellStart"/>
      <w:r w:rsidRPr="00644871">
        <w:rPr>
          <w:color w:val="222222"/>
          <w:rFonts w:ascii="Times New Roman" w:cs="Times New Roman" w:hAnsi="Times New Roman"/>
          <w:sz w:val="24"/>
          <w:szCs w:val="24"/>
          <w:shd w:fill="FFFFFF" w:color="auto" w:val="clear"/>
        </w:rPr>
        <w:t>Musamba</w:t>
      </w:r>
      <w:proofErr w:type="spellEnd"/>
      <w:r w:rsidRPr="00644871">
        <w:rPr>
          <w:color w:val="222222"/>
          <w:rFonts w:ascii="Times New Roman" w:cs="Times New Roman" w:hAnsi="Times New Roman"/>
          <w:sz w:val="24"/>
          <w:szCs w:val="24"/>
          <w:shd w:fill="FFFFFF" w:color="auto" w:val="clear"/>
        </w:rPr>
        <w:t>, E.B., 2013. Local communities’ participation in decision-making processes through planning and budgeting in African countries. </w:t>
      </w:r>
      <w:r w:rsidRPr="00644871">
        <w:rPr>
          <w:iCs/>
          <w:i/>
          <w:color w:val="222222"/>
          <w:rFonts w:ascii="Times New Roman" w:cs="Times New Roman" w:hAnsi="Times New Roman"/>
          <w:sz w:val="24"/>
          <w:szCs w:val="24"/>
          <w:shd w:fill="FFFFFF" w:color="auto" w:val="clear"/>
        </w:rPr>
        <w:t>Chinese journal of population resources and environment</w:t>
      </w:r>
      <w:r w:rsidRPr="00644871">
        <w:rPr>
          <w:color w:val="222222"/>
          <w:rFonts w:ascii="Times New Roman" w:cs="Times New Roman" w:hAnsi="Times New Roman"/>
          <w:sz w:val="24"/>
          <w:szCs w:val="24"/>
          <w:shd w:fill="FFFFFF" w:color="auto" w:val="clear"/>
        </w:rPr>
        <w:t>, </w:t>
      </w:r>
      <w:r w:rsidRPr="00644871">
        <w:rPr>
          <w:iCs/>
          <w:i/>
          <w:color w:val="222222"/>
          <w:rFonts w:ascii="Times New Roman" w:cs="Times New Roman" w:hAnsi="Times New Roman"/>
          <w:sz w:val="24"/>
          <w:szCs w:val="24"/>
          <w:shd w:fill="FFFFFF" w:color="auto" w:val="clear"/>
        </w:rPr>
        <w:t>11</w:t>
      </w:r>
      <w:r w:rsidRPr="00644871">
        <w:rPr>
          <w:color w:val="222222"/>
          <w:rFonts w:ascii="Times New Roman" w:cs="Times New Roman" w:hAnsi="Times New Roman"/>
          <w:sz w:val="24"/>
          <w:szCs w:val="24"/>
          <w:shd w:fill="FFFFFF" w:color="auto" w:val="clear"/>
        </w:rPr>
        <w:t>(1), pp.10-16.</w:t>
      </w:r>
    </w:p>
    <w:p w:rsidR="005A4167" w:rsidRDefault="005A4167" w:rsidP="00644871" w:rsidRPr="00644871">
      <w:pPr>
        <w:pStyle w:val="Normal1"/>
        <w:jc w:val="both"/>
        <w:spacing w:line="360" w:lineRule="auto"/>
        <w:rPr>
          <w:color w:val="222222"/>
          <w:rFonts w:ascii="Times New Roman" w:cs="Times New Roman" w:hAnsi="Times New Roman"/>
          <w:sz w:val="24"/>
          <w:szCs w:val="24"/>
          <w:shd w:fill="FFFFFF" w:color="auto" w:val="clear"/>
        </w:rPr>
      </w:pPr>
      <w:r w:rsidRPr="00644871">
        <w:rPr>
          <w:color w:val="222222"/>
          <w:rFonts w:ascii="Times New Roman" w:cs="Times New Roman" w:hAnsi="Times New Roman"/>
          <w:sz w:val="24"/>
          <w:szCs w:val="24"/>
          <w:shd w:fill="FFFFFF" w:color="auto" w:val="clear"/>
        </w:rPr>
        <w:t xml:space="preserve">McCabe, A., </w:t>
      </w:r>
      <w:proofErr w:type="spellStart"/>
      <w:r w:rsidRPr="00644871">
        <w:rPr>
          <w:color w:val="222222"/>
          <w:rFonts w:ascii="Times New Roman" w:cs="Times New Roman" w:hAnsi="Times New Roman"/>
          <w:sz w:val="24"/>
          <w:szCs w:val="24"/>
          <w:shd w:fill="FFFFFF" w:color="auto" w:val="clear"/>
        </w:rPr>
        <w:t>Keast</w:t>
      </w:r>
      <w:proofErr w:type="spellEnd"/>
      <w:r w:rsidRPr="00644871">
        <w:rPr>
          <w:color w:val="222222"/>
          <w:rFonts w:ascii="Times New Roman" w:cs="Times New Roman" w:hAnsi="Times New Roman"/>
          <w:sz w:val="24"/>
          <w:szCs w:val="24"/>
          <w:shd w:fill="FFFFFF" w:color="auto" w:val="clear"/>
        </w:rPr>
        <w:t>, R. and Brown, K., 2006. Community engagement: towards community as governance. In </w:t>
      </w:r>
      <w:r w:rsidRPr="00644871">
        <w:rPr>
          <w:iCs/>
          <w:i/>
          <w:color w:val="222222"/>
          <w:rFonts w:ascii="Times New Roman" w:cs="Times New Roman" w:hAnsi="Times New Roman"/>
          <w:sz w:val="24"/>
          <w:szCs w:val="24"/>
          <w:shd w:fill="FFFFFF" w:color="auto" w:val="clear"/>
        </w:rPr>
        <w:t>Proceedings of the Governments &amp; Communities in Partnership Conference: From Theory to Practice</w:t>
      </w:r>
      <w:r w:rsidRPr="00644871">
        <w:rPr>
          <w:color w:val="222222"/>
          <w:rFonts w:ascii="Times New Roman" w:cs="Times New Roman" w:hAnsi="Times New Roman"/>
          <w:sz w:val="24"/>
          <w:szCs w:val="24"/>
          <w:shd w:fill="FFFFFF" w:color="auto" w:val="clear"/>
        </w:rPr>
        <w:t> (pp. 1-21). University of Melbourne.</w:t>
      </w:r>
    </w:p>
    <w:p w:rsidR="005A4167" w:rsidRDefault="005A4167" w:rsidP="00644871" w:rsidRPr="00644871">
      <w:pPr>
        <w:pStyle w:val="Normal1"/>
        <w:jc w:val="both"/>
        <w:spacing w:line="360" w:lineRule="auto"/>
        <w:rPr>
          <w:color w:val="222222"/>
          <w:rFonts w:ascii="Times New Roman" w:cs="Times New Roman" w:hAnsi="Times New Roman"/>
          <w:sz w:val="24"/>
          <w:szCs w:val="24"/>
          <w:shd w:fill="FFFFFF" w:color="auto" w:val="clear"/>
        </w:rPr>
      </w:pPr>
      <w:r w:rsidRPr="00644871">
        <w:rPr>
          <w:color w:val="222222"/>
          <w:rFonts w:ascii="Times New Roman" w:cs="Times New Roman" w:hAnsi="Times New Roman"/>
          <w:sz w:val="24"/>
          <w:szCs w:val="24"/>
          <w:shd w:fill="FFFFFF" w:color="auto" w:val="clear"/>
        </w:rPr>
        <w:t>Men, L.R., 2015. The internal communication role of the chief executive officer: Communication channels, style, and effectiveness. </w:t>
      </w:r>
      <w:r w:rsidRPr="00644871">
        <w:rPr>
          <w:iCs/>
          <w:i/>
          <w:color w:val="222222"/>
          <w:rFonts w:ascii="Times New Roman" w:cs="Times New Roman" w:hAnsi="Times New Roman"/>
          <w:sz w:val="24"/>
          <w:szCs w:val="24"/>
          <w:shd w:fill="FFFFFF" w:color="auto" w:val="clear"/>
        </w:rPr>
        <w:t>Public Relations Review</w:t>
      </w:r>
      <w:r w:rsidRPr="00644871">
        <w:rPr>
          <w:color w:val="222222"/>
          <w:rFonts w:ascii="Times New Roman" w:cs="Times New Roman" w:hAnsi="Times New Roman"/>
          <w:sz w:val="24"/>
          <w:szCs w:val="24"/>
          <w:shd w:fill="FFFFFF" w:color="auto" w:val="clear"/>
        </w:rPr>
        <w:t>, </w:t>
      </w:r>
      <w:r w:rsidRPr="00644871">
        <w:rPr>
          <w:iCs/>
          <w:i/>
          <w:color w:val="222222"/>
          <w:rFonts w:ascii="Times New Roman" w:cs="Times New Roman" w:hAnsi="Times New Roman"/>
          <w:sz w:val="24"/>
          <w:szCs w:val="24"/>
          <w:shd w:fill="FFFFFF" w:color="auto" w:val="clear"/>
        </w:rPr>
        <w:t>41</w:t>
      </w:r>
      <w:r w:rsidRPr="00644871">
        <w:rPr>
          <w:color w:val="222222"/>
          <w:rFonts w:ascii="Times New Roman" w:cs="Times New Roman" w:hAnsi="Times New Roman"/>
          <w:sz w:val="24"/>
          <w:szCs w:val="24"/>
          <w:shd w:fill="FFFFFF" w:color="auto" w:val="clear"/>
        </w:rPr>
        <w:t>(4), pp.461-471.</w:t>
      </w:r>
    </w:p>
    <w:p w:rsidR="005A4167" w:rsidRDefault="005A4167" w:rsidP="00644871" w:rsidRPr="00644871">
      <w:pPr>
        <w:pStyle w:val="Normal1"/>
        <w:jc w:val="both"/>
        <w:spacing w:line="360" w:lineRule="auto"/>
        <w:rPr>
          <w:color w:val="222222"/>
          <w:rFonts w:ascii="Times New Roman" w:cs="Times New Roman" w:hAnsi="Times New Roman"/>
          <w:sz w:val="24"/>
          <w:szCs w:val="24"/>
          <w:shd w:fill="FFFFFF" w:color="auto" w:val="clear"/>
        </w:rPr>
      </w:pPr>
      <w:proofErr w:type="spellStart"/>
      <w:r w:rsidRPr="00644871">
        <w:rPr>
          <w:color w:val="222222"/>
          <w:rFonts w:ascii="Times New Roman" w:cs="Times New Roman" w:hAnsi="Times New Roman"/>
          <w:sz w:val="24"/>
          <w:szCs w:val="24"/>
          <w:shd w:fill="FFFFFF" w:color="auto" w:val="clear"/>
        </w:rPr>
        <w:t>Myhill</w:t>
      </w:r>
      <w:proofErr w:type="spellEnd"/>
      <w:r w:rsidRPr="00644871">
        <w:rPr>
          <w:color w:val="222222"/>
          <w:rFonts w:ascii="Times New Roman" w:cs="Times New Roman" w:hAnsi="Times New Roman"/>
          <w:sz w:val="24"/>
          <w:szCs w:val="24"/>
          <w:shd w:fill="FFFFFF" w:color="auto" w:val="clear"/>
        </w:rPr>
        <w:t>, A., 2006. </w:t>
      </w:r>
      <w:r w:rsidRPr="00644871">
        <w:rPr>
          <w:iCs/>
          <w:i/>
          <w:color w:val="222222"/>
          <w:rFonts w:ascii="Times New Roman" w:cs="Times New Roman" w:hAnsi="Times New Roman"/>
          <w:sz w:val="24"/>
          <w:szCs w:val="24"/>
          <w:shd w:fill="FFFFFF" w:color="auto" w:val="clear"/>
        </w:rPr>
        <w:t>Community engagement in policing: Lessons from literature</w:t>
      </w:r>
      <w:r w:rsidRPr="00644871">
        <w:rPr>
          <w:color w:val="222222"/>
          <w:rFonts w:ascii="Times New Roman" w:cs="Times New Roman" w:hAnsi="Times New Roman"/>
          <w:sz w:val="24"/>
          <w:szCs w:val="24"/>
          <w:shd w:fill="FFFFFF" w:color="auto" w:val="clear"/>
        </w:rPr>
        <w:t>. London: Home Office.</w:t>
      </w:r>
    </w:p>
    <w:p w:rsidR="005A4167" w:rsidRDefault="005A4167" w:rsidP="00644871" w:rsidRPr="00644871">
      <w:pPr>
        <w:pStyle w:val="Normal1"/>
        <w:jc w:val="both"/>
        <w:spacing w:line="360" w:lineRule="auto"/>
        <w:rPr>
          <w:color w:val="222222"/>
          <w:rFonts w:ascii="Times New Roman" w:cs="Times New Roman" w:hAnsi="Times New Roman"/>
          <w:sz w:val="24"/>
          <w:szCs w:val="24"/>
          <w:shd w:fill="FFFFFF" w:color="auto" w:val="clear"/>
        </w:rPr>
      </w:pPr>
      <w:r w:rsidRPr="00644871">
        <w:rPr>
          <w:color w:val="222222"/>
          <w:rFonts w:ascii="Times New Roman" w:cs="Times New Roman" w:hAnsi="Times New Roman"/>
          <w:sz w:val="24"/>
          <w:szCs w:val="24"/>
          <w:shd w:fill="FFFFFF" w:color="auto" w:val="clear"/>
        </w:rPr>
        <w:t>Newman, P.A., 2006. Towards a science of community engagement. </w:t>
      </w:r>
      <w:r w:rsidRPr="00644871">
        <w:rPr>
          <w:iCs/>
          <w:i/>
          <w:color w:val="222222"/>
          <w:rFonts w:ascii="Times New Roman" w:cs="Times New Roman" w:hAnsi="Times New Roman"/>
          <w:sz w:val="24"/>
          <w:szCs w:val="24"/>
          <w:shd w:fill="FFFFFF" w:color="auto" w:val="clear"/>
        </w:rPr>
        <w:t>The Lancet</w:t>
      </w:r>
      <w:r w:rsidRPr="00644871">
        <w:rPr>
          <w:color w:val="222222"/>
          <w:rFonts w:ascii="Times New Roman" w:cs="Times New Roman" w:hAnsi="Times New Roman"/>
          <w:sz w:val="24"/>
          <w:szCs w:val="24"/>
          <w:shd w:fill="FFFFFF" w:color="auto" w:val="clear"/>
        </w:rPr>
        <w:t>, </w:t>
      </w:r>
      <w:r w:rsidRPr="00644871">
        <w:rPr>
          <w:iCs/>
          <w:i/>
          <w:color w:val="222222"/>
          <w:rFonts w:ascii="Times New Roman" w:cs="Times New Roman" w:hAnsi="Times New Roman"/>
          <w:sz w:val="24"/>
          <w:szCs w:val="24"/>
          <w:shd w:fill="FFFFFF" w:color="auto" w:val="clear"/>
        </w:rPr>
        <w:t>367</w:t>
      </w:r>
      <w:r w:rsidRPr="00644871">
        <w:rPr>
          <w:color w:val="222222"/>
          <w:rFonts w:ascii="Times New Roman" w:cs="Times New Roman" w:hAnsi="Times New Roman"/>
          <w:sz w:val="24"/>
          <w:szCs w:val="24"/>
          <w:shd w:fill="FFFFFF" w:color="auto" w:val="clear"/>
        </w:rPr>
        <w:t>(9507), p.302.</w:t>
      </w:r>
    </w:p>
    <w:p w:rsidR="005A4167" w:rsidRDefault="005A4167" w:rsidP="00644871" w:rsidRPr="00644871">
      <w:pPr>
        <w:pStyle w:val="Normal1"/>
        <w:jc w:val="both"/>
        <w:spacing w:line="360" w:lineRule="auto"/>
        <w:rPr>
          <w:rFonts w:ascii="Times New Roman" w:cs="Times New Roman" w:eastAsia="Times New Roman" w:hAnsi="Times New Roman"/>
          <w:sz w:val="24"/>
          <w:szCs w:val="24"/>
        </w:rPr>
      </w:pPr>
      <w:r w:rsidRPr="00644871">
        <w:rPr>
          <w:color w:val="222222"/>
          <w:rFonts w:ascii="Times New Roman" w:cs="Times New Roman" w:hAnsi="Times New Roman"/>
          <w:sz w:val="24"/>
          <w:szCs w:val="24"/>
          <w:shd w:fill="FFFFFF" w:color="auto" w:val="clear"/>
        </w:rPr>
        <w:t>O'Meara, K. and Jaeger, A.J., 2006. Preparing future faculty for community engagement: Barriers, facilitators, models, and recommendations. </w:t>
      </w:r>
      <w:r w:rsidRPr="00644871">
        <w:rPr>
          <w:iCs/>
          <w:i/>
          <w:color w:val="222222"/>
          <w:rFonts w:ascii="Times New Roman" w:cs="Times New Roman" w:hAnsi="Times New Roman"/>
          <w:sz w:val="24"/>
          <w:szCs w:val="24"/>
          <w:shd w:fill="FFFFFF" w:color="auto" w:val="clear"/>
        </w:rPr>
        <w:t>Journal of Higher Education Outreach and Engagement</w:t>
      </w:r>
      <w:r w:rsidRPr="00644871">
        <w:rPr>
          <w:color w:val="222222"/>
          <w:rFonts w:ascii="Times New Roman" w:cs="Times New Roman" w:hAnsi="Times New Roman"/>
          <w:sz w:val="24"/>
          <w:szCs w:val="24"/>
          <w:shd w:fill="FFFFFF" w:color="auto" w:val="clear"/>
        </w:rPr>
        <w:t>, </w:t>
      </w:r>
      <w:r w:rsidRPr="00644871">
        <w:rPr>
          <w:iCs/>
          <w:i/>
          <w:color w:val="222222"/>
          <w:rFonts w:ascii="Times New Roman" w:cs="Times New Roman" w:hAnsi="Times New Roman"/>
          <w:sz w:val="24"/>
          <w:szCs w:val="24"/>
          <w:shd w:fill="FFFFFF" w:color="auto" w:val="clear"/>
        </w:rPr>
        <w:t>11</w:t>
      </w:r>
      <w:r w:rsidRPr="00644871">
        <w:rPr>
          <w:color w:val="222222"/>
          <w:rFonts w:ascii="Times New Roman" w:cs="Times New Roman" w:hAnsi="Times New Roman"/>
          <w:sz w:val="24"/>
          <w:szCs w:val="24"/>
          <w:shd w:fill="FFFFFF" w:color="auto" w:val="clear"/>
        </w:rPr>
        <w:t>(4), pp.3-26.</w:t>
      </w:r>
    </w:p>
    <w:p w:rsidR="005A4167" w:rsidRDefault="005A4167" w:rsidP="00644871" w:rsidRPr="00644871">
      <w:pPr>
        <w:pStyle w:val="Normal1"/>
        <w:jc w:val="both"/>
        <w:spacing w:line="360" w:lineRule="auto"/>
        <w:rPr>
          <w:color w:val="222222"/>
          <w:rFonts w:ascii="Times New Roman" w:cs="Times New Roman" w:hAnsi="Times New Roman"/>
          <w:sz w:val="24"/>
          <w:szCs w:val="24"/>
          <w:shd w:fill="FFFFFF" w:color="auto" w:val="clear"/>
        </w:rPr>
      </w:pPr>
      <w:r w:rsidRPr="00644871">
        <w:rPr>
          <w:color w:val="222222"/>
          <w:rFonts w:ascii="Times New Roman" w:cs="Times New Roman" w:hAnsi="Times New Roman"/>
          <w:sz w:val="24"/>
          <w:szCs w:val="24"/>
          <w:shd w:fill="FFFFFF" w:color="auto" w:val="clear"/>
        </w:rPr>
        <w:t xml:space="preserve">Vidal, A., Nye, N., Walker, C., </w:t>
      </w:r>
      <w:proofErr w:type="spellStart"/>
      <w:r w:rsidRPr="00644871">
        <w:rPr>
          <w:color w:val="222222"/>
          <w:rFonts w:ascii="Times New Roman" w:cs="Times New Roman" w:hAnsi="Times New Roman"/>
          <w:sz w:val="24"/>
          <w:szCs w:val="24"/>
          <w:shd w:fill="FFFFFF" w:color="auto" w:val="clear"/>
        </w:rPr>
        <w:t>Manjarrez</w:t>
      </w:r>
      <w:proofErr w:type="spellEnd"/>
      <w:r w:rsidRPr="00644871">
        <w:rPr>
          <w:color w:val="222222"/>
          <w:rFonts w:ascii="Times New Roman" w:cs="Times New Roman" w:hAnsi="Times New Roman"/>
          <w:sz w:val="24"/>
          <w:szCs w:val="24"/>
          <w:shd w:fill="FFFFFF" w:color="auto" w:val="clear"/>
        </w:rPr>
        <w:t xml:space="preserve">, C., </w:t>
      </w:r>
      <w:proofErr w:type="spellStart"/>
      <w:r w:rsidRPr="00644871">
        <w:rPr>
          <w:color w:val="222222"/>
          <w:rFonts w:ascii="Times New Roman" w:cs="Times New Roman" w:hAnsi="Times New Roman"/>
          <w:sz w:val="24"/>
          <w:szCs w:val="24"/>
          <w:shd w:fill="FFFFFF" w:color="auto" w:val="clear"/>
        </w:rPr>
        <w:t>Romanik</w:t>
      </w:r>
      <w:proofErr w:type="spellEnd"/>
      <w:r w:rsidRPr="00644871">
        <w:rPr>
          <w:color w:val="222222"/>
          <w:rFonts w:ascii="Times New Roman" w:cs="Times New Roman" w:hAnsi="Times New Roman"/>
          <w:sz w:val="24"/>
          <w:szCs w:val="24"/>
          <w:shd w:fill="FFFFFF" w:color="auto" w:val="clear"/>
        </w:rPr>
        <w:t xml:space="preserve">, C., </w:t>
      </w:r>
      <w:proofErr w:type="spellStart"/>
      <w:r w:rsidRPr="00644871">
        <w:rPr>
          <w:color w:val="222222"/>
          <w:rFonts w:ascii="Times New Roman" w:cs="Times New Roman" w:hAnsi="Times New Roman"/>
          <w:sz w:val="24"/>
          <w:szCs w:val="24"/>
          <w:shd w:fill="FFFFFF" w:color="auto" w:val="clear"/>
        </w:rPr>
        <w:t>Corvington</w:t>
      </w:r>
      <w:proofErr w:type="spellEnd"/>
      <w:r w:rsidRPr="00644871">
        <w:rPr>
          <w:color w:val="222222"/>
          <w:rFonts w:ascii="Times New Roman" w:cs="Times New Roman" w:hAnsi="Times New Roman"/>
          <w:sz w:val="24"/>
          <w:szCs w:val="24"/>
          <w:shd w:fill="FFFFFF" w:color="auto" w:val="clear"/>
        </w:rPr>
        <w:t>, P., Ferryman, K., Freiberg, S. and Kim, D., 2002. Lessons from the community outreach partnership center program. </w:t>
      </w:r>
      <w:r w:rsidRPr="00644871">
        <w:rPr>
          <w:iCs/>
          <w:i/>
          <w:color w:val="222222"/>
          <w:rFonts w:ascii="Times New Roman" w:cs="Times New Roman" w:hAnsi="Times New Roman"/>
          <w:sz w:val="24"/>
          <w:szCs w:val="24"/>
          <w:shd w:fill="FFFFFF" w:color="auto" w:val="clear"/>
        </w:rPr>
        <w:t>Washington: The Urban Institute</w:t>
      </w:r>
      <w:r w:rsidRPr="00644871">
        <w:rPr>
          <w:color w:val="222222"/>
          <w:rFonts w:ascii="Times New Roman" w:cs="Times New Roman" w:hAnsi="Times New Roman"/>
          <w:sz w:val="24"/>
          <w:szCs w:val="24"/>
          <w:shd w:fill="FFFFFF" w:color="auto" w:val="clear"/>
        </w:rPr>
        <w:t>.</w:t>
      </w:r>
    </w:p>
    <w:p w:rsidR="005A4167" w:rsidRDefault="005A4167" w:rsidP="00644871" w:rsidRPr="00644871">
      <w:pPr>
        <w:jc w:val="both"/>
        <w:spacing w:line="360" w:lineRule="auto"/>
        <w:rPr>
          <w:rFonts w:ascii="Times New Roman" w:cs="Times New Roman" w:hAnsi="Times New Roman"/>
          <w:sz w:val="24"/>
          <w:szCs w:val="24"/>
        </w:rPr>
      </w:pPr>
      <w:proofErr w:type="spellStart"/>
      <w:r w:rsidRPr="00644871">
        <w:rPr>
          <w:color w:val="222222"/>
          <w:rFonts w:ascii="Times New Roman" w:cs="Times New Roman" w:hAnsi="Times New Roman"/>
          <w:sz w:val="24"/>
          <w:szCs w:val="24"/>
          <w:shd w:fill="FFFFFF" w:color="auto" w:val="clear"/>
        </w:rPr>
        <w:t>Zakus</w:t>
      </w:r>
      <w:proofErr w:type="spellEnd"/>
      <w:r w:rsidRPr="00644871">
        <w:rPr>
          <w:color w:val="222222"/>
          <w:rFonts w:ascii="Times New Roman" w:cs="Times New Roman" w:hAnsi="Times New Roman"/>
          <w:sz w:val="24"/>
          <w:szCs w:val="24"/>
          <w:shd w:fill="FFFFFF" w:color="auto" w:val="clear"/>
        </w:rPr>
        <w:t xml:space="preserve">, J.D.L. and </w:t>
      </w:r>
      <w:proofErr w:type="spellStart"/>
      <w:r w:rsidRPr="00644871">
        <w:rPr>
          <w:color w:val="222222"/>
          <w:rFonts w:ascii="Times New Roman" w:cs="Times New Roman" w:hAnsi="Times New Roman"/>
          <w:sz w:val="24"/>
          <w:szCs w:val="24"/>
          <w:shd w:fill="FFFFFF" w:color="auto" w:val="clear"/>
        </w:rPr>
        <w:t>Lysack</w:t>
      </w:r>
      <w:proofErr w:type="spellEnd"/>
      <w:r w:rsidRPr="00644871">
        <w:rPr>
          <w:color w:val="222222"/>
          <w:rFonts w:ascii="Times New Roman" w:cs="Times New Roman" w:hAnsi="Times New Roman"/>
          <w:sz w:val="24"/>
          <w:szCs w:val="24"/>
          <w:shd w:fill="FFFFFF" w:color="auto" w:val="clear"/>
        </w:rPr>
        <w:t>, C.L., 1998. Revisiting community participation. </w:t>
      </w:r>
      <w:r w:rsidRPr="00644871">
        <w:rPr>
          <w:iCs/>
          <w:i/>
          <w:color w:val="222222"/>
          <w:rFonts w:ascii="Times New Roman" w:cs="Times New Roman" w:hAnsi="Times New Roman"/>
          <w:sz w:val="24"/>
          <w:szCs w:val="24"/>
          <w:shd w:fill="FFFFFF" w:color="auto" w:val="clear"/>
        </w:rPr>
        <w:t>Health policy and planning</w:t>
      </w:r>
      <w:r w:rsidRPr="00644871">
        <w:rPr>
          <w:color w:val="222222"/>
          <w:rFonts w:ascii="Times New Roman" w:cs="Times New Roman" w:hAnsi="Times New Roman"/>
          <w:sz w:val="24"/>
          <w:szCs w:val="24"/>
          <w:shd w:fill="FFFFFF" w:color="auto" w:val="clear"/>
        </w:rPr>
        <w:t>, </w:t>
      </w:r>
      <w:r w:rsidRPr="00644871">
        <w:rPr>
          <w:iCs/>
          <w:i/>
          <w:color w:val="222222"/>
          <w:rFonts w:ascii="Times New Roman" w:cs="Times New Roman" w:hAnsi="Times New Roman"/>
          <w:sz w:val="24"/>
          <w:szCs w:val="24"/>
          <w:shd w:fill="FFFFFF" w:color="auto" w:val="clear"/>
        </w:rPr>
        <w:t>13</w:t>
      </w:r>
      <w:r w:rsidRPr="00644871">
        <w:rPr>
          <w:color w:val="222222"/>
          <w:rFonts w:ascii="Times New Roman" w:cs="Times New Roman" w:hAnsi="Times New Roman"/>
          <w:sz w:val="24"/>
          <w:szCs w:val="24"/>
          <w:shd w:fill="FFFFFF" w:color="auto" w:val="clear"/>
        </w:rPr>
        <w:t>(1), pp.1-12.</w:t>
      </w:r>
    </w:p>
    <w:sectPr w:rsidR="005A4167" w:rsidRPr="00644871" w:rsidSect="00CE5079">
      <w:headerReference r:id="rId8"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43D26" w:rsidRDefault="00043D26" w:rsidP="004275E1">
      <w:pPr>
        <w:spacing w:after="0" w:line="240" w:lineRule="auto"/>
      </w:pPr>
      <w:r>
        <w:separator/>
      </w:r>
    </w:p>
  </w:endnote>
  <w:endnote w:type="continuationSeparator" w:id="0">
    <w:p w:rsidR="00043D26" w:rsidRDefault="00043D26" w:rsidP="004275E1">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font w:name="Courier New"/>
  <w:font w:name="Arial"/>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43D26" w:rsidRDefault="00043D26" w:rsidP="004275E1">
      <w:pPr>
        <w:spacing w:after="0" w:line="240" w:lineRule="auto"/>
      </w:pPr>
      <w:r>
        <w:separator/>
      </w:r>
    </w:p>
  </w:footnote>
  <w:footnote w:type="continuationSeparator" w:id="0">
    <w:p w:rsidR="00043D26" w:rsidRDefault="00043D26" w:rsidP="00427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37760"/>
      <w:docPartObj>
        <w:docPartGallery w:val="Page Numbers (Top of Page)"/>
        <w:docPartUnique/>
      </w:docPartObj>
    </w:sdtPr>
    <w:sdtContent>
      <w:p w:rsidR="004275E1" w:rsidRDefault="00000000">
        <w:pPr>
          <w:pStyle w:val="Header"/>
        </w:pPr>
        <w:r>
          <w:fldChar w:fldCharType="begin"/>
        </w:r>
        <w:r>
          <w:instrText xml:space="preserve"> PAGE   \* MERGEFORMAT </w:instrText>
        </w:r>
        <w:r>
          <w:fldChar w:fldCharType="separate"/>
        </w:r>
        <w:r w:rsidR="005A4167">
          <w:rPr>
            <w:noProof/>
          </w:rPr>
          <w:t>1</w:t>
        </w:r>
        <w:r>
          <w:rPr>
            <w:noProof/>
          </w:rPr>
          <w:fldChar w:fldCharType="end"/>
        </w:r>
      </w:p>
    </w:sdtContent>
  </w:sdt>
  <w:p w:rsidR="004275E1" w:rsidRDefault="004275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9EA03BE"/>
    <w:tmpl w:val="2D3E183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1EF967E7"/>
    <w:tmpl w:val="2D3E183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3A8C3C93"/>
    <w:tmpl w:val="2D3E183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55A86420"/>
    <w:tmpl w:val="2D3E183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64055BF9"/>
    <w:tmpl w:val="2D3E183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5">
    <w:multiLevelType w:val="hybridMultilevel"/>
    <w:nsid w:val="65983ABE"/>
    <w:tmpl w:val="2D3E183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6">
    <w:multiLevelType w:val="hybridMultilevel"/>
    <w:nsid w:val="7389288D"/>
    <w:tmpl w:val="2D3E183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5"/>
  </w:num>
  <w:num w:numId="3">
    <w:abstractNumId w:val="3"/>
  </w:num>
  <w:num w:numId="4">
    <w:abstractNumId w:val="6"/>
  </w:num>
  <w:num w:numId="5">
    <w:abstractNumId w:val="4"/>
  </w:num>
  <w:num w:numId="6">
    <w:abstractNumId w:val="2"/>
  </w:num>
  <w:num w:numId="7">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ADF3F"/>
  <w:rsids>
    <w:rsidRoot val="00CE5079"/>
    <w:rsid val="00043D26"/>
    <w:rsid val="001B3415"/>
    <w:rsid val="002C0687"/>
    <w:rsid val="004275E1"/>
    <w:rsid val="005A4167"/>
    <w:rsid val="00644871"/>
    <w:rsid val="00CE5079"/>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5E1"/>
  </w:style>
  <w:style w:type="paragraph" w:styleId="Heading1">
    <w:name w:val="heading 1"/>
    <w:basedOn w:val="Normal"/>
    <w:next w:val="Normal"/>
    <w:link w:val="Heading1Char"/>
    <w:uiPriority w:val="9"/>
    <w:qFormat/>
    <w:rsid w:val="004275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275E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275E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275E1"/>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4275E1"/>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4275E1"/>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4275E1"/>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275E1"/>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4275E1"/>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E5079"/>
  </w:style>
  <w:style w:type="paragraph" w:styleId="Title">
    <w:name w:val="Title"/>
    <w:basedOn w:val="Normal"/>
    <w:next w:val="Normal"/>
    <w:link w:val="TitleChar"/>
    <w:uiPriority w:val="10"/>
    <w:qFormat/>
    <w:rsid w:val="004275E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4275E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4275E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275E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275E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4275E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4275E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4275E1"/>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4275E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4275E1"/>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4275E1"/>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275E1"/>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4275E1"/>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4275E1"/>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4275E1"/>
    <w:rPr>
      <w:b/>
      <w:bCs/>
    </w:rPr>
  </w:style>
  <w:style w:type="character" w:styleId="Emphasis">
    <w:name w:val="Emphasis"/>
    <w:basedOn w:val="DefaultParagraphFont"/>
    <w:uiPriority w:val="20"/>
    <w:qFormat/>
    <w:rsid w:val="004275E1"/>
    <w:rPr>
      <w:i/>
      <w:iCs/>
    </w:rPr>
  </w:style>
  <w:style w:type="paragraph" w:styleId="NoSpacing">
    <w:name w:val="No Spacing"/>
    <w:uiPriority w:val="1"/>
    <w:qFormat/>
    <w:rsid w:val="004275E1"/>
    <w:pPr>
      <w:spacing w:after="0" w:line="240" w:lineRule="auto"/>
    </w:pPr>
  </w:style>
  <w:style w:type="paragraph" w:styleId="ListParagraph">
    <w:name w:val="List Paragraph"/>
    <w:basedOn w:val="Normal"/>
    <w:uiPriority w:val="34"/>
    <w:qFormat/>
    <w:rsid w:val="004275E1"/>
    <w:pPr>
      <w:ind w:left="720"/>
      <w:contextualSpacing/>
    </w:pPr>
  </w:style>
  <w:style w:type="paragraph" w:styleId="Quote">
    <w:name w:val="Quote"/>
    <w:basedOn w:val="Normal"/>
    <w:next w:val="Normal"/>
    <w:link w:val="QuoteChar"/>
    <w:uiPriority w:val="29"/>
    <w:qFormat/>
    <w:rsid w:val="004275E1"/>
    <w:rPr>
      <w:i/>
      <w:iCs/>
      <w:color w:val="000000" w:themeColor="text1"/>
    </w:rPr>
  </w:style>
  <w:style w:type="character" w:customStyle="1" w:styleId="QuoteChar">
    <w:name w:val="Quote Char"/>
    <w:basedOn w:val="DefaultParagraphFont"/>
    <w:link w:val="Quote"/>
    <w:uiPriority w:val="29"/>
    <w:rsid w:val="004275E1"/>
    <w:rPr>
      <w:i/>
      <w:iCs/>
      <w:color w:val="000000" w:themeColor="text1"/>
    </w:rPr>
  </w:style>
  <w:style w:type="paragraph" w:styleId="IntenseQuote">
    <w:name w:val="Intense Quote"/>
    <w:basedOn w:val="Normal"/>
    <w:next w:val="Normal"/>
    <w:link w:val="IntenseQuoteChar"/>
    <w:uiPriority w:val="30"/>
    <w:qFormat/>
    <w:rsid w:val="004275E1"/>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275E1"/>
    <w:rPr>
      <w:b/>
      <w:bCs/>
      <w:i/>
      <w:iCs/>
      <w:color w:val="4F81BD" w:themeColor="accent1"/>
    </w:rPr>
  </w:style>
  <w:style w:type="character" w:styleId="SubtleEmphasis">
    <w:name w:val="Subtle Emphasis"/>
    <w:basedOn w:val="DefaultParagraphFont"/>
    <w:uiPriority w:val="19"/>
    <w:qFormat/>
    <w:rsid w:val="004275E1"/>
    <w:rPr>
      <w:i/>
      <w:iCs/>
      <w:color w:val="808080" w:themeColor="text1" w:themeTint="7F"/>
    </w:rPr>
  </w:style>
  <w:style w:type="character" w:styleId="IntenseEmphasis">
    <w:name w:val="Intense Emphasis"/>
    <w:basedOn w:val="DefaultParagraphFont"/>
    <w:uiPriority w:val="21"/>
    <w:qFormat/>
    <w:rsid w:val="004275E1"/>
    <w:rPr>
      <w:b/>
      <w:bCs/>
      <w:i/>
      <w:iCs/>
      <w:color w:val="4F81BD" w:themeColor="accent1"/>
    </w:rPr>
  </w:style>
  <w:style w:type="character" w:styleId="SubtleReference">
    <w:name w:val="Subtle Reference"/>
    <w:basedOn w:val="DefaultParagraphFont"/>
    <w:uiPriority w:val="31"/>
    <w:qFormat/>
    <w:rsid w:val="004275E1"/>
    <w:rPr>
      <w:smallCaps/>
      <w:color w:val="C0504D" w:themeColor="accent2"/>
      <w:u w:val="single"/>
    </w:rPr>
  </w:style>
  <w:style w:type="character" w:styleId="IntenseReference">
    <w:name w:val="Intense Reference"/>
    <w:basedOn w:val="DefaultParagraphFont"/>
    <w:uiPriority w:val="32"/>
    <w:qFormat/>
    <w:rsid w:val="004275E1"/>
    <w:rPr>
      <w:b/>
      <w:bCs/>
      <w:smallCaps/>
      <w:color w:val="C0504D" w:themeColor="accent2"/>
      <w:spacing w:val="5"/>
      <w:u w:val="single"/>
    </w:rPr>
  </w:style>
  <w:style w:type="character" w:styleId="BookTitle">
    <w:name w:val="Book Title"/>
    <w:basedOn w:val="DefaultParagraphFont"/>
    <w:uiPriority w:val="33"/>
    <w:qFormat/>
    <w:rsid w:val="004275E1"/>
    <w:rPr>
      <w:b/>
      <w:bCs/>
      <w:smallCaps/>
      <w:spacing w:val="5"/>
    </w:rPr>
  </w:style>
  <w:style w:type="paragraph" w:styleId="TOCHeading">
    <w:name w:val="TOC Heading"/>
    <w:basedOn w:val="Heading1"/>
    <w:next w:val="Normal"/>
    <w:uiPriority w:val="39"/>
    <w:unhideWhenUsed/>
    <w:qFormat/>
    <w:rsid w:val="004275E1"/>
    <w:pPr>
      <w:outlineLvl w:val="9"/>
    </w:pPr>
  </w:style>
  <w:style w:type="paragraph" w:styleId="Header">
    <w:name w:val="header"/>
    <w:basedOn w:val="Normal"/>
    <w:link w:val="HeaderChar"/>
    <w:uiPriority w:val="99"/>
    <w:unhideWhenUsed/>
    <w:rsid w:val="004275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75E1"/>
  </w:style>
  <w:style w:type="paragraph" w:styleId="Footer">
    <w:name w:val="footer"/>
    <w:basedOn w:val="Normal"/>
    <w:link w:val="FooterChar"/>
    <w:uiPriority w:val="99"/>
    <w:semiHidden/>
    <w:unhideWhenUsed/>
    <w:rsid w:val="004275E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275E1"/>
  </w:style>
  <w:style w:type="paragraph" w:styleId="TOC1">
    <w:name w:val="toc 1"/>
    <w:basedOn w:val="Normal"/>
    <w:next w:val="Normal"/>
    <w:autoRedefine/>
    <w:uiPriority w:val="39"/>
    <w:unhideWhenUsed/>
    <w:rsid w:val="005A4167"/>
    <w:pPr>
      <w:spacing w:after="100"/>
    </w:pPr>
  </w:style>
  <w:style w:type="character" w:styleId="Hyperlink">
    <w:name w:val="Hyperlink"/>
    <w:basedOn w:val="DefaultParagraphFont"/>
    <w:uiPriority w:val="99"/>
    <w:unhideWhenUsed/>
    <w:rsid w:val="005A4167"/>
    <w:rPr>
      <w:color w:val="0000FF" w:themeColor="hyperlink"/>
      <w:u w:val="single"/>
    </w:rPr>
  </w:style>
  <w:style w:type="paragraph" w:styleId="BalloonText">
    <w:name w:val="Balloon Text"/>
    <w:basedOn w:val="Normal"/>
    <w:link w:val="BalloonTextChar"/>
    <w:uiPriority w:val="99"/>
    <w:semiHidden/>
    <w:unhideWhenUsed/>
    <w:rsid w:val="005A41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41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983D8EF3-0820-4554-AA13-AA856762B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7</Pages>
  <Words>2005</Words>
  <Characters>11430</Characters>
  <Application>Microsoft Office Word</Application>
  <DocSecurity>0</DocSecurity>
  <Lines>95</Lines>
  <Paragraphs>26</Paragraphs>
  <ScaleCrop>false</ScaleCrop>
  <Company/>
  <LinksUpToDate>false</LinksUpToDate>
  <CharactersWithSpaces>13409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3</cp:revision>
  <dcterms:created xsi:type="dcterms:W3CDTF">2023-03-02T07:39:00Z</dcterms:created>
  <dcterms:modified xsi:type="dcterms:W3CDTF">2023-03-02T17:44:00Z</dcterms:modified>
</cp:coreProperties>
</file>