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A504F9" w14:textId="2C7FB18E" w:rsidR="00CC3F03" w:rsidRDefault="00865140" w:rsidP="00CC3F03">
      <w:pPr>
        <w:spacing w:line="360" w:lineRule="auto"/>
        <w:rPr>
          <w:rFonts w:ascii="Arial" w:hAnsi="Arial" w:cs="Arial"/>
          <w:b/>
          <w:bCs/>
          <w:sz w:val="28"/>
          <w:szCs w:val="28"/>
        </w:rPr>
      </w:pPr>
      <w:r>
        <w:rPr>
          <w:rFonts w:ascii="Arial" w:hAnsi="Arial" w:cs="Arial"/>
          <w:b/>
          <w:bCs/>
          <w:sz w:val="28"/>
          <w:szCs w:val="28"/>
        </w:rPr>
        <w:t xml:space="preserve">Sustainable Hospitality &amp;Tourism Management </w:t>
      </w:r>
      <w:r w:rsidR="00CE0872" w:rsidRPr="00CE0872">
        <w:rPr>
          <w:rFonts w:ascii="Arial" w:hAnsi="Arial" w:cs="Arial"/>
          <w:b/>
          <w:bCs/>
          <w:sz w:val="28"/>
          <w:szCs w:val="28"/>
        </w:rPr>
        <w:t>BMIH5006</w:t>
      </w:r>
    </w:p>
    <w:p w14:paraId="26B11445" w14:textId="77777777" w:rsidR="00865140" w:rsidRDefault="00865140" w:rsidP="00865140">
      <w:pPr>
        <w:spacing w:line="360" w:lineRule="auto"/>
        <w:rPr>
          <w:rFonts w:ascii="Arial" w:hAnsi="Arial" w:cs="Arial"/>
          <w:b/>
          <w:bCs/>
          <w:sz w:val="28"/>
          <w:szCs w:val="28"/>
        </w:rPr>
      </w:pPr>
    </w:p>
    <w:p w14:paraId="5C6E597B" w14:textId="0FBED2FE" w:rsidR="00865140" w:rsidRPr="00CE0872" w:rsidRDefault="00865140" w:rsidP="00865140">
      <w:pPr>
        <w:spacing w:line="360" w:lineRule="auto"/>
        <w:rPr>
          <w:rFonts w:ascii="Arial" w:hAnsi="Arial" w:cs="Arial"/>
          <w:b/>
          <w:bCs/>
          <w:sz w:val="28"/>
          <w:szCs w:val="28"/>
        </w:rPr>
      </w:pPr>
      <w:r w:rsidRPr="00CE0872">
        <w:rPr>
          <w:rFonts w:ascii="Arial" w:hAnsi="Arial" w:cs="Arial"/>
          <w:b/>
          <w:bCs/>
          <w:sz w:val="28"/>
          <w:szCs w:val="28"/>
        </w:rPr>
        <w:t>Sustainability for Hospitality Industry</w:t>
      </w:r>
    </w:p>
    <w:p w14:paraId="26A67F4C" w14:textId="77777777" w:rsidR="00865140" w:rsidRDefault="00865140" w:rsidP="00CC3F03">
      <w:pPr>
        <w:spacing w:line="360" w:lineRule="auto"/>
        <w:rPr>
          <w:rFonts w:ascii="Arial" w:hAnsi="Arial" w:cs="Arial"/>
          <w:b/>
          <w:bCs/>
          <w:sz w:val="28"/>
          <w:szCs w:val="28"/>
        </w:rPr>
      </w:pPr>
    </w:p>
    <w:p w14:paraId="2D4C8EE1" w14:textId="77777777" w:rsidR="00CC3F03" w:rsidRDefault="00CC3F03" w:rsidP="00CC3F03">
      <w:pPr>
        <w:spacing w:line="360" w:lineRule="auto"/>
        <w:rPr>
          <w:rFonts w:ascii="Arial" w:hAnsi="Arial" w:cs="Arial"/>
          <w:sz w:val="24"/>
          <w:szCs w:val="24"/>
        </w:rPr>
      </w:pPr>
      <w:r w:rsidRPr="00754C07">
        <w:rPr>
          <w:rFonts w:ascii="Arial" w:hAnsi="Arial" w:cs="Arial"/>
          <w:sz w:val="24"/>
          <w:szCs w:val="24"/>
        </w:rPr>
        <w:t>Lecturer:</w:t>
      </w:r>
      <w:r>
        <w:rPr>
          <w:rFonts w:ascii="Arial" w:hAnsi="Arial" w:cs="Arial"/>
          <w:sz w:val="24"/>
          <w:szCs w:val="24"/>
        </w:rPr>
        <w:t xml:space="preserve"> </w:t>
      </w:r>
      <w:r>
        <w:rPr>
          <w:rFonts w:ascii="Arial" w:hAnsi="Arial" w:cs="Arial"/>
          <w:sz w:val="24"/>
          <w:szCs w:val="24"/>
        </w:rPr>
        <w:t>Lisa Knight</w:t>
      </w:r>
    </w:p>
    <w:p w14:paraId="1C63F33A" w14:textId="09DE3965" w:rsidR="00CC3F03" w:rsidRDefault="00CC3F03" w:rsidP="00CC3F03">
      <w:pPr>
        <w:spacing w:line="360" w:lineRule="auto"/>
        <w:rPr>
          <w:rFonts w:ascii="Arial" w:hAnsi="Arial" w:cs="Arial"/>
          <w:sz w:val="24"/>
          <w:szCs w:val="24"/>
        </w:rPr>
      </w:pPr>
      <w:r w:rsidRPr="00754C07">
        <w:rPr>
          <w:rFonts w:ascii="Arial" w:hAnsi="Arial" w:cs="Arial"/>
          <w:sz w:val="24"/>
          <w:szCs w:val="24"/>
        </w:rPr>
        <w:t>Student id:</w:t>
      </w:r>
      <w:r>
        <w:rPr>
          <w:rFonts w:ascii="Arial" w:hAnsi="Arial" w:cs="Arial"/>
          <w:sz w:val="24"/>
          <w:szCs w:val="24"/>
        </w:rPr>
        <w:t>221846</w:t>
      </w:r>
    </w:p>
    <w:p w14:paraId="5053959C" w14:textId="77777777" w:rsidR="00CC3F03" w:rsidRDefault="00CC3F03" w:rsidP="00CC3F03">
      <w:pPr>
        <w:spacing w:line="360" w:lineRule="auto"/>
        <w:rPr>
          <w:rFonts w:ascii="Arial" w:hAnsi="Arial" w:cs="Arial"/>
          <w:b/>
          <w:bCs/>
          <w:sz w:val="28"/>
          <w:szCs w:val="28"/>
        </w:rPr>
      </w:pPr>
      <w:r w:rsidRPr="00754C07">
        <w:rPr>
          <w:rFonts w:ascii="Arial" w:hAnsi="Arial" w:cs="Arial"/>
          <w:sz w:val="24"/>
          <w:szCs w:val="24"/>
        </w:rPr>
        <w:t xml:space="preserve">Student </w:t>
      </w:r>
      <w:proofErr w:type="spellStart"/>
      <w:proofErr w:type="gramStart"/>
      <w:r w:rsidRPr="00754C07">
        <w:rPr>
          <w:rFonts w:ascii="Arial" w:hAnsi="Arial" w:cs="Arial"/>
          <w:sz w:val="24"/>
          <w:szCs w:val="24"/>
        </w:rPr>
        <w:t>name:</w:t>
      </w:r>
      <w:r>
        <w:rPr>
          <w:rFonts w:ascii="Arial" w:hAnsi="Arial" w:cs="Arial"/>
          <w:sz w:val="24"/>
          <w:szCs w:val="24"/>
        </w:rPr>
        <w:t>MIHAELA</w:t>
      </w:r>
      <w:proofErr w:type="spellEnd"/>
      <w:proofErr w:type="gramEnd"/>
      <w:r>
        <w:rPr>
          <w:rFonts w:ascii="Arial" w:hAnsi="Arial" w:cs="Arial"/>
          <w:sz w:val="24"/>
          <w:szCs w:val="24"/>
        </w:rPr>
        <w:t xml:space="preserve"> CARADAN</w:t>
      </w:r>
    </w:p>
    <w:p w14:paraId="7F7688EF" w14:textId="77777777" w:rsidR="00CC3F03" w:rsidRDefault="00CC3F03" w:rsidP="00CC3F03">
      <w:pPr>
        <w:spacing w:line="360" w:lineRule="auto"/>
        <w:rPr>
          <w:rFonts w:ascii="Arial" w:hAnsi="Arial" w:cs="Arial"/>
          <w:sz w:val="24"/>
          <w:szCs w:val="24"/>
        </w:rPr>
      </w:pPr>
      <w:r>
        <w:rPr>
          <w:rFonts w:ascii="Arial" w:hAnsi="Arial" w:cs="Arial"/>
          <w:sz w:val="24"/>
          <w:szCs w:val="24"/>
        </w:rPr>
        <w:t xml:space="preserve"> Date: </w:t>
      </w:r>
      <w:r>
        <w:rPr>
          <w:rFonts w:ascii="Arial" w:hAnsi="Arial" w:cs="Arial"/>
          <w:sz w:val="24"/>
          <w:szCs w:val="24"/>
        </w:rPr>
        <w:t>21/10/2024</w:t>
      </w:r>
    </w:p>
    <w:p w14:paraId="4F962727" w14:textId="0BD5D0EE" w:rsidR="00CC3F03" w:rsidRPr="00CC3F03" w:rsidRDefault="00CC3F03" w:rsidP="00CC3F03">
      <w:pPr>
        <w:spacing w:line="360" w:lineRule="auto"/>
        <w:rPr>
          <w:rFonts w:ascii="Arial" w:hAnsi="Arial" w:cs="Arial"/>
          <w:b/>
          <w:bCs/>
          <w:sz w:val="28"/>
          <w:szCs w:val="28"/>
        </w:rPr>
      </w:pPr>
      <w:r>
        <w:rPr>
          <w:rFonts w:ascii="Arial" w:hAnsi="Arial" w:cs="Arial"/>
          <w:sz w:val="24"/>
          <w:szCs w:val="24"/>
        </w:rPr>
        <w:t xml:space="preserve"> </w:t>
      </w:r>
      <w:r w:rsidRPr="00754C07">
        <w:rPr>
          <w:rFonts w:ascii="Arial" w:hAnsi="Arial" w:cs="Arial"/>
          <w:sz w:val="24"/>
          <w:szCs w:val="24"/>
        </w:rPr>
        <w:t>Word count:</w:t>
      </w:r>
      <w:r>
        <w:rPr>
          <w:rFonts w:ascii="Arial" w:hAnsi="Arial" w:cs="Arial"/>
          <w:sz w:val="24"/>
          <w:szCs w:val="24"/>
        </w:rPr>
        <w:t xml:space="preserve"> 2</w:t>
      </w:r>
      <w:r>
        <w:rPr>
          <w:rFonts w:ascii="Arial" w:hAnsi="Arial" w:cs="Arial"/>
          <w:sz w:val="24"/>
          <w:szCs w:val="24"/>
        </w:rPr>
        <w:t>517</w:t>
      </w:r>
    </w:p>
    <w:p w14:paraId="5DC82135" w14:textId="77777777" w:rsidR="00CC3F03" w:rsidRDefault="00CC3F03" w:rsidP="00CE0872">
      <w:pPr>
        <w:spacing w:line="360" w:lineRule="auto"/>
        <w:rPr>
          <w:rFonts w:ascii="Arial" w:hAnsi="Arial" w:cs="Arial"/>
          <w:b/>
          <w:bCs/>
          <w:sz w:val="28"/>
          <w:szCs w:val="28"/>
        </w:rPr>
      </w:pPr>
    </w:p>
    <w:p w14:paraId="00F38429" w14:textId="218E0C96" w:rsidR="00CE0872" w:rsidRDefault="00CE0872" w:rsidP="00CE0872">
      <w:pPr>
        <w:spacing w:line="360" w:lineRule="auto"/>
        <w:rPr>
          <w:rFonts w:ascii="Arial" w:hAnsi="Arial" w:cs="Arial"/>
          <w:b/>
          <w:bCs/>
          <w:sz w:val="28"/>
          <w:szCs w:val="28"/>
        </w:rPr>
      </w:pPr>
    </w:p>
    <w:p w14:paraId="406AED08" w14:textId="77777777" w:rsidR="00CE0872" w:rsidRDefault="00CE0872" w:rsidP="00CE0872">
      <w:pPr>
        <w:spacing w:line="360" w:lineRule="auto"/>
        <w:rPr>
          <w:rFonts w:ascii="Arial" w:hAnsi="Arial" w:cs="Arial"/>
          <w:b/>
          <w:bCs/>
          <w:sz w:val="28"/>
          <w:szCs w:val="28"/>
        </w:rPr>
      </w:pPr>
    </w:p>
    <w:p w14:paraId="5AF7C92E" w14:textId="77777777" w:rsidR="00CE0872" w:rsidRDefault="00CE0872" w:rsidP="00CE0872">
      <w:pPr>
        <w:spacing w:line="360" w:lineRule="auto"/>
        <w:rPr>
          <w:rFonts w:ascii="Arial" w:hAnsi="Arial" w:cs="Arial"/>
          <w:b/>
          <w:bCs/>
          <w:sz w:val="28"/>
          <w:szCs w:val="28"/>
        </w:rPr>
      </w:pPr>
    </w:p>
    <w:p w14:paraId="33E97915" w14:textId="77777777" w:rsidR="00CE0872" w:rsidRDefault="00CE0872" w:rsidP="00CE0872">
      <w:pPr>
        <w:spacing w:line="360" w:lineRule="auto"/>
        <w:rPr>
          <w:rFonts w:ascii="Arial" w:hAnsi="Arial" w:cs="Arial"/>
          <w:b/>
          <w:bCs/>
          <w:sz w:val="28"/>
          <w:szCs w:val="28"/>
        </w:rPr>
      </w:pPr>
    </w:p>
    <w:p w14:paraId="378FEFB7" w14:textId="77777777" w:rsidR="00CE0872" w:rsidRDefault="00CE0872" w:rsidP="00CE0872">
      <w:pPr>
        <w:spacing w:line="360" w:lineRule="auto"/>
        <w:rPr>
          <w:rFonts w:ascii="Arial" w:hAnsi="Arial" w:cs="Arial"/>
          <w:b/>
          <w:bCs/>
          <w:sz w:val="28"/>
          <w:szCs w:val="28"/>
        </w:rPr>
      </w:pPr>
    </w:p>
    <w:p w14:paraId="25D98461" w14:textId="77777777" w:rsidR="00CE0872" w:rsidRDefault="00CE0872" w:rsidP="00CE0872">
      <w:pPr>
        <w:spacing w:line="360" w:lineRule="auto"/>
        <w:rPr>
          <w:rFonts w:ascii="Arial" w:hAnsi="Arial" w:cs="Arial"/>
          <w:b/>
          <w:bCs/>
          <w:sz w:val="28"/>
          <w:szCs w:val="28"/>
        </w:rPr>
      </w:pPr>
    </w:p>
    <w:p w14:paraId="4C3F8AFA" w14:textId="77777777" w:rsidR="00CE0872" w:rsidRDefault="00CE0872" w:rsidP="00CE0872">
      <w:pPr>
        <w:spacing w:line="360" w:lineRule="auto"/>
        <w:rPr>
          <w:rFonts w:ascii="Arial" w:hAnsi="Arial" w:cs="Arial"/>
          <w:b/>
          <w:bCs/>
          <w:sz w:val="28"/>
          <w:szCs w:val="28"/>
        </w:rPr>
      </w:pPr>
    </w:p>
    <w:p w14:paraId="2FBF5E54" w14:textId="77777777" w:rsidR="00CE0872" w:rsidRDefault="00CE0872" w:rsidP="00CE0872">
      <w:pPr>
        <w:spacing w:line="360" w:lineRule="auto"/>
        <w:rPr>
          <w:rFonts w:ascii="Arial" w:hAnsi="Arial" w:cs="Arial"/>
          <w:b/>
          <w:bCs/>
          <w:sz w:val="28"/>
          <w:szCs w:val="28"/>
        </w:rPr>
      </w:pPr>
    </w:p>
    <w:p w14:paraId="1FB088FA" w14:textId="77777777" w:rsidR="00CE0872" w:rsidRDefault="00CE0872" w:rsidP="00CE0872">
      <w:pPr>
        <w:spacing w:line="360" w:lineRule="auto"/>
        <w:rPr>
          <w:rFonts w:ascii="Arial" w:hAnsi="Arial" w:cs="Arial"/>
          <w:b/>
          <w:bCs/>
          <w:sz w:val="28"/>
          <w:szCs w:val="28"/>
        </w:rPr>
      </w:pPr>
    </w:p>
    <w:p w14:paraId="1F3C6081" w14:textId="77777777" w:rsidR="00CE0872" w:rsidRDefault="00CE0872" w:rsidP="00CE0872">
      <w:pPr>
        <w:spacing w:line="360" w:lineRule="auto"/>
        <w:rPr>
          <w:rFonts w:ascii="Arial" w:hAnsi="Arial" w:cs="Arial"/>
          <w:b/>
          <w:bCs/>
          <w:sz w:val="28"/>
          <w:szCs w:val="28"/>
        </w:rPr>
      </w:pPr>
    </w:p>
    <w:p w14:paraId="72A10757" w14:textId="77777777" w:rsidR="00CE0872" w:rsidRDefault="00CE0872" w:rsidP="00CE0872">
      <w:pPr>
        <w:spacing w:line="360" w:lineRule="auto"/>
        <w:rPr>
          <w:rFonts w:ascii="Arial" w:hAnsi="Arial" w:cs="Arial"/>
          <w:b/>
          <w:bCs/>
          <w:sz w:val="28"/>
          <w:szCs w:val="28"/>
        </w:rPr>
      </w:pPr>
    </w:p>
    <w:p w14:paraId="6B54692B" w14:textId="77777777" w:rsidR="00CE0872" w:rsidRDefault="00CE0872" w:rsidP="00CE0872">
      <w:pPr>
        <w:spacing w:line="360" w:lineRule="auto"/>
        <w:rPr>
          <w:rFonts w:ascii="Arial" w:hAnsi="Arial" w:cs="Arial"/>
          <w:b/>
          <w:bCs/>
          <w:sz w:val="28"/>
          <w:szCs w:val="28"/>
        </w:rPr>
      </w:pPr>
    </w:p>
    <w:p w14:paraId="41B9CF3B" w14:textId="77777777" w:rsidR="00CE0872" w:rsidRDefault="00CE0872" w:rsidP="00CE0872">
      <w:pPr>
        <w:spacing w:line="360" w:lineRule="auto"/>
        <w:rPr>
          <w:rFonts w:ascii="Arial" w:hAnsi="Arial" w:cs="Arial"/>
          <w:b/>
          <w:bCs/>
          <w:sz w:val="28"/>
          <w:szCs w:val="28"/>
        </w:rPr>
      </w:pPr>
    </w:p>
    <w:p w14:paraId="0160D683" w14:textId="77777777" w:rsidR="00CC3F03" w:rsidRDefault="00CC3F03" w:rsidP="00E42799">
      <w:pPr>
        <w:spacing w:line="360" w:lineRule="auto"/>
        <w:jc w:val="both"/>
        <w:rPr>
          <w:rFonts w:ascii="Arial" w:hAnsi="Arial" w:cs="Arial"/>
          <w:b/>
          <w:bCs/>
          <w:sz w:val="28"/>
          <w:szCs w:val="28"/>
        </w:rPr>
      </w:pPr>
    </w:p>
    <w:p w14:paraId="644ED756" w14:textId="24BCFDC9" w:rsidR="00CE0872" w:rsidRPr="00E42799" w:rsidRDefault="00E66F38" w:rsidP="00E42799">
      <w:pPr>
        <w:spacing w:line="360" w:lineRule="auto"/>
        <w:jc w:val="both"/>
        <w:rPr>
          <w:rFonts w:ascii="Arial" w:hAnsi="Arial" w:cs="Arial"/>
          <w:sz w:val="24"/>
          <w:szCs w:val="24"/>
        </w:rPr>
      </w:pPr>
      <w:r w:rsidRPr="00E42799">
        <w:rPr>
          <w:rFonts w:ascii="Arial" w:hAnsi="Arial" w:cs="Arial"/>
          <w:sz w:val="24"/>
          <w:szCs w:val="24"/>
        </w:rPr>
        <w:t>Sustainability means fulfilling current needs while ensuring future generations can also meet theirs (</w:t>
      </w:r>
      <w:r w:rsidR="004B7196" w:rsidRPr="00E42799">
        <w:rPr>
          <w:rFonts w:ascii="Arial" w:hAnsi="Arial" w:cs="Arial"/>
          <w:sz w:val="24"/>
          <w:szCs w:val="24"/>
        </w:rPr>
        <w:t>Jauhari, 2021</w:t>
      </w:r>
      <w:r w:rsidRPr="00E42799">
        <w:rPr>
          <w:rFonts w:ascii="Arial" w:hAnsi="Arial" w:cs="Arial"/>
          <w:sz w:val="24"/>
          <w:szCs w:val="24"/>
        </w:rPr>
        <w:t>). Sustainability in the hospitality industry aims to lower environmental impact, save resources, and enhance social and economic well-being. Tourism and hospitality require significant resources, leading to an increasing awareness of the importance of sustainable practices to protect natural environments and assist local communities (</w:t>
      </w:r>
      <w:r w:rsidR="004B7196" w:rsidRPr="00E42799">
        <w:rPr>
          <w:rFonts w:ascii="Arial" w:hAnsi="Arial" w:cs="Arial"/>
          <w:sz w:val="24"/>
          <w:szCs w:val="24"/>
        </w:rPr>
        <w:t>Wickham, Donnely, and French, 2021</w:t>
      </w:r>
      <w:r w:rsidRPr="00E42799">
        <w:rPr>
          <w:rFonts w:ascii="Arial" w:hAnsi="Arial" w:cs="Arial"/>
          <w:sz w:val="24"/>
          <w:szCs w:val="24"/>
        </w:rPr>
        <w:t xml:space="preserve">). Sustainable hospitality practices involve cutting energy use, handling waste effectively, and using eco-friendly designs. These efforts protect the environment and help businesses reduce costs, enhance their reputation, and meet consumer demand for responsible practices </w:t>
      </w:r>
      <w:r w:rsidR="004B7196" w:rsidRPr="00E42799">
        <w:rPr>
          <w:rFonts w:ascii="Arial" w:hAnsi="Arial" w:cs="Arial"/>
          <w:sz w:val="24"/>
          <w:szCs w:val="24"/>
        </w:rPr>
        <w:t xml:space="preserve">(Deloitte, 2023). </w:t>
      </w:r>
      <w:r w:rsidRPr="00E42799">
        <w:rPr>
          <w:rFonts w:ascii="Arial" w:hAnsi="Arial" w:cs="Arial"/>
          <w:sz w:val="24"/>
          <w:szCs w:val="24"/>
        </w:rPr>
        <w:t>Social sustainability in hospitality focusses on fair working conditions and supports the well-being of employees and local communities, alongside environmental sustainability</w:t>
      </w:r>
      <w:r w:rsidR="004B7196" w:rsidRPr="00E42799">
        <w:rPr>
          <w:rFonts w:ascii="Arial" w:hAnsi="Arial" w:cs="Arial"/>
          <w:sz w:val="24"/>
          <w:szCs w:val="24"/>
        </w:rPr>
        <w:t xml:space="preserve"> (Santos, 2023)</w:t>
      </w:r>
      <w:r w:rsidRPr="00E42799">
        <w:rPr>
          <w:rFonts w:ascii="Arial" w:hAnsi="Arial" w:cs="Arial"/>
          <w:sz w:val="24"/>
          <w:szCs w:val="24"/>
        </w:rPr>
        <w:t>. Focussing on sustainability helps hospitality businesses contribute to climate change efforts while also gaining competitive advantages and improving operational efficiency over time.</w:t>
      </w:r>
      <w:r w:rsidR="004B7196" w:rsidRPr="00E42799">
        <w:rPr>
          <w:rFonts w:ascii="Arial" w:hAnsi="Arial" w:cs="Arial"/>
          <w:sz w:val="24"/>
          <w:szCs w:val="24"/>
        </w:rPr>
        <w:t xml:space="preserve"> The goal is to assess Hilton's CSR programs, with an accent on their sustainability effect, obstacles, and compliance with legal frameworks.</w:t>
      </w:r>
    </w:p>
    <w:p w14:paraId="0A0877A7" w14:textId="7F0AF9F8" w:rsidR="00E66F38" w:rsidRPr="00E42799" w:rsidRDefault="00DB7FD8" w:rsidP="00E42799">
      <w:pPr>
        <w:spacing w:line="360" w:lineRule="auto"/>
        <w:jc w:val="both"/>
        <w:rPr>
          <w:rFonts w:ascii="Arial" w:hAnsi="Arial" w:cs="Arial"/>
          <w:sz w:val="24"/>
          <w:szCs w:val="24"/>
        </w:rPr>
      </w:pPr>
      <w:r w:rsidRPr="00E42799">
        <w:rPr>
          <w:rFonts w:ascii="Arial" w:hAnsi="Arial" w:cs="Arial"/>
          <w:sz w:val="24"/>
          <w:szCs w:val="24"/>
        </w:rPr>
        <w:t>Corporate Social Responsibility</w:t>
      </w:r>
      <w:r w:rsidR="004B7196" w:rsidRPr="00E42799">
        <w:rPr>
          <w:rFonts w:ascii="Arial" w:hAnsi="Arial" w:cs="Arial"/>
          <w:sz w:val="24"/>
          <w:szCs w:val="24"/>
        </w:rPr>
        <w:t xml:space="preserve"> </w:t>
      </w:r>
      <w:r w:rsidRPr="00E42799">
        <w:rPr>
          <w:rFonts w:ascii="Arial" w:hAnsi="Arial" w:cs="Arial"/>
          <w:sz w:val="24"/>
          <w:szCs w:val="24"/>
        </w:rPr>
        <w:t xml:space="preserve">in the hospitality industry involves companies managing their business processes ethically and contributing to societal and environmental well-being </w:t>
      </w:r>
      <w:r w:rsidR="004B7196" w:rsidRPr="00E42799">
        <w:rPr>
          <w:rFonts w:ascii="Arial" w:hAnsi="Arial" w:cs="Arial"/>
          <w:sz w:val="24"/>
          <w:szCs w:val="24"/>
        </w:rPr>
        <w:t xml:space="preserve">(Kaur et al., 2022). </w:t>
      </w:r>
      <w:r w:rsidRPr="00E42799">
        <w:rPr>
          <w:rFonts w:ascii="Arial" w:hAnsi="Arial" w:cs="Arial"/>
          <w:sz w:val="24"/>
          <w:szCs w:val="24"/>
        </w:rPr>
        <w:t xml:space="preserve">CSR policies in this sector include activities like environmental management, community development, and ethical labour practices, which are more aligned with sustainable business practices. Environmental sustainability is a key part of CSR policies, emphasising reduced energy use, waste minimisation, and support for water conservation initiatives </w:t>
      </w:r>
      <w:r w:rsidR="004B7196" w:rsidRPr="00E42799">
        <w:rPr>
          <w:rFonts w:ascii="Arial" w:hAnsi="Arial" w:cs="Arial"/>
          <w:sz w:val="24"/>
          <w:szCs w:val="24"/>
        </w:rPr>
        <w:t xml:space="preserve">(Shayan et al., 2022). </w:t>
      </w:r>
      <w:r w:rsidRPr="00E42799">
        <w:rPr>
          <w:rFonts w:ascii="Arial" w:hAnsi="Arial" w:cs="Arial"/>
          <w:sz w:val="24"/>
          <w:szCs w:val="24"/>
        </w:rPr>
        <w:t xml:space="preserve">These efforts seek to reduce the environmental impact of large hotel operations and enhance efficiency while lowering operational costs. Many CSR policies in the hospitality industry also emphasise social sustainability alongside environmental management. This includes ensuring fair labour practices, supporting local jobs, and investing in community development projects. Ethical supply chain management is important, as hotels source products responsibly and ensure suppliers meet ethical standards. Diversity and inclusion policies are key to CSR strategies in hotel </w:t>
      </w:r>
      <w:r w:rsidRPr="00E42799">
        <w:rPr>
          <w:rFonts w:ascii="Arial" w:hAnsi="Arial" w:cs="Arial"/>
          <w:sz w:val="24"/>
          <w:szCs w:val="24"/>
        </w:rPr>
        <w:lastRenderedPageBreak/>
        <w:t>operations, promoting a more inclusive workplace and community involvement</w:t>
      </w:r>
      <w:r w:rsidR="000D7F85" w:rsidRPr="00E42799">
        <w:rPr>
          <w:rFonts w:ascii="Arial" w:hAnsi="Arial" w:cs="Arial"/>
          <w:sz w:val="24"/>
          <w:szCs w:val="24"/>
        </w:rPr>
        <w:t xml:space="preserve"> (Pereira, Silva and Dias, 2021)</w:t>
      </w:r>
      <w:r w:rsidRPr="00E42799">
        <w:rPr>
          <w:rFonts w:ascii="Arial" w:hAnsi="Arial" w:cs="Arial"/>
          <w:sz w:val="24"/>
          <w:szCs w:val="24"/>
        </w:rPr>
        <w:t>. CSR initiatives in the hospitality industry enhance brand reputation and customer loyalty, as consumers prefer companies committed to sustainable and ethical practices</w:t>
      </w:r>
      <w:r w:rsidR="000D7F85" w:rsidRPr="00E42799">
        <w:rPr>
          <w:rFonts w:ascii="Arial" w:hAnsi="Arial" w:cs="Arial"/>
          <w:sz w:val="24"/>
          <w:szCs w:val="24"/>
        </w:rPr>
        <w:t xml:space="preserve">. </w:t>
      </w:r>
      <w:r w:rsidRPr="00E42799">
        <w:rPr>
          <w:rFonts w:ascii="Arial" w:hAnsi="Arial" w:cs="Arial"/>
          <w:sz w:val="24"/>
          <w:szCs w:val="24"/>
        </w:rPr>
        <w:t>Hotels with strong CSR strategies often see higher employee satisfaction, better risk management, and improved long-term profitability</w:t>
      </w:r>
      <w:r w:rsidR="000D7F85" w:rsidRPr="00E42799">
        <w:rPr>
          <w:rFonts w:ascii="Arial" w:hAnsi="Arial" w:cs="Arial"/>
          <w:sz w:val="24"/>
          <w:szCs w:val="24"/>
        </w:rPr>
        <w:t xml:space="preserve"> (Costa and Costa, 2022)</w:t>
      </w:r>
      <w:r w:rsidRPr="00E42799">
        <w:rPr>
          <w:rFonts w:ascii="Arial" w:hAnsi="Arial" w:cs="Arial"/>
          <w:sz w:val="24"/>
          <w:szCs w:val="24"/>
        </w:rPr>
        <w:t>. CSR offers chances for differentiation in a competitive market, presenting a strong value proposition to consumers and stakeholders who prioritise ethics. I am writing to express my interest in a position at Hilton. With a strong background in hospitality and customer service, I believe I would be a valuable addition to your team. My experience includes working in various roles within the industry, where I developed skills in communication, problem-solving, and teamwork. I am passionate about providing exceptional service and ensuring guest satisfaction</w:t>
      </w:r>
      <w:r w:rsidR="000D7F85" w:rsidRPr="00E42799">
        <w:rPr>
          <w:rFonts w:ascii="Arial" w:hAnsi="Arial" w:cs="Arial"/>
          <w:sz w:val="24"/>
          <w:szCs w:val="24"/>
        </w:rPr>
        <w:t>(Li and Rabeeu, 2024)</w:t>
      </w:r>
      <w:r w:rsidRPr="00E42799">
        <w:rPr>
          <w:rFonts w:ascii="Arial" w:hAnsi="Arial" w:cs="Arial"/>
          <w:sz w:val="24"/>
          <w:szCs w:val="24"/>
        </w:rPr>
        <w:t xml:space="preserve">. </w:t>
      </w:r>
      <w:r w:rsidR="000D7F85" w:rsidRPr="00E42799">
        <w:rPr>
          <w:rFonts w:ascii="Arial" w:hAnsi="Arial" w:cs="Arial"/>
          <w:sz w:val="24"/>
          <w:szCs w:val="24"/>
        </w:rPr>
        <w:t xml:space="preserve">For example, </w:t>
      </w:r>
      <w:r w:rsidRPr="00E42799">
        <w:rPr>
          <w:rFonts w:ascii="Arial" w:hAnsi="Arial" w:cs="Arial"/>
          <w:sz w:val="24"/>
          <w:szCs w:val="24"/>
        </w:rPr>
        <w:t>Hilton implements its CSR policies through the “Travel with Purpose” strategy, which aims to reduce environmental impact and enhance social well-being in the communities where the hotel operates. Hilton aims to cut carbon emissions by 75% and water use by 50% by 2030, aligning with the Science Based Targets initiative (Hilton, 2023). The company prioritises responsible sourcing via its Hilton Supply Management division, ensuring goods are obtained from ethical suppliers worldwide. Hilton focusses on diversity and inclusion, striving for gender equality in leadership and supporting career development for under-represented groups. Hilton supports local projects and provides disaster relief through the Hilton Global Foundation, highlighting the importance of community engagement</w:t>
      </w:r>
      <w:r w:rsidR="000D7F85" w:rsidRPr="00E42799">
        <w:rPr>
          <w:rFonts w:ascii="Arial" w:hAnsi="Arial" w:cs="Arial"/>
          <w:sz w:val="24"/>
          <w:szCs w:val="24"/>
        </w:rPr>
        <w:t xml:space="preserve"> (Hilton, 2022)</w:t>
      </w:r>
      <w:r w:rsidRPr="00E42799">
        <w:rPr>
          <w:rFonts w:ascii="Arial" w:hAnsi="Arial" w:cs="Arial"/>
          <w:sz w:val="24"/>
          <w:szCs w:val="24"/>
        </w:rPr>
        <w:t>. The company's CSR policies contribute to global sustainability and enhance its brand reputation, fostering loyalty among environmentally conscious customers.</w:t>
      </w:r>
    </w:p>
    <w:p w14:paraId="50502396" w14:textId="470BAB2A" w:rsidR="00DB7FD8" w:rsidRPr="00E42799" w:rsidRDefault="00DB7FD8" w:rsidP="00E42799">
      <w:pPr>
        <w:spacing w:line="360" w:lineRule="auto"/>
        <w:jc w:val="both"/>
        <w:rPr>
          <w:rFonts w:ascii="Arial" w:hAnsi="Arial" w:cs="Arial"/>
          <w:sz w:val="24"/>
          <w:szCs w:val="24"/>
        </w:rPr>
      </w:pPr>
      <w:r w:rsidRPr="00E42799">
        <w:rPr>
          <w:rFonts w:ascii="Arial" w:hAnsi="Arial" w:cs="Arial"/>
          <w:sz w:val="24"/>
          <w:szCs w:val="24"/>
        </w:rPr>
        <w:t>Implementing Corporate Social Responsibility</w:t>
      </w:r>
      <w:r w:rsidR="000D7F85" w:rsidRPr="00E42799">
        <w:rPr>
          <w:rFonts w:ascii="Arial" w:hAnsi="Arial" w:cs="Arial"/>
          <w:sz w:val="24"/>
          <w:szCs w:val="24"/>
        </w:rPr>
        <w:t xml:space="preserve"> </w:t>
      </w:r>
      <w:r w:rsidRPr="00E42799">
        <w:rPr>
          <w:rFonts w:ascii="Arial" w:hAnsi="Arial" w:cs="Arial"/>
          <w:sz w:val="24"/>
          <w:szCs w:val="24"/>
        </w:rPr>
        <w:t xml:space="preserve">regulations in the hotel industry provides several obstacles, </w:t>
      </w:r>
      <w:r w:rsidR="000D7F85" w:rsidRPr="00E42799">
        <w:rPr>
          <w:rFonts w:ascii="Arial" w:hAnsi="Arial" w:cs="Arial"/>
          <w:sz w:val="24"/>
          <w:szCs w:val="24"/>
        </w:rPr>
        <w:t>in terms of</w:t>
      </w:r>
      <w:r w:rsidRPr="00E42799">
        <w:rPr>
          <w:rFonts w:ascii="Arial" w:hAnsi="Arial" w:cs="Arial"/>
          <w:sz w:val="24"/>
          <w:szCs w:val="24"/>
        </w:rPr>
        <w:t xml:space="preserve"> balancing profitability with ethical behaviours. One of the key concerns is the high expense of implementing sustainable operations. For example, updating infrastructure to be more energy-efficient, such as adding LED lights or solar panels, has considerable upfront expenditures, despite the potential for long-term savings (</w:t>
      </w:r>
      <w:r w:rsidR="000D7F85" w:rsidRPr="00E42799">
        <w:rPr>
          <w:rFonts w:ascii="Arial" w:hAnsi="Arial" w:cs="Arial"/>
          <w:sz w:val="24"/>
          <w:szCs w:val="24"/>
        </w:rPr>
        <w:t>Edgell, 2020</w:t>
      </w:r>
      <w:r w:rsidRPr="00E42799">
        <w:rPr>
          <w:rFonts w:ascii="Arial" w:hAnsi="Arial" w:cs="Arial"/>
          <w:sz w:val="24"/>
          <w:szCs w:val="24"/>
        </w:rPr>
        <w:t xml:space="preserve">). Furthermore, hotels confront </w:t>
      </w:r>
      <w:r w:rsidR="000D7F85" w:rsidRPr="00E42799">
        <w:rPr>
          <w:rFonts w:ascii="Arial" w:hAnsi="Arial" w:cs="Arial"/>
          <w:sz w:val="24"/>
          <w:szCs w:val="24"/>
        </w:rPr>
        <w:t>difficulties</w:t>
      </w:r>
      <w:r w:rsidRPr="00E42799">
        <w:rPr>
          <w:rFonts w:ascii="Arial" w:hAnsi="Arial" w:cs="Arial"/>
          <w:sz w:val="24"/>
          <w:szCs w:val="24"/>
        </w:rPr>
        <w:t xml:space="preserve"> in satisfying varying regulatory standards across areas, which can complicate global CSR initiatives. Managing compliance with environmental and labour legislation in several jurisdictions necessitates significant resources and coordination </w:t>
      </w:r>
      <w:r w:rsidR="000D7F85" w:rsidRPr="00E42799">
        <w:rPr>
          <w:rFonts w:ascii="Arial" w:hAnsi="Arial" w:cs="Arial"/>
          <w:sz w:val="24"/>
          <w:szCs w:val="24"/>
        </w:rPr>
        <w:t xml:space="preserve">(Meng et al., 2024). </w:t>
      </w:r>
      <w:r w:rsidRPr="00E42799">
        <w:rPr>
          <w:rFonts w:ascii="Arial" w:hAnsi="Arial" w:cs="Arial"/>
          <w:sz w:val="24"/>
          <w:szCs w:val="24"/>
        </w:rPr>
        <w:lastRenderedPageBreak/>
        <w:t xml:space="preserve">Another major difficulty is stakeholder alignment. Hotels frequently have to negotiate the interests of several stakeholders, including investors, consumers, and local communities. While visitors are increasingly demanding environmentally friendly behaviours, investors may prioritise rapid financial gains over long-term sustainability initiatives. Furthermore, the seasonal nature of the hotel business might complicate CSR implementation. For example, changing occupancy rates make it difficult to maintain consistent resource management and waste reduction initiatives throughout the year </w:t>
      </w:r>
      <w:r w:rsidR="00A364C9" w:rsidRPr="00E42799">
        <w:rPr>
          <w:rFonts w:ascii="Arial" w:hAnsi="Arial" w:cs="Arial"/>
          <w:sz w:val="24"/>
          <w:szCs w:val="24"/>
        </w:rPr>
        <w:t xml:space="preserve">(World Economic Forum, 2022). </w:t>
      </w:r>
      <w:r w:rsidRPr="00E42799">
        <w:rPr>
          <w:rFonts w:ascii="Arial" w:hAnsi="Arial" w:cs="Arial"/>
          <w:sz w:val="24"/>
          <w:szCs w:val="24"/>
        </w:rPr>
        <w:t>Another source of worry is workforce management, especially in areas with lax labour rules. Ensuring fair salaries and ethical employment standards across the supply chain can be difficult in nations with limited regulation. Hotels sometimes rely on third-party certificates, which may not always ensure complete compliance. Finally, determining the effectiveness of CSR programs remains a considerable challenge. Hotels struggle to evaluate the performance of their CSR initiatives due to a lack of standardised indicators and the complexities of measuring environmental and social impacts (</w:t>
      </w:r>
      <w:r w:rsidR="00A364C9" w:rsidRPr="00E42799">
        <w:rPr>
          <w:rFonts w:ascii="Arial" w:hAnsi="Arial" w:cs="Arial"/>
          <w:sz w:val="24"/>
          <w:szCs w:val="24"/>
        </w:rPr>
        <w:t>Batabyal, 2018</w:t>
      </w:r>
      <w:r w:rsidRPr="00E42799">
        <w:rPr>
          <w:rFonts w:ascii="Arial" w:hAnsi="Arial" w:cs="Arial"/>
          <w:sz w:val="24"/>
          <w:szCs w:val="24"/>
        </w:rPr>
        <w:t>). Hilton's "Travel with Purpose" approach highlights the hotel chain's dedication to CSR, however implementing these programs presents various hurdles. One key problem is managing its vast worldwide supply network. With over 90,000 suppliers, maintaining responsible sourcing and compliance with Hilton's sustainability criteria is a significant undertaking (Hilton, 2022). Hilton aims to reduce carbon emissions by 75% throughout its managed properties by 2030, but this will need major financial and technical investments (Hilton, 2022). Aligning franchise operations with corporate sustainability goals can be challenging due to limited resources for autonomous operations</w:t>
      </w:r>
      <w:r w:rsidR="00A364C9" w:rsidRPr="00E42799">
        <w:rPr>
          <w:rFonts w:ascii="Arial" w:hAnsi="Arial" w:cs="Arial"/>
          <w:sz w:val="24"/>
          <w:szCs w:val="24"/>
        </w:rPr>
        <w:t xml:space="preserve">. </w:t>
      </w:r>
      <w:r w:rsidRPr="00E42799">
        <w:rPr>
          <w:rFonts w:ascii="Arial" w:hAnsi="Arial" w:cs="Arial"/>
          <w:sz w:val="24"/>
          <w:szCs w:val="24"/>
        </w:rPr>
        <w:t>Balancing guest requests for luxury with eco-friendly services is a tough task for hotel chains</w:t>
      </w:r>
      <w:r w:rsidR="00A364C9" w:rsidRPr="00E42799">
        <w:rPr>
          <w:rFonts w:ascii="Arial" w:hAnsi="Arial" w:cs="Arial"/>
          <w:sz w:val="24"/>
          <w:szCs w:val="24"/>
        </w:rPr>
        <w:t>.</w:t>
      </w:r>
    </w:p>
    <w:p w14:paraId="60FB9577" w14:textId="4470D69C" w:rsidR="00DB7FD8" w:rsidRPr="00E42799" w:rsidRDefault="00DB7FD8" w:rsidP="00E42799">
      <w:pPr>
        <w:spacing w:line="360" w:lineRule="auto"/>
        <w:jc w:val="both"/>
        <w:rPr>
          <w:rFonts w:ascii="Arial" w:hAnsi="Arial" w:cs="Arial"/>
          <w:sz w:val="24"/>
          <w:szCs w:val="24"/>
        </w:rPr>
      </w:pPr>
      <w:r w:rsidRPr="00E42799">
        <w:rPr>
          <w:rFonts w:ascii="Arial" w:hAnsi="Arial" w:cs="Arial"/>
          <w:sz w:val="24"/>
          <w:szCs w:val="24"/>
        </w:rPr>
        <w:t>Globally, CSR programs are critical for solving major environmental issues like as climate change, biodiversity loss, and water shortages. CSR policies contribute to global sustainability efforts by focussing on lowering greenhouse gas emissions, water consumption, and waste generation. They also correspond with international frameworks such as the United Nations' Sustainable Development Goals (SDGs) (</w:t>
      </w:r>
      <w:r w:rsidR="00A364C9" w:rsidRPr="00E42799">
        <w:rPr>
          <w:rFonts w:ascii="Arial" w:hAnsi="Arial" w:cs="Arial"/>
          <w:sz w:val="24"/>
          <w:szCs w:val="24"/>
        </w:rPr>
        <w:t>Silva, 2024</w:t>
      </w:r>
      <w:r w:rsidRPr="00E42799">
        <w:rPr>
          <w:rFonts w:ascii="Arial" w:hAnsi="Arial" w:cs="Arial"/>
          <w:sz w:val="24"/>
          <w:szCs w:val="24"/>
        </w:rPr>
        <w:t xml:space="preserve">). The utilisation of energy-efficient technology, such as renewable energy sources and energy-saving equipment, allows hotels to considerably minimise their carbon footprint. This not only tackles the worldwide issue of climate change, but also </w:t>
      </w:r>
      <w:r w:rsidRPr="00E42799">
        <w:rPr>
          <w:rFonts w:ascii="Arial" w:hAnsi="Arial" w:cs="Arial"/>
          <w:sz w:val="24"/>
          <w:szCs w:val="24"/>
        </w:rPr>
        <w:lastRenderedPageBreak/>
        <w:t>lowers operational expenses. Furthermore, activities such as trash reduction programs and recycling processes serve to reduce hotel operations' environmental effect</w:t>
      </w:r>
      <w:r w:rsidR="00A364C9" w:rsidRPr="00E42799">
        <w:rPr>
          <w:rFonts w:ascii="Arial" w:hAnsi="Arial" w:cs="Arial"/>
          <w:sz w:val="24"/>
          <w:szCs w:val="24"/>
        </w:rPr>
        <w:t xml:space="preserve"> (Li, 2023).</w:t>
      </w:r>
      <w:r w:rsidRPr="00E42799">
        <w:rPr>
          <w:rFonts w:ascii="Arial" w:hAnsi="Arial" w:cs="Arial"/>
          <w:sz w:val="24"/>
          <w:szCs w:val="24"/>
        </w:rPr>
        <w:t xml:space="preserve"> For example, many hospitality organisations are increasingly focussing on the circular economy concept, which tries to decrease waste by recycling resources more effectively. This is especially significant in an industry recognised for creating large amounts of garbage from operations and visitor activities </w:t>
      </w:r>
      <w:r w:rsidR="00A364C9" w:rsidRPr="00E42799">
        <w:rPr>
          <w:rFonts w:ascii="Arial" w:hAnsi="Arial" w:cs="Arial"/>
          <w:sz w:val="24"/>
          <w:szCs w:val="24"/>
        </w:rPr>
        <w:t xml:space="preserve">(Bittner, Bakker and Long, 2024). </w:t>
      </w:r>
      <w:r w:rsidRPr="00E42799">
        <w:rPr>
          <w:rFonts w:ascii="Arial" w:hAnsi="Arial" w:cs="Arial"/>
          <w:sz w:val="24"/>
          <w:szCs w:val="24"/>
        </w:rPr>
        <w:t>On a local level, CSR policies enable hotels to make direct contributions to the well-being of the communities where they operate. Hotels that practise ethical sourcing, such as purchasing items from local vendors or supporting local farmers, contribute to lower transportation emissions and stronger local economies. In addition, several hotels participate in biodiversity conservation initiatives that help to safeguard local species and ecosystems. This not only benefits the natural environment, but also supports sustainable tourism, which is becoming increasingly popular among consumers</w:t>
      </w:r>
      <w:r w:rsidR="00A364C9" w:rsidRPr="00E42799">
        <w:rPr>
          <w:rFonts w:ascii="Arial" w:hAnsi="Arial" w:cs="Arial"/>
          <w:sz w:val="24"/>
          <w:szCs w:val="24"/>
        </w:rPr>
        <w:t xml:space="preserve"> (Rostami and Salehi, 2024)</w:t>
      </w:r>
      <w:r w:rsidRPr="00E42799">
        <w:rPr>
          <w:rFonts w:ascii="Arial" w:hAnsi="Arial" w:cs="Arial"/>
          <w:sz w:val="24"/>
          <w:szCs w:val="24"/>
        </w:rPr>
        <w:t>. Hotels that include CSR into their business models can build stronger relationships with local communities and contribute to environmental stewardship (</w:t>
      </w:r>
      <w:r w:rsidR="00A364C9" w:rsidRPr="00E42799">
        <w:rPr>
          <w:rFonts w:ascii="Arial" w:hAnsi="Arial" w:cs="Arial"/>
          <w:sz w:val="24"/>
          <w:szCs w:val="24"/>
        </w:rPr>
        <w:t>Cooper, 2021</w:t>
      </w:r>
      <w:r w:rsidRPr="00E42799">
        <w:rPr>
          <w:rFonts w:ascii="Arial" w:hAnsi="Arial" w:cs="Arial"/>
          <w:sz w:val="24"/>
          <w:szCs w:val="24"/>
        </w:rPr>
        <w:t>). However, enacting these policies is not without difficulties. Hotels frequently confront challenges in harmonising the interests of many stakeholders, maintaining regulatory compliance across several locations, and managing the significant expenses involved with sustainable operations. Despite these hurdles, the prospects for environmental impact, financial savings, and improved reputation make CSR a worthwhile long-term strategy. Hilton's CSR efforts, notably its "Travel with Purpose" campaign, have had a considerable environmental impact on a local and worldwide scale. Hilton aims to reduce carbon emissions by 75% by 2030, as part of the Science Based Targets effort (Hilton, 2022). Hilton's sustainable sourcing activities, including as employing locally grown products and supporting local suppliers, benefit both the environment and local economy</w:t>
      </w:r>
      <w:r w:rsidR="00A364C9" w:rsidRPr="00E42799">
        <w:rPr>
          <w:rFonts w:ascii="Arial" w:hAnsi="Arial" w:cs="Arial"/>
          <w:sz w:val="24"/>
          <w:szCs w:val="24"/>
        </w:rPr>
        <w:t xml:space="preserve">. </w:t>
      </w:r>
      <w:r w:rsidRPr="00E42799">
        <w:rPr>
          <w:rFonts w:ascii="Arial" w:hAnsi="Arial" w:cs="Arial"/>
          <w:sz w:val="24"/>
          <w:szCs w:val="24"/>
        </w:rPr>
        <w:t>Hilton's involvement in biodiversity conservation measures, such as protecting marine life at its Curio Collection hotels, demonstrates its dedication to maintaining local habitats (Hilton</w:t>
      </w:r>
      <w:r w:rsidR="00A364C9" w:rsidRPr="00E42799">
        <w:rPr>
          <w:rFonts w:ascii="Arial" w:hAnsi="Arial" w:cs="Arial"/>
          <w:sz w:val="24"/>
          <w:szCs w:val="24"/>
        </w:rPr>
        <w:t>, 2022</w:t>
      </w:r>
      <w:r w:rsidRPr="00E42799">
        <w:rPr>
          <w:rFonts w:ascii="Arial" w:hAnsi="Arial" w:cs="Arial"/>
          <w:sz w:val="24"/>
          <w:szCs w:val="24"/>
        </w:rPr>
        <w:t>). Hotels like Hilton London Metropole have reduced energy usage by 30% through energy-efficient technologies and waste management procedures</w:t>
      </w:r>
      <w:r w:rsidR="00A364C9" w:rsidRPr="00E42799">
        <w:rPr>
          <w:rFonts w:ascii="Arial" w:hAnsi="Arial" w:cs="Arial"/>
          <w:sz w:val="24"/>
          <w:szCs w:val="24"/>
        </w:rPr>
        <w:t xml:space="preserve">. </w:t>
      </w:r>
      <w:r w:rsidRPr="00E42799">
        <w:rPr>
          <w:rFonts w:ascii="Arial" w:hAnsi="Arial" w:cs="Arial"/>
          <w:sz w:val="24"/>
          <w:szCs w:val="24"/>
        </w:rPr>
        <w:t>These measures illustrate Hilton's commitment to balancing commercial growth and environmental sustainability.</w:t>
      </w:r>
    </w:p>
    <w:p w14:paraId="2B04E491" w14:textId="34E4A834" w:rsidR="00DB7FD8" w:rsidRPr="00E42799" w:rsidRDefault="003E29CD" w:rsidP="00E42799">
      <w:pPr>
        <w:spacing w:line="360" w:lineRule="auto"/>
        <w:jc w:val="both"/>
        <w:rPr>
          <w:rFonts w:ascii="Arial" w:hAnsi="Arial" w:cs="Arial"/>
          <w:sz w:val="24"/>
          <w:szCs w:val="24"/>
        </w:rPr>
      </w:pPr>
      <w:r w:rsidRPr="00E42799">
        <w:rPr>
          <w:rFonts w:ascii="Arial" w:hAnsi="Arial" w:cs="Arial"/>
          <w:sz w:val="24"/>
          <w:szCs w:val="24"/>
        </w:rPr>
        <w:lastRenderedPageBreak/>
        <w:t>In the United Kingdom, Corporate Social Responsibility in business is governed by an expanding legislative framework meant to ensure firms are socially and ecologically responsible. The Companies Act of 2006 is one of the most major pieces of law impacting CSR. Section 172 of the Act specifically requires corporate directors to promote the firm's performance while taking into account the long-term effects of their actions for employees, the environment, and community relations (UK Government, 2006). This legislative duty requires corporations like Hilton to include sustainability and social responsibility into their corporate strategy, ensuring that actions benefit a larger range of stakeholders beyond shareholders. The Climate Change Act of 2008 is another significant piece of legislation that is particularly pertinent to Hilton's environmental endeavours. The Act set the world's first legally binding climate target, requiring the UK to cut greenhouse gas emissions by at least 100% by 2050 when compared to 1990 levels</w:t>
      </w:r>
      <w:r w:rsidR="00E42799" w:rsidRPr="00E42799">
        <w:rPr>
          <w:rFonts w:ascii="Arial" w:hAnsi="Arial" w:cs="Arial"/>
          <w:sz w:val="24"/>
          <w:szCs w:val="24"/>
        </w:rPr>
        <w:t xml:space="preserve"> (Font and Lynes, 2018)</w:t>
      </w:r>
      <w:r w:rsidRPr="00E42799">
        <w:rPr>
          <w:rFonts w:ascii="Arial" w:hAnsi="Arial" w:cs="Arial"/>
          <w:sz w:val="24"/>
          <w:szCs w:val="24"/>
        </w:rPr>
        <w:t>. This places a significant burden on large energy consumers such as Hilton hotels to reduce their carbon footprint, which has resulted in the implementation of energy-efficient technologies and practices such as LED lighting, renewable energy sourcing, and improved building insulation in Hilton properties throughout the UK. The Act also requires businesses to disclose their greenhouse gas emissions through reporting schemes like Streamlined Energy and Carbon Reporting (SECR), which promotes transparency and accountability in corporate environmental performance (</w:t>
      </w:r>
      <w:r w:rsidR="00E42799" w:rsidRPr="00E42799">
        <w:rPr>
          <w:rFonts w:ascii="Arial" w:hAnsi="Arial" w:cs="Arial"/>
          <w:sz w:val="24"/>
          <w:szCs w:val="24"/>
        </w:rPr>
        <w:t>Walmsley, 2011</w:t>
      </w:r>
      <w:r w:rsidRPr="00E42799">
        <w:rPr>
          <w:rFonts w:ascii="Arial" w:hAnsi="Arial" w:cs="Arial"/>
          <w:sz w:val="24"/>
          <w:szCs w:val="24"/>
        </w:rPr>
        <w:t>). The Environmental Protection Act of 1990 regulates waste management and pollution control. This rule requires efficient garbage disposal and pollution control methods, which is especially important for hotels that create a lot of waste on a regular basis</w:t>
      </w:r>
      <w:r w:rsidR="00E42799" w:rsidRPr="00E42799">
        <w:rPr>
          <w:rFonts w:ascii="Arial" w:hAnsi="Arial" w:cs="Arial"/>
          <w:sz w:val="24"/>
          <w:szCs w:val="24"/>
        </w:rPr>
        <w:t xml:space="preserve"> (UK Government, 1990)</w:t>
      </w:r>
      <w:r w:rsidRPr="00E42799">
        <w:rPr>
          <w:rFonts w:ascii="Arial" w:hAnsi="Arial" w:cs="Arial"/>
          <w:sz w:val="24"/>
          <w:szCs w:val="24"/>
        </w:rPr>
        <w:t>. Hilton complies by implementing extensive recycling systems, decreasing single-use plastics, and guaranteeing responsible waste management across the supply chain</w:t>
      </w:r>
      <w:r w:rsidR="00E42799" w:rsidRPr="00E42799">
        <w:rPr>
          <w:rFonts w:ascii="Arial" w:hAnsi="Arial" w:cs="Arial"/>
          <w:sz w:val="24"/>
          <w:szCs w:val="24"/>
        </w:rPr>
        <w:t xml:space="preserve"> (Hilton, 2023)</w:t>
      </w:r>
      <w:r w:rsidRPr="00E42799">
        <w:rPr>
          <w:rFonts w:ascii="Arial" w:hAnsi="Arial" w:cs="Arial"/>
          <w:sz w:val="24"/>
          <w:szCs w:val="24"/>
        </w:rPr>
        <w:t xml:space="preserve">. Furthermore, this regulation makes businesses liable for environmental damage caused by their operations, incentivising hospitality businesses to adopt sustainable practices in order to avoid penalties and keep their operating licenses (UK Government, 1990). Socially, the Modern Slavery Act of 2015 is critical to ensuring that Hilton, like other major firms, has an ethical supply chain. This law compels UK-based enterprises with a revenue of £36 million or more to report on how they combat modern slavery and human trafficking in their operations and supply networks. Hilton has responded by reviewing its suppliers and implementing strong criteria to ensure fair work practices worldwide, reaffirming its commitment to </w:t>
      </w:r>
      <w:r w:rsidRPr="00E42799">
        <w:rPr>
          <w:rFonts w:ascii="Arial" w:hAnsi="Arial" w:cs="Arial"/>
          <w:sz w:val="24"/>
          <w:szCs w:val="24"/>
        </w:rPr>
        <w:lastRenderedPageBreak/>
        <w:t>human rights and social responsibility (Hilton, 2022). Furthermore, the UK's compliance with the General Data Protection Regulation influences how hospitality organisations manage client data. Hilton, as a worldwide hotel chain, must comply with GDPR by ensuring that customer data is acquired and processed in a transparent and safe manner, therefore preserving individual privacy rights. The rule has led businesses to improve their data governance and cybersecurity policies, which aligns with the larger CSR aims of protecting consumer rights and creating trust.</w:t>
      </w:r>
    </w:p>
    <w:p w14:paraId="394189DD" w14:textId="643DF2C3" w:rsidR="0093217D" w:rsidRPr="00E42799" w:rsidRDefault="0093217D" w:rsidP="00E42799">
      <w:pPr>
        <w:spacing w:line="360" w:lineRule="auto"/>
        <w:jc w:val="both"/>
        <w:rPr>
          <w:rFonts w:ascii="Arial" w:hAnsi="Arial" w:cs="Arial"/>
          <w:sz w:val="24"/>
          <w:szCs w:val="24"/>
        </w:rPr>
      </w:pPr>
      <w:r w:rsidRPr="00E42799">
        <w:rPr>
          <w:rFonts w:ascii="Arial" w:hAnsi="Arial" w:cs="Arial"/>
          <w:sz w:val="24"/>
          <w:szCs w:val="24"/>
        </w:rPr>
        <w:t>In conclusion, Hilton's effort to Corporate Social Responsibility</w:t>
      </w:r>
      <w:r w:rsidR="004B7196" w:rsidRPr="00E42799">
        <w:rPr>
          <w:rFonts w:ascii="Arial" w:hAnsi="Arial" w:cs="Arial"/>
          <w:sz w:val="24"/>
          <w:szCs w:val="24"/>
        </w:rPr>
        <w:t xml:space="preserve"> </w:t>
      </w:r>
      <w:r w:rsidRPr="00E42799">
        <w:rPr>
          <w:rFonts w:ascii="Arial" w:hAnsi="Arial" w:cs="Arial"/>
          <w:sz w:val="24"/>
          <w:szCs w:val="24"/>
        </w:rPr>
        <w:t>highlights how enterprises in the hospitality sector may contribute to global sustainability while also improving operational efficiency and brand recognition. Hilton has positioned itself as a pioneer in sustainable hospitality by emphasising carbon reduction, ethical sourcing, and community support. The company's "Travel with Purpose" concept is consistent with the UN's Sustainable Development Goals, highlighting the significance of long-term environmental stewardship. While there are obstacles to reconciling stakeholder interests and controlling the expenses of sustainable operations, Hilton's initiatives demonstrate the potential for CSR policies to have a beneficial influence on both the local and global environment. Hilton not only meets the expectations of socially aware consumers but also establishes a paradigm for responsible business activity that other firms in the sector may follow.</w:t>
      </w:r>
    </w:p>
    <w:p w14:paraId="223A8BBD" w14:textId="77777777" w:rsidR="004B7196" w:rsidRDefault="004B7196" w:rsidP="0093217D">
      <w:pPr>
        <w:spacing w:line="360" w:lineRule="auto"/>
        <w:jc w:val="both"/>
        <w:rPr>
          <w:rFonts w:ascii="Arial" w:hAnsi="Arial" w:cs="Arial"/>
          <w:sz w:val="24"/>
          <w:szCs w:val="24"/>
        </w:rPr>
      </w:pPr>
    </w:p>
    <w:p w14:paraId="5F5EEB45" w14:textId="77777777" w:rsidR="004B7196" w:rsidRDefault="004B7196" w:rsidP="0093217D">
      <w:pPr>
        <w:spacing w:line="360" w:lineRule="auto"/>
        <w:jc w:val="both"/>
        <w:rPr>
          <w:rFonts w:ascii="Arial" w:hAnsi="Arial" w:cs="Arial"/>
          <w:sz w:val="24"/>
          <w:szCs w:val="24"/>
        </w:rPr>
      </w:pPr>
    </w:p>
    <w:p w14:paraId="3150BFF5" w14:textId="77777777" w:rsidR="004B7196" w:rsidRDefault="004B7196" w:rsidP="0093217D">
      <w:pPr>
        <w:spacing w:line="360" w:lineRule="auto"/>
        <w:jc w:val="both"/>
        <w:rPr>
          <w:rFonts w:ascii="Arial" w:hAnsi="Arial" w:cs="Arial"/>
          <w:sz w:val="24"/>
          <w:szCs w:val="24"/>
        </w:rPr>
      </w:pPr>
    </w:p>
    <w:p w14:paraId="2D989B69" w14:textId="77777777" w:rsidR="004B7196" w:rsidRDefault="004B7196" w:rsidP="0093217D">
      <w:pPr>
        <w:spacing w:line="360" w:lineRule="auto"/>
        <w:jc w:val="both"/>
        <w:rPr>
          <w:rFonts w:ascii="Arial" w:hAnsi="Arial" w:cs="Arial"/>
          <w:sz w:val="24"/>
          <w:szCs w:val="24"/>
        </w:rPr>
      </w:pPr>
    </w:p>
    <w:p w14:paraId="4C447F21" w14:textId="77777777" w:rsidR="004B7196" w:rsidRDefault="004B7196" w:rsidP="0093217D">
      <w:pPr>
        <w:spacing w:line="360" w:lineRule="auto"/>
        <w:jc w:val="both"/>
        <w:rPr>
          <w:rFonts w:ascii="Arial" w:hAnsi="Arial" w:cs="Arial"/>
          <w:sz w:val="24"/>
          <w:szCs w:val="24"/>
        </w:rPr>
      </w:pPr>
    </w:p>
    <w:p w14:paraId="4BC2B07E" w14:textId="77777777" w:rsidR="004B7196" w:rsidRDefault="004B7196" w:rsidP="0093217D">
      <w:pPr>
        <w:spacing w:line="360" w:lineRule="auto"/>
        <w:jc w:val="both"/>
        <w:rPr>
          <w:rFonts w:ascii="Arial" w:hAnsi="Arial" w:cs="Arial"/>
          <w:sz w:val="24"/>
          <w:szCs w:val="24"/>
        </w:rPr>
      </w:pPr>
    </w:p>
    <w:p w14:paraId="3680D1F2" w14:textId="77777777" w:rsidR="004B7196" w:rsidRDefault="004B7196" w:rsidP="0093217D">
      <w:pPr>
        <w:spacing w:line="360" w:lineRule="auto"/>
        <w:jc w:val="both"/>
        <w:rPr>
          <w:rFonts w:ascii="Arial" w:hAnsi="Arial" w:cs="Arial"/>
          <w:sz w:val="24"/>
          <w:szCs w:val="24"/>
        </w:rPr>
      </w:pPr>
    </w:p>
    <w:p w14:paraId="1892B8E1" w14:textId="77777777" w:rsidR="004B7196" w:rsidRDefault="004B7196" w:rsidP="0093217D">
      <w:pPr>
        <w:spacing w:line="360" w:lineRule="auto"/>
        <w:jc w:val="both"/>
        <w:rPr>
          <w:rFonts w:ascii="Arial" w:hAnsi="Arial" w:cs="Arial"/>
          <w:sz w:val="24"/>
          <w:szCs w:val="24"/>
        </w:rPr>
      </w:pPr>
    </w:p>
    <w:p w14:paraId="42E17208" w14:textId="77777777" w:rsidR="004B7196" w:rsidRDefault="004B7196" w:rsidP="0093217D">
      <w:pPr>
        <w:spacing w:line="360" w:lineRule="auto"/>
        <w:jc w:val="both"/>
        <w:rPr>
          <w:rFonts w:ascii="Arial" w:hAnsi="Arial" w:cs="Arial"/>
          <w:sz w:val="24"/>
          <w:szCs w:val="24"/>
        </w:rPr>
      </w:pPr>
    </w:p>
    <w:p w14:paraId="09C1F1D6" w14:textId="77777777" w:rsidR="004B7196" w:rsidRDefault="004B7196" w:rsidP="0093217D">
      <w:pPr>
        <w:spacing w:line="360" w:lineRule="auto"/>
        <w:jc w:val="both"/>
        <w:rPr>
          <w:rFonts w:ascii="Arial" w:hAnsi="Arial" w:cs="Arial"/>
          <w:sz w:val="24"/>
          <w:szCs w:val="24"/>
        </w:rPr>
      </w:pPr>
    </w:p>
    <w:p w14:paraId="45209328" w14:textId="77777777" w:rsidR="004B7196" w:rsidRDefault="004B7196" w:rsidP="0093217D">
      <w:pPr>
        <w:spacing w:line="360" w:lineRule="auto"/>
        <w:jc w:val="both"/>
        <w:rPr>
          <w:rFonts w:ascii="Arial" w:hAnsi="Arial" w:cs="Arial"/>
          <w:sz w:val="24"/>
          <w:szCs w:val="24"/>
        </w:rPr>
      </w:pPr>
    </w:p>
    <w:p w14:paraId="03EE71A8" w14:textId="77777777" w:rsidR="000D7F85" w:rsidRDefault="000D7F85" w:rsidP="0093217D">
      <w:pPr>
        <w:spacing w:line="360" w:lineRule="auto"/>
        <w:jc w:val="both"/>
        <w:rPr>
          <w:rFonts w:ascii="Arial" w:hAnsi="Arial" w:cs="Arial"/>
          <w:sz w:val="24"/>
          <w:szCs w:val="24"/>
        </w:rPr>
      </w:pPr>
    </w:p>
    <w:p w14:paraId="111D9042" w14:textId="77777777" w:rsidR="004B7196" w:rsidRDefault="004B7196" w:rsidP="0093217D">
      <w:pPr>
        <w:spacing w:line="360" w:lineRule="auto"/>
        <w:jc w:val="both"/>
        <w:rPr>
          <w:rFonts w:ascii="Arial" w:hAnsi="Arial" w:cs="Arial"/>
          <w:sz w:val="24"/>
          <w:szCs w:val="24"/>
        </w:rPr>
      </w:pPr>
    </w:p>
    <w:p w14:paraId="7E9C91D2" w14:textId="3D3F3FFB" w:rsidR="004B7196" w:rsidRPr="00E42799" w:rsidRDefault="004B7196" w:rsidP="00E42799">
      <w:pPr>
        <w:spacing w:line="360" w:lineRule="auto"/>
        <w:jc w:val="both"/>
        <w:rPr>
          <w:rFonts w:ascii="Arial" w:hAnsi="Arial" w:cs="Arial"/>
          <w:b/>
          <w:bCs/>
          <w:sz w:val="24"/>
          <w:szCs w:val="24"/>
        </w:rPr>
      </w:pPr>
      <w:r w:rsidRPr="00E42799">
        <w:rPr>
          <w:rFonts w:ascii="Arial" w:hAnsi="Arial" w:cs="Arial"/>
          <w:b/>
          <w:bCs/>
          <w:sz w:val="24"/>
          <w:szCs w:val="24"/>
        </w:rPr>
        <w:t>References</w:t>
      </w:r>
    </w:p>
    <w:p w14:paraId="3D93D368" w14:textId="71E9883A" w:rsidR="004B7196" w:rsidRPr="00E42799" w:rsidRDefault="00A364C9" w:rsidP="00E42799">
      <w:pPr>
        <w:spacing w:line="360" w:lineRule="auto"/>
        <w:jc w:val="both"/>
        <w:rPr>
          <w:rFonts w:ascii="Arial" w:hAnsi="Arial" w:cs="Arial"/>
          <w:sz w:val="24"/>
          <w:szCs w:val="24"/>
        </w:rPr>
      </w:pPr>
      <w:r w:rsidRPr="00E42799">
        <w:rPr>
          <w:rFonts w:ascii="Arial" w:hAnsi="Arial" w:cs="Arial"/>
          <w:sz w:val="24"/>
          <w:szCs w:val="24"/>
        </w:rPr>
        <w:t xml:space="preserve">Batabyal. (2018). Managing Sustainable Tourism Resources. IGI Global.  </w:t>
      </w:r>
    </w:p>
    <w:p w14:paraId="499C0C02" w14:textId="1F9F6CED" w:rsidR="00A364C9" w:rsidRPr="00E42799" w:rsidRDefault="00A364C9" w:rsidP="00E42799">
      <w:pPr>
        <w:spacing w:line="360" w:lineRule="auto"/>
        <w:jc w:val="both"/>
        <w:rPr>
          <w:rFonts w:ascii="Arial" w:hAnsi="Arial" w:cs="Arial"/>
          <w:sz w:val="24"/>
          <w:szCs w:val="24"/>
        </w:rPr>
      </w:pPr>
      <w:r w:rsidRPr="00E42799">
        <w:rPr>
          <w:rFonts w:ascii="Arial" w:hAnsi="Arial" w:cs="Arial"/>
          <w:sz w:val="24"/>
          <w:szCs w:val="24"/>
        </w:rPr>
        <w:t>Bittner, N., Bakker, N. and Long, T.B. (2024). Circular economy and the hospitality industry: A comparison of the Netherlands and Indonesia. Journal of Cleaner Production, pp.141253–141253. doi:https://doi.org/10.1016/j.jclepro.2024.141253.</w:t>
      </w:r>
    </w:p>
    <w:p w14:paraId="0DADAECD" w14:textId="0080CA70" w:rsidR="00A364C9" w:rsidRPr="00E42799" w:rsidRDefault="00A364C9" w:rsidP="00E42799">
      <w:pPr>
        <w:spacing w:line="360" w:lineRule="auto"/>
        <w:jc w:val="both"/>
        <w:rPr>
          <w:rFonts w:ascii="Arial" w:hAnsi="Arial" w:cs="Arial"/>
          <w:sz w:val="24"/>
          <w:szCs w:val="24"/>
        </w:rPr>
      </w:pPr>
      <w:r w:rsidRPr="00E42799">
        <w:rPr>
          <w:rFonts w:ascii="Arial" w:hAnsi="Arial" w:cs="Arial"/>
          <w:sz w:val="24"/>
          <w:szCs w:val="24"/>
        </w:rPr>
        <w:t>Cooper, C. (2021) Essentials of tourism. Third edition. London: SAGE.</w:t>
      </w:r>
    </w:p>
    <w:p w14:paraId="15F8A15E" w14:textId="2180F6B9" w:rsidR="004B7196" w:rsidRPr="00E42799" w:rsidRDefault="000D7F85" w:rsidP="00E42799">
      <w:pPr>
        <w:spacing w:line="360" w:lineRule="auto"/>
        <w:jc w:val="both"/>
        <w:rPr>
          <w:rFonts w:ascii="Arial" w:hAnsi="Arial" w:cs="Arial"/>
          <w:sz w:val="24"/>
          <w:szCs w:val="24"/>
        </w:rPr>
      </w:pPr>
      <w:r w:rsidRPr="00E42799">
        <w:rPr>
          <w:rFonts w:ascii="Arial" w:hAnsi="Arial" w:cs="Arial"/>
          <w:sz w:val="24"/>
          <w:szCs w:val="24"/>
        </w:rPr>
        <w:t xml:space="preserve">Costa, &amp; Costa, C. (2022). Sustainability and competitiveness in the hospitality industry (Costa &amp; C. Costa, Eds.). Business Science Reference.  </w:t>
      </w:r>
    </w:p>
    <w:p w14:paraId="5D5BA7B1" w14:textId="65E0FA5F" w:rsidR="004B7196" w:rsidRPr="00E42799" w:rsidRDefault="004B7196" w:rsidP="00E42799">
      <w:pPr>
        <w:spacing w:line="360" w:lineRule="auto"/>
        <w:jc w:val="both"/>
        <w:rPr>
          <w:rFonts w:ascii="Arial" w:hAnsi="Arial" w:cs="Arial"/>
          <w:sz w:val="24"/>
          <w:szCs w:val="24"/>
        </w:rPr>
      </w:pPr>
      <w:r w:rsidRPr="00E42799">
        <w:rPr>
          <w:rFonts w:ascii="Arial" w:hAnsi="Arial" w:cs="Arial"/>
          <w:sz w:val="24"/>
          <w:szCs w:val="24"/>
        </w:rPr>
        <w:t xml:space="preserve">Deloitte (2023). Sustainability in the hospitality industry | Deloitte UK. [online] www.deloitte.com. Available at: </w:t>
      </w:r>
      <w:hyperlink r:id="rId7" w:history="1">
        <w:r w:rsidR="000D7F85" w:rsidRPr="00E42799">
          <w:rPr>
            <w:rStyle w:val="Hyperlink"/>
            <w:rFonts w:ascii="Arial" w:hAnsi="Arial" w:cs="Arial"/>
            <w:color w:val="auto"/>
            <w:sz w:val="24"/>
            <w:szCs w:val="24"/>
          </w:rPr>
          <w:t>https://www.deloitte.com/uk/en/Industries/consumer/blogs/sustainability-in-the-hospitality-industry.html</w:t>
        </w:r>
      </w:hyperlink>
      <w:r w:rsidRPr="00E42799">
        <w:rPr>
          <w:rFonts w:ascii="Arial" w:hAnsi="Arial" w:cs="Arial"/>
          <w:sz w:val="24"/>
          <w:szCs w:val="24"/>
        </w:rPr>
        <w:t>.</w:t>
      </w:r>
    </w:p>
    <w:p w14:paraId="2C842CD0" w14:textId="29051C3B" w:rsidR="000D7F85" w:rsidRPr="00E42799" w:rsidRDefault="000D7F85" w:rsidP="00E42799">
      <w:pPr>
        <w:spacing w:line="360" w:lineRule="auto"/>
        <w:jc w:val="both"/>
        <w:rPr>
          <w:rFonts w:ascii="Arial" w:hAnsi="Arial" w:cs="Arial"/>
          <w:sz w:val="24"/>
          <w:szCs w:val="24"/>
        </w:rPr>
      </w:pPr>
      <w:r w:rsidRPr="00E42799">
        <w:rPr>
          <w:rFonts w:ascii="Arial" w:hAnsi="Arial" w:cs="Arial"/>
          <w:sz w:val="24"/>
          <w:szCs w:val="24"/>
        </w:rPr>
        <w:t>Edgell. (2020). Managing sustainable tourism : a legacy for the future (Third edition). Routledge.</w:t>
      </w:r>
    </w:p>
    <w:p w14:paraId="6218139F" w14:textId="5FDF641F" w:rsidR="00E42799" w:rsidRPr="00E42799" w:rsidRDefault="00E42799" w:rsidP="00E42799">
      <w:pPr>
        <w:spacing w:line="360" w:lineRule="auto"/>
        <w:jc w:val="both"/>
        <w:rPr>
          <w:rFonts w:ascii="Arial" w:hAnsi="Arial" w:cs="Arial"/>
          <w:sz w:val="24"/>
          <w:szCs w:val="24"/>
        </w:rPr>
      </w:pPr>
      <w:r w:rsidRPr="00E42799">
        <w:rPr>
          <w:rFonts w:ascii="Arial" w:hAnsi="Arial" w:cs="Arial"/>
          <w:sz w:val="24"/>
          <w:szCs w:val="24"/>
        </w:rPr>
        <w:t>Font, X. and Lynes, J. (2018). Corporate social responsibility in tourism and hospitality. Journal of Sustainable Tourism, 26(7), pp.1027–1042. doi:https://doi.org/10.1080/09669582.2018.1488856.</w:t>
      </w:r>
    </w:p>
    <w:p w14:paraId="0F33B608" w14:textId="0F71402C" w:rsidR="000D7F85" w:rsidRPr="00E42799" w:rsidRDefault="000D7F85" w:rsidP="00E42799">
      <w:pPr>
        <w:spacing w:line="360" w:lineRule="auto"/>
        <w:jc w:val="both"/>
        <w:rPr>
          <w:rFonts w:ascii="Arial" w:hAnsi="Arial" w:cs="Arial"/>
          <w:sz w:val="24"/>
          <w:szCs w:val="24"/>
        </w:rPr>
      </w:pPr>
      <w:r w:rsidRPr="00E42799">
        <w:rPr>
          <w:rFonts w:ascii="Arial" w:hAnsi="Arial" w:cs="Arial"/>
          <w:sz w:val="24"/>
          <w:szCs w:val="24"/>
        </w:rPr>
        <w:t>Hilton (2022). Hilton 2022 Environmental, Social and Governance Report. [online] Available at: https://esg.hilton.com/wp-content/uploads/sites/4/2023/04/Hilton-2022-Environmental-Social-and-Governance-Report.pdf.</w:t>
      </w:r>
    </w:p>
    <w:p w14:paraId="1A501968" w14:textId="63797B8D" w:rsidR="000D7F85" w:rsidRPr="00E42799" w:rsidRDefault="000D7F85" w:rsidP="00E42799">
      <w:pPr>
        <w:spacing w:line="360" w:lineRule="auto"/>
        <w:jc w:val="both"/>
        <w:rPr>
          <w:rFonts w:ascii="Arial" w:hAnsi="Arial" w:cs="Arial"/>
          <w:sz w:val="24"/>
          <w:szCs w:val="24"/>
        </w:rPr>
      </w:pPr>
      <w:r w:rsidRPr="00E42799">
        <w:rPr>
          <w:rFonts w:ascii="Arial" w:hAnsi="Arial" w:cs="Arial"/>
          <w:sz w:val="24"/>
          <w:szCs w:val="24"/>
        </w:rPr>
        <w:t>Hilton (2023). Hilton 2023 Year in Review | 2023 Annual Report | Hilton News. [online] Stories From Hilton. Available at: https://stories.hilton.com/2023-annual-report.</w:t>
      </w:r>
    </w:p>
    <w:p w14:paraId="4274F2A5" w14:textId="7E53511C" w:rsidR="004B7196" w:rsidRPr="00E42799" w:rsidRDefault="004B7196" w:rsidP="00E42799">
      <w:pPr>
        <w:spacing w:line="360" w:lineRule="auto"/>
        <w:jc w:val="both"/>
        <w:rPr>
          <w:rFonts w:ascii="Arial" w:hAnsi="Arial" w:cs="Arial"/>
          <w:sz w:val="24"/>
          <w:szCs w:val="24"/>
        </w:rPr>
      </w:pPr>
      <w:r w:rsidRPr="004B7196">
        <w:rPr>
          <w:rFonts w:ascii="Arial" w:hAnsi="Arial" w:cs="Arial"/>
          <w:sz w:val="24"/>
          <w:szCs w:val="24"/>
        </w:rPr>
        <w:t xml:space="preserve">Jauhari, V (2021)  ‘Managing Sustainability in the Hospitality and Tourism Industry: Paradigms and Directions for the Future’ </w:t>
      </w:r>
      <w:r w:rsidRPr="00E42799">
        <w:rPr>
          <w:rFonts w:ascii="Arial" w:hAnsi="Arial" w:cs="Arial"/>
          <w:sz w:val="24"/>
          <w:szCs w:val="24"/>
        </w:rPr>
        <w:t>9</w:t>
      </w:r>
      <w:r w:rsidRPr="00E42799">
        <w:rPr>
          <w:rFonts w:ascii="Arial" w:hAnsi="Arial" w:cs="Arial"/>
          <w:sz w:val="24"/>
          <w:szCs w:val="24"/>
          <w:vertAlign w:val="superscript"/>
        </w:rPr>
        <w:t>th</w:t>
      </w:r>
      <w:r w:rsidRPr="00E42799">
        <w:rPr>
          <w:rFonts w:ascii="Arial" w:hAnsi="Arial" w:cs="Arial"/>
          <w:sz w:val="24"/>
          <w:szCs w:val="24"/>
        </w:rPr>
        <w:t xml:space="preserve"> edn.Oakville: Apple Academic Press. Inc</w:t>
      </w:r>
    </w:p>
    <w:p w14:paraId="14787D2A" w14:textId="013F32AA" w:rsidR="004B7196" w:rsidRPr="00E42799" w:rsidRDefault="004B7196" w:rsidP="00E42799">
      <w:pPr>
        <w:spacing w:line="360" w:lineRule="auto"/>
        <w:jc w:val="both"/>
        <w:rPr>
          <w:rFonts w:ascii="Arial" w:hAnsi="Arial" w:cs="Arial"/>
          <w:sz w:val="24"/>
          <w:szCs w:val="24"/>
        </w:rPr>
      </w:pPr>
      <w:r w:rsidRPr="00E42799">
        <w:rPr>
          <w:rFonts w:ascii="Arial" w:hAnsi="Arial" w:cs="Arial"/>
          <w:sz w:val="24"/>
          <w:szCs w:val="24"/>
        </w:rPr>
        <w:lastRenderedPageBreak/>
        <w:t>Kaur, P., Talwar, S., Madanaguli, A., Srivastava, S. and Dhir, A. (2022). Corporate social responsibility (CSR) and hospitality sector: Charting new frontiers for restaurant businesses. Journal of Business Research, [online] 144, pp.1234–1248. doi:https://doi.org/10.1016/j.jbusres.2022.01.067.</w:t>
      </w:r>
    </w:p>
    <w:p w14:paraId="75888F38" w14:textId="5E994C4D" w:rsidR="00A364C9" w:rsidRPr="00E42799" w:rsidRDefault="00A364C9" w:rsidP="00E42799">
      <w:pPr>
        <w:spacing w:line="360" w:lineRule="auto"/>
        <w:jc w:val="both"/>
        <w:rPr>
          <w:rFonts w:ascii="Arial" w:hAnsi="Arial" w:cs="Arial"/>
          <w:sz w:val="24"/>
          <w:szCs w:val="24"/>
        </w:rPr>
      </w:pPr>
      <w:r w:rsidRPr="00E42799">
        <w:rPr>
          <w:rFonts w:ascii="Arial" w:hAnsi="Arial" w:cs="Arial"/>
          <w:sz w:val="24"/>
          <w:szCs w:val="24"/>
        </w:rPr>
        <w:t>Li, C. (2023). Green production and green technology for sustainability: The mediating role of waste reduction and energy use. Heliyon, [online] 9(12), p.e22496. doi:https://doi.org/10.1016/j.heliyon.2023.e22496.</w:t>
      </w:r>
    </w:p>
    <w:p w14:paraId="216BAA8E" w14:textId="58836B2F" w:rsidR="000D7F85" w:rsidRPr="00E42799" w:rsidRDefault="000D7F85" w:rsidP="00E42799">
      <w:pPr>
        <w:spacing w:line="360" w:lineRule="auto"/>
        <w:jc w:val="both"/>
        <w:rPr>
          <w:rFonts w:ascii="Arial" w:hAnsi="Arial" w:cs="Arial"/>
          <w:sz w:val="24"/>
          <w:szCs w:val="24"/>
        </w:rPr>
      </w:pPr>
      <w:r w:rsidRPr="00E42799">
        <w:rPr>
          <w:rFonts w:ascii="Arial" w:hAnsi="Arial" w:cs="Arial"/>
          <w:sz w:val="24"/>
          <w:szCs w:val="24"/>
        </w:rPr>
        <w:t>Li, M. and Rabeeu, A. (2024). How Corporate Social Responsibility Motivation Drives Customer Extra-Role Behavior and Green Purchase Intentions: The Role of Ethical Corporate Identity. Sustainability, [online] 16(13), p.5611. doi:https://doi.org/10.3390/su16135611.</w:t>
      </w:r>
    </w:p>
    <w:p w14:paraId="0B1B3345" w14:textId="05F10B3C" w:rsidR="000D7F85" w:rsidRPr="00E42799" w:rsidRDefault="000D7F85" w:rsidP="00E42799">
      <w:pPr>
        <w:spacing w:line="360" w:lineRule="auto"/>
        <w:jc w:val="both"/>
        <w:rPr>
          <w:rFonts w:ascii="Arial" w:hAnsi="Arial" w:cs="Arial"/>
          <w:sz w:val="24"/>
          <w:szCs w:val="24"/>
        </w:rPr>
      </w:pPr>
      <w:r w:rsidRPr="00E42799">
        <w:rPr>
          <w:rFonts w:ascii="Arial" w:hAnsi="Arial" w:cs="Arial"/>
          <w:sz w:val="24"/>
          <w:szCs w:val="24"/>
        </w:rPr>
        <w:t>Meng, Z., Saad Mahmood Bhatti, Rana Tahir Naveed, kanwal, S. and Adnan, M. (2024). Green sustainability in the hotel sector: The role of CSR, intrinsic green motivation, and personal environmental norms. PLoS ONE, 19(6), pp.e0295850–e0295850. doi:https://doi.org/10.1371/journal.pone.0295850.</w:t>
      </w:r>
    </w:p>
    <w:p w14:paraId="61DE18AA" w14:textId="52C2C94E" w:rsidR="000D7F85" w:rsidRPr="00E42799" w:rsidRDefault="000D7F85" w:rsidP="00E42799">
      <w:pPr>
        <w:spacing w:line="360" w:lineRule="auto"/>
        <w:jc w:val="both"/>
        <w:rPr>
          <w:rFonts w:ascii="Arial" w:hAnsi="Arial" w:cs="Arial"/>
          <w:sz w:val="24"/>
          <w:szCs w:val="24"/>
        </w:rPr>
      </w:pPr>
      <w:r w:rsidRPr="00E42799">
        <w:rPr>
          <w:rFonts w:ascii="Arial" w:hAnsi="Arial" w:cs="Arial"/>
          <w:sz w:val="24"/>
          <w:szCs w:val="24"/>
        </w:rPr>
        <w:t>Pereira, V., Silva, G.M. and Dias, Á. (2021). Sustainability practices in hospitality: Case study of a luxury hotel in Arrábida Natural Park. Sustainability practices in hospitality: Case study of a luxury hotel in Arrábida Natural Park, [online] 13(6). doi:https://doi.org/10.3390/su13063164.</w:t>
      </w:r>
    </w:p>
    <w:p w14:paraId="2AD51CC2" w14:textId="4F338216" w:rsidR="00A364C9" w:rsidRPr="00E42799" w:rsidRDefault="00A364C9" w:rsidP="00E42799">
      <w:pPr>
        <w:spacing w:line="360" w:lineRule="auto"/>
        <w:jc w:val="both"/>
        <w:rPr>
          <w:rFonts w:ascii="Arial" w:hAnsi="Arial" w:cs="Arial"/>
          <w:sz w:val="24"/>
          <w:szCs w:val="24"/>
        </w:rPr>
      </w:pPr>
      <w:r w:rsidRPr="00E42799">
        <w:rPr>
          <w:rFonts w:ascii="Arial" w:hAnsi="Arial" w:cs="Arial"/>
          <w:sz w:val="24"/>
          <w:szCs w:val="24"/>
        </w:rPr>
        <w:t>Rostami, K. and Salehi, L. (2024). Rural Cooperatives Social Responsibility in Promoting Sustainability-Oriented Activities in the Agricultural Sector: Nexus of Community, Enterprise, and Government. Sustainable Futures, 7, pp.100150–100150. doi:https://doi.org/10.1016/j.sftr.2023.100150.</w:t>
      </w:r>
    </w:p>
    <w:p w14:paraId="69B669A1" w14:textId="61C9A77D" w:rsidR="004B7196" w:rsidRPr="00E42799" w:rsidRDefault="004B7196" w:rsidP="00E42799">
      <w:pPr>
        <w:spacing w:line="360" w:lineRule="auto"/>
        <w:jc w:val="both"/>
        <w:rPr>
          <w:rFonts w:ascii="Arial" w:hAnsi="Arial" w:cs="Arial"/>
          <w:sz w:val="24"/>
          <w:szCs w:val="24"/>
        </w:rPr>
      </w:pPr>
      <w:r w:rsidRPr="00E42799">
        <w:rPr>
          <w:rFonts w:ascii="Arial" w:hAnsi="Arial" w:cs="Arial"/>
          <w:sz w:val="24"/>
          <w:szCs w:val="24"/>
        </w:rPr>
        <w:t>Santos, E. (2023). From Neglect to Progress: Assessing Social Sustainability and Decent Work in the Tourism Sector. Sustainability, 15(13), pp.10329–10329. doi:https://doi.org/10.3390/su151310329.</w:t>
      </w:r>
    </w:p>
    <w:p w14:paraId="0DCBD0A9" w14:textId="770A818F" w:rsidR="004B7196" w:rsidRPr="00E42799" w:rsidRDefault="004B7196" w:rsidP="00E42799">
      <w:pPr>
        <w:spacing w:line="360" w:lineRule="auto"/>
        <w:jc w:val="both"/>
        <w:rPr>
          <w:rFonts w:ascii="Arial" w:hAnsi="Arial" w:cs="Arial"/>
          <w:sz w:val="24"/>
          <w:szCs w:val="24"/>
        </w:rPr>
      </w:pPr>
      <w:r w:rsidRPr="00E42799">
        <w:rPr>
          <w:rFonts w:ascii="Arial" w:hAnsi="Arial" w:cs="Arial"/>
          <w:sz w:val="24"/>
          <w:szCs w:val="24"/>
        </w:rPr>
        <w:t>Shayan, N.F., Kalejahi, N.M., Alavi, S. and Zahed, M.A. (2022). Sustainable Development Goals (SDGs) as a Framework for Corporate Social Responsibility (CSR). Sustainability, [online] 14(3). doi:https://doi.org/10.3390/su14031222.</w:t>
      </w:r>
    </w:p>
    <w:p w14:paraId="028896F7" w14:textId="6D1BBCCE" w:rsidR="00A364C9" w:rsidRPr="00E42799" w:rsidRDefault="00A364C9" w:rsidP="00E42799">
      <w:pPr>
        <w:spacing w:line="360" w:lineRule="auto"/>
        <w:jc w:val="both"/>
        <w:rPr>
          <w:rFonts w:ascii="Arial" w:hAnsi="Arial" w:cs="Arial"/>
          <w:sz w:val="24"/>
          <w:szCs w:val="24"/>
        </w:rPr>
      </w:pPr>
      <w:r w:rsidRPr="00E42799">
        <w:rPr>
          <w:rFonts w:ascii="Arial" w:hAnsi="Arial" w:cs="Arial"/>
          <w:sz w:val="24"/>
          <w:szCs w:val="24"/>
        </w:rPr>
        <w:lastRenderedPageBreak/>
        <w:t>Silva, J.A. (2024). Corporate Social Responsibility (CSR) and Sustainability in Water Supply: A Systematic Review. Sustainability, [online] 16(8), p.3183. doi:https://doi.org/10.3390/su16083183.</w:t>
      </w:r>
    </w:p>
    <w:p w14:paraId="01F5E401" w14:textId="73A5CD1A" w:rsidR="00E42799" w:rsidRPr="00E42799" w:rsidRDefault="00E42799" w:rsidP="00E42799">
      <w:pPr>
        <w:spacing w:line="360" w:lineRule="auto"/>
        <w:jc w:val="both"/>
        <w:rPr>
          <w:rFonts w:ascii="Arial" w:hAnsi="Arial" w:cs="Arial"/>
          <w:sz w:val="24"/>
          <w:szCs w:val="24"/>
        </w:rPr>
      </w:pPr>
      <w:r w:rsidRPr="00E42799">
        <w:rPr>
          <w:rFonts w:ascii="Arial" w:hAnsi="Arial" w:cs="Arial"/>
          <w:sz w:val="24"/>
          <w:szCs w:val="24"/>
        </w:rPr>
        <w:t>UK Government (1990). Environmental Protection Act 1990. [online] Legislation.gov.uk. Available at: https://www.legislation.gov.uk/ukpga/1990/43/contents.</w:t>
      </w:r>
    </w:p>
    <w:p w14:paraId="2F3145EC" w14:textId="2B2D6DF2" w:rsidR="00E42799" w:rsidRPr="00E42799" w:rsidRDefault="00E42799" w:rsidP="00E42799">
      <w:pPr>
        <w:spacing w:line="360" w:lineRule="auto"/>
        <w:jc w:val="both"/>
        <w:rPr>
          <w:rFonts w:ascii="Arial" w:hAnsi="Arial" w:cs="Arial"/>
          <w:sz w:val="24"/>
          <w:szCs w:val="24"/>
        </w:rPr>
      </w:pPr>
      <w:r w:rsidRPr="00E42799">
        <w:rPr>
          <w:rFonts w:ascii="Arial" w:hAnsi="Arial" w:cs="Arial"/>
          <w:sz w:val="24"/>
          <w:szCs w:val="24"/>
        </w:rPr>
        <w:t xml:space="preserve">UK Government (2006). </w:t>
      </w:r>
      <w:r w:rsidRPr="00E42799">
        <w:rPr>
          <w:rFonts w:ascii="Arial" w:hAnsi="Arial" w:cs="Arial"/>
          <w:i/>
          <w:iCs/>
          <w:sz w:val="24"/>
          <w:szCs w:val="24"/>
        </w:rPr>
        <w:t>Companies Act 2006</w:t>
      </w:r>
      <w:r w:rsidRPr="00E42799">
        <w:rPr>
          <w:rFonts w:ascii="Arial" w:hAnsi="Arial" w:cs="Arial"/>
          <w:sz w:val="24"/>
          <w:szCs w:val="24"/>
        </w:rPr>
        <w:t>. [online] Legislation.gov.uk. Available at: https://www.legislation.gov.uk/ukpga/2006/46/section/172.</w:t>
      </w:r>
    </w:p>
    <w:p w14:paraId="0E24751E" w14:textId="48835B7D" w:rsidR="004B7196" w:rsidRPr="00E42799" w:rsidRDefault="004B7196" w:rsidP="00E42799">
      <w:pPr>
        <w:spacing w:line="360" w:lineRule="auto"/>
        <w:jc w:val="both"/>
        <w:rPr>
          <w:rFonts w:ascii="Arial" w:hAnsi="Arial" w:cs="Arial"/>
          <w:sz w:val="24"/>
          <w:szCs w:val="24"/>
        </w:rPr>
      </w:pPr>
      <w:r w:rsidRPr="00E42799">
        <w:rPr>
          <w:rFonts w:ascii="Arial" w:hAnsi="Arial" w:cs="Arial"/>
          <w:sz w:val="24"/>
          <w:szCs w:val="24"/>
        </w:rPr>
        <w:t>Wickham, M., Donnelly, T. and French, L., 2021. Strategic sustainability management in the event sector. Event Management, 25(3), pp.279-296.</w:t>
      </w:r>
    </w:p>
    <w:p w14:paraId="40AACE18" w14:textId="77777777" w:rsidR="00A364C9" w:rsidRPr="00E42799" w:rsidRDefault="00A364C9" w:rsidP="00E42799">
      <w:pPr>
        <w:spacing w:line="360" w:lineRule="auto"/>
        <w:jc w:val="both"/>
        <w:rPr>
          <w:rFonts w:ascii="Arial" w:hAnsi="Arial" w:cs="Arial"/>
          <w:sz w:val="24"/>
          <w:szCs w:val="24"/>
        </w:rPr>
      </w:pPr>
      <w:r w:rsidRPr="00E42799">
        <w:rPr>
          <w:rFonts w:ascii="Arial" w:hAnsi="Arial" w:cs="Arial"/>
          <w:sz w:val="24"/>
          <w:szCs w:val="24"/>
        </w:rPr>
        <w:t>World Economic Forum (2022). How stakeholder alignment on sustainability unlocks a competitive advantage. [online] World Economic Forum. Available at: https://www.weforum.org/agenda/2022/02/how-to-strengthen-sustainability-by-engaging-with-stakeholders/.</w:t>
      </w:r>
    </w:p>
    <w:p w14:paraId="73B14FE6" w14:textId="77777777" w:rsidR="00A364C9" w:rsidRPr="00E42799" w:rsidRDefault="00A364C9" w:rsidP="00E42799">
      <w:pPr>
        <w:spacing w:line="360" w:lineRule="auto"/>
        <w:jc w:val="both"/>
        <w:rPr>
          <w:rFonts w:ascii="Arial" w:hAnsi="Arial" w:cs="Arial"/>
          <w:sz w:val="24"/>
          <w:szCs w:val="24"/>
        </w:rPr>
      </w:pPr>
    </w:p>
    <w:p w14:paraId="0AF4A274" w14:textId="74531AF2" w:rsidR="00A364C9" w:rsidRPr="0093217D" w:rsidRDefault="00A364C9" w:rsidP="00A364C9">
      <w:pPr>
        <w:spacing w:line="360" w:lineRule="auto"/>
        <w:jc w:val="both"/>
        <w:rPr>
          <w:rFonts w:ascii="Arial" w:hAnsi="Arial" w:cs="Arial"/>
          <w:sz w:val="24"/>
          <w:szCs w:val="24"/>
        </w:rPr>
      </w:pPr>
      <w:r w:rsidRPr="00A364C9">
        <w:rPr>
          <w:rFonts w:ascii="Arial" w:hAnsi="Arial" w:cs="Arial" w:hint="cs"/>
          <w:sz w:val="24"/>
          <w:szCs w:val="24"/>
        </w:rPr>
        <w:t>‌</w:t>
      </w:r>
    </w:p>
    <w:p w14:paraId="2188010D" w14:textId="2252AA52" w:rsidR="0093217D" w:rsidRDefault="0093217D" w:rsidP="003E29CD">
      <w:pPr>
        <w:spacing w:line="360" w:lineRule="auto"/>
        <w:jc w:val="both"/>
        <w:rPr>
          <w:rFonts w:ascii="Arial" w:hAnsi="Arial" w:cs="Arial"/>
          <w:sz w:val="24"/>
          <w:szCs w:val="24"/>
        </w:rPr>
      </w:pPr>
    </w:p>
    <w:p w14:paraId="120B3317" w14:textId="77777777" w:rsidR="00E66F38" w:rsidRDefault="00E66F38" w:rsidP="00E66F38">
      <w:pPr>
        <w:spacing w:line="360" w:lineRule="auto"/>
        <w:jc w:val="both"/>
        <w:rPr>
          <w:rFonts w:ascii="Arial" w:hAnsi="Arial" w:cs="Arial"/>
          <w:sz w:val="24"/>
          <w:szCs w:val="24"/>
        </w:rPr>
      </w:pPr>
    </w:p>
    <w:p w14:paraId="53F70229" w14:textId="77777777" w:rsidR="00E66F38" w:rsidRPr="00E66F38" w:rsidRDefault="00E66F38" w:rsidP="00E66F38">
      <w:pPr>
        <w:spacing w:line="360" w:lineRule="auto"/>
        <w:jc w:val="both"/>
        <w:rPr>
          <w:rFonts w:ascii="Arial" w:hAnsi="Arial" w:cs="Arial"/>
          <w:sz w:val="24"/>
          <w:szCs w:val="24"/>
        </w:rPr>
      </w:pPr>
    </w:p>
    <w:sectPr w:rsidR="00E66F38" w:rsidRPr="00E66F3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0A5293" w14:textId="77777777" w:rsidR="009E4716" w:rsidRDefault="009E4716" w:rsidP="00CE0872">
      <w:pPr>
        <w:spacing w:after="0" w:line="240" w:lineRule="auto"/>
      </w:pPr>
      <w:r>
        <w:separator/>
      </w:r>
    </w:p>
  </w:endnote>
  <w:endnote w:type="continuationSeparator" w:id="0">
    <w:p w14:paraId="4908C3FD" w14:textId="77777777" w:rsidR="009E4716" w:rsidRDefault="009E4716" w:rsidP="00CE0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05095"/>
      <w:docPartObj>
        <w:docPartGallery w:val="Page Numbers (Bottom of Page)"/>
        <w:docPartUnique/>
      </w:docPartObj>
    </w:sdtPr>
    <w:sdtEndPr>
      <w:rPr>
        <w:noProof/>
      </w:rPr>
    </w:sdtEndPr>
    <w:sdtContent>
      <w:p w14:paraId="721D561B" w14:textId="62F1EDD2" w:rsidR="00CE0872" w:rsidRDefault="00CE08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6397DF" w14:textId="77777777" w:rsidR="00CE0872" w:rsidRDefault="00CE0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085277" w14:textId="77777777" w:rsidR="009E4716" w:rsidRDefault="009E4716" w:rsidP="00CE0872">
      <w:pPr>
        <w:spacing w:after="0" w:line="240" w:lineRule="auto"/>
      </w:pPr>
      <w:r>
        <w:separator/>
      </w:r>
    </w:p>
  </w:footnote>
  <w:footnote w:type="continuationSeparator" w:id="0">
    <w:p w14:paraId="09AE88CA" w14:textId="77777777" w:rsidR="009E4716" w:rsidRDefault="009E4716" w:rsidP="00CE08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872"/>
    <w:rsid w:val="000D7F85"/>
    <w:rsid w:val="00133291"/>
    <w:rsid w:val="003E29CD"/>
    <w:rsid w:val="004B7196"/>
    <w:rsid w:val="007B0CC3"/>
    <w:rsid w:val="00865140"/>
    <w:rsid w:val="0093217D"/>
    <w:rsid w:val="009E4716"/>
    <w:rsid w:val="00A364C9"/>
    <w:rsid w:val="00A57116"/>
    <w:rsid w:val="00B151A8"/>
    <w:rsid w:val="00C82D1F"/>
    <w:rsid w:val="00C87F4A"/>
    <w:rsid w:val="00CC3F03"/>
    <w:rsid w:val="00CE0872"/>
    <w:rsid w:val="00DB7FD8"/>
    <w:rsid w:val="00E42799"/>
    <w:rsid w:val="00E66F38"/>
    <w:rsid w:val="00F74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82ADA"/>
  <w15:chartTrackingRefBased/>
  <w15:docId w15:val="{A44DE994-D63A-4444-9BA9-93C1CFB3B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CE08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08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08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08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08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08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08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08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CE08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08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08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08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08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08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08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0872"/>
    <w:rPr>
      <w:rFonts w:eastAsiaTheme="majorEastAsia" w:cstheme="majorBidi"/>
      <w:color w:val="272727" w:themeColor="text1" w:themeTint="D8"/>
    </w:rPr>
  </w:style>
  <w:style w:type="paragraph" w:styleId="Title">
    <w:name w:val="Title"/>
    <w:basedOn w:val="Normal"/>
    <w:next w:val="Normal"/>
    <w:link w:val="TitleChar"/>
    <w:uiPriority w:val="10"/>
    <w:qFormat/>
    <w:rsid w:val="00CE08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8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08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08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0872"/>
    <w:pPr>
      <w:spacing w:before="160"/>
      <w:jc w:val="center"/>
    </w:pPr>
    <w:rPr>
      <w:i/>
      <w:iCs/>
      <w:color w:val="404040" w:themeColor="text1" w:themeTint="BF"/>
    </w:rPr>
  </w:style>
  <w:style w:type="character" w:customStyle="1" w:styleId="QuoteChar">
    <w:name w:val="Quote Char"/>
    <w:basedOn w:val="DefaultParagraphFont"/>
    <w:link w:val="Quote"/>
    <w:uiPriority w:val="29"/>
    <w:rsid w:val="00CE0872"/>
    <w:rPr>
      <w:i/>
      <w:iCs/>
      <w:color w:val="404040" w:themeColor="text1" w:themeTint="BF"/>
    </w:rPr>
  </w:style>
  <w:style w:type="paragraph" w:styleId="ListParagraph">
    <w:name w:val="List Paragraph"/>
    <w:basedOn w:val="Normal"/>
    <w:uiPriority w:val="34"/>
    <w:qFormat/>
    <w:rsid w:val="00CE0872"/>
    <w:pPr>
      <w:ind w:left="720"/>
      <w:contextualSpacing/>
    </w:pPr>
  </w:style>
  <w:style w:type="character" w:styleId="IntenseEmphasis">
    <w:name w:val="Intense Emphasis"/>
    <w:basedOn w:val="DefaultParagraphFont"/>
    <w:uiPriority w:val="21"/>
    <w:qFormat/>
    <w:rsid w:val="00CE0872"/>
    <w:rPr>
      <w:i/>
      <w:iCs/>
      <w:color w:val="0F4761" w:themeColor="accent1" w:themeShade="BF"/>
    </w:rPr>
  </w:style>
  <w:style w:type="paragraph" w:styleId="IntenseQuote">
    <w:name w:val="Intense Quote"/>
    <w:basedOn w:val="Normal"/>
    <w:next w:val="Normal"/>
    <w:link w:val="IntenseQuoteChar"/>
    <w:uiPriority w:val="30"/>
    <w:qFormat/>
    <w:rsid w:val="00CE08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0872"/>
    <w:rPr>
      <w:i/>
      <w:iCs/>
      <w:color w:val="0F4761" w:themeColor="accent1" w:themeShade="BF"/>
    </w:rPr>
  </w:style>
  <w:style w:type="character" w:styleId="IntenseReference">
    <w:name w:val="Intense Reference"/>
    <w:basedOn w:val="DefaultParagraphFont"/>
    <w:uiPriority w:val="32"/>
    <w:qFormat/>
    <w:rsid w:val="00CE0872"/>
    <w:rPr>
      <w:b/>
      <w:bCs/>
      <w:smallCaps/>
      <w:color w:val="0F4761" w:themeColor="accent1" w:themeShade="BF"/>
      <w:spacing w:val="5"/>
    </w:rPr>
  </w:style>
  <w:style w:type="paragraph" w:styleId="Header">
    <w:name w:val="header"/>
    <w:basedOn w:val="Normal"/>
    <w:link w:val="HeaderChar"/>
    <w:uiPriority w:val="99"/>
    <w:unhideWhenUsed/>
    <w:rsid w:val="00CE0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872"/>
  </w:style>
  <w:style w:type="paragraph" w:styleId="Footer">
    <w:name w:val="footer"/>
    <w:basedOn w:val="Normal"/>
    <w:link w:val="FooterChar"/>
    <w:uiPriority w:val="99"/>
    <w:unhideWhenUsed/>
    <w:rsid w:val="00CE0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872"/>
  </w:style>
  <w:style w:type="character" w:styleId="Hyperlink">
    <w:name w:val="Hyperlink"/>
    <w:basedOn w:val="DefaultParagraphFont"/>
    <w:uiPriority w:val="99"/>
    <w:unhideWhenUsed/>
    <w:rsid w:val="000D7F85"/>
    <w:rPr>
      <w:color w:val="467886" w:themeColor="hyperlink"/>
      <w:u w:val="single"/>
    </w:rPr>
  </w:style>
  <w:style w:type="character" w:styleId="UnresolvedMention">
    <w:name w:val="Unresolved Mention"/>
    <w:basedOn w:val="DefaultParagraphFont"/>
    <w:uiPriority w:val="99"/>
    <w:semiHidden/>
    <w:unhideWhenUsed/>
    <w:rsid w:val="000D7F85"/>
    <w:rPr>
      <w:color w:val="605E5C"/>
      <w:shd w:val="clear" w:color="auto" w:fill="E1DFDD"/>
    </w:rPr>
  </w:style>
  <w:style w:type="paragraph" w:styleId="NormalWeb">
    <w:name w:val="Normal (Web)"/>
    <w:basedOn w:val="Normal"/>
    <w:uiPriority w:val="99"/>
    <w:semiHidden/>
    <w:unhideWhenUsed/>
    <w:rsid w:val="00E4279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126524">
      <w:bodyDiv w:val="1"/>
      <w:marLeft w:val="0"/>
      <w:marRight w:val="0"/>
      <w:marTop w:val="0"/>
      <w:marBottom w:val="0"/>
      <w:divBdr>
        <w:top w:val="none" w:sz="0" w:space="0" w:color="auto"/>
        <w:left w:val="none" w:sz="0" w:space="0" w:color="auto"/>
        <w:bottom w:val="none" w:sz="0" w:space="0" w:color="auto"/>
        <w:right w:val="none" w:sz="0" w:space="0" w:color="auto"/>
      </w:divBdr>
    </w:div>
    <w:div w:id="536894579">
      <w:bodyDiv w:val="1"/>
      <w:marLeft w:val="0"/>
      <w:marRight w:val="0"/>
      <w:marTop w:val="0"/>
      <w:marBottom w:val="0"/>
      <w:divBdr>
        <w:top w:val="none" w:sz="0" w:space="0" w:color="auto"/>
        <w:left w:val="none" w:sz="0" w:space="0" w:color="auto"/>
        <w:bottom w:val="none" w:sz="0" w:space="0" w:color="auto"/>
        <w:right w:val="none" w:sz="0" w:space="0" w:color="auto"/>
      </w:divBdr>
    </w:div>
    <w:div w:id="721365064">
      <w:bodyDiv w:val="1"/>
      <w:marLeft w:val="0"/>
      <w:marRight w:val="0"/>
      <w:marTop w:val="0"/>
      <w:marBottom w:val="0"/>
      <w:divBdr>
        <w:top w:val="none" w:sz="0" w:space="0" w:color="auto"/>
        <w:left w:val="none" w:sz="0" w:space="0" w:color="auto"/>
        <w:bottom w:val="none" w:sz="0" w:space="0" w:color="auto"/>
        <w:right w:val="none" w:sz="0" w:space="0" w:color="auto"/>
      </w:divBdr>
    </w:div>
    <w:div w:id="1262642372">
      <w:bodyDiv w:val="1"/>
      <w:marLeft w:val="0"/>
      <w:marRight w:val="0"/>
      <w:marTop w:val="0"/>
      <w:marBottom w:val="0"/>
      <w:divBdr>
        <w:top w:val="none" w:sz="0" w:space="0" w:color="auto"/>
        <w:left w:val="none" w:sz="0" w:space="0" w:color="auto"/>
        <w:bottom w:val="none" w:sz="0" w:space="0" w:color="auto"/>
        <w:right w:val="none" w:sz="0" w:space="0" w:color="auto"/>
      </w:divBdr>
    </w:div>
    <w:div w:id="1324627627">
      <w:bodyDiv w:val="1"/>
      <w:marLeft w:val="0"/>
      <w:marRight w:val="0"/>
      <w:marTop w:val="0"/>
      <w:marBottom w:val="0"/>
      <w:divBdr>
        <w:top w:val="none" w:sz="0" w:space="0" w:color="auto"/>
        <w:left w:val="none" w:sz="0" w:space="0" w:color="auto"/>
        <w:bottom w:val="none" w:sz="0" w:space="0" w:color="auto"/>
        <w:right w:val="none" w:sz="0" w:space="0" w:color="auto"/>
      </w:divBdr>
    </w:div>
    <w:div w:id="1486237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eloitte.com/uk/en/Industries/consumer/blogs/sustainability-in-the-hospitality-industry.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36CDA-2231-4F48-9CB6-A511BC239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2951</Words>
  <Characters>16827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caradan</dc:creator>
  <cp:keywords/>
  <dc:description/>
  <cp:lastModifiedBy>mihaela caradan</cp:lastModifiedBy>
  <cp:revision>2</cp:revision>
  <dcterms:created xsi:type="dcterms:W3CDTF">2024-10-21T18:54:00Z</dcterms:created>
  <dcterms:modified xsi:type="dcterms:W3CDTF">2024-10-21T18:54:00Z</dcterms:modified>
</cp:coreProperties>
</file>