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Nikki Crothers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2307015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BMSK5013</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Knowledge and Information Management</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widowControl w:val="0"/>
            <w:tabs>
              <w:tab w:val="right" w:leader="underscore" w:pos="12000"/>
            </w:tabs>
            <w:spacing w:after="0" w:before="60" w:line="240" w:lineRule="auto"/>
            <w:rPr>
              <w:b w:val="0"/>
              <w:color w:val="1155cc"/>
              <w:u w:val="single"/>
            </w:rPr>
          </w:pPr>
          <w:r w:rsidDel="00000000" w:rsidR="00000000" w:rsidRPr="00000000">
            <w:fldChar w:fldCharType="begin"/>
            <w:instrText xml:space="preserve"> TOC \h \u \z \t "Heading 1,1,Heading 2,2,Heading 3,3,Heading 4,4,Heading 5,5,Heading 6,6,"</w:instrText>
            <w:fldChar w:fldCharType="separate"/>
          </w:r>
          <w:hyperlink w:anchor="_heading=h.h11sn5uxeto9">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underscore" w:pos="12000"/>
            </w:tabs>
            <w:spacing w:after="0" w:before="60" w:line="240" w:lineRule="auto"/>
            <w:rPr>
              <w:b w:val="0"/>
              <w:color w:val="1155cc"/>
              <w:u w:val="single"/>
            </w:rPr>
          </w:pPr>
          <w:hyperlink w:anchor="_heading=h.k7fcmacmbljz">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1. Evaluate the concept of knowledge management</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underscore" w:pos="12000"/>
            </w:tabs>
            <w:spacing w:after="0" w:before="60" w:line="240" w:lineRule="auto"/>
            <w:rPr>
              <w:b w:val="0"/>
              <w:color w:val="1155cc"/>
              <w:u w:val="single"/>
            </w:rPr>
          </w:pPr>
          <w:hyperlink w:anchor="_heading=h.acu5031mslh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Explain the relationship between data, information and knowledge</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underscore" w:pos="12000"/>
            </w:tabs>
            <w:spacing w:after="0" w:before="60" w:line="240" w:lineRule="auto"/>
            <w:rPr>
              <w:b w:val="0"/>
              <w:color w:val="1155cc"/>
              <w:u w:val="single"/>
            </w:rPr>
          </w:pPr>
          <w:hyperlink w:anchor="_heading=h.gj11kqr7gmo2">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Explain the relationship between individual and organisational knowledge</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underscore" w:pos="12000"/>
            </w:tabs>
            <w:spacing w:after="0" w:before="60" w:line="240" w:lineRule="auto"/>
            <w:rPr>
              <w:b w:val="0"/>
              <w:color w:val="1155cc"/>
              <w:u w:val="single"/>
            </w:rPr>
          </w:pPr>
          <w:hyperlink w:anchor="_heading=h.umhtml1nf069">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 Develop a framework for a knowledge management culture</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underscore" w:pos="12000"/>
            </w:tabs>
            <w:spacing w:after="0" w:before="60" w:line="240" w:lineRule="auto"/>
            <w:rPr>
              <w:b w:val="0"/>
              <w:color w:val="1155cc"/>
              <w:u w:val="single"/>
            </w:rPr>
          </w:pPr>
          <w:hyperlink w:anchor="_heading=h.thxtsu30uw4">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Establish business case for the collection and distribution of knowledge</w:t>
              <w:tab/>
              <w:t xml:space="preserve">4</w:t>
            </w:r>
          </w:hyperlink>
          <w:r w:rsidDel="00000000" w:rsidR="00000000" w:rsidRPr="00000000">
            <w:rPr>
              <w:rtl w:val="0"/>
            </w:rPr>
          </w:r>
        </w:p>
        <w:p w:rsidR="00000000" w:rsidDel="00000000" w:rsidP="00000000" w:rsidRDefault="00000000" w:rsidRPr="00000000" w14:paraId="00000017">
          <w:pPr>
            <w:widowControl w:val="0"/>
            <w:tabs>
              <w:tab w:val="right" w:leader="underscore" w:pos="12000"/>
            </w:tabs>
            <w:spacing w:after="0" w:before="60" w:line="240" w:lineRule="auto"/>
            <w:rPr>
              <w:b w:val="0"/>
              <w:color w:val="1155cc"/>
              <w:u w:val="single"/>
            </w:rPr>
          </w:pPr>
          <w:hyperlink w:anchor="_heading=h.bp93h78pzcox">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explain what is required to create, store and implement knowledge</w:t>
              <w:tab/>
              <w:t xml:space="preserve">4</w:t>
            </w:r>
          </w:hyperlink>
          <w:r w:rsidDel="00000000" w:rsidR="00000000" w:rsidRPr="00000000">
            <w:rPr>
              <w:rtl w:val="0"/>
            </w:rPr>
          </w:r>
        </w:p>
        <w:p w:rsidR="00000000" w:rsidDel="00000000" w:rsidP="00000000" w:rsidRDefault="00000000" w:rsidRPr="00000000" w14:paraId="00000018">
          <w:pPr>
            <w:widowControl w:val="0"/>
            <w:tabs>
              <w:tab w:val="right" w:leader="underscore" w:pos="12000"/>
            </w:tabs>
            <w:spacing w:after="0" w:before="60" w:line="240" w:lineRule="auto"/>
            <w:rPr>
              <w:b w:val="0"/>
              <w:color w:val="1155cc"/>
              <w:u w:val="single"/>
            </w:rPr>
          </w:pPr>
          <w:hyperlink w:anchor="_heading=h.4n2j2x5tz1xi">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Explain the current systems for storage of information</w:t>
              <w:tab/>
              <w:t xml:space="preserve">4</w:t>
            </w:r>
          </w:hyperlink>
          <w:r w:rsidDel="00000000" w:rsidR="00000000" w:rsidRPr="00000000">
            <w:rPr>
              <w:rtl w:val="0"/>
            </w:rPr>
          </w:r>
        </w:p>
        <w:p w:rsidR="00000000" w:rsidDel="00000000" w:rsidP="00000000" w:rsidRDefault="00000000" w:rsidRPr="00000000" w14:paraId="00000019">
          <w:pPr>
            <w:widowControl w:val="0"/>
            <w:tabs>
              <w:tab w:val="right" w:leader="underscore" w:pos="12000"/>
            </w:tabs>
            <w:spacing w:after="0" w:before="60" w:line="240" w:lineRule="auto"/>
            <w:rPr>
              <w:b w:val="0"/>
              <w:color w:val="1155cc"/>
              <w:u w:val="single"/>
            </w:rPr>
          </w:pPr>
          <w:hyperlink w:anchor="_heading=h.o05ptgjq1sql">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Define current knowledge assets within the workplace</w:t>
              <w:tab/>
              <w:t xml:space="preserve">4</w:t>
            </w:r>
          </w:hyperlink>
          <w:r w:rsidDel="00000000" w:rsidR="00000000" w:rsidRPr="00000000">
            <w:rPr>
              <w:rtl w:val="0"/>
            </w:rPr>
          </w:r>
        </w:p>
        <w:p w:rsidR="00000000" w:rsidDel="00000000" w:rsidP="00000000" w:rsidRDefault="00000000" w:rsidRPr="00000000" w14:paraId="0000001A">
          <w:pPr>
            <w:widowControl w:val="0"/>
            <w:tabs>
              <w:tab w:val="right" w:leader="underscore" w:pos="12000"/>
            </w:tabs>
            <w:spacing w:after="0" w:before="60" w:line="240" w:lineRule="auto"/>
            <w:rPr>
              <w:b w:val="0"/>
              <w:color w:val="1155cc"/>
              <w:u w:val="single"/>
            </w:rPr>
          </w:pPr>
          <w:hyperlink w:anchor="_heading=h.s9bikavxwt93">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Create a series of key performance indicators for your workplace</w:t>
              <w:tab/>
              <w:t xml:space="preserve">4</w:t>
            </w:r>
          </w:hyperlink>
          <w:r w:rsidDel="00000000" w:rsidR="00000000" w:rsidRPr="00000000">
            <w:rPr>
              <w:rtl w:val="0"/>
            </w:rPr>
          </w:r>
        </w:p>
        <w:p w:rsidR="00000000" w:rsidDel="00000000" w:rsidP="00000000" w:rsidRDefault="00000000" w:rsidRPr="00000000" w14:paraId="0000001B">
          <w:pPr>
            <w:widowControl w:val="0"/>
            <w:tabs>
              <w:tab w:val="right" w:leader="underscore" w:pos="12000"/>
            </w:tabs>
            <w:spacing w:after="0" w:before="60" w:line="240" w:lineRule="auto"/>
            <w:rPr>
              <w:b w:val="0"/>
              <w:color w:val="1155cc"/>
              <w:u w:val="single"/>
            </w:rPr>
          </w:pPr>
          <w:hyperlink w:anchor="_heading=h.pfwj48smgap6">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What information is required by the business?</w:t>
              <w:tab/>
              <w:t xml:space="preserve">4</w:t>
            </w:r>
          </w:hyperlink>
          <w:r w:rsidDel="00000000" w:rsidR="00000000" w:rsidRPr="00000000">
            <w:rPr>
              <w:rtl w:val="0"/>
            </w:rPr>
          </w:r>
        </w:p>
        <w:p w:rsidR="00000000" w:rsidDel="00000000" w:rsidP="00000000" w:rsidRDefault="00000000" w:rsidRPr="00000000" w14:paraId="0000001C">
          <w:pPr>
            <w:widowControl w:val="0"/>
            <w:tabs>
              <w:tab w:val="right" w:leader="underscore" w:pos="12000"/>
            </w:tabs>
            <w:spacing w:after="0" w:before="60" w:line="240" w:lineRule="auto"/>
            <w:rPr>
              <w:b w:val="0"/>
              <w:color w:val="1155cc"/>
              <w:u w:val="single"/>
            </w:rPr>
          </w:pPr>
          <w:hyperlink w:anchor="_heading=h.edvz2klrfmgw">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What systems are in place to protect confidentiality, integrity and availability of information?</w:t>
              <w:tab/>
              <w:t xml:space="preserve">4</w:t>
            </w:r>
          </w:hyperlink>
          <w:r w:rsidDel="00000000" w:rsidR="00000000" w:rsidRPr="00000000">
            <w:rPr>
              <w:rtl w:val="0"/>
            </w:rPr>
          </w:r>
        </w:p>
        <w:p w:rsidR="00000000" w:rsidDel="00000000" w:rsidP="00000000" w:rsidRDefault="00000000" w:rsidRPr="00000000" w14:paraId="0000001D">
          <w:pPr>
            <w:widowControl w:val="0"/>
            <w:tabs>
              <w:tab w:val="right" w:leader="underscore" w:pos="12000"/>
            </w:tabs>
            <w:spacing w:after="0" w:before="60" w:line="240" w:lineRule="auto"/>
            <w:rPr>
              <w:b w:val="0"/>
              <w:color w:val="1155cc"/>
              <w:u w:val="single"/>
            </w:rPr>
          </w:pPr>
          <w:hyperlink w:anchor="_heading=h.jzzayhctbaw6">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Conclusion</w:t>
              <w:tab/>
              <w:t xml:space="preserve">4</w:t>
            </w:r>
          </w:hyperlink>
          <w:r w:rsidDel="00000000" w:rsidR="00000000" w:rsidRPr="00000000">
            <w:rPr>
              <w:rtl w:val="0"/>
            </w:rPr>
          </w:r>
        </w:p>
        <w:p w:rsidR="00000000" w:rsidDel="00000000" w:rsidP="00000000" w:rsidRDefault="00000000" w:rsidRPr="00000000" w14:paraId="0000001E">
          <w:pPr>
            <w:widowControl w:val="0"/>
            <w:tabs>
              <w:tab w:val="right" w:leader="underscore" w:pos="12000"/>
            </w:tabs>
            <w:spacing w:after="0" w:before="60" w:line="240" w:lineRule="auto"/>
            <w:rPr>
              <w:b w:val="0"/>
              <w:color w:val="1155cc"/>
              <w:u w:val="single"/>
            </w:rPr>
          </w:pPr>
          <w:hyperlink w:anchor="_heading=h.1hq8icu20fg8">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20">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1">
      <w:pPr>
        <w:pStyle w:val="Heading1"/>
        <w:rPr>
          <w:sz w:val="24"/>
          <w:szCs w:val="24"/>
        </w:rPr>
      </w:pPr>
      <w:bookmarkStart w:colFirst="0" w:colLast="0" w:name="_heading=h.h11sn5uxeto9" w:id="0"/>
      <w:bookmarkEnd w:id="0"/>
      <w:r w:rsidDel="00000000" w:rsidR="00000000" w:rsidRPr="00000000">
        <w:rPr>
          <w:sz w:val="24"/>
          <w:szCs w:val="24"/>
          <w:rtl w:val="0"/>
        </w:rPr>
        <w:t xml:space="preserve">Introduction</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In this assignment, I’ll explore what knowledge management really is, why it matters and how different organisations use it to work more efficiently. We’re constantly surrounded by information and at times it can feel like a lot to keep up with. That’s where knowledge management becomes useful. It’s about how we gather, organise, share and make the most of what we know whether at work or in everyday life. At first, I thought it was just another way of staying organised, but as I dug deeper, I realised it goes far beyond that. It involves understanding the difference between the knowledge we carry in our heads and the knowledge that’s been written down or recorded and then figuring out how to connect the two. From improving collaboration to helping businesses stay competitive, knowledge management has a big impact. In this report, I’ll look at the key concepts, explore some tools that make it easier and highlight a few common challenges that come with trying to manage knowledge in a meaningful way.</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1"/>
        <w:rPr>
          <w:sz w:val="24"/>
          <w:szCs w:val="24"/>
        </w:rPr>
      </w:pPr>
      <w:bookmarkStart w:colFirst="0" w:colLast="0" w:name="_heading=h.k7fcmacmbljz" w:id="1"/>
      <w:bookmarkEnd w:id="1"/>
      <w:r w:rsidDel="00000000" w:rsidR="00000000" w:rsidRPr="00000000">
        <w:rPr>
          <w:sz w:val="24"/>
          <w:szCs w:val="24"/>
          <w:rtl w:val="0"/>
        </w:rPr>
        <w:t xml:space="preserve">1. Evaluate the concept of knowledge management</w:t>
      </w:r>
    </w:p>
    <w:p w:rsidR="00000000" w:rsidDel="00000000" w:rsidP="00000000" w:rsidRDefault="00000000" w:rsidRPr="00000000" w14:paraId="0000002B">
      <w:pPr>
        <w:pStyle w:val="Heading1"/>
        <w:rPr>
          <w:sz w:val="24"/>
          <w:szCs w:val="24"/>
        </w:rPr>
      </w:pPr>
      <w:bookmarkStart w:colFirst="0" w:colLast="0" w:name="_heading=h.acu5031mslh0" w:id="2"/>
      <w:bookmarkEnd w:id="2"/>
      <w:r w:rsidDel="00000000" w:rsidR="00000000" w:rsidRPr="00000000">
        <w:rPr>
          <w:sz w:val="24"/>
          <w:szCs w:val="24"/>
          <w:rtl w:val="0"/>
        </w:rPr>
        <w:t xml:space="preserve">Explain the relationship between data, information and knowledge.</w:t>
      </w:r>
    </w:p>
    <w:p w:rsidR="00000000" w:rsidDel="00000000" w:rsidP="00000000" w:rsidRDefault="00000000" w:rsidRPr="00000000" w14:paraId="0000002C">
      <w:pPr>
        <w:rPr/>
      </w:pPr>
      <w:r w:rsidDel="00000000" w:rsidR="00000000" w:rsidRPr="00000000">
        <w:rPr>
          <w:rtl w:val="0"/>
        </w:rPr>
        <w:t xml:space="preserve">Working in the care industry, I have come to realise how important it is to properly understand the difference between data, information and knowledge, especially when making decisions that affect someone’s health and wellbeing. The DIKW model really helped me make sense of this. Russell Ackoff (1989) explained it in a simple but powerful way. Data is the raw facts we collect, like a resident’s blood pressure reading or the number of hours they have slept. On its own, that data does not tell us anything. But when we organise it and give it meaning, like noticing that someone’s blood pressure has been rising over a few days, it becomes information. Once we apply our experience and understanding, we gain knowledge, such as recognising that this pattern could point to stress, pain or a reaction to medication. In this  job, I recently noticed this with a resident who seemed more tired and irritable. The data alone did not explain it, but after looking at her sleeping patterns, fluid intake and behaviour, it all linked together. Wisdom guides us to act, like adjusting the care plan or raising concerns with the nurse on shift that day. The DIKW model shows how each step builds towards better care and clearer decision making. Understanding the relationship between data, information and knowledge has made my role feel more purposeful. It's that each piece builds on the other data as the foundation, just the basic facts. But when we spot a trend or a change, that is information starting to form. Then, using our training, past experiences and even our instincts, we turn that into knowledge, something we can act on with more confidence. It is all connected and in a care setting, that connection really matters. When you see how a simple observation, like a resident skipping meals or not sleeping well, turns into a meaningful insight that leads to better care, it really brings home the value of understanding this process.</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1"/>
        <w:rPr>
          <w:sz w:val="24"/>
          <w:szCs w:val="24"/>
        </w:rPr>
      </w:pPr>
      <w:bookmarkStart w:colFirst="0" w:colLast="0" w:name="_heading=h.gj11kqr7gmo2" w:id="3"/>
      <w:bookmarkEnd w:id="3"/>
      <w:r w:rsidDel="00000000" w:rsidR="00000000" w:rsidRPr="00000000">
        <w:rPr>
          <w:sz w:val="24"/>
          <w:szCs w:val="24"/>
          <w:rtl w:val="0"/>
        </w:rPr>
        <w:t xml:space="preserve">Explain the relationship between individual and organisational knowledge.</w:t>
      </w:r>
    </w:p>
    <w:p w:rsidR="00000000" w:rsidDel="00000000" w:rsidP="00000000" w:rsidRDefault="00000000" w:rsidRPr="00000000" w14:paraId="00000031">
      <w:pPr>
        <w:spacing w:after="240" w:before="240" w:lineRule="auto"/>
        <w:rPr/>
      </w:pPr>
      <w:r w:rsidDel="00000000" w:rsidR="00000000" w:rsidRPr="00000000">
        <w:rPr>
          <w:rtl w:val="0"/>
        </w:rPr>
        <w:t xml:space="preserve">The relationship between individual and organisational knowledge is key to how businesses and teams grow, learn and improve. Individual knowledge refers to what each person knows, including skills, experiences and insights. Which is tacit, meaning it’s hard to explain or write down. Organisational knowledge on the other hand is what the whole organisation knows collectively. It includes systems, documents, procedures and shared practices. Nonaka and Takeuchi’s SECI model (1995) explains how individual and organisational knowledge connect and evolve through four processes, socialisation, externalisation, combination and internalisation. Socialisation is about sharing tacit knowledge through experiences or observation, like when a new care worker learns techniques by shadowing a senior. Externalisation turns that tacit knowledge into explicit forms, such as care notes or guidelines. Combination involves organising and refining explicit knowledge and Internalisation is when individuals absorb this shared knowledge and make it part of their own understanding. This cycle helps organisations grow from the knowledge individuals bring in, while also supporting individuals with the structured knowledge the organisation creates. In a care setting, this is crucial for ensuring consistency and high quality care, while still allowing staff to bring in their personal expertise and judgement.</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pStyle w:val="Heading1"/>
        <w:rPr>
          <w:sz w:val="24"/>
          <w:szCs w:val="24"/>
        </w:rPr>
      </w:pPr>
      <w:bookmarkStart w:colFirst="0" w:colLast="0" w:name="_heading=h.umhtml1nf069" w:id="4"/>
      <w:bookmarkEnd w:id="4"/>
      <w:r w:rsidDel="00000000" w:rsidR="00000000" w:rsidRPr="00000000">
        <w:rPr>
          <w:sz w:val="24"/>
          <w:szCs w:val="24"/>
          <w:rtl w:val="0"/>
        </w:rPr>
        <w:t xml:space="preserve">2. Develop a framework for a knowledge management culture. </w:t>
      </w:r>
    </w:p>
    <w:p w:rsidR="00000000" w:rsidDel="00000000" w:rsidP="00000000" w:rsidRDefault="00000000" w:rsidRPr="00000000" w14:paraId="0000003D">
      <w:pPr>
        <w:pStyle w:val="Heading1"/>
        <w:rPr>
          <w:sz w:val="24"/>
          <w:szCs w:val="24"/>
        </w:rPr>
      </w:pPr>
      <w:bookmarkStart w:colFirst="0" w:colLast="0" w:name="_heading=h.yoabfspvrqrc" w:id="5"/>
      <w:bookmarkEnd w:id="5"/>
      <w:r w:rsidDel="00000000" w:rsidR="00000000" w:rsidRPr="00000000">
        <w:rPr>
          <w:sz w:val="24"/>
          <w:szCs w:val="24"/>
          <w:rtl w:val="0"/>
        </w:rPr>
        <w:t xml:space="preserve">Establish a business case for the collection and distribution of knowledge.</w:t>
      </w:r>
    </w:p>
    <w:p w:rsidR="00000000" w:rsidDel="00000000" w:rsidP="00000000" w:rsidRDefault="00000000" w:rsidRPr="00000000" w14:paraId="0000003E">
      <w:pPr>
        <w:rPr/>
      </w:pPr>
      <w:r w:rsidDel="00000000" w:rsidR="00000000" w:rsidRPr="00000000">
        <w:rPr>
          <w:rtl w:val="0"/>
        </w:rPr>
        <w:t xml:space="preserve">Building a strong business case for collecting and sharing knowledge starts with recognising it as a valuable strategic asset. According to Resource Based View or RBV for short, organisations gain a competitive advantage by effectively managing resources that are valuable, rare, inimitable and organised. This is where the VRIO framework comes in (Barney, 1991). Knowledge, especially when it’s unique to an organisation or hard to replicate, fits all four of these criteria. For example, a care organisation that gains years of staff experience and turns it into accessible resources like training manuals, best practice guides or digital knowledge bases can improve both staff performance and service quality. This organised knowledge becomes a key resource that supports learning, innovation and consistency in care. It also reduces dependency on individual staff members, making the organisation more resilient. Sharing knowledge across departments or teams helps avoid repeating mistakes and encourages continuous improvement. By aligning knowledge strategies with the VRIO model, companies can clearly show how structured knowledge collection and distribution not only improves daily operations but also creates long term value that’s hard for competitors to copy.</w:t>
      </w:r>
    </w:p>
    <w:p w:rsidR="00000000" w:rsidDel="00000000" w:rsidP="00000000" w:rsidRDefault="00000000" w:rsidRPr="00000000" w14:paraId="0000003F">
      <w:pPr>
        <w:rPr/>
      </w:pPr>
      <w:r w:rsidDel="00000000" w:rsidR="00000000" w:rsidRPr="00000000">
        <w:rPr>
          <w:rtl w:val="0"/>
        </w:rPr>
      </w:r>
    </w:p>
    <w:sdt>
      <w:sdtPr>
        <w:lock w:val="contentLocked"/>
        <w:tag w:val="goog_rdk_0"/>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Tangible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Intangible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Staff uniforms and PPE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Respect and dignity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Medical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Trust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Medication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Up to date training</w:t>
                </w:r>
              </w:p>
            </w:tc>
          </w:tr>
        </w:tbl>
      </w:sdtContent>
    </w:sdt>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In the care sector, both physical and non physical factors are needed in providing a high quality service. Tangible elements involve the physical tools and resources used in care, such as medical devices, PPE and care facility infrastructure, which are crucial for maintaining safety, cleanliness and physical health. On the other hand, intangible aspects include emotional and interpersonal qualities like empathy, compassion, trust, up to date training and strong communication skills. These play a key role in enhancing the care experience and boosting satisfaction not just for the employees but for the patients as well. According to Ladhari (2009), tangible resources such as equipment and facilities, along with intangible elements like empathy and communication, are both essential in delivering quality care services.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1"/>
        <w:rPr>
          <w:sz w:val="24"/>
          <w:szCs w:val="24"/>
        </w:rPr>
      </w:pPr>
      <w:bookmarkStart w:colFirst="0" w:colLast="0" w:name="_heading=h.bp93h78pzcox" w:id="6"/>
      <w:bookmarkEnd w:id="6"/>
      <w:r w:rsidDel="00000000" w:rsidR="00000000" w:rsidRPr="00000000">
        <w:rPr>
          <w:sz w:val="24"/>
          <w:szCs w:val="24"/>
          <w:rtl w:val="0"/>
        </w:rPr>
        <w:t xml:space="preserve">Explain what is required to create, store and implement knowledge. </w:t>
      </w:r>
    </w:p>
    <w:p w:rsidR="00000000" w:rsidDel="00000000" w:rsidP="00000000" w:rsidRDefault="00000000" w:rsidRPr="00000000" w14:paraId="00000055">
      <w:pPr>
        <w:rPr/>
      </w:pPr>
      <w:r w:rsidDel="00000000" w:rsidR="00000000" w:rsidRPr="00000000">
        <w:rPr>
          <w:rtl w:val="0"/>
        </w:rPr>
        <w:t xml:space="preserve">Creating, storing and implementing knowledge effectively requires a mix of the right tools, culture and processes. To create knowledge, companies need to encourage collaboration, open communication and learning whether through team discussions, feedback or hands on experience. This includes capturing both tacit knowledge, which is personal and experience based and explicit knowledge, which is documented and easier to share. Once knowledge is created, it needs to be stored in a way that’s accessible and organised. This can include digital databases, manuals or shared drives supported by knowledge management systems that make retrieval easy and efficient (Alavi &amp; Leidner, 2001). Implementing knowledge is just as important and it involves integrating it into daily practice, training, decision making and processes. For knowledge to be used effectively, employees must not only have access to it but also understand how to apply it in context. This means a culture where knowledge sharing is supported, valued and embedded in how people work. When organisations align these elements of creation, storage and implementation they turn knowledge into a practical and powerful asset that supports continuous learning and performance. </w:t>
      </w:r>
    </w:p>
    <w:p w:rsidR="00000000" w:rsidDel="00000000" w:rsidP="00000000" w:rsidRDefault="00000000" w:rsidRPr="00000000" w14:paraId="00000056">
      <w:pPr>
        <w:rPr/>
      </w:pPr>
      <w:r w:rsidDel="00000000" w:rsidR="00000000" w:rsidRPr="00000000">
        <w:rPr>
          <w:rtl w:val="0"/>
        </w:rPr>
        <w:t xml:space="preserve">To prevent personal and accidental data breaches in the workplace, it is crucial to follow strict data security protocols. This includes ensuring that sensitive information is stored securely, either through encrypted systems or locked in a physical storage place. Access should be limited to one authorised person and strong passwords must be used. Regular training on data protection practices can help employees recognise potential risks, such as spam or improper sharing of information. Additionally, regularly reviewing and updating security measures, including software and access controls, is vital to keeping data secure. Proper handling and vigilance in data management will minimise the risk of breaches. Stanton (2004) emphasises the critical need for secure data storage to protect against unauthorised access and ensure data integrity.</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pStyle w:val="Heading1"/>
        <w:rPr>
          <w:sz w:val="24"/>
          <w:szCs w:val="24"/>
        </w:rPr>
      </w:pPr>
      <w:bookmarkStart w:colFirst="0" w:colLast="0" w:name="_heading=h.4n2j2x5tz1xi" w:id="7"/>
      <w:bookmarkEnd w:id="7"/>
      <w:r w:rsidDel="00000000" w:rsidR="00000000" w:rsidRPr="00000000">
        <w:rPr>
          <w:sz w:val="24"/>
          <w:szCs w:val="24"/>
          <w:rtl w:val="0"/>
        </w:rPr>
        <w:t xml:space="preserve">Explain the current systems for storage of information.</w:t>
      </w:r>
    </w:p>
    <w:p w:rsidR="00000000" w:rsidDel="00000000" w:rsidP="00000000" w:rsidRDefault="00000000" w:rsidRPr="00000000" w14:paraId="0000005E">
      <w:pPr>
        <w:spacing w:after="240" w:before="240" w:lineRule="auto"/>
        <w:rPr/>
      </w:pPr>
      <w:r w:rsidDel="00000000" w:rsidR="00000000" w:rsidRPr="00000000">
        <w:rPr>
          <w:rtl w:val="0"/>
        </w:rPr>
        <w:t xml:space="preserve">As a care worker, I’ve come to appreciate just how much the care industry relies on current systems to keep things running smoothly especially when it comes to storing information. There are no more endless paper records stacked in filing cabinets. Now, we mostly use electronic systems like care management software and digital record keeping tools. In some aspects of the care work we provide, we do use paper work for documenting clients food intake and behaviour, these are then stored at the end of the day in a locked cabinet. They have systems to store important details about each person we support, from medical histories and personal preferences to daily notes and medication records. It’s easy to access and update. This not only helps keep everyone safe and well cared for, but it also saves a ton of time and reduces human error. For example, systems like person centred software make it easier to share updates with the whole care team, which is really helpful during handovers or inspections. According to Berridge and Holdsworth (2022), digital care records improve both the quality and continuity of care, especially in complex settings. I’ve noticed it also makes my job less stressful because I can focus more on the people rather than paperwork. It’s a real game changer for the industry and makes things feel a lot more modern and efficient.</w:t>
      </w:r>
    </w:p>
    <w:p w:rsidR="00000000" w:rsidDel="00000000" w:rsidP="00000000" w:rsidRDefault="00000000" w:rsidRPr="00000000" w14:paraId="0000005F">
      <w:pPr>
        <w:spacing w:after="240" w:before="240" w:lineRule="auto"/>
        <w:rPr/>
      </w:pPr>
      <w:r w:rsidDel="00000000" w:rsidR="00000000" w:rsidRPr="00000000">
        <w:rPr>
          <w:rtl w:val="0"/>
        </w:rPr>
        <w:t xml:space="preserve">It is the companies duty to ensure that all data is collected with full consent, properly managed throughout its use and disposed of in a secure and appropriate manner. GDPR provides individuals with several key rights to help them maintain control over their personal data. This includes the right to know how their information is being used and the ability to access the personal data a company holds about them. If any details are incorrect, they can request that the information be updated. People also have the right to have their data transferred to another provider, ask for it to be deleted or limit how it’s being used in certain situations. They can also object to the processing of their data altogether. These rights are designed to ensure transparency and empower individuals in how their data is handled.</w:t>
      </w:r>
    </w:p>
    <w:p w:rsidR="00000000" w:rsidDel="00000000" w:rsidP="00000000" w:rsidRDefault="00000000" w:rsidRPr="00000000" w14:paraId="00000060">
      <w:pPr>
        <w:spacing w:after="240" w:before="240" w:lineRule="auto"/>
        <w:rPr/>
      </w:pPr>
      <w:r w:rsidDel="00000000" w:rsidR="00000000" w:rsidRPr="00000000">
        <w:rPr>
          <w:rtl w:val="0"/>
        </w:rPr>
      </w:r>
    </w:p>
    <w:p w:rsidR="00000000" w:rsidDel="00000000" w:rsidP="00000000" w:rsidRDefault="00000000" w:rsidRPr="00000000" w14:paraId="00000061">
      <w:pPr>
        <w:spacing w:after="240" w:before="240" w:lineRule="auto"/>
        <w:rPr/>
      </w:pPr>
      <w:r w:rsidDel="00000000" w:rsidR="00000000" w:rsidRPr="00000000">
        <w:rPr>
          <w:rtl w:val="0"/>
        </w:rPr>
      </w:r>
    </w:p>
    <w:p w:rsidR="00000000" w:rsidDel="00000000" w:rsidP="00000000" w:rsidRDefault="00000000" w:rsidRPr="00000000" w14:paraId="00000062">
      <w:pPr>
        <w:pStyle w:val="Heading1"/>
        <w:rPr>
          <w:sz w:val="24"/>
          <w:szCs w:val="24"/>
        </w:rPr>
      </w:pPr>
      <w:bookmarkStart w:colFirst="0" w:colLast="0" w:name="_heading=h.o05ptgjq1sql" w:id="8"/>
      <w:bookmarkEnd w:id="8"/>
      <w:r w:rsidDel="00000000" w:rsidR="00000000" w:rsidRPr="00000000">
        <w:rPr>
          <w:sz w:val="24"/>
          <w:szCs w:val="24"/>
          <w:rtl w:val="0"/>
        </w:rPr>
        <w:t xml:space="preserve">Define current knowledge assets within the workplace</w:t>
      </w:r>
    </w:p>
    <w:p w:rsidR="00000000" w:rsidDel="00000000" w:rsidP="00000000" w:rsidRDefault="00000000" w:rsidRPr="00000000" w14:paraId="00000063">
      <w:pPr>
        <w:spacing w:after="240" w:before="240" w:lineRule="auto"/>
        <w:rPr/>
      </w:pPr>
      <w:r w:rsidDel="00000000" w:rsidR="00000000" w:rsidRPr="00000000">
        <w:rPr>
          <w:rtl w:val="0"/>
        </w:rPr>
        <w:t xml:space="preserve">In the workplace, particularly within the care sector, current knowledge assets refer to the valuable resources that support the delivery of high quality care. These assets include up to date care plans, health and safety protocols, staff training materials and digital care records, as well as the skills, experience, and insights held by the workforce. Most care organisations now rely on electronic systems to store and manage this knowledge, making it more accessible and easier to update. An example is, digital platforms allow staff to view or log information in real time, which helps maintain consistency and accuracy across shifts. Knowledge is not only stored in documents but also shared through team meetings, supervision and day to day communication among staff. This combination of human and technological knowledge assets plays a key role in improving outcomes for service users. As noted by Andreeva and Kianto (2012), effective management of both human and structural knowledge contributes significantly to organisational performance and innovation. In the care industry, where situations and needs can change quickly, having well managed knowledge assets ensures that staff are always informed and prepared to respond appropriately. </w:t>
      </w:r>
    </w:p>
    <w:p w:rsidR="00000000" w:rsidDel="00000000" w:rsidP="00000000" w:rsidRDefault="00000000" w:rsidRPr="00000000" w14:paraId="00000064">
      <w:pPr>
        <w:spacing w:after="240" w:before="240" w:lineRule="auto"/>
        <w:rPr/>
      </w:pPr>
      <w:r w:rsidDel="00000000" w:rsidR="00000000" w:rsidRPr="00000000">
        <w:rPr>
          <w:rtl w:val="0"/>
        </w:rPr>
        <w:t xml:space="preserve">Knowledge assets are resources both written and unwritten that contain useful knowledge which can be drawn on to support good decision making, improve care practices and maintain high standards. They are seen as assets because they hold value for the organisation by capturing important information, whether that is formal procedures, personal care preferences or the practical understanding that staff develop through their daily work. These assets help staff feel more confident, keep care consistent, and make it easier to find solutions when challenges come up. In the care sector, where things can change quickly and every detail matters, having access to reliable knowledge whether recorded in systems or shared through experience is vital. This shows that knowledge assets are not just there to be stored, but actively shape how care is delivered and support learning across the team.</w:t>
      </w:r>
    </w:p>
    <w:p w:rsidR="00000000" w:rsidDel="00000000" w:rsidP="00000000" w:rsidRDefault="00000000" w:rsidRPr="00000000" w14:paraId="00000065">
      <w:pPr>
        <w:spacing w:after="240" w:before="240" w:lineRule="auto"/>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Style w:val="Heading1"/>
        <w:rPr>
          <w:sz w:val="24"/>
          <w:szCs w:val="24"/>
        </w:rPr>
      </w:pPr>
      <w:bookmarkStart w:colFirst="0" w:colLast="0" w:name="_heading=h.5qls18ehb69u" w:id="9"/>
      <w:bookmarkEnd w:id="9"/>
      <w:r w:rsidDel="00000000" w:rsidR="00000000" w:rsidRPr="00000000">
        <w:rPr>
          <w:rtl w:val="0"/>
        </w:rPr>
      </w:r>
    </w:p>
    <w:p w:rsidR="00000000" w:rsidDel="00000000" w:rsidP="00000000" w:rsidRDefault="00000000" w:rsidRPr="00000000" w14:paraId="00000068">
      <w:pPr>
        <w:pStyle w:val="Heading1"/>
        <w:rPr>
          <w:sz w:val="24"/>
          <w:szCs w:val="24"/>
        </w:rPr>
      </w:pPr>
      <w:bookmarkStart w:colFirst="0" w:colLast="0" w:name="_heading=h.z5sflakacjmd" w:id="10"/>
      <w:bookmarkEnd w:id="10"/>
      <w:r w:rsidDel="00000000" w:rsidR="00000000" w:rsidRPr="00000000">
        <w:rPr>
          <w:rtl w:val="0"/>
        </w:rPr>
      </w:r>
    </w:p>
    <w:p w:rsidR="00000000" w:rsidDel="00000000" w:rsidP="00000000" w:rsidRDefault="00000000" w:rsidRPr="00000000" w14:paraId="00000069">
      <w:pPr>
        <w:pStyle w:val="Heading1"/>
        <w:rPr>
          <w:sz w:val="24"/>
          <w:szCs w:val="24"/>
        </w:rPr>
      </w:pPr>
      <w:bookmarkStart w:colFirst="0" w:colLast="0" w:name="_heading=h.jaziraqz7eqk" w:id="11"/>
      <w:bookmarkEnd w:id="11"/>
      <w:r w:rsidDel="00000000" w:rsidR="00000000" w:rsidRPr="00000000">
        <w:rPr>
          <w:rtl w:val="0"/>
        </w:rPr>
      </w:r>
    </w:p>
    <w:p w:rsidR="00000000" w:rsidDel="00000000" w:rsidP="00000000" w:rsidRDefault="00000000" w:rsidRPr="00000000" w14:paraId="0000006A">
      <w:pPr>
        <w:pStyle w:val="Heading1"/>
        <w:rPr>
          <w:sz w:val="24"/>
          <w:szCs w:val="24"/>
        </w:rPr>
      </w:pPr>
      <w:bookmarkStart w:colFirst="0" w:colLast="0" w:name="_heading=h.e3ie7yyzutpc" w:id="12"/>
      <w:bookmarkEnd w:id="12"/>
      <w:r w:rsidDel="00000000" w:rsidR="00000000" w:rsidRPr="00000000">
        <w:rPr>
          <w:rtl w:val="0"/>
        </w:rPr>
      </w:r>
    </w:p>
    <w:p w:rsidR="00000000" w:rsidDel="00000000" w:rsidP="00000000" w:rsidRDefault="00000000" w:rsidRPr="00000000" w14:paraId="0000006B">
      <w:pPr>
        <w:pStyle w:val="Heading1"/>
        <w:rPr>
          <w:sz w:val="24"/>
          <w:szCs w:val="24"/>
        </w:rPr>
      </w:pPr>
      <w:bookmarkStart w:colFirst="0" w:colLast="0" w:name="_heading=h.jf2k8fuiu4zw" w:id="13"/>
      <w:bookmarkEnd w:id="13"/>
      <w:r w:rsidDel="00000000" w:rsidR="00000000" w:rsidRPr="00000000">
        <w:rPr>
          <w:sz w:val="24"/>
          <w:szCs w:val="24"/>
          <w:rtl w:val="0"/>
        </w:rPr>
        <w:t xml:space="preserve">.</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pStyle w:val="Heading1"/>
        <w:rPr>
          <w:sz w:val="24"/>
          <w:szCs w:val="24"/>
        </w:rPr>
      </w:pPr>
      <w:bookmarkStart w:colFirst="0" w:colLast="0" w:name="_heading=h.s9bikavxwt93" w:id="14"/>
      <w:bookmarkEnd w:id="14"/>
      <w:r w:rsidDel="00000000" w:rsidR="00000000" w:rsidRPr="00000000">
        <w:rPr>
          <w:sz w:val="24"/>
          <w:szCs w:val="24"/>
          <w:rtl w:val="0"/>
        </w:rPr>
        <w:t xml:space="preserve">Create a series of key performance indicators for your workplace.</w:t>
      </w:r>
    </w:p>
    <w:p w:rsidR="00000000" w:rsidDel="00000000" w:rsidP="00000000" w:rsidRDefault="00000000" w:rsidRPr="00000000" w14:paraId="0000006E">
      <w:pPr>
        <w:spacing w:after="240" w:before="240" w:lineRule="auto"/>
        <w:rPr/>
      </w:pPr>
      <w:r w:rsidDel="00000000" w:rsidR="00000000" w:rsidRPr="00000000">
        <w:rPr>
          <w:rtl w:val="0"/>
        </w:rPr>
        <w:t xml:space="preserve">In the care sector, key performance indicators (KPIs) are a great way to track how well a service is doing and make sure the support being provided is safe, person centred and effective. A few useful KPIs for a care setting might include medication error rates, response times to call bells, staff training completion, service user satisfaction and incident reporting trends. These indicators help managers and staff see what’s working well and where improvements might be needed. If a care home tracks how quickly staff respond to call bells, this KPI can show whether residents are getting the timely support they need. If the average response time starts increasing, that might highlight issues like short staffing or communication breakdowns. On the other hand, consistently quick response times can be a sign of a well organised and attentive team. Another important KPI could be training compliance. Keeping an eye on how many staff are up to date with required training, such as safeguarding or moving and handling, helps ensure that everyone is working safely and confidently. </w:t>
      </w:r>
    </w:p>
    <w:p w:rsidR="00000000" w:rsidDel="00000000" w:rsidP="00000000" w:rsidRDefault="00000000" w:rsidRPr="00000000" w14:paraId="0000006F">
      <w:pPr>
        <w:spacing w:after="240" w:before="240" w:lineRule="auto"/>
        <w:rPr/>
      </w:pPr>
      <w:r w:rsidDel="00000000" w:rsidR="00000000" w:rsidRPr="00000000">
        <w:rPr>
          <w:rtl w:val="0"/>
        </w:rPr>
        <w:t xml:space="preserve">KPI’S for the care sector, it’s important to focus on both the quality of care provided and the well being of the individuals receiving that care. A good KPI should follow the SMART goal method, being specific, measurable, achievable, relevant and time bound. This then helps ensure that the goal is practical and clearly defined (Doran, 1981). Instead of simply counting the number of clients seen, a more relevant KPI might track service user satisfaction, the timely completion of care plan reviews or a decrease in seeing the GP due to proactive </w:t>
      </w:r>
      <w:r w:rsidDel="00000000" w:rsidR="00000000" w:rsidRPr="00000000">
        <w:rPr>
          <w:rtl w:val="0"/>
        </w:rPr>
        <w:t xml:space="preserve">in home</w:t>
      </w:r>
      <w:r w:rsidDel="00000000" w:rsidR="00000000" w:rsidRPr="00000000">
        <w:rPr>
          <w:rtl w:val="0"/>
        </w:rPr>
        <w:t xml:space="preserve"> care. Since care work often involves emotions, empathy and building trust, you have to consider KPIs that reflect these more human elements of care too. This could include gathering regular feedback through satisfaction surveys to assess whether clients feel respected, supported and listened to. </w:t>
      </w:r>
    </w:p>
    <w:p w:rsidR="00000000" w:rsidDel="00000000" w:rsidP="00000000" w:rsidRDefault="00000000" w:rsidRPr="00000000" w14:paraId="00000070">
      <w:pPr>
        <w:spacing w:after="240" w:before="240" w:lineRule="auto"/>
        <w:rPr/>
      </w:pPr>
      <w:r w:rsidDel="00000000" w:rsidR="00000000" w:rsidRPr="00000000">
        <w:rPr>
          <w:rtl w:val="0"/>
        </w:rPr>
        <w:t xml:space="preserve">It’s also helpful to use KPIs with standards set by regulatory bodies, according to the Care Quality Commission (CQC, 2021). Ensuring that performance indicators not only support better outcomes for individuals receiving care but also reinforce professional development and job satisfaction for staff. Embedding reflective practices like peer reviews or supervision sessions as part of performance monitoring can contribute to a more supportive workplace culture. Ultimately, KPIs should move beyond being just performance </w:t>
      </w:r>
      <w:r w:rsidDel="00000000" w:rsidR="00000000" w:rsidRPr="00000000">
        <w:rPr>
          <w:rtl w:val="0"/>
        </w:rPr>
        <w:t xml:space="preserve">targets they</w:t>
      </w:r>
      <w:r w:rsidDel="00000000" w:rsidR="00000000" w:rsidRPr="00000000">
        <w:rPr>
          <w:rtl w:val="0"/>
        </w:rPr>
        <w:t xml:space="preserve"> should meaningfully be what good care looks like in practice and how we can use the information going forward.</w:t>
      </w:r>
    </w:p>
    <w:p w:rsidR="00000000" w:rsidDel="00000000" w:rsidP="00000000" w:rsidRDefault="00000000" w:rsidRPr="00000000" w14:paraId="00000071">
      <w:pPr>
        <w:spacing w:after="240" w:before="240" w:lineRule="auto"/>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pStyle w:val="Heading1"/>
        <w:rPr>
          <w:sz w:val="24"/>
          <w:szCs w:val="24"/>
        </w:rPr>
      </w:pPr>
      <w:bookmarkStart w:colFirst="0" w:colLast="0" w:name="_heading=h.pfwj48smgap6" w:id="15"/>
      <w:bookmarkEnd w:id="15"/>
      <w:r w:rsidDel="00000000" w:rsidR="00000000" w:rsidRPr="00000000">
        <w:rPr>
          <w:sz w:val="24"/>
          <w:szCs w:val="24"/>
          <w:rtl w:val="0"/>
        </w:rPr>
        <w:t xml:space="preserve">What information is required by the business?</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spacing w:after="240" w:before="240" w:lineRule="auto"/>
        <w:rPr/>
      </w:pPr>
      <w:r w:rsidDel="00000000" w:rsidR="00000000" w:rsidRPr="00000000">
        <w:rPr>
          <w:rtl w:val="0"/>
        </w:rPr>
        <w:t xml:space="preserve">A key part is identifying what information is required by different departments to function effectively. This includes operational data, customer feedback, employee performance data, financial reports and compliance related information. Highlighting these needs helps to uncover areas where information flow may be restricted or inefficient. In many cases businesses suffer with outdated technology or a lack of staff training, which can result in duplicated efforts, poor communication and missed opportunities.</w:t>
      </w:r>
    </w:p>
    <w:p w:rsidR="00000000" w:rsidDel="00000000" w:rsidP="00000000" w:rsidRDefault="00000000" w:rsidRPr="00000000" w14:paraId="00000076">
      <w:pPr>
        <w:spacing w:after="240" w:before="240" w:lineRule="auto"/>
        <w:rPr/>
      </w:pPr>
      <w:r w:rsidDel="00000000" w:rsidR="00000000" w:rsidRPr="00000000">
        <w:rPr>
          <w:rtl w:val="0"/>
        </w:rPr>
        <w:t xml:space="preserve">Considering legal and ethical responsibilities, particularly in relation to data protection regulations such as GDPR. Ensuring the confidentiality, accuracy and security of sensitive data is a core aspect of good information management. Based on the findings, the report offers several recommendations, including investing in updated information systems, improving policies and procedures, providing staff training and fostering a culture that values knowledge sharing.</w:t>
      </w:r>
    </w:p>
    <w:p w:rsidR="00000000" w:rsidDel="00000000" w:rsidP="00000000" w:rsidRDefault="00000000" w:rsidRPr="00000000" w14:paraId="00000077">
      <w:pPr>
        <w:spacing w:after="240" w:before="240" w:lineRule="auto"/>
        <w:rPr/>
      </w:pPr>
      <w:r w:rsidDel="00000000" w:rsidR="00000000" w:rsidRPr="00000000">
        <w:rPr>
          <w:rtl w:val="0"/>
        </w:rPr>
        <w:t xml:space="preserve">Effective knowledge and information management offers a wide range of benefits, such as enhanced decision making, improved productivity, better collaboration and stronger compliance. It also supports innovation and helps organisations respond more quickly to change. The report concludes by emphasising the importance of aligning knowledge management strategies with business goals and suggests developing a phased implementation plan that balances short term improvements with long term development.</w:t>
      </w:r>
    </w:p>
    <w:p w:rsidR="00000000" w:rsidDel="00000000" w:rsidP="00000000" w:rsidRDefault="00000000" w:rsidRPr="00000000" w14:paraId="00000078">
      <w:pPr>
        <w:rPr/>
      </w:pPr>
      <w:r w:rsidDel="00000000" w:rsidR="00000000" w:rsidRPr="00000000">
        <w:rPr>
          <w:rtl w:val="0"/>
        </w:rPr>
        <w:t xml:space="preserve">Effective decision making in organisations increasingly depends on the ability to access and apply relevant knowledge in real time. With the growing knowledge of data changes, many businesses are turning to knowledge as a service to support more informed decisions. According to Abbas (2024), KaaS enables organisations to integrate external and internal knowledge sources through internet systems, making decision making more data driven and context aware. This approach not only enhances efficiency but also reduces the risk of errors caused by outdated or incomplete information.</w:t>
      </w: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pStyle w:val="Heading1"/>
        <w:rPr>
          <w:sz w:val="24"/>
          <w:szCs w:val="24"/>
        </w:rPr>
      </w:pPr>
      <w:bookmarkStart w:colFirst="0" w:colLast="0" w:name="_heading=h.edvz2klrfmgw" w:id="16"/>
      <w:bookmarkEnd w:id="16"/>
      <w:r w:rsidDel="00000000" w:rsidR="00000000" w:rsidRPr="00000000">
        <w:rPr>
          <w:sz w:val="24"/>
          <w:szCs w:val="24"/>
          <w:rtl w:val="0"/>
        </w:rPr>
        <w:t xml:space="preserve">What systems are in place to protect confidentiality, integrity and availability of information?</w:t>
      </w:r>
    </w:p>
    <w:p w:rsidR="00000000" w:rsidDel="00000000" w:rsidP="00000000" w:rsidRDefault="00000000" w:rsidRPr="00000000" w14:paraId="00000080">
      <w:pPr>
        <w:spacing w:after="240" w:before="240" w:lineRule="auto"/>
        <w:rPr/>
      </w:pPr>
      <w:r w:rsidDel="00000000" w:rsidR="00000000" w:rsidRPr="00000000">
        <w:rPr>
          <w:rtl w:val="0"/>
        </w:rPr>
        <w:t xml:space="preserve">As care workers, we rely on a number of systems designed to protect the confidentiality, integrity and availability of the information we use. For example, electronic records are stored securely with password protection and access is limited to those who need it, ensuring privacy is maintained. Regular backups are carried out to make sure information isn’t lost and can be accessed when required. Confidentiality is essential in maintaining trust and protecting sensitive information in health and social care settings (Department of Health and Social Care, 2021). We’re also trained in data protection and follow clear confidentiality guidelines, which help us handle sensitive information responsibly. These measures all work together to keep information safe, accurate and available when needed.</w:t>
      </w:r>
    </w:p>
    <w:p w:rsidR="00000000" w:rsidDel="00000000" w:rsidP="00000000" w:rsidRDefault="00000000" w:rsidRPr="00000000" w14:paraId="00000081">
      <w:pPr>
        <w:spacing w:after="240" w:before="240" w:lineRule="auto"/>
        <w:rPr/>
      </w:pPr>
      <w:r w:rsidDel="00000000" w:rsidR="00000000" w:rsidRPr="00000000">
        <w:rPr>
          <w:rtl w:val="0"/>
        </w:rPr>
        <w:t xml:space="preserve">The General Data Protection Regulation (GDPR) is built around three main areas. First are the data protection principles, which guide how personal information should be handled ensuring it’s collected and used fairly, kept accurate, stored safely and only held for as long as necessary. It also focuses on the rights of individuals, giving people more control over their personal data. This includes the right to access their information, correct it, have it deleted or even move it to another service. Another area is accountability and governance, which means organisations must not only follow GDPR rules but also be able to show they’re doing so. This involves keeping proper records, appointing data protection officers when needed, assessing risks and reporting any data breaches promptly.</w:t>
      </w:r>
    </w:p>
    <w:p w:rsidR="00000000" w:rsidDel="00000000" w:rsidP="00000000" w:rsidRDefault="00000000" w:rsidRPr="00000000" w14:paraId="00000082">
      <w:pPr>
        <w:spacing w:after="240" w:before="240" w:lineRule="auto"/>
        <w:rPr/>
      </w:pPr>
      <w:r w:rsidDel="00000000" w:rsidR="00000000" w:rsidRPr="00000000">
        <w:rPr>
          <w:rtl w:val="0"/>
        </w:rPr>
        <w:t xml:space="preserve">Strong knowledge governance is essential for organisations, as it supports informed decision making, drives innovation and sustains a competitive advantage. It ensures that knowledge is readily accessible, reliable and managed responsibly. According to Foss (2007) Knowledge governance refers to the structured set of policies, processes and practices that guide how knowledge is managed and utilised within an organisation. It covers a broad scope, including data handling and intellectual property management, with the goal of ensuring knowledge is reliable, accessible and responsibly applied. </w:t>
      </w:r>
    </w:p>
    <w:p w:rsidR="00000000" w:rsidDel="00000000" w:rsidP="00000000" w:rsidRDefault="00000000" w:rsidRPr="00000000" w14:paraId="00000083">
      <w:pPr>
        <w:spacing w:after="240" w:before="240" w:lineRule="auto"/>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pStyle w:val="Heading1"/>
        <w:rPr>
          <w:sz w:val="24"/>
          <w:szCs w:val="24"/>
        </w:rPr>
      </w:pPr>
      <w:bookmarkStart w:colFirst="0" w:colLast="0" w:name="_heading=h.jzzayhctbaw6" w:id="17"/>
      <w:bookmarkEnd w:id="17"/>
      <w:r w:rsidDel="00000000" w:rsidR="00000000" w:rsidRPr="00000000">
        <w:rPr>
          <w:sz w:val="24"/>
          <w:szCs w:val="24"/>
          <w:rtl w:val="0"/>
        </w:rPr>
        <w:t xml:space="preserve">Conclusion</w:t>
      </w:r>
    </w:p>
    <w:p w:rsidR="00000000" w:rsidDel="00000000" w:rsidP="00000000" w:rsidRDefault="00000000" w:rsidRPr="00000000" w14:paraId="00000086">
      <w:pPr>
        <w:rPr/>
      </w:pPr>
      <w:r w:rsidDel="00000000" w:rsidR="00000000" w:rsidRPr="00000000">
        <w:rPr>
          <w:rtl w:val="0"/>
        </w:rPr>
        <w:t xml:space="preserve">In conclusion, effectively managing knowledge, information and data is vital for making informed decisions and ensuring high standards in the workplace. By understanding how to properly collect, store, interpret and share data, I can contribute to a more efficient, accurate and accountable working environment in the care industry. Handling data responsibly not only supports compliance with data protection regulations but also helps maintain trust and integrity in the workplace. Going forward, I will make use of Key Performance Indicators to assess performance of other team members and of myself, track progress and guide continuous improvement. KPIs, combined with well managed data, will allow me to identify and address challenges proactively and align my actions with organisational policies. This structured approach will help enhance both individual and team outcomes. Having the ability to handle data effectively, alongside using knowledge and information wisely, will strengthen my role and positively impact overall workplace performance and may lead me to a promotion to a Senior support worker in the future. </w:t>
      </w:r>
      <w:r w:rsidDel="00000000" w:rsidR="00000000" w:rsidRPr="00000000">
        <w:rPr>
          <w:rtl w:val="0"/>
        </w:rPr>
      </w:r>
    </w:p>
    <w:p w:rsidR="00000000" w:rsidDel="00000000" w:rsidP="00000000" w:rsidRDefault="00000000" w:rsidRPr="00000000" w14:paraId="00000087">
      <w:pPr>
        <w:pStyle w:val="Heading1"/>
        <w:rPr>
          <w:sz w:val="24"/>
          <w:szCs w:val="24"/>
        </w:rPr>
      </w:pPr>
      <w:bookmarkStart w:colFirst="0" w:colLast="0" w:name="_heading=h.1kbp6zzgsooc" w:id="18"/>
      <w:bookmarkEnd w:id="18"/>
      <w:r w:rsidDel="00000000" w:rsidR="00000000" w:rsidRPr="00000000">
        <w:rPr>
          <w:rtl w:val="0"/>
        </w:rPr>
      </w:r>
    </w:p>
    <w:p w:rsidR="00000000" w:rsidDel="00000000" w:rsidP="00000000" w:rsidRDefault="00000000" w:rsidRPr="00000000" w14:paraId="00000088">
      <w:pPr>
        <w:pStyle w:val="Heading1"/>
        <w:rPr>
          <w:sz w:val="24"/>
          <w:szCs w:val="24"/>
        </w:rPr>
      </w:pPr>
      <w:bookmarkStart w:colFirst="0" w:colLast="0" w:name="_heading=h.19sfjjovahub" w:id="19"/>
      <w:bookmarkEnd w:id="19"/>
      <w:r w:rsidDel="00000000" w:rsidR="00000000" w:rsidRPr="00000000">
        <w:rPr>
          <w:rtl w:val="0"/>
        </w:rPr>
      </w:r>
    </w:p>
    <w:p w:rsidR="00000000" w:rsidDel="00000000" w:rsidP="00000000" w:rsidRDefault="00000000" w:rsidRPr="00000000" w14:paraId="00000089">
      <w:pPr>
        <w:pStyle w:val="Heading1"/>
        <w:rPr>
          <w:sz w:val="24"/>
          <w:szCs w:val="24"/>
        </w:rPr>
      </w:pPr>
      <w:bookmarkStart w:colFirst="0" w:colLast="0" w:name="_heading=h.a35wgw9winwq" w:id="20"/>
      <w:bookmarkEnd w:id="20"/>
      <w:r w:rsidDel="00000000" w:rsidR="00000000" w:rsidRPr="00000000">
        <w:rPr>
          <w:rtl w:val="0"/>
        </w:rPr>
      </w:r>
    </w:p>
    <w:p w:rsidR="00000000" w:rsidDel="00000000" w:rsidP="00000000" w:rsidRDefault="00000000" w:rsidRPr="00000000" w14:paraId="0000008A">
      <w:pPr>
        <w:pStyle w:val="Heading1"/>
        <w:rPr>
          <w:sz w:val="24"/>
          <w:szCs w:val="24"/>
        </w:rPr>
      </w:pPr>
      <w:bookmarkStart w:colFirst="0" w:colLast="0" w:name="_heading=h.jwwgum1pdey" w:id="21"/>
      <w:bookmarkEnd w:id="21"/>
      <w:r w:rsidDel="00000000" w:rsidR="00000000" w:rsidRPr="00000000">
        <w:rPr>
          <w:rtl w:val="0"/>
        </w:rPr>
      </w:r>
    </w:p>
    <w:p w:rsidR="00000000" w:rsidDel="00000000" w:rsidP="00000000" w:rsidRDefault="00000000" w:rsidRPr="00000000" w14:paraId="0000008B">
      <w:pPr>
        <w:pStyle w:val="Heading1"/>
        <w:rPr>
          <w:sz w:val="24"/>
          <w:szCs w:val="24"/>
        </w:rPr>
      </w:pPr>
      <w:bookmarkStart w:colFirst="0" w:colLast="0" w:name="_heading=h.2b4fz363fynj" w:id="22"/>
      <w:bookmarkEnd w:id="22"/>
      <w:r w:rsidDel="00000000" w:rsidR="00000000" w:rsidRPr="00000000">
        <w:rPr>
          <w:rtl w:val="0"/>
        </w:rPr>
      </w:r>
    </w:p>
    <w:p w:rsidR="00000000" w:rsidDel="00000000" w:rsidP="00000000" w:rsidRDefault="00000000" w:rsidRPr="00000000" w14:paraId="0000008C">
      <w:pPr>
        <w:pStyle w:val="Heading1"/>
        <w:rPr>
          <w:sz w:val="24"/>
          <w:szCs w:val="24"/>
        </w:rPr>
      </w:pPr>
      <w:bookmarkStart w:colFirst="0" w:colLast="0" w:name="_heading=h.1hq8icu20fg8" w:id="23"/>
      <w:bookmarkEnd w:id="23"/>
      <w:r w:rsidDel="00000000" w:rsidR="00000000" w:rsidRPr="00000000">
        <w:rPr>
          <w:sz w:val="24"/>
          <w:szCs w:val="24"/>
          <w:rtl w:val="0"/>
        </w:rPr>
        <w:t xml:space="preserve">References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numPr>
          <w:ilvl w:val="0"/>
          <w:numId w:val="1"/>
        </w:numPr>
        <w:spacing w:after="0" w:afterAutospacing="0"/>
        <w:ind w:left="720" w:hanging="360"/>
        <w:rPr/>
      </w:pPr>
      <w:r w:rsidDel="00000000" w:rsidR="00000000" w:rsidRPr="00000000">
        <w:rPr>
          <w:rtl w:val="0"/>
        </w:rPr>
        <w:t xml:space="preserve">Abbas, A., (2024) Knowledge as a service (KaaS): The new frontier for making decisions, online at Knowledge as a service (KaaS). </w:t>
      </w:r>
    </w:p>
    <w:p w:rsidR="00000000" w:rsidDel="00000000" w:rsidP="00000000" w:rsidRDefault="00000000" w:rsidRPr="00000000" w14:paraId="0000008F">
      <w:pPr>
        <w:numPr>
          <w:ilvl w:val="0"/>
          <w:numId w:val="1"/>
        </w:numPr>
        <w:spacing w:after="0" w:afterAutospacing="0"/>
        <w:ind w:left="720" w:hanging="360"/>
        <w:rPr/>
      </w:pPr>
      <w:r w:rsidDel="00000000" w:rsidR="00000000" w:rsidRPr="00000000">
        <w:rPr>
          <w:rtl w:val="0"/>
        </w:rPr>
        <w:t xml:space="preserve">Ackoff, R. L. (1989). </w:t>
      </w:r>
      <w:r w:rsidDel="00000000" w:rsidR="00000000" w:rsidRPr="00000000">
        <w:rPr>
          <w:i w:val="1"/>
          <w:rtl w:val="0"/>
        </w:rPr>
        <w:t xml:space="preserve">From data to wisdom</w:t>
      </w:r>
      <w:r w:rsidDel="00000000" w:rsidR="00000000" w:rsidRPr="00000000">
        <w:rPr>
          <w:rtl w:val="0"/>
        </w:rPr>
        <w:t xml:space="preserve">. </w:t>
      </w:r>
      <w:r w:rsidDel="00000000" w:rsidR="00000000" w:rsidRPr="00000000">
        <w:rPr>
          <w:i w:val="1"/>
          <w:rtl w:val="0"/>
        </w:rPr>
        <w:t xml:space="preserve">Journal of Applied Systems Analysis, 16</w:t>
      </w:r>
      <w:r w:rsidDel="00000000" w:rsidR="00000000" w:rsidRPr="00000000">
        <w:rPr>
          <w:rtl w:val="0"/>
        </w:rPr>
        <w:t xml:space="preserve">, 3–9.</w:t>
      </w:r>
    </w:p>
    <w:p w:rsidR="00000000" w:rsidDel="00000000" w:rsidP="00000000" w:rsidRDefault="00000000" w:rsidRPr="00000000" w14:paraId="00000090">
      <w:pPr>
        <w:numPr>
          <w:ilvl w:val="0"/>
          <w:numId w:val="1"/>
        </w:numPr>
        <w:spacing w:after="0" w:afterAutospacing="0"/>
        <w:ind w:left="720" w:hanging="360"/>
      </w:pPr>
      <w:r w:rsidDel="00000000" w:rsidR="00000000" w:rsidRPr="00000000">
        <w:rPr>
          <w:rtl w:val="0"/>
        </w:rPr>
        <w:t xml:space="preserve">Alavi, M., &amp; Leidner, D. E. (2001). Review: Knowledge management and knowledge management systems: Conceptual foundations and research issues. </w:t>
      </w:r>
      <w:r w:rsidDel="00000000" w:rsidR="00000000" w:rsidRPr="00000000">
        <w:rPr>
          <w:i w:val="1"/>
          <w:rtl w:val="0"/>
        </w:rPr>
        <w:t xml:space="preserve">MIS Quarterly, 25</w:t>
      </w:r>
      <w:r w:rsidDel="00000000" w:rsidR="00000000" w:rsidRPr="00000000">
        <w:rPr>
          <w:rtl w:val="0"/>
        </w:rPr>
        <w:t xml:space="preserve">(1), 107–136. </w:t>
      </w:r>
      <w:hyperlink r:id="rId8">
        <w:r w:rsidDel="00000000" w:rsidR="00000000" w:rsidRPr="00000000">
          <w:rPr>
            <w:color w:val="1155cc"/>
            <w:u w:val="single"/>
            <w:rtl w:val="0"/>
          </w:rPr>
          <w:t xml:space="preserve">https://www.jstor.org/stable/3250961?origin=crossref</w:t>
        </w:r>
      </w:hyperlink>
      <w:r w:rsidDel="00000000" w:rsidR="00000000" w:rsidRPr="00000000">
        <w:rPr>
          <w:rtl w:val="0"/>
        </w:rPr>
        <w:t xml:space="preserve"> (Accessed 19th April 2025) </w:t>
      </w:r>
    </w:p>
    <w:p w:rsidR="00000000" w:rsidDel="00000000" w:rsidP="00000000" w:rsidRDefault="00000000" w:rsidRPr="00000000" w14:paraId="00000091">
      <w:pPr>
        <w:numPr>
          <w:ilvl w:val="0"/>
          <w:numId w:val="1"/>
        </w:numPr>
        <w:spacing w:after="0" w:afterAutospacing="0" w:before="0" w:beforeAutospacing="0" w:lineRule="auto"/>
        <w:ind w:left="720" w:hanging="360"/>
      </w:pPr>
      <w:r w:rsidDel="00000000" w:rsidR="00000000" w:rsidRPr="00000000">
        <w:rPr>
          <w:rtl w:val="0"/>
        </w:rPr>
        <w:t xml:space="preserve">Andreeva, T., &amp; Kianto, A. (2012). Does knowledge management really matter? Journal of Knowledge Management, 16(4), 613–636. </w:t>
      </w:r>
      <w:hyperlink r:id="rId9">
        <w:r w:rsidDel="00000000" w:rsidR="00000000" w:rsidRPr="00000000">
          <w:rPr>
            <w:color w:val="1155cc"/>
            <w:u w:val="single"/>
            <w:rtl w:val="0"/>
          </w:rPr>
          <w:t xml:space="preserve">https://www.emerald.com/insight/content/doi/10.1108/13673271211246185/full/html</w:t>
        </w:r>
      </w:hyperlink>
      <w:r w:rsidDel="00000000" w:rsidR="00000000" w:rsidRPr="00000000">
        <w:rPr>
          <w:rtl w:val="0"/>
        </w:rPr>
        <w:t xml:space="preserve"> (Accessed 28th April 2025)</w:t>
      </w:r>
    </w:p>
    <w:p w:rsidR="00000000" w:rsidDel="00000000" w:rsidP="00000000" w:rsidRDefault="00000000" w:rsidRPr="00000000" w14:paraId="00000092">
      <w:pPr>
        <w:numPr>
          <w:ilvl w:val="0"/>
          <w:numId w:val="1"/>
        </w:numPr>
        <w:spacing w:after="0" w:afterAutospacing="0"/>
        <w:ind w:left="720" w:hanging="360"/>
        <w:rPr>
          <w:u w:val="none"/>
        </w:rPr>
      </w:pPr>
      <w:r w:rsidDel="00000000" w:rsidR="00000000" w:rsidRPr="00000000">
        <w:rPr>
          <w:rtl w:val="0"/>
        </w:rPr>
        <w:t xml:space="preserve">Barney, J. B. (1991). Firm resources and sustained competitive advantage. </w:t>
      </w:r>
      <w:r w:rsidDel="00000000" w:rsidR="00000000" w:rsidRPr="00000000">
        <w:rPr>
          <w:i w:val="1"/>
          <w:rtl w:val="0"/>
        </w:rPr>
        <w:t xml:space="preserve">Journal of Management, 17</w:t>
      </w:r>
      <w:r w:rsidDel="00000000" w:rsidR="00000000" w:rsidRPr="00000000">
        <w:rPr>
          <w:rtl w:val="0"/>
        </w:rPr>
        <w:t xml:space="preserve">(1), 99–120. </w:t>
      </w:r>
      <w:hyperlink r:id="rId10">
        <w:r w:rsidDel="00000000" w:rsidR="00000000" w:rsidRPr="00000000">
          <w:rPr>
            <w:color w:val="1155cc"/>
            <w:u w:val="single"/>
            <w:rtl w:val="0"/>
          </w:rPr>
          <w:t xml:space="preserve">https://journals.sagepub.com/doi/10.1177/014920639101700108</w:t>
        </w:r>
      </w:hyperlink>
      <w:r w:rsidDel="00000000" w:rsidR="00000000" w:rsidRPr="00000000">
        <w:rPr>
          <w:rtl w:val="0"/>
        </w:rPr>
        <w:t xml:space="preserve"> (Accessed 12th April 2025)</w:t>
      </w:r>
    </w:p>
    <w:p w:rsidR="00000000" w:rsidDel="00000000" w:rsidP="00000000" w:rsidRDefault="00000000" w:rsidRPr="00000000" w14:paraId="00000093">
      <w:pPr>
        <w:numPr>
          <w:ilvl w:val="0"/>
          <w:numId w:val="1"/>
        </w:numPr>
        <w:spacing w:after="0" w:afterAutospacing="0" w:before="0" w:beforeAutospacing="0" w:lineRule="auto"/>
        <w:ind w:left="720" w:hanging="360"/>
      </w:pPr>
      <w:r w:rsidDel="00000000" w:rsidR="00000000" w:rsidRPr="00000000">
        <w:rPr>
          <w:rtl w:val="0"/>
        </w:rPr>
        <w:t xml:space="preserve">Berridge, C., &amp; Holdsworth, L. (2022). Digital technologies in social care: The policy context. Journal of Long-Term Care, (2022). </w:t>
      </w:r>
    </w:p>
    <w:p w:rsidR="00000000" w:rsidDel="00000000" w:rsidP="00000000" w:rsidRDefault="00000000" w:rsidRPr="00000000" w14:paraId="00000094">
      <w:pPr>
        <w:numPr>
          <w:ilvl w:val="0"/>
          <w:numId w:val="1"/>
        </w:numPr>
        <w:spacing w:after="0" w:afterAutospacing="0" w:before="0" w:beforeAutospacing="0" w:lineRule="auto"/>
        <w:ind w:left="720" w:hanging="360"/>
      </w:pPr>
      <w:r w:rsidDel="00000000" w:rsidR="00000000" w:rsidRPr="00000000">
        <w:rPr>
          <w:rtl w:val="0"/>
        </w:rPr>
        <w:t xml:space="preserve">Care Quality Commission. (2021). </w:t>
      </w:r>
      <w:r w:rsidDel="00000000" w:rsidR="00000000" w:rsidRPr="00000000">
        <w:rPr>
          <w:i w:val="1"/>
          <w:rtl w:val="0"/>
        </w:rPr>
        <w:t xml:space="preserve">The state of health care and adult social care in England 2020/21</w:t>
      </w:r>
      <w:r w:rsidDel="00000000" w:rsidR="00000000" w:rsidRPr="00000000">
        <w:rPr>
          <w:rtl w:val="0"/>
        </w:rPr>
        <w:t xml:space="preserve">. </w:t>
      </w:r>
      <w:hyperlink r:id="rId11">
        <w:r w:rsidDel="00000000" w:rsidR="00000000" w:rsidRPr="00000000">
          <w:rPr>
            <w:color w:val="1155cc"/>
            <w:u w:val="single"/>
            <w:rtl w:val="0"/>
          </w:rPr>
          <w:t xml:space="preserve">https://www.cqc.org.uk/publications/major-report/state-care</w:t>
        </w:r>
      </w:hyperlink>
      <w:r w:rsidDel="00000000" w:rsidR="00000000" w:rsidRPr="00000000">
        <w:rPr>
          <w:rtl w:val="0"/>
        </w:rPr>
        <w:t xml:space="preserve"> (Accessed 14th April 2025) </w:t>
      </w:r>
    </w:p>
    <w:p w:rsidR="00000000" w:rsidDel="00000000" w:rsidP="00000000" w:rsidRDefault="00000000" w:rsidRPr="00000000" w14:paraId="00000095">
      <w:pPr>
        <w:numPr>
          <w:ilvl w:val="0"/>
          <w:numId w:val="1"/>
        </w:numPr>
        <w:spacing w:after="0" w:afterAutospacing="0" w:before="0" w:beforeAutospacing="0" w:lineRule="auto"/>
        <w:ind w:left="720" w:hanging="360"/>
      </w:pPr>
      <w:r w:rsidDel="00000000" w:rsidR="00000000" w:rsidRPr="00000000">
        <w:rPr>
          <w:rtl w:val="0"/>
        </w:rPr>
        <w:t xml:space="preserve">Department of Health and Social Care. (2021). Data protection and confidentiality in health and social care. </w:t>
      </w:r>
      <w:hyperlink r:id="rId12">
        <w:r w:rsidDel="00000000" w:rsidR="00000000" w:rsidRPr="00000000">
          <w:rPr>
            <w:color w:val="1155cc"/>
            <w:u w:val="single"/>
            <w:rtl w:val="0"/>
          </w:rPr>
          <w:t xml:space="preserve">https://www.gov.uk/government/publications/data-protection-and-confidentiality-in-health-and-social-care</w:t>
        </w:r>
      </w:hyperlink>
      <w:r w:rsidDel="00000000" w:rsidR="00000000" w:rsidRPr="00000000">
        <w:rPr>
          <w:rtl w:val="0"/>
        </w:rPr>
        <w:t xml:space="preserve"> (Accessed 15th April 2025) </w:t>
      </w:r>
    </w:p>
    <w:p w:rsidR="00000000" w:rsidDel="00000000" w:rsidP="00000000" w:rsidRDefault="00000000" w:rsidRPr="00000000" w14:paraId="00000096">
      <w:pPr>
        <w:numPr>
          <w:ilvl w:val="0"/>
          <w:numId w:val="1"/>
        </w:numPr>
        <w:spacing w:after="0" w:afterAutospacing="0" w:before="0" w:beforeAutospacing="0" w:lineRule="auto"/>
        <w:ind w:left="720" w:hanging="360"/>
        <w:rPr>
          <w:u w:val="none"/>
        </w:rPr>
      </w:pPr>
      <w:r w:rsidDel="00000000" w:rsidR="00000000" w:rsidRPr="00000000">
        <w:rPr>
          <w:rtl w:val="0"/>
        </w:rPr>
        <w:t xml:space="preserve">Doran, G. T. (1981). There’s a S.M.A.R.T. way to write management’s goals and objectives. </w:t>
      </w:r>
      <w:r w:rsidDel="00000000" w:rsidR="00000000" w:rsidRPr="00000000">
        <w:rPr>
          <w:i w:val="1"/>
          <w:rtl w:val="0"/>
        </w:rPr>
        <w:t xml:space="preserve">Management Review</w:t>
      </w:r>
      <w:r w:rsidDel="00000000" w:rsidR="00000000" w:rsidRPr="00000000">
        <w:rPr>
          <w:rtl w:val="0"/>
        </w:rPr>
        <w:t xml:space="preserve">, </w:t>
      </w:r>
      <w:r w:rsidDel="00000000" w:rsidR="00000000" w:rsidRPr="00000000">
        <w:rPr>
          <w:i w:val="1"/>
          <w:rtl w:val="0"/>
        </w:rPr>
        <w:t xml:space="preserve">70</w:t>
      </w:r>
      <w:r w:rsidDel="00000000" w:rsidR="00000000" w:rsidRPr="00000000">
        <w:rPr>
          <w:rtl w:val="0"/>
        </w:rPr>
        <w:t xml:space="preserve">(11), 35–36. </w:t>
      </w:r>
    </w:p>
    <w:p w:rsidR="00000000" w:rsidDel="00000000" w:rsidP="00000000" w:rsidRDefault="00000000" w:rsidRPr="00000000" w14:paraId="00000097">
      <w:pPr>
        <w:numPr>
          <w:ilvl w:val="0"/>
          <w:numId w:val="1"/>
        </w:numPr>
        <w:spacing w:after="0" w:afterAutospacing="0" w:before="0" w:beforeAutospacing="0" w:lineRule="auto"/>
        <w:ind w:left="720" w:hanging="360"/>
        <w:rPr>
          <w:u w:val="none"/>
        </w:rPr>
      </w:pPr>
      <w:r w:rsidDel="00000000" w:rsidR="00000000" w:rsidRPr="00000000">
        <w:rPr>
          <w:rtl w:val="0"/>
        </w:rPr>
        <w:t xml:space="preserve">Foss, N. J. (2007). Knowledge Governance: Processes and Structures. </w:t>
      </w:r>
      <w:r w:rsidDel="00000000" w:rsidR="00000000" w:rsidRPr="00000000">
        <w:rPr>
          <w:rtl w:val="0"/>
        </w:rPr>
        <w:t xml:space="preserve">Academy of Management Review, 32(1), 348-351</w:t>
      </w:r>
      <w:r w:rsidDel="00000000" w:rsidR="00000000" w:rsidRPr="00000000">
        <w:rPr>
          <w:color w:val="44546a"/>
          <w:sz w:val="42"/>
          <w:szCs w:val="42"/>
          <w:rtl w:val="0"/>
        </w:rPr>
        <w:t xml:space="preserve">.</w:t>
      </w:r>
    </w:p>
    <w:p w:rsidR="00000000" w:rsidDel="00000000" w:rsidP="00000000" w:rsidRDefault="00000000" w:rsidRPr="00000000" w14:paraId="00000098">
      <w:pPr>
        <w:numPr>
          <w:ilvl w:val="0"/>
          <w:numId w:val="1"/>
        </w:numPr>
        <w:spacing w:after="160" w:afterAutospacing="0"/>
        <w:ind w:left="720" w:hanging="360"/>
      </w:pPr>
      <w:r w:rsidDel="00000000" w:rsidR="00000000" w:rsidRPr="00000000">
        <w:rPr>
          <w:rtl w:val="0"/>
        </w:rPr>
        <w:t xml:space="preserve">Ladhari, R. (2009). Service quality, emotional satisfaction, and behavioural intentions: A study in the hotel industry. Managing Service Quality: An International Journal, 19(3), 308–331. </w:t>
      </w:r>
      <w:hyperlink r:id="rId13">
        <w:r w:rsidDel="00000000" w:rsidR="00000000" w:rsidRPr="00000000">
          <w:rPr>
            <w:color w:val="1155cc"/>
            <w:u w:val="single"/>
            <w:rtl w:val="0"/>
          </w:rPr>
          <w:t xml:space="preserve">https://www.emerald.com/insight/content/doi/10.1108/09604520910955320/full/html</w:t>
        </w:r>
      </w:hyperlink>
      <w:r w:rsidDel="00000000" w:rsidR="00000000" w:rsidRPr="00000000">
        <w:rPr>
          <w:rtl w:val="0"/>
        </w:rPr>
        <w:t xml:space="preserve"> (Accessed 23rd April 2025)</w:t>
      </w:r>
    </w:p>
    <w:p w:rsidR="00000000" w:rsidDel="00000000" w:rsidP="00000000" w:rsidRDefault="00000000" w:rsidRPr="00000000" w14:paraId="00000099">
      <w:pPr>
        <w:numPr>
          <w:ilvl w:val="0"/>
          <w:numId w:val="1"/>
        </w:numPr>
        <w:spacing w:after="0" w:afterAutospacing="0" w:before="160" w:beforeAutospacing="0" w:lineRule="auto"/>
        <w:ind w:left="720" w:hanging="360"/>
        <w:rPr>
          <w:u w:val="none"/>
        </w:rPr>
      </w:pPr>
      <w:r w:rsidDel="00000000" w:rsidR="00000000" w:rsidRPr="00000000">
        <w:rPr>
          <w:rtl w:val="0"/>
        </w:rPr>
        <w:t xml:space="preserve">Nonaka, I., &amp; Takeuchi, H. (1995). </w:t>
      </w:r>
      <w:r w:rsidDel="00000000" w:rsidR="00000000" w:rsidRPr="00000000">
        <w:rPr>
          <w:i w:val="1"/>
          <w:rtl w:val="0"/>
        </w:rPr>
        <w:t xml:space="preserve">The knowledge-creating company: How Japanese companies create the dynamics of innovation</w:t>
      </w:r>
      <w:r w:rsidDel="00000000" w:rsidR="00000000" w:rsidRPr="00000000">
        <w:rPr>
          <w:rtl w:val="0"/>
        </w:rPr>
        <w:t xml:space="preserve">. Oxford University Press. </w:t>
      </w:r>
    </w:p>
    <w:p w:rsidR="00000000" w:rsidDel="00000000" w:rsidP="00000000" w:rsidRDefault="00000000" w:rsidRPr="00000000" w14:paraId="0000009A">
      <w:pPr>
        <w:numPr>
          <w:ilvl w:val="0"/>
          <w:numId w:val="1"/>
        </w:numPr>
        <w:spacing w:after="240" w:before="0" w:beforeAutospacing="0" w:lineRule="auto"/>
        <w:ind w:left="720" w:hanging="360"/>
        <w:rPr>
          <w:u w:val="none"/>
        </w:rPr>
      </w:pPr>
      <w:r w:rsidDel="00000000" w:rsidR="00000000" w:rsidRPr="00000000">
        <w:rPr>
          <w:rtl w:val="0"/>
        </w:rPr>
        <w:t xml:space="preserve">Stanton, P. (2004). </w:t>
      </w:r>
      <w:r w:rsidDel="00000000" w:rsidR="00000000" w:rsidRPr="00000000">
        <w:rPr>
          <w:i w:val="1"/>
          <w:rtl w:val="0"/>
        </w:rPr>
        <w:t xml:space="preserve">Securing data in storage: A review of current research</w:t>
      </w:r>
      <w:r w:rsidDel="00000000" w:rsidR="00000000" w:rsidRPr="00000000">
        <w:rPr>
          <w:rtl w:val="0"/>
        </w:rPr>
        <w:t xml:space="preserve">. </w:t>
      </w:r>
      <w:hyperlink r:id="rId14">
        <w:r w:rsidDel="00000000" w:rsidR="00000000" w:rsidRPr="00000000">
          <w:rPr>
            <w:color w:val="1155cc"/>
            <w:u w:val="single"/>
            <w:rtl w:val="0"/>
          </w:rPr>
          <w:t xml:space="preserve">https://arxiv.org/abs/cs/0409034</w:t>
        </w:r>
      </w:hyperlink>
      <w:r w:rsidDel="00000000" w:rsidR="00000000" w:rsidRPr="00000000">
        <w:rPr>
          <w:rtl w:val="0"/>
        </w:rPr>
        <w:t xml:space="preserve"> (Accessed 12th April 2025)</w:t>
      </w:r>
    </w:p>
    <w:p w:rsidR="00000000" w:rsidDel="00000000" w:rsidP="00000000" w:rsidRDefault="00000000" w:rsidRPr="00000000" w14:paraId="0000009B">
      <w:pPr>
        <w:ind w:left="720" w:firstLine="0"/>
        <w:rPr/>
      </w:pPr>
      <w:r w:rsidDel="00000000" w:rsidR="00000000" w:rsidRPr="00000000">
        <w:rPr>
          <w:rtl w:val="0"/>
        </w:rPr>
        <w:t xml:space="preserve">  </w:t>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0" w:before="240"/>
      <w:outlineLvl w:val="0"/>
    </w:pPr>
    <w:rPr>
      <w:color w:val="2e75b5"/>
      <w:sz w:val="32"/>
      <w:szCs w:val="32"/>
    </w:rPr>
  </w:style>
  <w:style w:type="paragraph" w:styleId="Heading2">
    <w:name w:val="heading 2"/>
    <w:basedOn w:val="Normal"/>
    <w:next w:val="Normal"/>
    <w:uiPriority w:val="9"/>
    <w:unhideWhenUsed w:val="1"/>
    <w:qFormat w:val="1"/>
    <w:pPr>
      <w:keepNext w:val="1"/>
      <w:keepLines w:val="1"/>
      <w:spacing w:after="0" w:before="40"/>
      <w:outlineLvl w:val="1"/>
    </w:pPr>
    <w:rPr>
      <w:color w:val="2e75b5"/>
      <w:sz w:val="26"/>
      <w:szCs w:val="26"/>
    </w:rPr>
  </w:style>
  <w:style w:type="paragraph" w:styleId="Heading3">
    <w:name w:val="heading 3"/>
    <w:basedOn w:val="Normal"/>
    <w:next w:val="Normal"/>
    <w:uiPriority w:val="9"/>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val="1"/>
    <w:uiPriority w:val="39"/>
    <w:unhideWhenUsed w:val="1"/>
    <w:rsid w:val="00F867C0"/>
    <w:pPr>
      <w:spacing w:after="100"/>
    </w:pPr>
  </w:style>
  <w:style w:type="paragraph" w:styleId="TOC2">
    <w:name w:val="toc 2"/>
    <w:basedOn w:val="Normal"/>
    <w:next w:val="Normal"/>
    <w:autoRedefine w:val="1"/>
    <w:uiPriority w:val="39"/>
    <w:unhideWhenUsed w:val="1"/>
    <w:rsid w:val="00F867C0"/>
    <w:pPr>
      <w:spacing w:after="100"/>
      <w:ind w:left="220"/>
    </w:pPr>
  </w:style>
  <w:style w:type="character" w:styleId="Hyperlink">
    <w:name w:val="Hyperlink"/>
    <w:basedOn w:val="DefaultParagraphFont"/>
    <w:uiPriority w:val="99"/>
    <w:unhideWhenUsed w:val="1"/>
    <w:rsid w:val="00F867C0"/>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qc.org.uk/publications/major-report/state-care" TargetMode="External"/><Relationship Id="rId10" Type="http://schemas.openxmlformats.org/officeDocument/2006/relationships/hyperlink" Target="https://journals.sagepub.com/doi/10.1177/014920639101700108" TargetMode="External"/><Relationship Id="rId13" Type="http://schemas.openxmlformats.org/officeDocument/2006/relationships/hyperlink" Target="https://www.emerald.com/insight/content/doi/10.1108/09604520910955320/full/html" TargetMode="External"/><Relationship Id="rId12" Type="http://schemas.openxmlformats.org/officeDocument/2006/relationships/hyperlink" Target="https://www.gov.uk/government/publications/data-protection-and-confidentiality-in-health-and-social-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merald.com/insight/content/doi/10.1108/13673271211246185/full/html" TargetMode="External"/><Relationship Id="rId14" Type="http://schemas.openxmlformats.org/officeDocument/2006/relationships/hyperlink" Target="https://arxiv.org/abs/cs/0409034"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jstor.org/stable/3250961?origin=crossre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qT+zwdYsn7xljIl0AfCCLQHbpw==">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2024-01-08T11:00:00Z</dcterms:created>
</cp:coreProperties>
</file>