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C28E71" w14:textId="77777777" w:rsidR="00A40DAF" w:rsidRDefault="00000000" w:rsidP="00FE1746">
      <w:pPr>
        <w:pStyle w:val="AssignHeader"/>
      </w:pPr>
      <w:r>
        <w:t>Tania Evans-Piper</w:t>
      </w:r>
    </w:p>
    <w:p w14:paraId="64DF2F02" w14:textId="77777777" w:rsidR="000F545E" w:rsidRPr="000F545E" w:rsidRDefault="00000000" w:rsidP="000F545E">
      <w:pPr>
        <w:jc w:val="center"/>
        <w:rPr>
          <w:rFonts w:ascii="Arial" w:hAnsi="Arial" w:cs="Arial"/>
          <w:b/>
          <w:bCs/>
          <w:sz w:val="36"/>
          <w:szCs w:val="36"/>
          <w:u w:val="single"/>
        </w:rPr>
      </w:pPr>
      <w:r w:rsidRPr="000F545E">
        <w:rPr>
          <w:rFonts w:ascii="Arial" w:hAnsi="Arial" w:cs="Arial"/>
          <w:b/>
          <w:bCs/>
          <w:sz w:val="36"/>
          <w:szCs w:val="36"/>
          <w:u w:val="single"/>
        </w:rPr>
        <w:t>2312202</w:t>
      </w:r>
    </w:p>
    <w:p w14:paraId="611B5523" w14:textId="77777777" w:rsidR="00A40DAF" w:rsidRDefault="00A40DAF" w:rsidP="000F545E">
      <w:pPr>
        <w:pStyle w:val="AssignHeader"/>
        <w:jc w:val="left"/>
      </w:pPr>
    </w:p>
    <w:p w14:paraId="709E11C1" w14:textId="77777777" w:rsidR="00FE1746" w:rsidRDefault="00000000" w:rsidP="00FE1746">
      <w:pPr>
        <w:pStyle w:val="AssignHeader"/>
      </w:pPr>
      <w:r>
        <w:t xml:space="preserve">ECAD7004 </w:t>
      </w:r>
    </w:p>
    <w:p w14:paraId="7B1C047B" w14:textId="77777777" w:rsidR="004141C5" w:rsidRDefault="00000000" w:rsidP="009B62CF">
      <w:pPr>
        <w:spacing w:line="360" w:lineRule="auto"/>
        <w:jc w:val="center"/>
        <w:rPr>
          <w:rFonts w:ascii="Arial" w:hAnsi="Arial" w:cs="Arial"/>
          <w:b/>
          <w:bCs/>
          <w:sz w:val="28"/>
          <w:szCs w:val="28"/>
          <w:u w:val="single"/>
        </w:rPr>
      </w:pPr>
      <w:r w:rsidRPr="009B62CF">
        <w:rPr>
          <w:rFonts w:ascii="Arial" w:hAnsi="Arial" w:cs="Arial"/>
          <w:b/>
          <w:bCs/>
          <w:sz w:val="28"/>
          <w:szCs w:val="28"/>
          <w:u w:val="single"/>
        </w:rPr>
        <w:t>Professional and Pedagogic Studies: Researching the Learning: what, how and why am I teaching?</w:t>
      </w:r>
    </w:p>
    <w:p w14:paraId="7CE4EE1F" w14:textId="77777777" w:rsidR="009B62CF" w:rsidRDefault="009B62CF" w:rsidP="009B62CF">
      <w:pPr>
        <w:spacing w:line="360" w:lineRule="auto"/>
        <w:jc w:val="center"/>
        <w:rPr>
          <w:rFonts w:ascii="Arial" w:hAnsi="Arial" w:cs="Arial"/>
          <w:b/>
          <w:bCs/>
          <w:sz w:val="28"/>
          <w:szCs w:val="28"/>
          <w:u w:val="single"/>
        </w:rPr>
      </w:pPr>
    </w:p>
    <w:p w14:paraId="75901CCF" w14:textId="77777777" w:rsidR="009B62CF" w:rsidRDefault="00000000" w:rsidP="009B62CF">
      <w:pPr>
        <w:spacing w:line="360" w:lineRule="auto"/>
        <w:jc w:val="center"/>
        <w:rPr>
          <w:rFonts w:ascii="Arial" w:hAnsi="Arial" w:cs="Arial"/>
          <w:b/>
          <w:bCs/>
          <w:sz w:val="28"/>
          <w:szCs w:val="28"/>
          <w:u w:val="single"/>
        </w:rPr>
      </w:pPr>
      <w:r>
        <w:rPr>
          <w:rFonts w:ascii="Arial" w:hAnsi="Arial" w:cs="Arial"/>
          <w:b/>
          <w:bCs/>
          <w:sz w:val="28"/>
          <w:szCs w:val="28"/>
          <w:u w:val="single"/>
        </w:rPr>
        <w:t>Assignment title</w:t>
      </w:r>
      <w:r w:rsidR="000930F8">
        <w:rPr>
          <w:rFonts w:ascii="Arial" w:hAnsi="Arial" w:cs="Arial"/>
          <w:b/>
          <w:bCs/>
          <w:sz w:val="28"/>
          <w:szCs w:val="28"/>
          <w:u w:val="single"/>
        </w:rPr>
        <w:t>:</w:t>
      </w:r>
    </w:p>
    <w:p w14:paraId="34AE33A7" w14:textId="77777777" w:rsidR="000930F8" w:rsidRPr="000930F8" w:rsidRDefault="00000000" w:rsidP="009B62CF">
      <w:pPr>
        <w:spacing w:line="360" w:lineRule="auto"/>
        <w:jc w:val="center"/>
        <w:rPr>
          <w:rFonts w:ascii="Arial" w:hAnsi="Arial" w:cs="Arial"/>
          <w:b/>
          <w:bCs/>
          <w:sz w:val="28"/>
          <w:szCs w:val="28"/>
          <w:u w:val="single"/>
        </w:rPr>
      </w:pPr>
      <w:r w:rsidRPr="000930F8">
        <w:rPr>
          <w:rFonts w:ascii="Arial" w:hAnsi="Arial" w:cs="Arial"/>
          <w:b/>
          <w:bCs/>
          <w:sz w:val="28"/>
          <w:szCs w:val="28"/>
        </w:rPr>
        <w:t>Design, conduct and critically evaluate a close-to-practice research project focusing on the model of the transformative teacher in developing practice that has a positive impact on the learner.</w:t>
      </w:r>
    </w:p>
    <w:p w14:paraId="1A004A4A" w14:textId="77777777" w:rsidR="004141C5" w:rsidRDefault="004141C5" w:rsidP="00AB1680">
      <w:pPr>
        <w:spacing w:line="360" w:lineRule="auto"/>
        <w:jc w:val="both"/>
        <w:rPr>
          <w:rFonts w:ascii="Arial" w:hAnsi="Arial" w:cs="Arial"/>
          <w:sz w:val="28"/>
          <w:szCs w:val="28"/>
        </w:rPr>
      </w:pPr>
    </w:p>
    <w:p w14:paraId="182EAA57" w14:textId="77777777" w:rsidR="009F4E01" w:rsidRDefault="009F4E01" w:rsidP="00AB1680">
      <w:pPr>
        <w:spacing w:line="360" w:lineRule="auto"/>
        <w:jc w:val="both"/>
        <w:rPr>
          <w:rFonts w:ascii="Arial" w:hAnsi="Arial" w:cs="Arial"/>
          <w:sz w:val="28"/>
          <w:szCs w:val="28"/>
        </w:rPr>
      </w:pPr>
    </w:p>
    <w:p w14:paraId="51497A96" w14:textId="77777777" w:rsidR="009F4E01" w:rsidRDefault="009F4E01" w:rsidP="00AB1680">
      <w:pPr>
        <w:spacing w:line="360" w:lineRule="auto"/>
        <w:jc w:val="both"/>
        <w:rPr>
          <w:rFonts w:ascii="Arial" w:hAnsi="Arial" w:cs="Arial"/>
          <w:sz w:val="28"/>
          <w:szCs w:val="28"/>
        </w:rPr>
      </w:pPr>
    </w:p>
    <w:tbl>
      <w:tblPr>
        <w:tblW w:w="90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10"/>
        <w:gridCol w:w="3645"/>
        <w:gridCol w:w="3645"/>
      </w:tblGrid>
      <w:tr w:rsidR="004C547E" w14:paraId="3C4D7808" w14:textId="77777777" w:rsidTr="000E6C46">
        <w:trPr>
          <w:trHeight w:val="300"/>
        </w:trPr>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0AF0A210" w14:textId="77777777" w:rsidR="009F4E01" w:rsidRPr="009F4E01" w:rsidRDefault="00000000" w:rsidP="009F4E01">
            <w:pPr>
              <w:spacing w:after="0" w:line="240" w:lineRule="auto"/>
              <w:textAlignment w:val="baseline"/>
              <w:rPr>
                <w:rFonts w:ascii="Segoe UI" w:eastAsia="Times New Roman" w:hAnsi="Segoe UI" w:cs="Segoe UI"/>
                <w:kern w:val="0"/>
                <w:sz w:val="18"/>
                <w:szCs w:val="18"/>
                <w:lang w:eastAsia="en-GB"/>
                <w14:ligatures w14:val="none"/>
              </w:rPr>
            </w:pPr>
            <w:r w:rsidRPr="009F4E01">
              <w:rPr>
                <w:rFonts w:ascii="Arial" w:eastAsia="Times New Roman" w:hAnsi="Arial" w:cs="Arial"/>
                <w:kern w:val="0"/>
                <w:sz w:val="22"/>
                <w:szCs w:val="22"/>
                <w:lang w:eastAsia="en-GB"/>
                <w14:ligatures w14:val="none"/>
              </w:rPr>
              <w:t>  </w:t>
            </w:r>
          </w:p>
        </w:tc>
        <w:tc>
          <w:tcPr>
            <w:tcW w:w="3645" w:type="dxa"/>
            <w:tcBorders>
              <w:top w:val="single" w:sz="6" w:space="0" w:color="auto"/>
              <w:left w:val="single" w:sz="6" w:space="0" w:color="auto"/>
              <w:bottom w:val="single" w:sz="6" w:space="0" w:color="auto"/>
              <w:right w:val="single" w:sz="6" w:space="0" w:color="auto"/>
            </w:tcBorders>
            <w:shd w:val="clear" w:color="auto" w:fill="auto"/>
            <w:hideMark/>
          </w:tcPr>
          <w:p w14:paraId="4C8603EC" w14:textId="77777777" w:rsidR="009F4E01" w:rsidRPr="009F4E01" w:rsidRDefault="00000000" w:rsidP="009F4E01">
            <w:pPr>
              <w:spacing w:after="0" w:line="240" w:lineRule="auto"/>
              <w:textAlignment w:val="baseline"/>
              <w:rPr>
                <w:rFonts w:ascii="Segoe UI" w:eastAsia="Times New Roman" w:hAnsi="Segoe UI" w:cs="Segoe UI"/>
                <w:kern w:val="0"/>
                <w:sz w:val="18"/>
                <w:szCs w:val="18"/>
                <w:lang w:eastAsia="en-GB"/>
                <w14:ligatures w14:val="none"/>
              </w:rPr>
            </w:pPr>
            <w:proofErr w:type="spellStart"/>
            <w:r w:rsidRPr="009F4E01">
              <w:rPr>
                <w:rFonts w:ascii="Arial" w:eastAsia="Times New Roman" w:hAnsi="Arial" w:cs="Arial"/>
                <w:kern w:val="0"/>
                <w:sz w:val="22"/>
                <w:szCs w:val="22"/>
                <w:lang w:eastAsia="en-GB"/>
                <w14:ligatures w14:val="none"/>
              </w:rPr>
              <w:t>Targed</w:t>
            </w:r>
            <w:proofErr w:type="spellEnd"/>
            <w:r w:rsidRPr="009F4E01">
              <w:rPr>
                <w:rFonts w:ascii="Arial" w:eastAsia="Times New Roman" w:hAnsi="Arial" w:cs="Arial"/>
                <w:kern w:val="0"/>
                <w:sz w:val="22"/>
                <w:szCs w:val="22"/>
                <w:lang w:eastAsia="en-GB"/>
                <w14:ligatures w14:val="none"/>
              </w:rPr>
              <w:t>/target  </w:t>
            </w:r>
          </w:p>
        </w:tc>
        <w:tc>
          <w:tcPr>
            <w:tcW w:w="3645" w:type="dxa"/>
            <w:tcBorders>
              <w:top w:val="single" w:sz="6" w:space="0" w:color="auto"/>
              <w:left w:val="single" w:sz="6" w:space="0" w:color="auto"/>
              <w:bottom w:val="single" w:sz="6" w:space="0" w:color="auto"/>
              <w:right w:val="single" w:sz="6" w:space="0" w:color="auto"/>
            </w:tcBorders>
            <w:shd w:val="clear" w:color="auto" w:fill="auto"/>
            <w:hideMark/>
          </w:tcPr>
          <w:p w14:paraId="4C5152D8" w14:textId="77777777" w:rsidR="009F4E01" w:rsidRPr="009F4E01" w:rsidRDefault="00000000" w:rsidP="009F4E01">
            <w:pPr>
              <w:spacing w:after="0" w:line="240" w:lineRule="auto"/>
              <w:textAlignment w:val="baseline"/>
              <w:rPr>
                <w:rFonts w:ascii="Segoe UI" w:eastAsia="Times New Roman" w:hAnsi="Segoe UI" w:cs="Segoe UI"/>
                <w:kern w:val="0"/>
                <w:sz w:val="18"/>
                <w:szCs w:val="18"/>
                <w:lang w:eastAsia="en-GB"/>
                <w14:ligatures w14:val="none"/>
              </w:rPr>
            </w:pPr>
            <w:proofErr w:type="spellStart"/>
            <w:r w:rsidRPr="009F4E01">
              <w:rPr>
                <w:rFonts w:ascii="Arial" w:eastAsia="Times New Roman" w:hAnsi="Arial" w:cs="Arial"/>
                <w:color w:val="222222"/>
                <w:kern w:val="0"/>
                <w:sz w:val="22"/>
                <w:szCs w:val="22"/>
                <w:shd w:val="clear" w:color="auto" w:fill="F8F9FA"/>
                <w:lang w:val="en-US" w:eastAsia="en-GB"/>
                <w14:ligatures w14:val="none"/>
              </w:rPr>
              <w:t>Yr</w:t>
            </w:r>
            <w:proofErr w:type="spellEnd"/>
            <w:r w:rsidRPr="009F4E01">
              <w:rPr>
                <w:rFonts w:ascii="Arial" w:eastAsia="Times New Roman" w:hAnsi="Arial" w:cs="Arial"/>
                <w:color w:val="222222"/>
                <w:kern w:val="0"/>
                <w:sz w:val="22"/>
                <w:szCs w:val="22"/>
                <w:shd w:val="clear" w:color="auto" w:fill="F8F9FA"/>
                <w:lang w:val="en-US" w:eastAsia="en-GB"/>
                <w14:ligatures w14:val="none"/>
              </w:rPr>
              <w:t xml:space="preserve"> </w:t>
            </w:r>
            <w:proofErr w:type="spellStart"/>
            <w:r w:rsidRPr="009F4E01">
              <w:rPr>
                <w:rFonts w:ascii="Arial" w:eastAsia="Times New Roman" w:hAnsi="Arial" w:cs="Arial"/>
                <w:color w:val="222222"/>
                <w:kern w:val="0"/>
                <w:sz w:val="22"/>
                <w:szCs w:val="22"/>
                <w:shd w:val="clear" w:color="auto" w:fill="F8F9FA"/>
                <w:lang w:val="en-US" w:eastAsia="en-GB"/>
                <w14:ligatures w14:val="none"/>
              </w:rPr>
              <w:t>hyn</w:t>
            </w:r>
            <w:proofErr w:type="spellEnd"/>
            <w:r w:rsidRPr="009F4E01">
              <w:rPr>
                <w:rFonts w:ascii="Arial" w:eastAsia="Times New Roman" w:hAnsi="Arial" w:cs="Arial"/>
                <w:color w:val="222222"/>
                <w:kern w:val="0"/>
                <w:sz w:val="22"/>
                <w:szCs w:val="22"/>
                <w:shd w:val="clear" w:color="auto" w:fill="F8F9FA"/>
                <w:lang w:val="en-US" w:eastAsia="en-GB"/>
                <w14:ligatures w14:val="none"/>
              </w:rPr>
              <w:t xml:space="preserve"> </w:t>
            </w:r>
            <w:proofErr w:type="spellStart"/>
            <w:r w:rsidRPr="009F4E01">
              <w:rPr>
                <w:rFonts w:ascii="Arial" w:eastAsia="Times New Roman" w:hAnsi="Arial" w:cs="Arial"/>
                <w:color w:val="222222"/>
                <w:kern w:val="0"/>
                <w:sz w:val="22"/>
                <w:szCs w:val="22"/>
                <w:shd w:val="clear" w:color="auto" w:fill="F8F9FA"/>
                <w:lang w:val="en-US" w:eastAsia="en-GB"/>
                <w14:ligatures w14:val="none"/>
              </w:rPr>
              <w:t>yr</w:t>
            </w:r>
            <w:proofErr w:type="spellEnd"/>
            <w:r w:rsidRPr="009F4E01">
              <w:rPr>
                <w:rFonts w:ascii="Arial" w:eastAsia="Times New Roman" w:hAnsi="Arial" w:cs="Arial"/>
                <w:color w:val="222222"/>
                <w:kern w:val="0"/>
                <w:sz w:val="22"/>
                <w:szCs w:val="22"/>
                <w:shd w:val="clear" w:color="auto" w:fill="F8F9FA"/>
                <w:lang w:val="en-US" w:eastAsia="en-GB"/>
                <w14:ligatures w14:val="none"/>
              </w:rPr>
              <w:t xml:space="preserve"> </w:t>
            </w:r>
            <w:proofErr w:type="spellStart"/>
            <w:r w:rsidRPr="009F4E01">
              <w:rPr>
                <w:rFonts w:ascii="Arial" w:eastAsia="Times New Roman" w:hAnsi="Arial" w:cs="Arial"/>
                <w:color w:val="222222"/>
                <w:kern w:val="0"/>
                <w:sz w:val="22"/>
                <w:szCs w:val="22"/>
                <w:shd w:val="clear" w:color="auto" w:fill="F8F9FA"/>
                <w:lang w:val="en-US" w:eastAsia="en-GB"/>
                <w14:ligatures w14:val="none"/>
              </w:rPr>
              <w:t>wyf</w:t>
            </w:r>
            <w:proofErr w:type="spellEnd"/>
            <w:r w:rsidRPr="009F4E01">
              <w:rPr>
                <w:rFonts w:ascii="Arial" w:eastAsia="Times New Roman" w:hAnsi="Arial" w:cs="Arial"/>
                <w:color w:val="222222"/>
                <w:kern w:val="0"/>
                <w:sz w:val="22"/>
                <w:szCs w:val="22"/>
                <w:shd w:val="clear" w:color="auto" w:fill="F8F9FA"/>
                <w:lang w:val="en-US" w:eastAsia="en-GB"/>
                <w14:ligatures w14:val="none"/>
              </w:rPr>
              <w:t xml:space="preserve"> </w:t>
            </w:r>
            <w:proofErr w:type="spellStart"/>
            <w:r w:rsidRPr="009F4E01">
              <w:rPr>
                <w:rFonts w:ascii="Arial" w:eastAsia="Times New Roman" w:hAnsi="Arial" w:cs="Arial"/>
                <w:color w:val="222222"/>
                <w:kern w:val="0"/>
                <w:sz w:val="22"/>
                <w:szCs w:val="22"/>
                <w:shd w:val="clear" w:color="auto" w:fill="F8F9FA"/>
                <w:lang w:val="en-US" w:eastAsia="en-GB"/>
                <w14:ligatures w14:val="none"/>
              </w:rPr>
              <w:t>wedi'i</w:t>
            </w:r>
            <w:proofErr w:type="spellEnd"/>
            <w:r w:rsidRPr="009F4E01">
              <w:rPr>
                <w:rFonts w:ascii="Arial" w:eastAsia="Times New Roman" w:hAnsi="Arial" w:cs="Arial"/>
                <w:color w:val="222222"/>
                <w:kern w:val="0"/>
                <w:sz w:val="22"/>
                <w:szCs w:val="22"/>
                <w:shd w:val="clear" w:color="auto" w:fill="F8F9FA"/>
                <w:lang w:val="en-US" w:eastAsia="en-GB"/>
                <w14:ligatures w14:val="none"/>
              </w:rPr>
              <w:t xml:space="preserve"> </w:t>
            </w:r>
            <w:proofErr w:type="spellStart"/>
            <w:r w:rsidRPr="009F4E01">
              <w:rPr>
                <w:rFonts w:ascii="Arial" w:eastAsia="Times New Roman" w:hAnsi="Arial" w:cs="Arial"/>
                <w:color w:val="222222"/>
                <w:kern w:val="0"/>
                <w:sz w:val="22"/>
                <w:szCs w:val="22"/>
                <w:shd w:val="clear" w:color="auto" w:fill="F8F9FA"/>
                <w:lang w:val="en-US" w:eastAsia="en-GB"/>
                <w14:ligatures w14:val="none"/>
              </w:rPr>
              <w:t>wneud</w:t>
            </w:r>
            <w:proofErr w:type="spellEnd"/>
            <w:r w:rsidRPr="009F4E01">
              <w:rPr>
                <w:rFonts w:ascii="Arial" w:eastAsia="Times New Roman" w:hAnsi="Arial" w:cs="Arial"/>
                <w:color w:val="222222"/>
                <w:kern w:val="0"/>
                <w:sz w:val="22"/>
                <w:szCs w:val="22"/>
                <w:shd w:val="clear" w:color="auto" w:fill="F8F9FA"/>
                <w:lang w:val="en-US" w:eastAsia="en-GB"/>
                <w14:ligatures w14:val="none"/>
              </w:rPr>
              <w:t xml:space="preserve"> </w:t>
            </w:r>
            <w:proofErr w:type="spellStart"/>
            <w:r w:rsidRPr="009F4E01">
              <w:rPr>
                <w:rFonts w:ascii="Arial" w:eastAsia="Times New Roman" w:hAnsi="Arial" w:cs="Arial"/>
                <w:color w:val="222222"/>
                <w:kern w:val="0"/>
                <w:sz w:val="22"/>
                <w:szCs w:val="22"/>
                <w:shd w:val="clear" w:color="auto" w:fill="F8F9FA"/>
                <w:lang w:val="en-US" w:eastAsia="en-GB"/>
                <w14:ligatures w14:val="none"/>
              </w:rPr>
              <w:t>yn</w:t>
            </w:r>
            <w:proofErr w:type="spellEnd"/>
            <w:r w:rsidRPr="009F4E01">
              <w:rPr>
                <w:rFonts w:ascii="Arial" w:eastAsia="Times New Roman" w:hAnsi="Arial" w:cs="Arial"/>
                <w:color w:val="222222"/>
                <w:kern w:val="0"/>
                <w:sz w:val="22"/>
                <w:szCs w:val="22"/>
                <w:shd w:val="clear" w:color="auto" w:fill="F8F9FA"/>
                <w:lang w:val="en-US" w:eastAsia="en-GB"/>
                <w14:ligatures w14:val="none"/>
              </w:rPr>
              <w:t xml:space="preserve"> </w:t>
            </w:r>
            <w:proofErr w:type="spellStart"/>
            <w:r w:rsidRPr="009F4E01">
              <w:rPr>
                <w:rFonts w:ascii="Arial" w:eastAsia="Times New Roman" w:hAnsi="Arial" w:cs="Arial"/>
                <w:color w:val="222222"/>
                <w:kern w:val="0"/>
                <w:sz w:val="22"/>
                <w:szCs w:val="22"/>
                <w:shd w:val="clear" w:color="auto" w:fill="F8F9FA"/>
                <w:lang w:val="en-US" w:eastAsia="en-GB"/>
                <w14:ligatures w14:val="none"/>
              </w:rPr>
              <w:t>yr</w:t>
            </w:r>
            <w:proofErr w:type="spellEnd"/>
            <w:r w:rsidRPr="009F4E01">
              <w:rPr>
                <w:rFonts w:ascii="Arial" w:eastAsia="Times New Roman" w:hAnsi="Arial" w:cs="Arial"/>
                <w:color w:val="222222"/>
                <w:kern w:val="0"/>
                <w:sz w:val="22"/>
                <w:szCs w:val="22"/>
                <w:shd w:val="clear" w:color="auto" w:fill="F8F9FA"/>
                <w:lang w:val="en-US" w:eastAsia="en-GB"/>
                <w14:ligatures w14:val="none"/>
              </w:rPr>
              <w:t xml:space="preserve"> </w:t>
            </w:r>
            <w:proofErr w:type="spellStart"/>
            <w:r w:rsidRPr="009F4E01">
              <w:rPr>
                <w:rFonts w:ascii="Arial" w:eastAsia="Times New Roman" w:hAnsi="Arial" w:cs="Arial"/>
                <w:color w:val="222222"/>
                <w:kern w:val="0"/>
                <w:sz w:val="22"/>
                <w:szCs w:val="22"/>
                <w:shd w:val="clear" w:color="auto" w:fill="F8F9FA"/>
                <w:lang w:val="en-US" w:eastAsia="en-GB"/>
                <w14:ligatures w14:val="none"/>
              </w:rPr>
              <w:t>aseiniad</w:t>
            </w:r>
            <w:proofErr w:type="spellEnd"/>
            <w:r w:rsidRPr="009F4E01">
              <w:rPr>
                <w:rFonts w:ascii="Arial" w:eastAsia="Times New Roman" w:hAnsi="Arial" w:cs="Arial"/>
                <w:color w:val="222222"/>
                <w:kern w:val="0"/>
                <w:sz w:val="22"/>
                <w:szCs w:val="22"/>
                <w:shd w:val="clear" w:color="auto" w:fill="F8F9FA"/>
                <w:lang w:val="en-US" w:eastAsia="en-GB"/>
                <w14:ligatures w14:val="none"/>
              </w:rPr>
              <w:t xml:space="preserve"> </w:t>
            </w:r>
            <w:proofErr w:type="spellStart"/>
            <w:r w:rsidRPr="009F4E01">
              <w:rPr>
                <w:rFonts w:ascii="Arial" w:eastAsia="Times New Roman" w:hAnsi="Arial" w:cs="Arial"/>
                <w:color w:val="222222"/>
                <w:kern w:val="0"/>
                <w:sz w:val="22"/>
                <w:szCs w:val="22"/>
                <w:shd w:val="clear" w:color="auto" w:fill="F8F9FA"/>
                <w:lang w:val="en-US" w:eastAsia="en-GB"/>
                <w14:ligatures w14:val="none"/>
              </w:rPr>
              <w:t>hwn</w:t>
            </w:r>
            <w:proofErr w:type="spellEnd"/>
            <w:r w:rsidRPr="009F4E01">
              <w:rPr>
                <w:rFonts w:ascii="Arial" w:eastAsia="Times New Roman" w:hAnsi="Arial" w:cs="Arial"/>
                <w:color w:val="222222"/>
                <w:kern w:val="0"/>
                <w:sz w:val="22"/>
                <w:szCs w:val="22"/>
                <w:lang w:eastAsia="en-GB"/>
                <w14:ligatures w14:val="none"/>
              </w:rPr>
              <w:t>  </w:t>
            </w:r>
          </w:p>
          <w:p w14:paraId="66E407B3" w14:textId="77777777" w:rsidR="009F4E01" w:rsidRPr="009F4E01" w:rsidRDefault="00000000" w:rsidP="009F4E01">
            <w:pPr>
              <w:spacing w:after="0" w:line="240" w:lineRule="auto"/>
              <w:textAlignment w:val="baseline"/>
              <w:rPr>
                <w:rFonts w:ascii="Segoe UI" w:eastAsia="Times New Roman" w:hAnsi="Segoe UI" w:cs="Segoe UI"/>
                <w:kern w:val="0"/>
                <w:sz w:val="18"/>
                <w:szCs w:val="18"/>
                <w:lang w:eastAsia="en-GB"/>
                <w14:ligatures w14:val="none"/>
              </w:rPr>
            </w:pPr>
            <w:r w:rsidRPr="009F4E01">
              <w:rPr>
                <w:rFonts w:ascii="Arial" w:eastAsia="Times New Roman" w:hAnsi="Arial" w:cs="Arial"/>
                <w:kern w:val="0"/>
                <w:sz w:val="22"/>
                <w:szCs w:val="22"/>
                <w:lang w:val="en-US" w:eastAsia="en-GB"/>
                <w14:ligatures w14:val="none"/>
              </w:rPr>
              <w:t>What I have done in this assignment...</w:t>
            </w:r>
            <w:r w:rsidRPr="009F4E01">
              <w:rPr>
                <w:rFonts w:ascii="Arial" w:eastAsia="Times New Roman" w:hAnsi="Arial" w:cs="Arial"/>
                <w:kern w:val="0"/>
                <w:sz w:val="22"/>
                <w:szCs w:val="22"/>
                <w:lang w:eastAsia="en-GB"/>
                <w14:ligatures w14:val="none"/>
              </w:rPr>
              <w:t>  </w:t>
            </w:r>
          </w:p>
          <w:p w14:paraId="5508590F" w14:textId="77777777" w:rsidR="009F4E01" w:rsidRPr="009F4E01" w:rsidRDefault="00000000" w:rsidP="009F4E01">
            <w:pPr>
              <w:spacing w:after="0" w:line="240" w:lineRule="auto"/>
              <w:textAlignment w:val="baseline"/>
              <w:rPr>
                <w:rFonts w:ascii="Segoe UI" w:eastAsia="Times New Roman" w:hAnsi="Segoe UI" w:cs="Segoe UI"/>
                <w:kern w:val="0"/>
                <w:sz w:val="18"/>
                <w:szCs w:val="18"/>
                <w:lang w:eastAsia="en-GB"/>
                <w14:ligatures w14:val="none"/>
              </w:rPr>
            </w:pPr>
            <w:r w:rsidRPr="009F4E01">
              <w:rPr>
                <w:rFonts w:ascii="Arial" w:eastAsia="Times New Roman" w:hAnsi="Arial" w:cs="Arial"/>
                <w:kern w:val="0"/>
                <w:sz w:val="22"/>
                <w:szCs w:val="22"/>
                <w:lang w:eastAsia="en-GB"/>
                <w14:ligatures w14:val="none"/>
              </w:rPr>
              <w:t>  </w:t>
            </w:r>
          </w:p>
        </w:tc>
      </w:tr>
      <w:tr w:rsidR="004C547E" w14:paraId="3ED89416" w14:textId="77777777" w:rsidTr="000E6C46">
        <w:trPr>
          <w:trHeight w:val="300"/>
        </w:trPr>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03028DBF" w14:textId="77777777" w:rsidR="009F4E01" w:rsidRPr="009F4E01" w:rsidRDefault="00000000" w:rsidP="009F4E01">
            <w:pPr>
              <w:spacing w:after="0" w:line="240" w:lineRule="auto"/>
              <w:textAlignment w:val="baseline"/>
              <w:rPr>
                <w:rFonts w:ascii="Segoe UI" w:eastAsia="Times New Roman" w:hAnsi="Segoe UI" w:cs="Segoe UI"/>
                <w:kern w:val="0"/>
                <w:sz w:val="18"/>
                <w:szCs w:val="18"/>
                <w:lang w:eastAsia="en-GB"/>
                <w14:ligatures w14:val="none"/>
              </w:rPr>
            </w:pPr>
            <w:proofErr w:type="spellStart"/>
            <w:r w:rsidRPr="009F4E01">
              <w:rPr>
                <w:rFonts w:ascii="Arial" w:eastAsia="Times New Roman" w:hAnsi="Arial" w:cs="Arial"/>
                <w:kern w:val="0"/>
                <w:sz w:val="22"/>
                <w:szCs w:val="22"/>
                <w:lang w:eastAsia="en-GB"/>
                <w14:ligatures w14:val="none"/>
              </w:rPr>
              <w:t>Targed</w:t>
            </w:r>
            <w:proofErr w:type="spellEnd"/>
            <w:r w:rsidRPr="009F4E01">
              <w:rPr>
                <w:rFonts w:ascii="Arial" w:eastAsia="Times New Roman" w:hAnsi="Arial" w:cs="Arial"/>
                <w:kern w:val="0"/>
                <w:sz w:val="22"/>
                <w:szCs w:val="22"/>
                <w:lang w:eastAsia="en-GB"/>
                <w14:ligatures w14:val="none"/>
              </w:rPr>
              <w:t>/Target 1  </w:t>
            </w:r>
          </w:p>
        </w:tc>
        <w:tc>
          <w:tcPr>
            <w:tcW w:w="3645" w:type="dxa"/>
            <w:tcBorders>
              <w:top w:val="single" w:sz="6" w:space="0" w:color="auto"/>
              <w:left w:val="single" w:sz="6" w:space="0" w:color="auto"/>
              <w:bottom w:val="single" w:sz="6" w:space="0" w:color="auto"/>
              <w:right w:val="single" w:sz="6" w:space="0" w:color="auto"/>
            </w:tcBorders>
            <w:shd w:val="clear" w:color="auto" w:fill="auto"/>
            <w:hideMark/>
          </w:tcPr>
          <w:p w14:paraId="14048CC4" w14:textId="77777777" w:rsidR="009F4E01" w:rsidRPr="00BB3671" w:rsidRDefault="00000000" w:rsidP="009F4E01">
            <w:pPr>
              <w:spacing w:after="0" w:line="240" w:lineRule="auto"/>
              <w:textAlignment w:val="baseline"/>
              <w:rPr>
                <w:rFonts w:ascii="Arial" w:eastAsia="Times New Roman" w:hAnsi="Arial" w:cs="Arial"/>
                <w:kern w:val="0"/>
                <w:sz w:val="22"/>
                <w:szCs w:val="22"/>
                <w:lang w:eastAsia="en-GB"/>
                <w14:ligatures w14:val="none"/>
              </w:rPr>
            </w:pPr>
            <w:r w:rsidRPr="00DB17C3">
              <w:rPr>
                <w:rFonts w:ascii="Arial" w:hAnsi="Arial" w:cs="Arial"/>
                <w:sz w:val="22"/>
                <w:szCs w:val="22"/>
                <w:shd w:val="clear" w:color="auto" w:fill="FFFFFF"/>
              </w:rPr>
              <w:t>Use this work to consider how you develop in the professional standard relating to leadership: Taking responsibility for self, as you move into your NQT year. Consider how you can positively impact on learners by playing an active part within the school's organisational structure and plan</w:t>
            </w:r>
            <w:r w:rsidR="00DB17C3" w:rsidRPr="00DB17C3">
              <w:rPr>
                <w:rFonts w:ascii="Arial" w:hAnsi="Arial" w:cs="Arial"/>
                <w:sz w:val="22"/>
                <w:szCs w:val="22"/>
                <w:shd w:val="clear" w:color="auto" w:fill="FFFFFF"/>
              </w:rPr>
              <w:t>.</w:t>
            </w:r>
          </w:p>
        </w:tc>
        <w:tc>
          <w:tcPr>
            <w:tcW w:w="3645" w:type="dxa"/>
            <w:tcBorders>
              <w:top w:val="single" w:sz="6" w:space="0" w:color="auto"/>
              <w:left w:val="single" w:sz="6" w:space="0" w:color="auto"/>
              <w:bottom w:val="single" w:sz="6" w:space="0" w:color="auto"/>
              <w:right w:val="single" w:sz="6" w:space="0" w:color="auto"/>
            </w:tcBorders>
            <w:shd w:val="clear" w:color="auto" w:fill="auto"/>
            <w:hideMark/>
          </w:tcPr>
          <w:p w14:paraId="0D98ED69" w14:textId="77777777" w:rsidR="009F4E01" w:rsidRPr="00BB3671" w:rsidRDefault="00000000" w:rsidP="009F4E01">
            <w:pPr>
              <w:spacing w:after="0" w:line="240" w:lineRule="auto"/>
              <w:textAlignment w:val="baseline"/>
              <w:rPr>
                <w:rFonts w:ascii="Arial" w:eastAsia="Times New Roman" w:hAnsi="Arial" w:cs="Arial"/>
                <w:kern w:val="0"/>
                <w:sz w:val="22"/>
                <w:szCs w:val="22"/>
                <w:lang w:eastAsia="en-GB"/>
                <w14:ligatures w14:val="none"/>
              </w:rPr>
            </w:pPr>
            <w:r w:rsidRPr="00BB3671">
              <w:rPr>
                <w:rFonts w:ascii="Arial" w:eastAsia="Times New Roman" w:hAnsi="Arial" w:cs="Arial"/>
                <w:kern w:val="0"/>
                <w:sz w:val="22"/>
                <w:szCs w:val="22"/>
                <w:lang w:eastAsia="en-GB"/>
                <w14:ligatures w14:val="none"/>
              </w:rPr>
              <w:t>This target is specific to</w:t>
            </w:r>
            <w:r w:rsidR="000C73A8" w:rsidRPr="00BB3671">
              <w:rPr>
                <w:rFonts w:ascii="Arial" w:eastAsia="Times New Roman" w:hAnsi="Arial" w:cs="Arial"/>
                <w:kern w:val="0"/>
                <w:sz w:val="22"/>
                <w:szCs w:val="22"/>
                <w:lang w:eastAsia="en-GB"/>
                <w14:ligatures w14:val="none"/>
              </w:rPr>
              <w:t xml:space="preserve"> the previo</w:t>
            </w:r>
            <w:r w:rsidR="003E7FDA" w:rsidRPr="00BB3671">
              <w:rPr>
                <w:rFonts w:ascii="Arial" w:eastAsia="Times New Roman" w:hAnsi="Arial" w:cs="Arial"/>
                <w:kern w:val="0"/>
                <w:sz w:val="22"/>
                <w:szCs w:val="22"/>
                <w:lang w:eastAsia="en-GB"/>
                <w14:ligatures w14:val="none"/>
              </w:rPr>
              <w:t>us assignment</w:t>
            </w:r>
            <w:r w:rsidR="00BB3671" w:rsidRPr="00BB3671">
              <w:rPr>
                <w:rFonts w:ascii="Arial" w:eastAsia="Times New Roman" w:hAnsi="Arial" w:cs="Arial"/>
                <w:kern w:val="0"/>
                <w:sz w:val="22"/>
                <w:szCs w:val="22"/>
                <w:lang w:eastAsia="en-GB"/>
                <w14:ligatures w14:val="none"/>
              </w:rPr>
              <w:t>. However</w:t>
            </w:r>
            <w:r w:rsidR="00BC5573" w:rsidRPr="00BB3671">
              <w:rPr>
                <w:rFonts w:ascii="Arial" w:eastAsia="Times New Roman" w:hAnsi="Arial" w:cs="Arial"/>
                <w:kern w:val="0"/>
                <w:sz w:val="22"/>
                <w:szCs w:val="22"/>
                <w:lang w:eastAsia="en-GB"/>
                <w14:ligatures w14:val="none"/>
              </w:rPr>
              <w:t xml:space="preserve">, I have taken previous targets </w:t>
            </w:r>
            <w:r w:rsidR="006E7BD6" w:rsidRPr="00BB3671">
              <w:rPr>
                <w:rFonts w:ascii="Arial" w:eastAsia="Times New Roman" w:hAnsi="Arial" w:cs="Arial"/>
                <w:kern w:val="0"/>
                <w:sz w:val="22"/>
                <w:szCs w:val="22"/>
                <w:lang w:eastAsia="en-GB"/>
                <w14:ligatures w14:val="none"/>
              </w:rPr>
              <w:t xml:space="preserve">into account and will strive to </w:t>
            </w:r>
            <w:r w:rsidR="00AF3CF0" w:rsidRPr="00BB3671">
              <w:rPr>
                <w:rFonts w:ascii="Arial" w:eastAsia="Times New Roman" w:hAnsi="Arial" w:cs="Arial"/>
                <w:kern w:val="0"/>
                <w:sz w:val="22"/>
                <w:szCs w:val="22"/>
                <w:lang w:eastAsia="en-GB"/>
                <w14:ligatures w14:val="none"/>
              </w:rPr>
              <w:t>use this research in my future practice.</w:t>
            </w:r>
          </w:p>
        </w:tc>
      </w:tr>
    </w:tbl>
    <w:p w14:paraId="15B5D9A6" w14:textId="77777777" w:rsidR="004141C5" w:rsidRDefault="004141C5" w:rsidP="00AB1680">
      <w:pPr>
        <w:spacing w:line="360" w:lineRule="auto"/>
        <w:jc w:val="both"/>
        <w:rPr>
          <w:rFonts w:ascii="Arial" w:hAnsi="Arial" w:cs="Arial"/>
          <w:sz w:val="28"/>
          <w:szCs w:val="28"/>
        </w:rPr>
      </w:pPr>
    </w:p>
    <w:p w14:paraId="7C6B7DFB" w14:textId="77777777" w:rsidR="004141C5" w:rsidRDefault="004141C5" w:rsidP="00AB1680">
      <w:pPr>
        <w:spacing w:line="360" w:lineRule="auto"/>
        <w:jc w:val="both"/>
        <w:rPr>
          <w:rFonts w:ascii="Arial" w:hAnsi="Arial" w:cs="Arial"/>
          <w:sz w:val="28"/>
          <w:szCs w:val="28"/>
        </w:rPr>
      </w:pPr>
    </w:p>
    <w:p w14:paraId="42CD0DBB" w14:textId="77777777" w:rsidR="00DB7ABB" w:rsidRDefault="00DB7ABB" w:rsidP="4D4299DF">
      <w:pPr>
        <w:spacing w:line="360" w:lineRule="auto"/>
        <w:jc w:val="both"/>
        <w:rPr>
          <w:rFonts w:ascii="Arial" w:hAnsi="Arial" w:cs="Arial"/>
          <w:sz w:val="28"/>
          <w:szCs w:val="28"/>
          <w:u w:val="single"/>
        </w:rPr>
      </w:pPr>
    </w:p>
    <w:p w14:paraId="4F948909" w14:textId="77777777" w:rsidR="00AB1680" w:rsidRPr="00710B21" w:rsidRDefault="00000000" w:rsidP="4D4299DF">
      <w:pPr>
        <w:spacing w:line="360" w:lineRule="auto"/>
        <w:jc w:val="both"/>
        <w:rPr>
          <w:rFonts w:ascii="Arial" w:hAnsi="Arial" w:cs="Arial"/>
          <w:sz w:val="28"/>
          <w:szCs w:val="28"/>
          <w:u w:val="single"/>
        </w:rPr>
      </w:pPr>
      <w:r w:rsidRPr="4D4299DF">
        <w:rPr>
          <w:rFonts w:ascii="Arial" w:hAnsi="Arial" w:cs="Arial"/>
          <w:sz w:val="28"/>
          <w:szCs w:val="28"/>
          <w:u w:val="single"/>
        </w:rPr>
        <w:lastRenderedPageBreak/>
        <w:t>Introduction</w:t>
      </w:r>
    </w:p>
    <w:p w14:paraId="105A10C3" w14:textId="77777777" w:rsidR="00AB1680" w:rsidRDefault="00000000" w:rsidP="00AB1680">
      <w:pPr>
        <w:spacing w:line="360" w:lineRule="auto"/>
        <w:jc w:val="both"/>
        <w:rPr>
          <w:rFonts w:ascii="Arial" w:hAnsi="Arial" w:cs="Arial"/>
          <w:sz w:val="22"/>
          <w:szCs w:val="22"/>
        </w:rPr>
      </w:pPr>
      <w:r w:rsidRPr="1D9B6434">
        <w:rPr>
          <w:rFonts w:ascii="Arial" w:hAnsi="Arial" w:cs="Arial"/>
          <w:sz w:val="22"/>
          <w:szCs w:val="22"/>
        </w:rPr>
        <w:t xml:space="preserve">This assignment will critically evaluate a chosen research project on the effectiveness of visual timetables in promoting </w:t>
      </w:r>
      <w:r w:rsidR="47345DCC" w:rsidRPr="1D9B6434">
        <w:rPr>
          <w:rFonts w:ascii="Arial" w:hAnsi="Arial" w:cs="Arial"/>
          <w:sz w:val="22"/>
          <w:szCs w:val="22"/>
        </w:rPr>
        <w:t>student</w:t>
      </w:r>
      <w:r w:rsidRPr="1D9B6434">
        <w:rPr>
          <w:rFonts w:ascii="Arial" w:hAnsi="Arial" w:cs="Arial"/>
          <w:sz w:val="22"/>
          <w:szCs w:val="22"/>
        </w:rPr>
        <w:t xml:space="preserve"> independence. This assignment will provide an overview of the project and draw conclusions based on the findings.</w:t>
      </w:r>
    </w:p>
    <w:p w14:paraId="6A41D14B" w14:textId="77777777" w:rsidR="00AB1680" w:rsidRPr="00CB00CE" w:rsidRDefault="00000000" w:rsidP="00AB1680">
      <w:pPr>
        <w:spacing w:line="360" w:lineRule="auto"/>
        <w:jc w:val="both"/>
        <w:rPr>
          <w:rFonts w:ascii="Arial" w:hAnsi="Arial" w:cs="Arial"/>
          <w:sz w:val="22"/>
          <w:szCs w:val="22"/>
        </w:rPr>
      </w:pPr>
      <w:r w:rsidRPr="1D9B6434">
        <w:rPr>
          <w:rFonts w:ascii="Arial" w:hAnsi="Arial" w:cs="Arial"/>
          <w:sz w:val="22"/>
          <w:szCs w:val="22"/>
        </w:rPr>
        <w:t xml:space="preserve">As a student teacher, it has been observed that </w:t>
      </w:r>
      <w:r w:rsidR="038DC4CA" w:rsidRPr="1D9B6434">
        <w:rPr>
          <w:rFonts w:ascii="Arial" w:hAnsi="Arial" w:cs="Arial"/>
          <w:sz w:val="22"/>
          <w:szCs w:val="22"/>
        </w:rPr>
        <w:t>students</w:t>
      </w:r>
      <w:r w:rsidRPr="1D9B6434">
        <w:rPr>
          <w:rFonts w:ascii="Arial" w:hAnsi="Arial" w:cs="Arial"/>
          <w:sz w:val="22"/>
          <w:szCs w:val="22"/>
        </w:rPr>
        <w:t xml:space="preserve"> demonstrate a heavy reliance on adult support </w:t>
      </w:r>
      <w:r w:rsidR="762F5366" w:rsidRPr="1D9B6434">
        <w:rPr>
          <w:rFonts w:ascii="Arial" w:hAnsi="Arial" w:cs="Arial"/>
          <w:sz w:val="22"/>
          <w:szCs w:val="22"/>
        </w:rPr>
        <w:t xml:space="preserve">to complete tasks and activities </w:t>
      </w:r>
      <w:r w:rsidRPr="1D9B6434">
        <w:rPr>
          <w:rFonts w:ascii="Arial" w:hAnsi="Arial" w:cs="Arial"/>
          <w:sz w:val="22"/>
          <w:szCs w:val="22"/>
        </w:rPr>
        <w:t>and need to cultivate their independence skills to take ownership of their learning. Despite being at progression step 1, students in PTE2 needed to be motivated to take the initiative, as some were hesitant to do so, knowing that adult support was readily available from parents and staff members.</w:t>
      </w:r>
    </w:p>
    <w:p w14:paraId="7A071CE2" w14:textId="77777777" w:rsidR="00AB1680" w:rsidRPr="00823351" w:rsidRDefault="00000000" w:rsidP="00AB1680">
      <w:pPr>
        <w:spacing w:line="360" w:lineRule="auto"/>
        <w:jc w:val="both"/>
        <w:rPr>
          <w:rFonts w:ascii="Arial" w:hAnsi="Arial" w:cs="Arial"/>
          <w:sz w:val="22"/>
          <w:szCs w:val="22"/>
        </w:rPr>
      </w:pPr>
      <w:r w:rsidRPr="4D4299DF">
        <w:rPr>
          <w:rFonts w:ascii="Arial" w:hAnsi="Arial" w:cs="Arial"/>
          <w:sz w:val="22"/>
          <w:szCs w:val="22"/>
        </w:rPr>
        <w:t>This research project will critically evaluate the impact of visual timetables on student independence. Previous observations within school environments inspire this research and align with the vision outlined within the Curriculum for Wales, which emphasises developing individuals' skills and knowledge to manage everyday life as independently as possible (Welsh Government, 2020).</w:t>
      </w:r>
    </w:p>
    <w:p w14:paraId="7DEC06DB" w14:textId="77777777" w:rsidR="00AB1680" w:rsidRPr="00823351" w:rsidRDefault="00000000" w:rsidP="00AB1680">
      <w:pPr>
        <w:spacing w:line="360" w:lineRule="auto"/>
        <w:jc w:val="both"/>
        <w:rPr>
          <w:rFonts w:ascii="Arial" w:hAnsi="Arial" w:cs="Arial"/>
          <w:sz w:val="22"/>
          <w:szCs w:val="22"/>
        </w:rPr>
      </w:pPr>
      <w:r w:rsidRPr="4D4299DF">
        <w:rPr>
          <w:rFonts w:ascii="Arial" w:hAnsi="Arial" w:cs="Arial"/>
          <w:sz w:val="22"/>
          <w:szCs w:val="22"/>
        </w:rPr>
        <w:t>School X is an English-medium school with 600 students. The school’s primary goal is to equip students with the necessary skills to become independent learners by creating an environment where students demonstrate self-respect, respect for others, and a proactive approach to learning (School X, 2021).</w:t>
      </w:r>
    </w:p>
    <w:p w14:paraId="62CFEA08" w14:textId="77777777" w:rsidR="00AB1680" w:rsidRPr="00823351" w:rsidRDefault="00000000" w:rsidP="00AB1680">
      <w:pPr>
        <w:spacing w:line="360" w:lineRule="auto"/>
        <w:jc w:val="both"/>
        <w:rPr>
          <w:rFonts w:ascii="Arial" w:hAnsi="Arial" w:cs="Arial"/>
          <w:sz w:val="22"/>
          <w:szCs w:val="22"/>
        </w:rPr>
      </w:pPr>
      <w:r w:rsidRPr="00823351">
        <w:rPr>
          <w:rFonts w:ascii="Arial" w:hAnsi="Arial" w:cs="Arial"/>
          <w:sz w:val="22"/>
          <w:szCs w:val="22"/>
        </w:rPr>
        <w:t xml:space="preserve">The research occurred </w:t>
      </w:r>
      <w:r>
        <w:rPr>
          <w:rFonts w:ascii="Arial" w:hAnsi="Arial" w:cs="Arial"/>
          <w:sz w:val="22"/>
          <w:szCs w:val="22"/>
        </w:rPr>
        <w:t>withi</w:t>
      </w:r>
      <w:r w:rsidRPr="00823351">
        <w:rPr>
          <w:rFonts w:ascii="Arial" w:hAnsi="Arial" w:cs="Arial"/>
          <w:sz w:val="22"/>
          <w:szCs w:val="22"/>
        </w:rPr>
        <w:t xml:space="preserve">n </w:t>
      </w:r>
      <w:r>
        <w:rPr>
          <w:rFonts w:ascii="Arial" w:hAnsi="Arial" w:cs="Arial"/>
          <w:sz w:val="22"/>
          <w:szCs w:val="22"/>
        </w:rPr>
        <w:t>the</w:t>
      </w:r>
      <w:r w:rsidRPr="00823351">
        <w:rPr>
          <w:rFonts w:ascii="Arial" w:hAnsi="Arial" w:cs="Arial"/>
          <w:sz w:val="22"/>
          <w:szCs w:val="22"/>
        </w:rPr>
        <w:t xml:space="preserve"> nursery classroom with 30 students </w:t>
      </w:r>
      <w:r>
        <w:rPr>
          <w:rFonts w:ascii="Arial" w:hAnsi="Arial" w:cs="Arial"/>
          <w:sz w:val="22"/>
          <w:szCs w:val="22"/>
        </w:rPr>
        <w:t>working within</w:t>
      </w:r>
      <w:r w:rsidRPr="00823351">
        <w:rPr>
          <w:rFonts w:ascii="Arial" w:hAnsi="Arial" w:cs="Arial"/>
          <w:sz w:val="22"/>
          <w:szCs w:val="22"/>
        </w:rPr>
        <w:t xml:space="preserve"> progression step 1. The students were divided into three mixed-ability groups. The classroom has an open-plan layout with enhanced provision areas and an outdoor area with "choose our own learning" (COOL) challenges. Throughout the day, the students work on a three-way rotation, with each group completing an indoor COOL challenge, an outdoor COOL challenge, and a focused task. Three visual timetables are in place for the children in each group to follow their daily </w:t>
      </w:r>
      <w:r>
        <w:rPr>
          <w:rFonts w:ascii="Arial" w:hAnsi="Arial" w:cs="Arial"/>
          <w:sz w:val="22"/>
          <w:szCs w:val="22"/>
        </w:rPr>
        <w:t>routines</w:t>
      </w:r>
      <w:r w:rsidRPr="00823351">
        <w:rPr>
          <w:rFonts w:ascii="Arial" w:hAnsi="Arial" w:cs="Arial"/>
          <w:sz w:val="22"/>
          <w:szCs w:val="22"/>
        </w:rPr>
        <w:t>.</w:t>
      </w:r>
    </w:p>
    <w:p w14:paraId="5D521317" w14:textId="77777777" w:rsidR="006C0CE4" w:rsidRDefault="00000000" w:rsidP="4D4299DF">
      <w:pPr>
        <w:spacing w:line="360" w:lineRule="auto"/>
        <w:jc w:val="both"/>
        <w:rPr>
          <w:rFonts w:ascii="Arial" w:hAnsi="Arial" w:cs="Arial"/>
          <w:sz w:val="22"/>
          <w:szCs w:val="22"/>
        </w:rPr>
      </w:pPr>
      <w:r w:rsidRPr="4D4299DF">
        <w:rPr>
          <w:rFonts w:ascii="Arial" w:hAnsi="Arial" w:cs="Arial"/>
          <w:sz w:val="22"/>
          <w:szCs w:val="22"/>
        </w:rPr>
        <w:t>The research question is, "How does the implementation of visual timetables influence the development of independence in young children within the classroom?” This study aims to collect empirical evidence to promote student independence in the classroom environment.</w:t>
      </w:r>
    </w:p>
    <w:p w14:paraId="30B33F8F" w14:textId="77777777" w:rsidR="002A36FE" w:rsidRDefault="002A36FE" w:rsidP="02EF0708">
      <w:pPr>
        <w:spacing w:line="360" w:lineRule="auto"/>
        <w:jc w:val="both"/>
        <w:rPr>
          <w:rFonts w:ascii="Arial" w:hAnsi="Arial" w:cs="Arial"/>
          <w:sz w:val="22"/>
          <w:szCs w:val="22"/>
        </w:rPr>
      </w:pPr>
    </w:p>
    <w:p w14:paraId="679A217F" w14:textId="77777777" w:rsidR="00710B21" w:rsidRPr="006C0CE4" w:rsidRDefault="00000000" w:rsidP="02EF0708">
      <w:pPr>
        <w:spacing w:line="360" w:lineRule="auto"/>
        <w:jc w:val="both"/>
        <w:rPr>
          <w:rFonts w:ascii="Arial" w:hAnsi="Arial" w:cs="Arial"/>
          <w:sz w:val="28"/>
          <w:szCs w:val="28"/>
          <w:u w:val="single"/>
        </w:rPr>
      </w:pPr>
      <w:r w:rsidRPr="02EF0708">
        <w:rPr>
          <w:rFonts w:ascii="Arial" w:hAnsi="Arial" w:cs="Arial"/>
          <w:sz w:val="28"/>
          <w:szCs w:val="28"/>
          <w:u w:val="single"/>
        </w:rPr>
        <w:t>Overview of relevant literature</w:t>
      </w:r>
    </w:p>
    <w:p w14:paraId="1F03E918" w14:textId="77777777" w:rsidR="00710B21" w:rsidRPr="006C0CE4" w:rsidRDefault="00000000" w:rsidP="4D4299DF">
      <w:pPr>
        <w:spacing w:line="360" w:lineRule="auto"/>
        <w:jc w:val="both"/>
        <w:rPr>
          <w:rFonts w:ascii="Arial" w:eastAsia="Arial" w:hAnsi="Arial" w:cs="Arial"/>
          <w:kern w:val="0"/>
          <w:sz w:val="22"/>
          <w:szCs w:val="22"/>
          <w:lang w:eastAsia="en-GB"/>
          <w14:ligatures w14:val="none"/>
        </w:rPr>
      </w:pPr>
      <w:r w:rsidRPr="4D4299DF">
        <w:rPr>
          <w:rFonts w:ascii="Arial" w:eastAsia="Arial" w:hAnsi="Arial" w:cs="Arial"/>
          <w:color w:val="0D0D0D"/>
          <w:sz w:val="22"/>
          <w:szCs w:val="22"/>
          <w:shd w:val="clear" w:color="auto" w:fill="FFFFFF"/>
        </w:rPr>
        <w:t>Encouraging independence in children is a critical component of their educational development, as it facilitates the acquisition of essential skills necessary for continuous</w:t>
      </w:r>
      <w:r w:rsidR="003C45BE">
        <w:rPr>
          <w:rFonts w:ascii="Arial" w:eastAsia="Arial" w:hAnsi="Arial" w:cs="Arial"/>
          <w:color w:val="0D0D0D"/>
          <w:sz w:val="22"/>
          <w:szCs w:val="22"/>
          <w:shd w:val="clear" w:color="auto" w:fill="FFFFFF"/>
        </w:rPr>
        <w:t xml:space="preserve"> </w:t>
      </w:r>
      <w:r w:rsidRPr="4D4299DF">
        <w:rPr>
          <w:rFonts w:ascii="Arial" w:eastAsia="Arial" w:hAnsi="Arial" w:cs="Arial"/>
          <w:color w:val="0D0D0D"/>
          <w:sz w:val="22"/>
          <w:szCs w:val="22"/>
          <w:shd w:val="clear" w:color="auto" w:fill="FFFFFF"/>
        </w:rPr>
        <w:lastRenderedPageBreak/>
        <w:t xml:space="preserve">learning and academic achievement. Independence encompasses a range of abilities, including self-regulation, critical thinking, and self-directed learning </w:t>
      </w:r>
      <w:r w:rsidRPr="4D4299DF">
        <w:rPr>
          <w:rFonts w:ascii="Arial" w:eastAsia="Arial" w:hAnsi="Arial" w:cs="Arial"/>
          <w:kern w:val="0"/>
          <w:sz w:val="22"/>
          <w:szCs w:val="22"/>
          <w:lang w:eastAsia="en-GB"/>
          <w14:ligatures w14:val="none"/>
        </w:rPr>
        <w:t>(Cerino, 2021).</w:t>
      </w:r>
      <w:r w:rsidR="006C0CE4">
        <w:rPr>
          <w:rFonts w:ascii="Arial" w:eastAsia="Arial" w:hAnsi="Arial" w:cs="Arial"/>
          <w:kern w:val="0"/>
          <w:sz w:val="22"/>
          <w:szCs w:val="22"/>
          <w:lang w:eastAsia="en-GB"/>
          <w14:ligatures w14:val="none"/>
        </w:rPr>
        <w:t xml:space="preserve"> </w:t>
      </w:r>
      <w:r w:rsidRPr="4D4299DF">
        <w:rPr>
          <w:rFonts w:ascii="Arial" w:eastAsia="Arial" w:hAnsi="Arial" w:cs="Arial"/>
          <w:color w:val="0D0D0D"/>
          <w:sz w:val="22"/>
          <w:szCs w:val="22"/>
          <w:shd w:val="clear" w:color="auto" w:fill="FFFFFF"/>
        </w:rPr>
        <w:t xml:space="preserve">The Curriculum for Wales prioritises the development of independent learners to develop independence, confidence, and resilience. Through the Four Purposes, the curriculum aims to empower students to become ambitious, capable learners who are engaged, capable, and independent individuals ready to make meaningful contributions to society (Welsh Government, 2023). Visual timetables are implemented in schools to facilitate independence within the curriculum by offering students a structured schedule, enabling them to grasp the expectations within the classroom environment (CAMHS, 2018). </w:t>
      </w:r>
    </w:p>
    <w:p w14:paraId="7411FD08" w14:textId="77777777" w:rsidR="00710B21" w:rsidRPr="00573041" w:rsidRDefault="00000000" w:rsidP="4D4299DF">
      <w:pPr>
        <w:spacing w:line="360" w:lineRule="auto"/>
        <w:rPr>
          <w:rFonts w:ascii="Arial" w:eastAsia="Arial" w:hAnsi="Arial" w:cs="Arial"/>
          <w:kern w:val="0"/>
          <w:sz w:val="22"/>
          <w:szCs w:val="22"/>
          <w:lang w:eastAsia="en-GB"/>
          <w14:ligatures w14:val="none"/>
        </w:rPr>
      </w:pPr>
      <w:r w:rsidRPr="4D4299DF">
        <w:rPr>
          <w:rFonts w:ascii="Arial" w:eastAsia="Arial" w:hAnsi="Arial" w:cs="Arial"/>
          <w:kern w:val="0"/>
          <w:sz w:val="22"/>
          <w:szCs w:val="22"/>
          <w:lang w:eastAsia="en-GB"/>
          <w14:ligatures w14:val="none"/>
        </w:rPr>
        <w:t xml:space="preserve">According to Rutherford </w:t>
      </w:r>
      <w:r w:rsidRPr="4D4299DF">
        <w:rPr>
          <w:rFonts w:ascii="Arial" w:eastAsia="Arial" w:hAnsi="Arial" w:cs="Arial"/>
          <w:i/>
          <w:iCs/>
          <w:kern w:val="0"/>
          <w:sz w:val="22"/>
          <w:szCs w:val="22"/>
          <w:lang w:eastAsia="en-GB"/>
          <w14:ligatures w14:val="none"/>
        </w:rPr>
        <w:t>et al.</w:t>
      </w:r>
      <w:r w:rsidRPr="4D4299DF">
        <w:rPr>
          <w:rFonts w:ascii="Arial" w:eastAsia="Arial" w:hAnsi="Arial" w:cs="Arial"/>
          <w:kern w:val="0"/>
          <w:sz w:val="22"/>
          <w:szCs w:val="22"/>
          <w:lang w:eastAsia="en-GB"/>
          <w14:ligatures w14:val="none"/>
        </w:rPr>
        <w:t xml:space="preserve"> (2019), visual timetables are essential in educational settings. They are crucial for providing students with diverse learning needs with clarity and understanding of the classroom's structure and routine. Visual timetables allow students to interpret and follow the daily schedule, which helps reduce confusion and uncertainty, leading to a more productive and inclusive learning environment.</w:t>
      </w:r>
    </w:p>
    <w:p w14:paraId="71250866" w14:textId="77777777" w:rsidR="00710B21" w:rsidRPr="006B4613" w:rsidRDefault="00000000" w:rsidP="4D4299DF">
      <w:pPr>
        <w:spacing w:line="360" w:lineRule="auto"/>
        <w:jc w:val="both"/>
        <w:rPr>
          <w:rFonts w:ascii="Arial" w:eastAsia="Arial" w:hAnsi="Arial" w:cs="Arial"/>
          <w:color w:val="0D0D0D"/>
          <w:sz w:val="22"/>
          <w:szCs w:val="22"/>
          <w:shd w:val="clear" w:color="auto" w:fill="FFFFFF"/>
        </w:rPr>
      </w:pPr>
      <w:r w:rsidRPr="4D4299DF">
        <w:rPr>
          <w:rFonts w:ascii="Arial" w:eastAsia="Arial" w:hAnsi="Arial" w:cs="Arial"/>
          <w:color w:val="0D0D0D"/>
          <w:sz w:val="22"/>
          <w:szCs w:val="22"/>
          <w:shd w:val="clear" w:color="auto" w:fill="FFFFFF"/>
        </w:rPr>
        <w:t xml:space="preserve">The concept of independence in learning is based on Vygotsky's sociocultural theory, which emphasises the role of social interaction in knowledge acquisition. According to Mehri and </w:t>
      </w:r>
      <w:proofErr w:type="spellStart"/>
      <w:r w:rsidRPr="4D4299DF">
        <w:rPr>
          <w:rFonts w:ascii="Arial" w:eastAsia="Arial" w:hAnsi="Arial" w:cs="Arial"/>
          <w:color w:val="0D0D0D"/>
          <w:sz w:val="22"/>
          <w:szCs w:val="22"/>
          <w:shd w:val="clear" w:color="auto" w:fill="FFFFFF"/>
        </w:rPr>
        <w:t>Amerian</w:t>
      </w:r>
      <w:proofErr w:type="spellEnd"/>
      <w:r w:rsidRPr="4D4299DF">
        <w:rPr>
          <w:rFonts w:ascii="Arial" w:eastAsia="Arial" w:hAnsi="Arial" w:cs="Arial"/>
          <w:color w:val="0D0D0D"/>
          <w:sz w:val="22"/>
          <w:szCs w:val="22"/>
          <w:shd w:val="clear" w:color="auto" w:fill="FFFFFF"/>
        </w:rPr>
        <w:t xml:space="preserve"> (2014), students can gradually take ownership of their learning and become more independent by promoting independence and providing support through scaffolding. McLeod (2024) states that supportive activities such as visual timetables serve as a guide to support student learning. Interacting with visual timetables is beneficial for students in understanding classroom routines and expectations. </w:t>
      </w:r>
    </w:p>
    <w:p w14:paraId="34C031DC" w14:textId="77777777" w:rsidR="00710B21" w:rsidRPr="006B4613" w:rsidRDefault="00000000" w:rsidP="4D4299DF">
      <w:pPr>
        <w:spacing w:line="360" w:lineRule="auto"/>
        <w:jc w:val="both"/>
        <w:rPr>
          <w:rFonts w:ascii="Arial" w:eastAsia="Arial" w:hAnsi="Arial" w:cs="Arial"/>
          <w:color w:val="1C1C1C"/>
          <w:sz w:val="22"/>
          <w:szCs w:val="22"/>
          <w:shd w:val="clear" w:color="auto" w:fill="FFFFFF"/>
        </w:rPr>
      </w:pPr>
      <w:r w:rsidRPr="4D4299DF">
        <w:rPr>
          <w:rFonts w:ascii="Arial" w:eastAsia="Arial" w:hAnsi="Arial" w:cs="Arial"/>
          <w:color w:val="0D0D0D"/>
          <w:sz w:val="22"/>
          <w:szCs w:val="22"/>
          <w:shd w:val="clear" w:color="auto" w:fill="FFFFFF"/>
        </w:rPr>
        <w:t xml:space="preserve">Using visual timetables in the classroom can help students become more independent as they manage their daily school activities. Additionally, a study by Zimmerman, Ledford, and Barton (2017) demonstrated that visual timetables foster student independence. However, it is essential to note that this study's limitations include its exclusive focus on students with autistic spectrum conditions and those exhibiting challenging behaviour. </w:t>
      </w:r>
      <w:r w:rsidRPr="4D4299DF">
        <w:rPr>
          <w:rFonts w:ascii="Arial" w:eastAsia="Arial" w:hAnsi="Arial" w:cs="Arial"/>
          <w:color w:val="1C1C1C"/>
          <w:sz w:val="22"/>
          <w:szCs w:val="22"/>
          <w:shd w:val="clear" w:color="auto" w:fill="FFFFFF"/>
        </w:rPr>
        <w:t>Staddon and Cerutti (2003) contend that behaviourist B.F. Skinner's theory challenges Vygotsky's theory by asserting that visual schedules and other environmental stimuli can elicit desired behaviours and serve as tools for positive reinforcement. As a result, rewards or praise from the teacher influences students' behaviour, leading to increased independence in the classroom.</w:t>
      </w:r>
    </w:p>
    <w:p w14:paraId="4C4581B0" w14:textId="77777777" w:rsidR="00EA43CE" w:rsidRDefault="00000000" w:rsidP="4D4299DF">
      <w:pPr>
        <w:spacing w:line="360" w:lineRule="auto"/>
        <w:jc w:val="both"/>
        <w:rPr>
          <w:rFonts w:ascii="Arial" w:eastAsia="Arial" w:hAnsi="Arial" w:cs="Arial"/>
          <w:color w:val="1C1C1C"/>
          <w:sz w:val="22"/>
          <w:szCs w:val="22"/>
          <w:shd w:val="clear" w:color="auto" w:fill="FFFFFF"/>
        </w:rPr>
      </w:pPr>
      <w:r w:rsidRPr="4D4299DF">
        <w:rPr>
          <w:rFonts w:ascii="Arial" w:eastAsia="Arial" w:hAnsi="Arial" w:cs="Arial"/>
          <w:color w:val="1C1C1C"/>
          <w:sz w:val="22"/>
          <w:szCs w:val="22"/>
          <w:shd w:val="clear" w:color="auto" w:fill="FFFFFF"/>
        </w:rPr>
        <w:t xml:space="preserve">According to a recent study by Li (2023), educators need to offer guidance and support to foster students' ability to learn independently and effectively. </w:t>
      </w:r>
      <w:r w:rsidR="2D2FC4CD" w:rsidRPr="4D4299DF">
        <w:rPr>
          <w:rFonts w:ascii="Arial" w:eastAsia="Arial" w:hAnsi="Arial" w:cs="Arial"/>
          <w:color w:val="1C1C1C"/>
          <w:sz w:val="22"/>
          <w:szCs w:val="22"/>
          <w:shd w:val="clear" w:color="auto" w:fill="FFFFFF"/>
        </w:rPr>
        <w:t>Creating captivating learning environments, providing avenues for active involvement, and nurturing students' enthusiasm and motivation towards self-directed learning are essential for effective teaching. According to Cerasoli, Nicklin, and Ford's (2014) research, a balanced mix of extrinsic and intrinsic</w:t>
      </w:r>
    </w:p>
    <w:p w14:paraId="218D22B1" w14:textId="77777777" w:rsidR="00710B21" w:rsidRPr="006B4613" w:rsidRDefault="00000000" w:rsidP="4D4299DF">
      <w:pPr>
        <w:spacing w:line="360" w:lineRule="auto"/>
        <w:jc w:val="both"/>
        <w:rPr>
          <w:rFonts w:ascii="Arial" w:eastAsia="Arial" w:hAnsi="Arial" w:cs="Arial"/>
          <w:color w:val="1C1C1C"/>
          <w:sz w:val="22"/>
          <w:szCs w:val="22"/>
          <w:shd w:val="clear" w:color="auto" w:fill="FFFFFF"/>
        </w:rPr>
      </w:pPr>
      <w:r w:rsidRPr="4D4299DF">
        <w:rPr>
          <w:rFonts w:ascii="Arial" w:eastAsia="Arial" w:hAnsi="Arial" w:cs="Arial"/>
          <w:color w:val="1C1C1C"/>
          <w:sz w:val="22"/>
          <w:szCs w:val="22"/>
          <w:shd w:val="clear" w:color="auto" w:fill="FFFFFF"/>
        </w:rPr>
        <w:lastRenderedPageBreak/>
        <w:t>motivation is vital for the efficacy of visual timetables in encouraging autonomy and independence among learners.</w:t>
      </w:r>
    </w:p>
    <w:p w14:paraId="3E78AD67" w14:textId="77777777" w:rsidR="00710B21" w:rsidRPr="006B4613" w:rsidRDefault="00000000" w:rsidP="1D9B6434">
      <w:pPr>
        <w:spacing w:line="360" w:lineRule="auto"/>
        <w:jc w:val="both"/>
        <w:rPr>
          <w:rStyle w:val="normaltextrun"/>
          <w:rFonts w:ascii="Arial" w:eastAsia="Arial" w:hAnsi="Arial" w:cs="Arial"/>
          <w:color w:val="1C1C1C"/>
          <w:sz w:val="22"/>
          <w:szCs w:val="22"/>
          <w:lang w:eastAsia="en-GB"/>
        </w:rPr>
      </w:pPr>
      <w:r w:rsidRPr="4D4299DF">
        <w:rPr>
          <w:rFonts w:ascii="Arial" w:eastAsia="Arial" w:hAnsi="Arial" w:cs="Arial"/>
          <w:color w:val="1C1C1C"/>
          <w:sz w:val="22"/>
          <w:szCs w:val="22"/>
          <w:shd w:val="clear" w:color="auto" w:fill="FFFFFF"/>
        </w:rPr>
        <w:t xml:space="preserve">According to Piaget's theory of cognitive development, children learn about the world by interacting with their environment. Visual timetables aid students in cognitive processes such as assimilation and accommodation, helping them integrate new information into their mental frameworks. The consistent and continuous use of visual timetables fosters stability and predictability, aiding students' cognitive development and understanding of their interactions </w:t>
      </w:r>
      <w:r w:rsidRPr="4D4299DF">
        <w:rPr>
          <w:rFonts w:ascii="Arial" w:eastAsia="Arial" w:hAnsi="Arial" w:cs="Arial"/>
          <w:kern w:val="0"/>
          <w:sz w:val="22"/>
          <w:szCs w:val="22"/>
          <w:lang w:eastAsia="en-GB"/>
          <w14:ligatures w14:val="none"/>
        </w:rPr>
        <w:t xml:space="preserve">(Nickerson, 2021). According to Rutherford et al. (2020), using pictorial supports for visual timetables is beneficial as it allows students to connect with the activities and has been found to impact students with additional needs, promoting independence positively. Visual cues provided by pictures are accessible to students with varying abilities. </w:t>
      </w:r>
      <w:r w:rsidRPr="4D4299DF">
        <w:rPr>
          <w:rFonts w:ascii="Arial" w:eastAsia="Arial" w:hAnsi="Arial" w:cs="Arial"/>
          <w:color w:val="1C1C1C"/>
          <w:sz w:val="22"/>
          <w:szCs w:val="22"/>
          <w:shd w:val="clear" w:color="auto" w:fill="FFFFFF"/>
        </w:rPr>
        <w:t>Creating these resources requires a systematic approach to empower students to become self-reliant (Hayes et al., 2010). Furthermore, as noted by Elliott (2021), a potential drawback of this argument is that visual tasks can be prone to misinterpretation due to their lack of realism or resemblance to the user carrying out the task, posing a challenge in demonstrating their effectiveness.</w:t>
      </w:r>
    </w:p>
    <w:p w14:paraId="36A11EBC" w14:textId="77777777" w:rsidR="00710B21" w:rsidRPr="006B4613" w:rsidRDefault="00000000" w:rsidP="4D4299DF">
      <w:pPr>
        <w:spacing w:line="360" w:lineRule="auto"/>
        <w:jc w:val="both"/>
        <w:rPr>
          <w:rStyle w:val="normaltextrun"/>
          <w:rFonts w:ascii="Arial" w:eastAsia="Arial" w:hAnsi="Arial" w:cs="Arial"/>
          <w:color w:val="1C1C1C"/>
          <w:kern w:val="0"/>
          <w:sz w:val="22"/>
          <w:szCs w:val="22"/>
          <w:lang w:eastAsia="en-GB"/>
          <w14:ligatures w14:val="none"/>
        </w:rPr>
      </w:pPr>
      <w:r w:rsidRPr="4D4299DF">
        <w:rPr>
          <w:rStyle w:val="normaltextrun"/>
          <w:rFonts w:ascii="Arial" w:eastAsia="Arial" w:hAnsi="Arial" w:cs="Arial"/>
          <w:kern w:val="0"/>
          <w:sz w:val="22"/>
          <w:szCs w:val="22"/>
          <w:lang w:eastAsia="en-GB"/>
          <w14:ligatures w14:val="none"/>
        </w:rPr>
        <w:t>The literature suggests that visual timetables can substantially affect</w:t>
      </w:r>
      <w:r w:rsidRPr="4D4299DF">
        <w:rPr>
          <w:rFonts w:ascii="Arial" w:eastAsia="Arial" w:hAnsi="Arial" w:cs="Arial"/>
          <w:color w:val="1C1C1C"/>
          <w:sz w:val="22"/>
          <w:szCs w:val="22"/>
          <w:shd w:val="clear" w:color="auto" w:fill="FFFFFF"/>
        </w:rPr>
        <w:t xml:space="preserve"> student independence when implemented consistently and effectively. There is a consensus that visual timetables enable </w:t>
      </w:r>
      <w:r w:rsidR="2DEDCA59" w:rsidRPr="4D4299DF">
        <w:rPr>
          <w:rFonts w:ascii="Arial" w:eastAsia="Arial" w:hAnsi="Arial" w:cs="Arial"/>
          <w:color w:val="1C1C1C"/>
          <w:sz w:val="22"/>
          <w:szCs w:val="22"/>
          <w:shd w:val="clear" w:color="auto" w:fill="FFFFFF"/>
        </w:rPr>
        <w:t>students</w:t>
      </w:r>
      <w:r w:rsidRPr="4D4299DF">
        <w:rPr>
          <w:rFonts w:ascii="Arial" w:eastAsia="Arial" w:hAnsi="Arial" w:cs="Arial"/>
          <w:color w:val="1C1C1C"/>
          <w:sz w:val="22"/>
          <w:szCs w:val="22"/>
          <w:shd w:val="clear" w:color="auto" w:fill="FFFFFF"/>
        </w:rPr>
        <w:t xml:space="preserve"> to visualise instructions and can positively impact student development.</w:t>
      </w:r>
    </w:p>
    <w:p w14:paraId="5E24F5BA" w14:textId="77777777" w:rsidR="00710B21" w:rsidRPr="006B4613" w:rsidRDefault="00000000" w:rsidP="4D4299DF">
      <w:pPr>
        <w:spacing w:line="360" w:lineRule="auto"/>
        <w:jc w:val="both"/>
        <w:rPr>
          <w:rStyle w:val="normaltextrun"/>
          <w:rFonts w:ascii="Arial" w:eastAsia="Arial" w:hAnsi="Arial" w:cs="Arial"/>
          <w:kern w:val="0"/>
          <w:sz w:val="22"/>
          <w:szCs w:val="22"/>
          <w:lang w:eastAsia="en-GB"/>
          <w14:ligatures w14:val="none"/>
        </w:rPr>
      </w:pPr>
      <w:r w:rsidRPr="4D4299DF">
        <w:rPr>
          <w:rStyle w:val="normaltextrun"/>
          <w:rFonts w:ascii="Arial" w:eastAsia="Arial" w:hAnsi="Arial" w:cs="Arial"/>
          <w:kern w:val="0"/>
          <w:sz w:val="22"/>
          <w:szCs w:val="22"/>
          <w:lang w:eastAsia="en-GB"/>
          <w14:ligatures w14:val="none"/>
        </w:rPr>
        <w:t>There is a lack of literature explicitly addressing visual timetables in early years settings. Further research in this area would greatly support the study and implementation of visual timetables in the classroom.</w:t>
      </w:r>
    </w:p>
    <w:p w14:paraId="4AF3BBD5" w14:textId="77777777" w:rsidR="00710B21" w:rsidRDefault="00000000" w:rsidP="4D4299DF">
      <w:pPr>
        <w:spacing w:line="360" w:lineRule="auto"/>
        <w:jc w:val="both"/>
        <w:rPr>
          <w:rFonts w:ascii="Arial" w:eastAsia="Arial" w:hAnsi="Arial" w:cs="Arial"/>
          <w:color w:val="1C1C1C"/>
          <w:sz w:val="22"/>
          <w:szCs w:val="22"/>
          <w:shd w:val="clear" w:color="auto" w:fill="FFFFFF"/>
        </w:rPr>
      </w:pPr>
      <w:r w:rsidRPr="4D4299DF">
        <w:rPr>
          <w:rFonts w:ascii="Arial" w:eastAsia="Arial" w:hAnsi="Arial" w:cs="Arial"/>
          <w:color w:val="1C1C1C"/>
          <w:sz w:val="22"/>
          <w:szCs w:val="22"/>
          <w:shd w:val="clear" w:color="auto" w:fill="FFFFFF"/>
        </w:rPr>
        <w:t>During the PTE2 placement, it was noted that many nursery-aged</w:t>
      </w:r>
      <w:r w:rsidR="2EFC9535" w:rsidRPr="4D4299DF">
        <w:rPr>
          <w:rFonts w:ascii="Arial" w:eastAsia="Arial" w:hAnsi="Arial" w:cs="Arial"/>
          <w:color w:val="1C1C1C"/>
          <w:sz w:val="22"/>
          <w:szCs w:val="22"/>
          <w:shd w:val="clear" w:color="auto" w:fill="FFFFFF"/>
        </w:rPr>
        <w:t xml:space="preserve"> </w:t>
      </w:r>
      <w:r w:rsidR="242FDC3D" w:rsidRPr="4D4299DF">
        <w:rPr>
          <w:rFonts w:ascii="Arial" w:eastAsia="Arial" w:hAnsi="Arial" w:cs="Arial"/>
          <w:color w:val="1C1C1C"/>
          <w:sz w:val="22"/>
          <w:szCs w:val="22"/>
          <w:shd w:val="clear" w:color="auto" w:fill="FFFFFF"/>
        </w:rPr>
        <w:t>students</w:t>
      </w:r>
      <w:r w:rsidRPr="4D4299DF">
        <w:rPr>
          <w:rFonts w:ascii="Arial" w:eastAsia="Arial" w:hAnsi="Arial" w:cs="Arial"/>
          <w:color w:val="1C1C1C"/>
          <w:sz w:val="22"/>
          <w:szCs w:val="22"/>
          <w:shd w:val="clear" w:color="auto" w:fill="FFFFFF"/>
        </w:rPr>
        <w:t xml:space="preserve"> rely heavily on adults for assistance </w:t>
      </w:r>
      <w:r w:rsidR="23BDDFD9" w:rsidRPr="4D4299DF">
        <w:rPr>
          <w:rFonts w:ascii="Arial" w:eastAsia="Arial" w:hAnsi="Arial" w:cs="Arial"/>
          <w:color w:val="1C1C1C"/>
          <w:sz w:val="22"/>
          <w:szCs w:val="22"/>
          <w:shd w:val="clear" w:color="auto" w:fill="FFFFFF"/>
        </w:rPr>
        <w:t>in</w:t>
      </w:r>
      <w:r w:rsidRPr="4D4299DF">
        <w:rPr>
          <w:rFonts w:ascii="Arial" w:eastAsia="Arial" w:hAnsi="Arial" w:cs="Arial"/>
          <w:color w:val="1C1C1C"/>
          <w:sz w:val="22"/>
          <w:szCs w:val="22"/>
          <w:shd w:val="clear" w:color="auto" w:fill="FFFFFF"/>
        </w:rPr>
        <w:t xml:space="preserve"> the classroom. This research project aims to implement visual timetables to promote independence among </w:t>
      </w:r>
      <w:r w:rsidR="4A838A3E" w:rsidRPr="4D4299DF">
        <w:rPr>
          <w:rFonts w:ascii="Arial" w:eastAsia="Arial" w:hAnsi="Arial" w:cs="Arial"/>
          <w:color w:val="1C1C1C"/>
          <w:sz w:val="22"/>
          <w:szCs w:val="22"/>
          <w:shd w:val="clear" w:color="auto" w:fill="FFFFFF"/>
        </w:rPr>
        <w:t>students</w:t>
      </w:r>
      <w:r w:rsidRPr="4D4299DF">
        <w:rPr>
          <w:rFonts w:ascii="Arial" w:eastAsia="Arial" w:hAnsi="Arial" w:cs="Arial"/>
          <w:color w:val="1C1C1C"/>
          <w:sz w:val="22"/>
          <w:szCs w:val="22"/>
          <w:shd w:val="clear" w:color="auto" w:fill="FFFFFF"/>
        </w:rPr>
        <w:t xml:space="preserve"> and reduce their reliance on adult support. Furthermore, the goal is to contribute to the existing literature on this topic to benefit future teaching practices.</w:t>
      </w:r>
    </w:p>
    <w:p w14:paraId="0379BD5D" w14:textId="77777777" w:rsidR="00710B21" w:rsidRDefault="00710B21" w:rsidP="00710B21">
      <w:pPr>
        <w:spacing w:line="360" w:lineRule="auto"/>
        <w:jc w:val="both"/>
        <w:rPr>
          <w:rFonts w:ascii="Arial" w:hAnsi="Arial" w:cs="Arial"/>
          <w:color w:val="1C1C1C"/>
          <w:sz w:val="22"/>
          <w:szCs w:val="22"/>
          <w:shd w:val="clear" w:color="auto" w:fill="FFFFFF"/>
        </w:rPr>
      </w:pPr>
    </w:p>
    <w:p w14:paraId="70624A3C" w14:textId="77777777" w:rsidR="00710B21" w:rsidRPr="00710B21" w:rsidRDefault="00000000" w:rsidP="4D4299DF">
      <w:pPr>
        <w:spacing w:line="360" w:lineRule="auto"/>
        <w:jc w:val="both"/>
        <w:rPr>
          <w:rFonts w:ascii="Arial" w:hAnsi="Arial" w:cs="Arial"/>
          <w:sz w:val="28"/>
          <w:szCs w:val="28"/>
          <w:u w:val="single"/>
        </w:rPr>
      </w:pPr>
      <w:r w:rsidRPr="4D4299DF">
        <w:rPr>
          <w:rFonts w:ascii="Arial" w:hAnsi="Arial" w:cs="Arial"/>
          <w:sz w:val="28"/>
          <w:szCs w:val="28"/>
          <w:u w:val="single"/>
        </w:rPr>
        <w:t>Explanation of Case Study</w:t>
      </w:r>
    </w:p>
    <w:p w14:paraId="05C6DB82" w14:textId="77777777" w:rsidR="00710B21" w:rsidRPr="008F6631" w:rsidRDefault="00000000" w:rsidP="00710B21">
      <w:pPr>
        <w:spacing w:line="360" w:lineRule="auto"/>
        <w:jc w:val="both"/>
        <w:rPr>
          <w:rFonts w:ascii="Arial" w:hAnsi="Arial" w:cs="Arial"/>
          <w:color w:val="0D0D0D"/>
          <w:sz w:val="22"/>
          <w:szCs w:val="22"/>
        </w:rPr>
      </w:pPr>
      <w:r w:rsidRPr="008F6631">
        <w:rPr>
          <w:rFonts w:ascii="Arial" w:hAnsi="Arial" w:cs="Arial"/>
          <w:sz w:val="22"/>
          <w:szCs w:val="22"/>
        </w:rPr>
        <w:t>Case study research is a systematic method that explores the intricacies of a real-world situation from different angles. The main objective of this approach is to develop a</w:t>
      </w:r>
      <w:r w:rsidR="003C45BE">
        <w:rPr>
          <w:rFonts w:ascii="Arial" w:hAnsi="Arial" w:cs="Arial"/>
          <w:sz w:val="22"/>
          <w:szCs w:val="22"/>
        </w:rPr>
        <w:t xml:space="preserve"> </w:t>
      </w:r>
      <w:r w:rsidRPr="008F6631">
        <w:rPr>
          <w:rFonts w:ascii="Arial" w:hAnsi="Arial" w:cs="Arial"/>
          <w:sz w:val="22"/>
          <w:szCs w:val="22"/>
        </w:rPr>
        <w:t xml:space="preserve">comprehensive understanding of a specific subject by gathering data from various sources to create knowledge (Simons, 2009, p. 21). According to Yin, it is an empirical investigation that examines a current phenomenon within its real-life setting, mainly when the boundaries </w:t>
      </w:r>
      <w:r w:rsidRPr="008F6631">
        <w:rPr>
          <w:rFonts w:ascii="Arial" w:hAnsi="Arial" w:cs="Arial"/>
          <w:sz w:val="22"/>
          <w:szCs w:val="22"/>
        </w:rPr>
        <w:lastRenderedPageBreak/>
        <w:t>between the phenomenon and its context are not clearly defined, and relies on multiple sources of evidence (Yin, 1994, p.13).</w:t>
      </w:r>
      <w:r w:rsidRPr="008F6631">
        <w:rPr>
          <w:rFonts w:ascii="Arial" w:hAnsi="Arial" w:cs="Arial"/>
          <w:color w:val="0D0D0D"/>
          <w:sz w:val="22"/>
          <w:szCs w:val="22"/>
        </w:rPr>
        <w:t xml:space="preserve"> This definition highlights the importance of conducting comprehensive case study investigations, emphasising the need to analyse the subject and its surrounding environment and interactions.</w:t>
      </w:r>
    </w:p>
    <w:p w14:paraId="38DFB982" w14:textId="77777777" w:rsidR="00710B21" w:rsidRPr="008F6631" w:rsidRDefault="00000000" w:rsidP="00710B21">
      <w:pPr>
        <w:spacing w:line="360" w:lineRule="auto"/>
        <w:jc w:val="both"/>
        <w:rPr>
          <w:rFonts w:ascii="Arial" w:hAnsi="Arial" w:cs="Arial"/>
          <w:sz w:val="22"/>
          <w:szCs w:val="22"/>
        </w:rPr>
      </w:pPr>
      <w:r w:rsidRPr="008F6631">
        <w:rPr>
          <w:rFonts w:ascii="Arial" w:hAnsi="Arial" w:cs="Arial"/>
          <w:sz w:val="22"/>
          <w:szCs w:val="22"/>
        </w:rPr>
        <w:t>In educational research, case studies are commonly used to conduct in-depth qualitative and quantitative analyses of specific cases. They provide valuable insights into various educational phenomena. Exploratory case studies are beneficial when the outcome is not predetermined. According to Yin (2014), case studies are appropriate for addressing questions of 'how', 'why', 'what', and 'who'. In exploratory case studies, the focus is on answering 'how' and 'what' questions, which are beneficial for obtaining a detailed description of a social phenomenon. Exploratory case studies are used to investigate complex causal links that may be too intricate for a survey or experiment. Overall, case studies offer a comprehensive understanding of the complexities and nuances within educational contexts, making them valuable tools for researchers in the field.</w:t>
      </w:r>
    </w:p>
    <w:p w14:paraId="79DC7B4D" w14:textId="77777777" w:rsidR="00710B21" w:rsidRPr="008F6631" w:rsidRDefault="00000000" w:rsidP="00710B21">
      <w:pPr>
        <w:spacing w:line="360" w:lineRule="auto"/>
        <w:jc w:val="both"/>
        <w:rPr>
          <w:rFonts w:ascii="Arial" w:eastAsia="Times New Roman" w:hAnsi="Arial" w:cs="Arial"/>
          <w:kern w:val="0"/>
          <w:sz w:val="22"/>
          <w:szCs w:val="22"/>
          <w:lang w:eastAsia="en-GB"/>
          <w14:ligatures w14:val="none"/>
        </w:rPr>
      </w:pPr>
      <w:r w:rsidRPr="008F6631">
        <w:rPr>
          <w:rFonts w:ascii="Arial" w:hAnsi="Arial" w:cs="Arial"/>
          <w:sz w:val="22"/>
          <w:szCs w:val="22"/>
        </w:rPr>
        <w:t xml:space="preserve">According to </w:t>
      </w:r>
      <w:r w:rsidRPr="008F6631">
        <w:rPr>
          <w:rFonts w:ascii="Arial" w:eastAsia="Times New Roman" w:hAnsi="Arial" w:cs="Arial"/>
          <w:kern w:val="0"/>
          <w:sz w:val="22"/>
          <w:szCs w:val="22"/>
          <w:lang w:eastAsia="en-GB"/>
          <w14:ligatures w14:val="none"/>
        </w:rPr>
        <w:t>Rebolj (2013), c</w:t>
      </w:r>
      <w:r w:rsidRPr="008F6631">
        <w:rPr>
          <w:rFonts w:ascii="Arial" w:hAnsi="Arial" w:cs="Arial"/>
          <w:sz w:val="22"/>
          <w:szCs w:val="22"/>
        </w:rPr>
        <w:t xml:space="preserve">onducting a research case study presents many benefits and advantages. It facilitates thoroughly examining a particular phenomenon or issue, resulting in comprehensive and detailed data. Case studies also empower researchers to delve into intricate, real-world scenarios, offering unique insights that may elude other research methods </w:t>
      </w:r>
      <w:r w:rsidRPr="008F6631">
        <w:rPr>
          <w:rFonts w:ascii="Arial" w:eastAsia="Times New Roman" w:hAnsi="Arial" w:cs="Arial"/>
          <w:kern w:val="0"/>
          <w:sz w:val="22"/>
          <w:szCs w:val="22"/>
          <w:lang w:eastAsia="en-GB"/>
          <w14:ligatures w14:val="none"/>
        </w:rPr>
        <w:t>(Flyvbjerg, 2011)</w:t>
      </w:r>
      <w:r w:rsidRPr="008F6631">
        <w:rPr>
          <w:rFonts w:ascii="Arial" w:hAnsi="Arial" w:cs="Arial"/>
          <w:sz w:val="22"/>
          <w:szCs w:val="22"/>
        </w:rPr>
        <w:t xml:space="preserve">. Furthermore, they contribute to theory development and refinement, testing and validating theoretical concepts in practical contexts </w:t>
      </w:r>
      <w:r w:rsidRPr="008F6631">
        <w:rPr>
          <w:rFonts w:ascii="Arial" w:eastAsia="Times New Roman" w:hAnsi="Arial" w:cs="Arial"/>
          <w:kern w:val="0"/>
          <w:sz w:val="22"/>
          <w:szCs w:val="22"/>
          <w:lang w:eastAsia="en-GB"/>
          <w14:ligatures w14:val="none"/>
        </w:rPr>
        <w:t>(Ravenswood, 2011).</w:t>
      </w:r>
    </w:p>
    <w:p w14:paraId="1A733954" w14:textId="77777777" w:rsidR="00710B21" w:rsidRPr="008F6631" w:rsidRDefault="00000000" w:rsidP="00710B21">
      <w:pPr>
        <w:spacing w:line="360" w:lineRule="auto"/>
        <w:jc w:val="both"/>
        <w:rPr>
          <w:rFonts w:ascii="Arial" w:eastAsia="Times New Roman" w:hAnsi="Arial" w:cs="Arial"/>
          <w:kern w:val="0"/>
          <w:sz w:val="22"/>
          <w:szCs w:val="22"/>
          <w:lang w:eastAsia="en-GB"/>
          <w14:ligatures w14:val="none"/>
        </w:rPr>
      </w:pPr>
      <w:r w:rsidRPr="008F6631">
        <w:rPr>
          <w:rFonts w:ascii="Arial" w:eastAsia="Times New Roman" w:hAnsi="Arial" w:cs="Arial"/>
          <w:kern w:val="0"/>
          <w:sz w:val="22"/>
          <w:szCs w:val="22"/>
          <w:lang w:eastAsia="en-GB"/>
          <w14:ligatures w14:val="none"/>
        </w:rPr>
        <w:t xml:space="preserve">Participating in a </w:t>
      </w:r>
      <w:r w:rsidR="57032BEE" w:rsidRPr="008F6631">
        <w:rPr>
          <w:rFonts w:ascii="Arial" w:eastAsia="Times New Roman" w:hAnsi="Arial" w:cs="Arial"/>
          <w:kern w:val="0"/>
          <w:sz w:val="22"/>
          <w:szCs w:val="22"/>
          <w:lang w:eastAsia="en-GB"/>
          <w14:ligatures w14:val="none"/>
        </w:rPr>
        <w:t>case study</w:t>
      </w:r>
      <w:r w:rsidRPr="008F6631">
        <w:rPr>
          <w:rFonts w:ascii="Arial" w:eastAsia="Times New Roman" w:hAnsi="Arial" w:cs="Arial"/>
          <w:kern w:val="0"/>
          <w:sz w:val="22"/>
          <w:szCs w:val="22"/>
          <w:lang w:eastAsia="en-GB"/>
          <w14:ligatures w14:val="none"/>
        </w:rPr>
        <w:t xml:space="preserve"> can provide many advantages for both the classroom and the teaching profession. The professional development process outlined in the Q.T.S. standards and the professional standards for teaching and leadership in Wales highlights the importance of continuous research within schools to enhance effective teaching methods, broaden knowledge and skills, and show how self-reflection and willingness to accept feedback contribute to ongoing professional growth for the continuous improvement of teaching methods (Welsh Government, 2019).</w:t>
      </w:r>
    </w:p>
    <w:p w14:paraId="516B04D6" w14:textId="77777777" w:rsidR="00710B21" w:rsidRPr="008F6631" w:rsidRDefault="00000000" w:rsidP="00710B21">
      <w:pPr>
        <w:spacing w:line="360" w:lineRule="auto"/>
        <w:jc w:val="both"/>
        <w:rPr>
          <w:rFonts w:ascii="Arial" w:eastAsia="Times New Roman" w:hAnsi="Arial" w:cs="Arial"/>
          <w:kern w:val="0"/>
          <w:sz w:val="22"/>
          <w:szCs w:val="22"/>
          <w:lang w:eastAsia="en-GB"/>
          <w14:ligatures w14:val="none"/>
        </w:rPr>
      </w:pPr>
      <w:r w:rsidRPr="008F6631">
        <w:rPr>
          <w:rFonts w:ascii="Arial" w:hAnsi="Arial" w:cs="Arial"/>
          <w:sz w:val="22"/>
          <w:szCs w:val="22"/>
        </w:rPr>
        <w:t xml:space="preserve">It is crucial to thoroughly assess the limitations of a research case study despite its positive impact. Limitations involve examining potential biases, sample size issues, the generalisability of the findings, and any methodological or ethical constraints. Recognising these limitations is critical for upholding the integrity and dependability of the study's conclusions </w:t>
      </w:r>
      <w:r w:rsidRPr="008F6631">
        <w:rPr>
          <w:rFonts w:ascii="Arial" w:eastAsia="Times New Roman" w:hAnsi="Arial" w:cs="Arial"/>
          <w:kern w:val="0"/>
          <w:sz w:val="22"/>
          <w:szCs w:val="22"/>
          <w:lang w:eastAsia="en-GB"/>
          <w14:ligatures w14:val="none"/>
        </w:rPr>
        <w:t>(Priya, 2020).</w:t>
      </w:r>
      <w:r w:rsidRPr="008F6631">
        <w:rPr>
          <w:rFonts w:ascii="Arial" w:hAnsi="Arial" w:cs="Arial"/>
          <w:sz w:val="22"/>
          <w:szCs w:val="22"/>
        </w:rPr>
        <w:t xml:space="preserve"> </w:t>
      </w:r>
      <w:r w:rsidRPr="008F6631">
        <w:rPr>
          <w:rFonts w:ascii="Arial" w:eastAsia="Times New Roman" w:hAnsi="Arial" w:cs="Arial"/>
          <w:kern w:val="0"/>
          <w:sz w:val="22"/>
          <w:szCs w:val="22"/>
          <w:lang w:eastAsia="en-GB"/>
          <w14:ligatures w14:val="none"/>
        </w:rPr>
        <w:t xml:space="preserve">Silverio, Hall, and Sandall (2020) also point out the challenges of conducting a research case study, noting that it can be both time-consuming and costly, burdening teachers who already have heavy workloads. Additionally, school administrators must consider the financial </w:t>
      </w:r>
      <w:r w:rsidRPr="008F6631">
        <w:rPr>
          <w:rFonts w:ascii="Arial" w:eastAsia="Times New Roman" w:hAnsi="Arial" w:cs="Arial"/>
          <w:kern w:val="0"/>
          <w:sz w:val="22"/>
          <w:szCs w:val="22"/>
          <w:lang w:eastAsia="en-GB"/>
          <w14:ligatures w14:val="none"/>
        </w:rPr>
        <w:lastRenderedPageBreak/>
        <w:t>implications of hiring substitute staff to cover the teacher's duties during the research period, as budget constraints may limit their ability to do so.</w:t>
      </w:r>
    </w:p>
    <w:p w14:paraId="11A55DDC" w14:textId="77777777" w:rsidR="0014666F" w:rsidRDefault="00000000" w:rsidP="4D4299DF">
      <w:pPr>
        <w:spacing w:line="360" w:lineRule="auto"/>
        <w:jc w:val="both"/>
        <w:rPr>
          <w:rFonts w:ascii="Arial" w:hAnsi="Arial" w:cs="Arial"/>
          <w:sz w:val="22"/>
          <w:szCs w:val="22"/>
        </w:rPr>
      </w:pPr>
      <w:r w:rsidRPr="4D4299DF">
        <w:rPr>
          <w:rFonts w:ascii="Arial" w:hAnsi="Arial" w:cs="Arial"/>
          <w:sz w:val="22"/>
          <w:szCs w:val="22"/>
        </w:rPr>
        <w:t>The research case study involved selecting participants from the PTE2 nursery classroom, encompassing children of nursery age with diverse abilities and representing both genders equally to achieve a balanced sample. By including children with varying abilities, the study sought to thoroughly understand how the visual timetable impacts their independence within the classroom.</w:t>
      </w:r>
    </w:p>
    <w:p w14:paraId="100E8BC7" w14:textId="77777777" w:rsidR="0014666F" w:rsidRDefault="0014666F" w:rsidP="4D4299DF">
      <w:pPr>
        <w:spacing w:line="360" w:lineRule="auto"/>
        <w:jc w:val="both"/>
        <w:rPr>
          <w:rFonts w:ascii="Arial" w:hAnsi="Arial" w:cs="Arial"/>
          <w:sz w:val="22"/>
          <w:szCs w:val="22"/>
        </w:rPr>
      </w:pPr>
    </w:p>
    <w:p w14:paraId="19151661" w14:textId="77777777" w:rsidR="00E61480" w:rsidRPr="0014666F" w:rsidRDefault="00000000" w:rsidP="4D4299DF">
      <w:pPr>
        <w:spacing w:line="360" w:lineRule="auto"/>
        <w:jc w:val="both"/>
        <w:rPr>
          <w:rFonts w:ascii="Arial" w:hAnsi="Arial" w:cs="Arial"/>
          <w:sz w:val="22"/>
          <w:szCs w:val="22"/>
        </w:rPr>
      </w:pPr>
      <w:r>
        <w:rPr>
          <w:rFonts w:ascii="Arial" w:hAnsi="Arial" w:cs="Arial"/>
          <w:sz w:val="28"/>
          <w:szCs w:val="28"/>
          <w:u w:val="single"/>
        </w:rPr>
        <w:t>Research</w:t>
      </w:r>
      <w:r w:rsidR="459C7FC2" w:rsidRPr="4D4299DF">
        <w:rPr>
          <w:rFonts w:ascii="Arial" w:hAnsi="Arial" w:cs="Arial"/>
          <w:sz w:val="28"/>
          <w:szCs w:val="28"/>
          <w:u w:val="single"/>
        </w:rPr>
        <w:t xml:space="preserve"> methods</w:t>
      </w:r>
    </w:p>
    <w:p w14:paraId="59084CD8" w14:textId="77777777" w:rsidR="71D3F38E" w:rsidRPr="00E61480" w:rsidRDefault="00000000" w:rsidP="4D4299DF">
      <w:pPr>
        <w:spacing w:line="360" w:lineRule="auto"/>
        <w:jc w:val="both"/>
        <w:rPr>
          <w:rFonts w:ascii="Arial" w:hAnsi="Arial" w:cs="Arial"/>
          <w:sz w:val="22"/>
          <w:szCs w:val="22"/>
          <w:u w:val="single"/>
        </w:rPr>
      </w:pPr>
      <w:r w:rsidRPr="4D4299DF">
        <w:rPr>
          <w:rFonts w:ascii="Arial" w:eastAsia="Arial" w:hAnsi="Arial" w:cs="Arial"/>
          <w:color w:val="000000" w:themeColor="text1"/>
          <w:sz w:val="22"/>
          <w:szCs w:val="22"/>
          <w:u w:val="single"/>
        </w:rPr>
        <w:t>Observation</w:t>
      </w:r>
    </w:p>
    <w:p w14:paraId="2E78F0DB" w14:textId="77777777" w:rsidR="71D3F38E" w:rsidRDefault="00000000" w:rsidP="4D4299DF">
      <w:pPr>
        <w:spacing w:line="360" w:lineRule="auto"/>
        <w:jc w:val="both"/>
        <w:rPr>
          <w:rFonts w:ascii="Arial" w:eastAsia="Arial" w:hAnsi="Arial" w:cs="Arial"/>
          <w:color w:val="000000" w:themeColor="text1"/>
          <w:sz w:val="22"/>
          <w:szCs w:val="22"/>
        </w:rPr>
      </w:pPr>
      <w:r w:rsidRPr="1D9B6434">
        <w:rPr>
          <w:rFonts w:ascii="Arial" w:eastAsia="Arial" w:hAnsi="Arial" w:cs="Arial"/>
          <w:color w:val="000000" w:themeColor="text1"/>
          <w:sz w:val="22"/>
          <w:szCs w:val="22"/>
        </w:rPr>
        <w:t xml:space="preserve">Observation is crucial as an essential technique in research, used to collect data and develop a deeper understanding of phenomena. Analysing how observation is </w:t>
      </w:r>
      <w:r w:rsidR="08A0B022" w:rsidRPr="1D9B6434">
        <w:rPr>
          <w:rFonts w:ascii="Arial" w:eastAsia="Arial" w:hAnsi="Arial" w:cs="Arial"/>
          <w:color w:val="000000" w:themeColor="text1"/>
          <w:sz w:val="22"/>
          <w:szCs w:val="22"/>
        </w:rPr>
        <w:t>used</w:t>
      </w:r>
      <w:r w:rsidRPr="1D9B6434">
        <w:rPr>
          <w:rFonts w:ascii="Arial" w:eastAsia="Arial" w:hAnsi="Arial" w:cs="Arial"/>
          <w:color w:val="000000" w:themeColor="text1"/>
          <w:sz w:val="22"/>
          <w:szCs w:val="22"/>
        </w:rPr>
        <w:t xml:space="preserve"> and its advantages and disadvantages highlight its importance in a research case study, offering valuable perspectives into </w:t>
      </w:r>
      <w:r w:rsidR="04DDB6C5" w:rsidRPr="1D9B6434">
        <w:rPr>
          <w:rFonts w:ascii="Arial" w:eastAsia="Arial" w:hAnsi="Arial" w:cs="Arial"/>
          <w:color w:val="000000" w:themeColor="text1"/>
          <w:sz w:val="22"/>
          <w:szCs w:val="22"/>
        </w:rPr>
        <w:t>students</w:t>
      </w:r>
      <w:r w:rsidR="08EED139" w:rsidRPr="1D9B6434">
        <w:rPr>
          <w:rFonts w:ascii="Arial" w:eastAsia="Arial" w:hAnsi="Arial" w:cs="Arial"/>
          <w:color w:val="000000" w:themeColor="text1"/>
          <w:sz w:val="22"/>
          <w:szCs w:val="22"/>
        </w:rPr>
        <w:t>’</w:t>
      </w:r>
      <w:r w:rsidRPr="1D9B6434">
        <w:rPr>
          <w:rFonts w:ascii="Arial" w:eastAsia="Arial" w:hAnsi="Arial" w:cs="Arial"/>
          <w:color w:val="000000" w:themeColor="text1"/>
          <w:sz w:val="22"/>
          <w:szCs w:val="22"/>
        </w:rPr>
        <w:t xml:space="preserve"> learning and behaviour.</w:t>
      </w:r>
    </w:p>
    <w:p w14:paraId="70BCDB18" w14:textId="77777777" w:rsidR="71D3F38E" w:rsidRDefault="00000000" w:rsidP="4D4299DF">
      <w:pPr>
        <w:spacing w:line="360" w:lineRule="auto"/>
        <w:jc w:val="both"/>
        <w:rPr>
          <w:rFonts w:ascii="Arial" w:eastAsia="Arial" w:hAnsi="Arial" w:cs="Arial"/>
          <w:color w:val="000000" w:themeColor="text1"/>
          <w:sz w:val="22"/>
          <w:szCs w:val="22"/>
        </w:rPr>
      </w:pPr>
      <w:r w:rsidRPr="4D4299DF">
        <w:rPr>
          <w:rFonts w:ascii="Arial" w:eastAsia="Arial" w:hAnsi="Arial" w:cs="Arial"/>
          <w:color w:val="000000" w:themeColor="text1"/>
          <w:sz w:val="22"/>
          <w:szCs w:val="22"/>
        </w:rPr>
        <w:t xml:space="preserve"> According to McGrath and Debbie Laliberte Rudman (2019), engaging in observation within educational settings allows teachers to immerse themselves fully in the classroom environment. This deep involvement helps teachers better understand the context and provides an authentic view of phenomena, enabling them to accurately document their observations and timing (Hassan, 2022).</w:t>
      </w:r>
    </w:p>
    <w:p w14:paraId="182E2A3F" w14:textId="77777777" w:rsidR="71D3F38E" w:rsidRDefault="00000000" w:rsidP="4D4299DF">
      <w:pPr>
        <w:spacing w:line="360" w:lineRule="auto"/>
        <w:jc w:val="both"/>
        <w:rPr>
          <w:rFonts w:ascii="Arial" w:eastAsia="Arial" w:hAnsi="Arial" w:cs="Arial"/>
          <w:color w:val="000000" w:themeColor="text1"/>
          <w:sz w:val="22"/>
          <w:szCs w:val="22"/>
        </w:rPr>
      </w:pPr>
      <w:r w:rsidRPr="1D9B6434">
        <w:rPr>
          <w:rFonts w:ascii="Arial" w:eastAsia="Arial" w:hAnsi="Arial" w:cs="Arial"/>
          <w:color w:val="000000" w:themeColor="text1"/>
          <w:sz w:val="22"/>
          <w:szCs w:val="22"/>
        </w:rPr>
        <w:t xml:space="preserve">When conducting an observation, using an observation schedule to outline the elements to be observed can be very helpful. As </w:t>
      </w:r>
      <w:proofErr w:type="spellStart"/>
      <w:r w:rsidRPr="1D9B6434">
        <w:rPr>
          <w:rFonts w:ascii="Arial" w:eastAsia="Arial" w:hAnsi="Arial" w:cs="Arial"/>
          <w:color w:val="000000" w:themeColor="text1"/>
          <w:sz w:val="22"/>
          <w:szCs w:val="22"/>
        </w:rPr>
        <w:t>Kawulich</w:t>
      </w:r>
      <w:proofErr w:type="spellEnd"/>
      <w:r w:rsidRPr="1D9B6434">
        <w:rPr>
          <w:rFonts w:ascii="Arial" w:eastAsia="Arial" w:hAnsi="Arial" w:cs="Arial"/>
          <w:color w:val="000000" w:themeColor="text1"/>
          <w:sz w:val="22"/>
          <w:szCs w:val="22"/>
        </w:rPr>
        <w:t xml:space="preserve"> (2012) points out, observation schedules make it easier to record factual information immediately and streamline the observation process. Within this research case study on the impact of visual timetables on</w:t>
      </w:r>
      <w:r w:rsidR="3C70D2AD" w:rsidRPr="1D9B6434">
        <w:rPr>
          <w:rFonts w:ascii="Arial" w:eastAsia="Arial" w:hAnsi="Arial" w:cs="Arial"/>
          <w:color w:val="000000" w:themeColor="text1"/>
          <w:sz w:val="22"/>
          <w:szCs w:val="22"/>
        </w:rPr>
        <w:t xml:space="preserve"> student</w:t>
      </w:r>
      <w:r w:rsidRPr="1D9B6434">
        <w:rPr>
          <w:rFonts w:ascii="Arial" w:eastAsia="Arial" w:hAnsi="Arial" w:cs="Arial"/>
          <w:color w:val="000000" w:themeColor="text1"/>
          <w:sz w:val="22"/>
          <w:szCs w:val="22"/>
        </w:rPr>
        <w:t xml:space="preserve"> independence, a simple observation schedule was used, given the age of the </w:t>
      </w:r>
      <w:r w:rsidR="5F16A30C" w:rsidRPr="1D9B6434">
        <w:rPr>
          <w:rFonts w:ascii="Arial" w:eastAsia="Arial" w:hAnsi="Arial" w:cs="Arial"/>
          <w:color w:val="000000" w:themeColor="text1"/>
          <w:sz w:val="22"/>
          <w:szCs w:val="22"/>
        </w:rPr>
        <w:t>students</w:t>
      </w:r>
      <w:r w:rsidRPr="1D9B6434">
        <w:rPr>
          <w:rFonts w:ascii="Arial" w:eastAsia="Arial" w:hAnsi="Arial" w:cs="Arial"/>
          <w:color w:val="000000" w:themeColor="text1"/>
          <w:sz w:val="22"/>
          <w:szCs w:val="22"/>
        </w:rPr>
        <w:t>. To simplify data within this case study, a</w:t>
      </w:r>
      <w:r w:rsidR="647733BA" w:rsidRPr="1D9B6434">
        <w:rPr>
          <w:rFonts w:ascii="Arial" w:eastAsia="Arial" w:hAnsi="Arial" w:cs="Arial"/>
          <w:color w:val="000000" w:themeColor="text1"/>
          <w:sz w:val="22"/>
          <w:szCs w:val="22"/>
        </w:rPr>
        <w:t xml:space="preserve"> checklist</w:t>
      </w:r>
      <w:r w:rsidRPr="1D9B6434">
        <w:rPr>
          <w:rFonts w:ascii="Arial" w:eastAsia="Arial" w:hAnsi="Arial" w:cs="Arial"/>
          <w:color w:val="000000" w:themeColor="text1"/>
          <w:sz w:val="22"/>
          <w:szCs w:val="22"/>
        </w:rPr>
        <w:t xml:space="preserve"> </w:t>
      </w:r>
      <w:r w:rsidR="5E94CF78" w:rsidRPr="1D9B6434">
        <w:rPr>
          <w:rFonts w:ascii="Arial" w:eastAsia="Arial" w:hAnsi="Arial" w:cs="Arial"/>
          <w:color w:val="000000" w:themeColor="text1"/>
          <w:sz w:val="22"/>
          <w:szCs w:val="22"/>
        </w:rPr>
        <w:t>observation</w:t>
      </w:r>
      <w:r w:rsidR="3A653DC6" w:rsidRPr="1D9B6434">
        <w:rPr>
          <w:rFonts w:ascii="Arial" w:eastAsia="Arial" w:hAnsi="Arial" w:cs="Arial"/>
          <w:color w:val="000000" w:themeColor="text1"/>
          <w:sz w:val="22"/>
          <w:szCs w:val="22"/>
        </w:rPr>
        <w:t xml:space="preserve"> schedule</w:t>
      </w:r>
      <w:r w:rsidRPr="1D9B6434">
        <w:rPr>
          <w:rFonts w:ascii="Arial" w:eastAsia="Arial" w:hAnsi="Arial" w:cs="Arial"/>
          <w:color w:val="000000" w:themeColor="text1"/>
          <w:sz w:val="22"/>
          <w:szCs w:val="22"/>
        </w:rPr>
        <w:t xml:space="preserve"> was used</w:t>
      </w:r>
      <w:r w:rsidR="74F2B7DB" w:rsidRPr="1D9B6434">
        <w:rPr>
          <w:rFonts w:ascii="Arial" w:eastAsia="Arial" w:hAnsi="Arial" w:cs="Arial"/>
          <w:color w:val="000000" w:themeColor="text1"/>
          <w:sz w:val="22"/>
          <w:szCs w:val="22"/>
        </w:rPr>
        <w:t xml:space="preserve"> and </w:t>
      </w:r>
      <w:r w:rsidRPr="1D9B6434">
        <w:rPr>
          <w:rFonts w:ascii="Arial" w:eastAsia="Arial" w:hAnsi="Arial" w:cs="Arial"/>
          <w:color w:val="000000" w:themeColor="text1"/>
          <w:sz w:val="22"/>
          <w:szCs w:val="22"/>
        </w:rPr>
        <w:t>was organised into three sections: Yes, No, and a comments section for any additional observations.</w:t>
      </w:r>
      <w:r w:rsidR="004C4A0B" w:rsidRPr="1D9B6434">
        <w:rPr>
          <w:rFonts w:ascii="Arial" w:eastAsia="Arial" w:hAnsi="Arial" w:cs="Arial"/>
          <w:color w:val="000000" w:themeColor="text1"/>
          <w:sz w:val="22"/>
          <w:szCs w:val="22"/>
        </w:rPr>
        <w:t xml:space="preserve"> </w:t>
      </w:r>
    </w:p>
    <w:p w14:paraId="3E17768C" w14:textId="77777777" w:rsidR="71D3F38E" w:rsidRDefault="00000000" w:rsidP="4D4299DF">
      <w:pPr>
        <w:spacing w:line="360" w:lineRule="auto"/>
        <w:jc w:val="both"/>
        <w:rPr>
          <w:rFonts w:ascii="Aptos" w:eastAsia="Aptos" w:hAnsi="Aptos" w:cs="Aptos"/>
          <w:color w:val="000000" w:themeColor="text1"/>
        </w:rPr>
      </w:pPr>
      <w:r w:rsidRPr="4D4299DF">
        <w:rPr>
          <w:rFonts w:ascii="Arial" w:eastAsia="Arial" w:hAnsi="Arial" w:cs="Arial"/>
          <w:color w:val="000000" w:themeColor="text1"/>
          <w:sz w:val="22"/>
          <w:szCs w:val="22"/>
        </w:rPr>
        <w:t>Despite the optimistic perspectives, some critics claim that the observer's bias during observations may impact a research case study, resulting in potentially misleading and untrustworthy findings. Simkus (2023) stated that bias in observation can harm scientific research and result in adverse consequences for individuals participating in the research studies. Nonetheless, mitigating observer bias can be achieved by collecting data using other methods to validate results.</w:t>
      </w:r>
      <w:r w:rsidRPr="4D4299DF">
        <w:rPr>
          <w:rFonts w:ascii="Aptos" w:eastAsia="Aptos" w:hAnsi="Aptos" w:cs="Aptos"/>
          <w:color w:val="000000" w:themeColor="text1"/>
        </w:rPr>
        <w:t xml:space="preserve"> </w:t>
      </w:r>
    </w:p>
    <w:p w14:paraId="252BB386" w14:textId="77777777" w:rsidR="71D3F38E" w:rsidRDefault="00000000" w:rsidP="4D4299DF">
      <w:pPr>
        <w:spacing w:line="360" w:lineRule="auto"/>
        <w:jc w:val="both"/>
        <w:rPr>
          <w:rFonts w:ascii="Arial" w:eastAsia="Arial" w:hAnsi="Arial" w:cs="Arial"/>
          <w:color w:val="000000" w:themeColor="text1"/>
          <w:sz w:val="22"/>
          <w:szCs w:val="22"/>
        </w:rPr>
      </w:pPr>
      <w:r w:rsidRPr="4D4299DF">
        <w:rPr>
          <w:rFonts w:ascii="Arial" w:eastAsia="Arial" w:hAnsi="Arial" w:cs="Arial"/>
          <w:color w:val="000000" w:themeColor="text1"/>
          <w:sz w:val="22"/>
          <w:szCs w:val="22"/>
        </w:rPr>
        <w:lastRenderedPageBreak/>
        <w:t>Utilising triangulation in research provides numerous advantages, including bolstering the credibility of the gathered data. Researchers can enhance the dependability of their conclusions by employing various methods such as interviews, questionnaires, and surveys. This method enables researchers to cross-reference data from multiple sources, leading to a more comprehensive and in-depth comprehension of the topic under scrutiny.</w:t>
      </w:r>
      <w:r w:rsidRPr="4D4299DF">
        <w:rPr>
          <w:rFonts w:ascii="Aptos" w:eastAsia="Aptos" w:hAnsi="Aptos" w:cs="Aptos"/>
          <w:color w:val="000000" w:themeColor="text1"/>
        </w:rPr>
        <w:t xml:space="preserve"> </w:t>
      </w:r>
      <w:r w:rsidRPr="4D4299DF">
        <w:rPr>
          <w:rFonts w:ascii="Arial" w:eastAsia="Arial" w:hAnsi="Arial" w:cs="Arial"/>
          <w:color w:val="000000" w:themeColor="text1"/>
          <w:sz w:val="22"/>
          <w:szCs w:val="22"/>
        </w:rPr>
        <w:t>Jonsen and Jehn (2009) state that triangulation can validate research findings by demonstrating consistency or lack of contradiction. However, Noble and Heale (2019) argue that despite employing various research methods, there may still be instances where the comparison of findings conflicts, leading to potential issues within the research.</w:t>
      </w:r>
    </w:p>
    <w:p w14:paraId="1892ED48" w14:textId="77777777" w:rsidR="00E61480" w:rsidRDefault="00000000" w:rsidP="001E2478">
      <w:pPr>
        <w:spacing w:line="360" w:lineRule="auto"/>
        <w:jc w:val="both"/>
        <w:rPr>
          <w:rFonts w:ascii="Arial" w:eastAsia="Arial" w:hAnsi="Arial" w:cs="Arial"/>
          <w:color w:val="000000" w:themeColor="text1"/>
          <w:sz w:val="22"/>
          <w:szCs w:val="22"/>
        </w:rPr>
      </w:pPr>
      <w:r w:rsidRPr="4D4299DF">
        <w:rPr>
          <w:rFonts w:ascii="Arial" w:eastAsia="Arial" w:hAnsi="Arial" w:cs="Arial"/>
          <w:color w:val="000000" w:themeColor="text1"/>
          <w:sz w:val="22"/>
          <w:szCs w:val="22"/>
        </w:rPr>
        <w:t>After thoroughly reviewing the existing literature, the observational data was enhanced by integrating a questionnaire as an additional research method. The primary objective was to strengthen the trustworthiness and accuracy of the data collection process by employing various data collection methods.</w:t>
      </w:r>
    </w:p>
    <w:p w14:paraId="57A58F37" w14:textId="77777777" w:rsidR="009D2A52" w:rsidRPr="00E61480" w:rsidRDefault="00000000" w:rsidP="001E2478">
      <w:pPr>
        <w:spacing w:line="360" w:lineRule="auto"/>
        <w:jc w:val="both"/>
        <w:rPr>
          <w:rFonts w:ascii="Arial" w:eastAsia="Arial" w:hAnsi="Arial" w:cs="Arial"/>
          <w:color w:val="000000" w:themeColor="text1"/>
          <w:sz w:val="22"/>
          <w:szCs w:val="22"/>
        </w:rPr>
      </w:pPr>
      <w:r w:rsidRPr="00E61480">
        <w:rPr>
          <w:rFonts w:ascii="Arial" w:eastAsia="Arial" w:hAnsi="Arial" w:cs="Arial"/>
          <w:color w:val="000000" w:themeColor="text1"/>
          <w:sz w:val="22"/>
          <w:szCs w:val="22"/>
          <w:u w:val="single"/>
        </w:rPr>
        <w:t>Questionnaires</w:t>
      </w:r>
    </w:p>
    <w:p w14:paraId="05740355" w14:textId="77777777" w:rsidR="00D0298C" w:rsidRPr="00D0298C" w:rsidRDefault="00000000" w:rsidP="00D0298C">
      <w:pPr>
        <w:spacing w:line="360" w:lineRule="auto"/>
        <w:jc w:val="both"/>
        <w:rPr>
          <w:rFonts w:ascii="Arial" w:eastAsia="Times New Roman" w:hAnsi="Arial" w:cs="Arial"/>
          <w:kern w:val="0"/>
          <w:sz w:val="22"/>
          <w:szCs w:val="22"/>
          <w:lang w:eastAsia="en-GB"/>
          <w14:ligatures w14:val="none"/>
        </w:rPr>
      </w:pPr>
      <w:r w:rsidRPr="00D0298C">
        <w:rPr>
          <w:rFonts w:ascii="Arial" w:eastAsia="Arial" w:hAnsi="Arial" w:cs="Arial"/>
          <w:color w:val="000000" w:themeColor="text1"/>
          <w:sz w:val="22"/>
          <w:szCs w:val="22"/>
        </w:rPr>
        <w:t>According to the research</w:t>
      </w:r>
      <w:r w:rsidR="00FD0DF6" w:rsidRPr="00D0298C">
        <w:rPr>
          <w:rFonts w:ascii="Arial" w:eastAsia="Arial" w:hAnsi="Arial" w:cs="Arial"/>
          <w:color w:val="000000" w:themeColor="text1"/>
          <w:sz w:val="22"/>
          <w:szCs w:val="22"/>
        </w:rPr>
        <w:t xml:space="preserve"> </w:t>
      </w:r>
      <w:r w:rsidR="00FD0DF6" w:rsidRPr="00D0298C">
        <w:rPr>
          <w:rFonts w:ascii="Arial" w:eastAsia="Times New Roman" w:hAnsi="Arial" w:cs="Arial"/>
          <w:kern w:val="0"/>
          <w:sz w:val="22"/>
          <w:szCs w:val="22"/>
          <w:lang w:eastAsia="en-GB"/>
          <w14:ligatures w14:val="none"/>
        </w:rPr>
        <w:t>(Nelson</w:t>
      </w:r>
      <w:r w:rsidR="00E61480">
        <w:rPr>
          <w:rFonts w:ascii="Arial" w:eastAsia="Times New Roman" w:hAnsi="Arial" w:cs="Arial"/>
          <w:kern w:val="0"/>
          <w:sz w:val="22"/>
          <w:szCs w:val="22"/>
          <w:lang w:eastAsia="en-GB"/>
          <w14:ligatures w14:val="none"/>
        </w:rPr>
        <w:t xml:space="preserve"> et al.</w:t>
      </w:r>
      <w:r w:rsidR="00FD0DF6" w:rsidRPr="00D0298C">
        <w:rPr>
          <w:rFonts w:ascii="Arial" w:eastAsia="Times New Roman" w:hAnsi="Arial" w:cs="Arial"/>
          <w:kern w:val="0"/>
          <w:sz w:val="22"/>
          <w:szCs w:val="22"/>
          <w:lang w:eastAsia="en-GB"/>
          <w14:ligatures w14:val="none"/>
        </w:rPr>
        <w:t>, 2014, p. 112), q</w:t>
      </w:r>
      <w:r w:rsidR="008A350B" w:rsidRPr="00D0298C">
        <w:rPr>
          <w:rFonts w:ascii="Arial" w:eastAsia="Arial" w:hAnsi="Arial" w:cs="Arial"/>
          <w:color w:val="000000" w:themeColor="text1"/>
          <w:sz w:val="22"/>
          <w:szCs w:val="22"/>
        </w:rPr>
        <w:t>uestionnaires offer many benefits in research. They are highly convenient and can be easily administered on a large scale, allowing for the timely collection of significant amounts of data. Furthermore, questionnaires facilitate comparing and contrasting responses through various graphs and charts, making analysis and visuali</w:t>
      </w:r>
      <w:r w:rsidR="00776C75" w:rsidRPr="00D0298C">
        <w:rPr>
          <w:rFonts w:ascii="Arial" w:eastAsia="Arial" w:hAnsi="Arial" w:cs="Arial"/>
          <w:color w:val="000000" w:themeColor="text1"/>
          <w:sz w:val="22"/>
          <w:szCs w:val="22"/>
        </w:rPr>
        <w:t>sa</w:t>
      </w:r>
      <w:r w:rsidR="008A350B" w:rsidRPr="00D0298C">
        <w:rPr>
          <w:rFonts w:ascii="Arial" w:eastAsia="Arial" w:hAnsi="Arial" w:cs="Arial"/>
          <w:color w:val="000000" w:themeColor="text1"/>
          <w:sz w:val="22"/>
          <w:szCs w:val="22"/>
        </w:rPr>
        <w:t>tion effortless. Additionally, questionnaires provide the added advantage of ensuring respondent anonymity</w:t>
      </w:r>
      <w:r w:rsidRPr="00D0298C">
        <w:rPr>
          <w:rFonts w:ascii="Arial" w:eastAsia="Arial" w:hAnsi="Arial" w:cs="Arial"/>
          <w:color w:val="000000" w:themeColor="text1"/>
          <w:sz w:val="22"/>
          <w:szCs w:val="22"/>
        </w:rPr>
        <w:t xml:space="preserve"> </w:t>
      </w:r>
      <w:r w:rsidRPr="00D0298C">
        <w:rPr>
          <w:rFonts w:ascii="Arial" w:eastAsia="Times New Roman" w:hAnsi="Arial" w:cs="Arial"/>
          <w:kern w:val="0"/>
          <w:sz w:val="22"/>
          <w:szCs w:val="22"/>
          <w:lang w:eastAsia="en-GB"/>
          <w14:ligatures w14:val="none"/>
        </w:rPr>
        <w:t>(Joinson, 1999).</w:t>
      </w:r>
    </w:p>
    <w:p w14:paraId="4EB078E5" w14:textId="77777777" w:rsidR="00C92149" w:rsidRPr="00C92149" w:rsidRDefault="00000000" w:rsidP="00542970">
      <w:pPr>
        <w:spacing w:line="360" w:lineRule="auto"/>
        <w:jc w:val="both"/>
        <w:rPr>
          <w:rFonts w:ascii="Times New Roman" w:eastAsia="Times New Roman" w:hAnsi="Times New Roman" w:cs="Times New Roman"/>
          <w:kern w:val="0"/>
          <w:lang w:eastAsia="en-GB"/>
          <w14:ligatures w14:val="none"/>
        </w:rPr>
      </w:pPr>
      <w:r>
        <w:rPr>
          <w:rFonts w:ascii="Arial" w:hAnsi="Arial" w:cs="Arial"/>
          <w:color w:val="333333"/>
          <w:sz w:val="22"/>
          <w:szCs w:val="22"/>
          <w:shd w:val="clear" w:color="auto" w:fill="FFFFFF"/>
        </w:rPr>
        <w:t xml:space="preserve">According to </w:t>
      </w:r>
      <w:proofErr w:type="spellStart"/>
      <w:r w:rsidRPr="00B975AE">
        <w:rPr>
          <w:rFonts w:ascii="Arial" w:eastAsia="Times New Roman" w:hAnsi="Arial" w:cs="Arial"/>
          <w:kern w:val="0"/>
          <w:sz w:val="22"/>
          <w:szCs w:val="22"/>
          <w:lang w:eastAsia="en-GB"/>
          <w14:ligatures w14:val="none"/>
        </w:rPr>
        <w:t>O’Cathain</w:t>
      </w:r>
      <w:proofErr w:type="spellEnd"/>
      <w:r w:rsidRPr="00B975AE">
        <w:rPr>
          <w:rFonts w:ascii="Arial" w:eastAsia="Times New Roman" w:hAnsi="Arial" w:cs="Arial"/>
          <w:kern w:val="0"/>
          <w:sz w:val="22"/>
          <w:szCs w:val="22"/>
          <w:lang w:eastAsia="en-GB"/>
          <w14:ligatures w14:val="none"/>
        </w:rPr>
        <w:t xml:space="preserve"> and Thomas (2004)</w:t>
      </w:r>
      <w:r w:rsidR="009225F7">
        <w:rPr>
          <w:rFonts w:ascii="Arial" w:eastAsia="Times New Roman" w:hAnsi="Arial" w:cs="Arial"/>
          <w:kern w:val="0"/>
          <w:sz w:val="22"/>
          <w:szCs w:val="22"/>
          <w:lang w:eastAsia="en-GB"/>
          <w14:ligatures w14:val="none"/>
        </w:rPr>
        <w:t>,</w:t>
      </w:r>
      <w:r w:rsidR="007A33B1">
        <w:rPr>
          <w:rFonts w:ascii="Times New Roman" w:eastAsia="Times New Roman" w:hAnsi="Times New Roman" w:cs="Times New Roman"/>
          <w:kern w:val="0"/>
          <w:lang w:eastAsia="en-GB"/>
          <w14:ligatures w14:val="none"/>
        </w:rPr>
        <w:t xml:space="preserve"> </w:t>
      </w:r>
      <w:r w:rsidR="007A33B1">
        <w:rPr>
          <w:rFonts w:ascii="Arial" w:hAnsi="Arial" w:cs="Arial"/>
          <w:color w:val="333333"/>
          <w:sz w:val="22"/>
          <w:szCs w:val="22"/>
          <w:shd w:val="clear" w:color="auto" w:fill="FFFFFF"/>
        </w:rPr>
        <w:t>o</w:t>
      </w:r>
      <w:r w:rsidR="002D05C0" w:rsidRPr="002D05C0">
        <w:rPr>
          <w:rFonts w:ascii="Arial" w:hAnsi="Arial" w:cs="Arial"/>
          <w:color w:val="333333"/>
          <w:sz w:val="22"/>
          <w:szCs w:val="22"/>
          <w:shd w:val="clear" w:color="auto" w:fill="FFFFFF"/>
        </w:rPr>
        <w:t xml:space="preserve">ne common </w:t>
      </w:r>
      <w:r w:rsidR="00D01ADA" w:rsidRPr="002D05C0">
        <w:rPr>
          <w:rFonts w:ascii="Arial" w:hAnsi="Arial" w:cs="Arial"/>
          <w:color w:val="333333"/>
          <w:sz w:val="22"/>
          <w:szCs w:val="22"/>
          <w:shd w:val="clear" w:color="auto" w:fill="FFFFFF"/>
        </w:rPr>
        <w:t>cri</w:t>
      </w:r>
      <w:r w:rsidR="00D01ADA">
        <w:rPr>
          <w:rFonts w:ascii="Arial" w:hAnsi="Arial" w:cs="Arial"/>
          <w:color w:val="333333"/>
          <w:sz w:val="22"/>
          <w:szCs w:val="22"/>
          <w:shd w:val="clear" w:color="auto" w:fill="FFFFFF"/>
        </w:rPr>
        <w:t>ticism</w:t>
      </w:r>
      <w:r w:rsidR="002D05C0" w:rsidRPr="002D05C0">
        <w:rPr>
          <w:rFonts w:ascii="Arial" w:hAnsi="Arial" w:cs="Arial"/>
          <w:color w:val="333333"/>
          <w:sz w:val="22"/>
          <w:szCs w:val="22"/>
          <w:shd w:val="clear" w:color="auto" w:fill="FFFFFF"/>
        </w:rPr>
        <w:t xml:space="preserve"> of questionnaire-based research is the potential impact on the precision of results. For example, the validity of responses may be compromised, making it challenging to assess the degree of consideration and reflection behind the answers provided. This drawback can lead to flawed data and, ultimately, incorrect conclusions. Additionally,</w:t>
      </w:r>
      <w:r w:rsidR="009225F7">
        <w:rPr>
          <w:rFonts w:ascii="Arial" w:hAnsi="Arial" w:cs="Arial"/>
          <w:color w:val="333333"/>
          <w:sz w:val="22"/>
          <w:szCs w:val="22"/>
          <w:shd w:val="clear" w:color="auto" w:fill="FFFFFF"/>
        </w:rPr>
        <w:t xml:space="preserve"> </w:t>
      </w:r>
      <w:r w:rsidR="00742B75">
        <w:rPr>
          <w:rFonts w:ascii="Arial" w:hAnsi="Arial" w:cs="Arial"/>
          <w:color w:val="333333"/>
          <w:sz w:val="22"/>
          <w:szCs w:val="22"/>
          <w:shd w:val="clear" w:color="auto" w:fill="FFFFFF"/>
        </w:rPr>
        <w:t>it is essential to note</w:t>
      </w:r>
      <w:r w:rsidR="009225F7">
        <w:rPr>
          <w:rFonts w:ascii="Arial" w:hAnsi="Arial" w:cs="Arial"/>
          <w:color w:val="333333"/>
          <w:sz w:val="22"/>
          <w:szCs w:val="22"/>
          <w:shd w:val="clear" w:color="auto" w:fill="FFFFFF"/>
        </w:rPr>
        <w:t xml:space="preserve"> that</w:t>
      </w:r>
      <w:r w:rsidR="002D05C0" w:rsidRPr="002D05C0">
        <w:rPr>
          <w:rFonts w:ascii="Arial" w:hAnsi="Arial" w:cs="Arial"/>
          <w:color w:val="333333"/>
          <w:sz w:val="22"/>
          <w:szCs w:val="22"/>
          <w:shd w:val="clear" w:color="auto" w:fill="FFFFFF"/>
        </w:rPr>
        <w:t xml:space="preserve"> questionnaires can introduce risks such as misinterpretation of the questions, limited ability to perceive respondents' emotions, and inability to ask follow-up questions as necessary</w:t>
      </w:r>
      <w:r w:rsidRPr="00C92149">
        <w:rPr>
          <w:rFonts w:ascii="Arial" w:hAnsi="Arial" w:cs="Arial"/>
          <w:sz w:val="22"/>
          <w:szCs w:val="22"/>
        </w:rPr>
        <w:t xml:space="preserve"> </w:t>
      </w:r>
      <w:r w:rsidRPr="00C92149">
        <w:rPr>
          <w:rFonts w:ascii="Arial" w:eastAsia="Times New Roman" w:hAnsi="Arial" w:cs="Arial"/>
          <w:kern w:val="0"/>
          <w:sz w:val="22"/>
          <w:szCs w:val="22"/>
          <w:lang w:eastAsia="en-GB"/>
          <w14:ligatures w14:val="none"/>
        </w:rPr>
        <w:t>(Sousa</w:t>
      </w:r>
      <w:r w:rsidR="009225F7">
        <w:rPr>
          <w:rFonts w:ascii="Arial" w:eastAsia="Times New Roman" w:hAnsi="Arial" w:cs="Arial"/>
          <w:kern w:val="0"/>
          <w:sz w:val="22"/>
          <w:szCs w:val="22"/>
          <w:lang w:eastAsia="en-GB"/>
          <w14:ligatures w14:val="none"/>
        </w:rPr>
        <w:t xml:space="preserve"> et al.</w:t>
      </w:r>
      <w:r w:rsidRPr="00C92149">
        <w:rPr>
          <w:rFonts w:ascii="Arial" w:eastAsia="Times New Roman" w:hAnsi="Arial" w:cs="Arial"/>
          <w:kern w:val="0"/>
          <w:sz w:val="22"/>
          <w:szCs w:val="22"/>
          <w:lang w:eastAsia="en-GB"/>
          <w14:ligatures w14:val="none"/>
        </w:rPr>
        <w:t>, 2016)</w:t>
      </w:r>
      <w:r w:rsidR="00542970">
        <w:rPr>
          <w:rFonts w:ascii="Arial" w:eastAsia="Times New Roman" w:hAnsi="Arial" w:cs="Arial"/>
          <w:kern w:val="0"/>
          <w:sz w:val="22"/>
          <w:szCs w:val="22"/>
          <w:lang w:eastAsia="en-GB"/>
          <w14:ligatures w14:val="none"/>
        </w:rPr>
        <w:t>.</w:t>
      </w:r>
    </w:p>
    <w:p w14:paraId="631AB8B0" w14:textId="77777777" w:rsidR="00261301" w:rsidRDefault="00000000" w:rsidP="009E5538">
      <w:pPr>
        <w:spacing w:line="360" w:lineRule="auto"/>
        <w:jc w:val="both"/>
        <w:rPr>
          <w:rFonts w:ascii="Arial" w:eastAsia="Arial" w:hAnsi="Arial" w:cs="Arial"/>
          <w:color w:val="000000" w:themeColor="text1"/>
          <w:sz w:val="22"/>
          <w:szCs w:val="22"/>
        </w:rPr>
      </w:pPr>
      <w:r w:rsidRPr="009953CE">
        <w:rPr>
          <w:rFonts w:ascii="Arial" w:eastAsia="Arial" w:hAnsi="Arial" w:cs="Arial"/>
          <w:color w:val="000000" w:themeColor="text1"/>
          <w:sz w:val="22"/>
          <w:szCs w:val="22"/>
        </w:rPr>
        <w:t>The research project's questionnaire was carefully crafted with a combination of open and closed questions, taking into consideration the young age of the participants. The questions were designed using simple language to ensure easy comprehension. To maintain focus and achieve consistent data, the questionnaire comprised only five questions, accommodating a range of factors such as age and ability. Given that the participants were</w:t>
      </w:r>
      <w:r w:rsidR="002F5C44">
        <w:rPr>
          <w:rFonts w:ascii="Arial" w:eastAsia="Arial" w:hAnsi="Arial" w:cs="Arial"/>
          <w:color w:val="000000" w:themeColor="text1"/>
          <w:sz w:val="22"/>
          <w:szCs w:val="22"/>
        </w:rPr>
        <w:t xml:space="preserve"> in</w:t>
      </w:r>
      <w:r w:rsidRPr="009953CE">
        <w:rPr>
          <w:rFonts w:ascii="Arial" w:eastAsia="Arial" w:hAnsi="Arial" w:cs="Arial"/>
          <w:color w:val="000000" w:themeColor="text1"/>
          <w:sz w:val="22"/>
          <w:szCs w:val="22"/>
        </w:rPr>
        <w:t xml:space="preserve"> the nursery class, the questions were brief and open-ended to promote free expression and accurate note-</w:t>
      </w:r>
      <w:r w:rsidRPr="009953CE">
        <w:rPr>
          <w:rFonts w:ascii="Arial" w:eastAsia="Arial" w:hAnsi="Arial" w:cs="Arial"/>
          <w:color w:val="000000" w:themeColor="text1"/>
          <w:sz w:val="22"/>
          <w:szCs w:val="22"/>
        </w:rPr>
        <w:lastRenderedPageBreak/>
        <w:t>taking. This approach enabled the participants to answer the questions independently, without any external assistance.</w:t>
      </w:r>
    </w:p>
    <w:p w14:paraId="132C2D6E" w14:textId="77777777" w:rsidR="00261301" w:rsidRDefault="00261301" w:rsidP="009E5538">
      <w:pPr>
        <w:spacing w:line="360" w:lineRule="auto"/>
        <w:jc w:val="both"/>
        <w:rPr>
          <w:rFonts w:ascii="Arial" w:eastAsia="Arial" w:hAnsi="Arial" w:cs="Arial"/>
          <w:color w:val="000000" w:themeColor="text1"/>
          <w:sz w:val="22"/>
          <w:szCs w:val="22"/>
        </w:rPr>
      </w:pPr>
    </w:p>
    <w:p w14:paraId="20D7813F" w14:textId="77777777" w:rsidR="00006769" w:rsidRPr="00261301" w:rsidRDefault="00000000" w:rsidP="009E5538">
      <w:pPr>
        <w:spacing w:line="360" w:lineRule="auto"/>
        <w:jc w:val="both"/>
        <w:rPr>
          <w:rFonts w:ascii="Arial" w:eastAsia="Arial" w:hAnsi="Arial" w:cs="Arial"/>
          <w:color w:val="000000" w:themeColor="text1"/>
          <w:sz w:val="22"/>
          <w:szCs w:val="22"/>
        </w:rPr>
      </w:pPr>
      <w:r w:rsidRPr="4D4299DF">
        <w:rPr>
          <w:rFonts w:ascii="Arial" w:hAnsi="Arial" w:cs="Arial"/>
          <w:sz w:val="28"/>
          <w:szCs w:val="28"/>
          <w:u w:val="single"/>
        </w:rPr>
        <w:t>Data presentation and Analysis methods</w:t>
      </w:r>
      <w:r w:rsidR="5D97A3FE" w:rsidRPr="4D4299DF">
        <w:rPr>
          <w:rFonts w:ascii="Arial" w:hAnsi="Arial" w:cs="Arial"/>
          <w:sz w:val="28"/>
          <w:szCs w:val="28"/>
          <w:u w:val="single"/>
        </w:rPr>
        <w:t xml:space="preserve"> </w:t>
      </w:r>
    </w:p>
    <w:p w14:paraId="06860EC7" w14:textId="77777777" w:rsidR="00C61C59" w:rsidRDefault="00000000" w:rsidP="00E62C47">
      <w:pPr>
        <w:spacing w:line="360" w:lineRule="auto"/>
        <w:jc w:val="both"/>
        <w:rPr>
          <w:rFonts w:ascii="Arial" w:hAnsi="Arial" w:cs="Arial"/>
          <w:color w:val="1C1C1C"/>
          <w:sz w:val="22"/>
          <w:szCs w:val="22"/>
          <w:shd w:val="clear" w:color="auto" w:fill="FFFFFF"/>
        </w:rPr>
      </w:pPr>
      <w:r w:rsidRPr="00BB52F4">
        <w:rPr>
          <w:rFonts w:ascii="Arial" w:hAnsi="Arial" w:cs="Arial"/>
          <w:sz w:val="22"/>
          <w:szCs w:val="22"/>
        </w:rPr>
        <w:t>Th</w:t>
      </w:r>
      <w:r w:rsidR="002B23CE">
        <w:rPr>
          <w:rFonts w:ascii="Arial" w:hAnsi="Arial" w:cs="Arial"/>
          <w:sz w:val="22"/>
          <w:szCs w:val="22"/>
        </w:rPr>
        <w:t xml:space="preserve">is study uses a qualitative case study approach to </w:t>
      </w:r>
      <w:r w:rsidRPr="00BB52F4">
        <w:rPr>
          <w:rFonts w:ascii="Arial" w:hAnsi="Arial" w:cs="Arial"/>
          <w:sz w:val="22"/>
          <w:szCs w:val="22"/>
        </w:rPr>
        <w:t>explore and effectively utili</w:t>
      </w:r>
      <w:r w:rsidR="00835A45" w:rsidRPr="00BB52F4">
        <w:rPr>
          <w:rFonts w:ascii="Arial" w:hAnsi="Arial" w:cs="Arial"/>
          <w:sz w:val="22"/>
          <w:szCs w:val="22"/>
        </w:rPr>
        <w:t>s</w:t>
      </w:r>
      <w:r w:rsidRPr="00BB52F4">
        <w:rPr>
          <w:rFonts w:ascii="Arial" w:hAnsi="Arial" w:cs="Arial"/>
          <w:sz w:val="22"/>
          <w:szCs w:val="22"/>
        </w:rPr>
        <w:t xml:space="preserve">e </w:t>
      </w:r>
      <w:r w:rsidR="00DB7133">
        <w:rPr>
          <w:rFonts w:ascii="Arial" w:hAnsi="Arial" w:cs="Arial"/>
          <w:sz w:val="22"/>
          <w:szCs w:val="22"/>
        </w:rPr>
        <w:t>qualitative</w:t>
      </w:r>
      <w:r w:rsidRPr="00BB52F4">
        <w:rPr>
          <w:rFonts w:ascii="Arial" w:hAnsi="Arial" w:cs="Arial"/>
          <w:sz w:val="22"/>
          <w:szCs w:val="22"/>
        </w:rPr>
        <w:t xml:space="preserve"> data from </w:t>
      </w:r>
      <w:r w:rsidR="005D4A81" w:rsidRPr="00BB52F4">
        <w:rPr>
          <w:rFonts w:ascii="Arial" w:hAnsi="Arial" w:cs="Arial"/>
          <w:sz w:val="22"/>
          <w:szCs w:val="22"/>
        </w:rPr>
        <w:t xml:space="preserve">the </w:t>
      </w:r>
      <w:r w:rsidRPr="00BB52F4">
        <w:rPr>
          <w:rFonts w:ascii="Arial" w:hAnsi="Arial" w:cs="Arial"/>
          <w:sz w:val="22"/>
          <w:szCs w:val="22"/>
        </w:rPr>
        <w:t xml:space="preserve">research methods. </w:t>
      </w:r>
      <w:r w:rsidR="005D4A81" w:rsidRPr="00BB52F4">
        <w:rPr>
          <w:rFonts w:ascii="Arial" w:hAnsi="Arial" w:cs="Arial"/>
          <w:sz w:val="22"/>
          <w:szCs w:val="22"/>
        </w:rPr>
        <w:t>A thematic approach was selected as the most appropriate method for analysing the collected data to achieve this objective</w:t>
      </w:r>
      <w:r w:rsidRPr="00BB52F4">
        <w:rPr>
          <w:rFonts w:ascii="Arial" w:hAnsi="Arial" w:cs="Arial"/>
          <w:sz w:val="22"/>
          <w:szCs w:val="22"/>
        </w:rPr>
        <w:t>. The approach, outlined by Jason and Glenwick (2016), involves identifying patterns and themes within data, providing valuable insights and a deeper understanding of the research topic. Braun and Clarke (2013) emphasi</w:t>
      </w:r>
      <w:r w:rsidR="00B82718" w:rsidRPr="00BB52F4">
        <w:rPr>
          <w:rFonts w:ascii="Arial" w:hAnsi="Arial" w:cs="Arial"/>
          <w:sz w:val="22"/>
          <w:szCs w:val="22"/>
        </w:rPr>
        <w:t>s</w:t>
      </w:r>
      <w:r w:rsidRPr="00BB52F4">
        <w:rPr>
          <w:rFonts w:ascii="Arial" w:hAnsi="Arial" w:cs="Arial"/>
          <w:sz w:val="22"/>
          <w:szCs w:val="22"/>
        </w:rPr>
        <w:t xml:space="preserve">e the importance of </w:t>
      </w:r>
      <w:r w:rsidR="000E200D">
        <w:rPr>
          <w:rFonts w:ascii="Arial" w:hAnsi="Arial" w:cs="Arial"/>
          <w:sz w:val="22"/>
          <w:szCs w:val="22"/>
        </w:rPr>
        <w:t>acquiring</w:t>
      </w:r>
      <w:r w:rsidRPr="00BB52F4">
        <w:rPr>
          <w:rFonts w:ascii="Arial" w:hAnsi="Arial" w:cs="Arial"/>
          <w:sz w:val="22"/>
          <w:szCs w:val="22"/>
        </w:rPr>
        <w:t xml:space="preserve"> qualitative </w:t>
      </w:r>
      <w:r w:rsidR="006174EE">
        <w:rPr>
          <w:rFonts w:ascii="Arial" w:hAnsi="Arial" w:cs="Arial"/>
          <w:sz w:val="22"/>
          <w:szCs w:val="22"/>
        </w:rPr>
        <w:t>research skills</w:t>
      </w:r>
      <w:r w:rsidR="00BE1E22">
        <w:rPr>
          <w:rFonts w:ascii="Arial" w:hAnsi="Arial" w:cs="Arial"/>
          <w:sz w:val="22"/>
          <w:szCs w:val="22"/>
        </w:rPr>
        <w:t xml:space="preserve"> as they provide fundamental abilities to </w:t>
      </w:r>
      <w:r w:rsidR="0046231E">
        <w:rPr>
          <w:rFonts w:ascii="Arial" w:hAnsi="Arial" w:cs="Arial"/>
          <w:sz w:val="22"/>
          <w:szCs w:val="22"/>
        </w:rPr>
        <w:t>conduct</w:t>
      </w:r>
      <w:r w:rsidR="00BE1E22">
        <w:rPr>
          <w:rFonts w:ascii="Arial" w:hAnsi="Arial" w:cs="Arial"/>
          <w:sz w:val="22"/>
          <w:szCs w:val="22"/>
        </w:rPr>
        <w:t xml:space="preserve"> diverse analyses</w:t>
      </w:r>
      <w:r w:rsidRPr="00BB52F4">
        <w:rPr>
          <w:rFonts w:ascii="Arial" w:hAnsi="Arial" w:cs="Arial"/>
          <w:sz w:val="22"/>
          <w:szCs w:val="22"/>
        </w:rPr>
        <w:t xml:space="preserve">. </w:t>
      </w:r>
      <w:r w:rsidR="004700B2">
        <w:rPr>
          <w:rFonts w:ascii="Arial" w:hAnsi="Arial" w:cs="Arial"/>
          <w:sz w:val="22"/>
          <w:szCs w:val="22"/>
        </w:rPr>
        <w:t>Researchers can explore a particular topic in-depth by adopting a thematic approach to research</w:t>
      </w:r>
      <w:r w:rsidR="0079678E" w:rsidRPr="0079678E">
        <w:rPr>
          <w:rFonts w:ascii="Arial" w:hAnsi="Arial" w:cs="Arial"/>
          <w:sz w:val="22"/>
          <w:szCs w:val="22"/>
        </w:rPr>
        <w:t xml:space="preserve">, which is achieved through six phases of reflection, as shown in </w:t>
      </w:r>
      <w:r w:rsidR="0079678E" w:rsidRPr="00DF0E5C">
        <w:rPr>
          <w:rFonts w:ascii="Arial" w:hAnsi="Arial" w:cs="Arial"/>
          <w:b/>
          <w:bCs/>
          <w:sz w:val="22"/>
          <w:szCs w:val="22"/>
        </w:rPr>
        <w:t>Figure 1</w:t>
      </w:r>
      <w:r w:rsidR="0079678E" w:rsidRPr="0079678E">
        <w:rPr>
          <w:rFonts w:ascii="Arial" w:hAnsi="Arial" w:cs="Arial"/>
          <w:sz w:val="22"/>
          <w:szCs w:val="22"/>
        </w:rPr>
        <w:t xml:space="preserve">, which enable them to gather rich and diverse data for detailed analysis. </w:t>
      </w:r>
      <w:r w:rsidR="008C0D07" w:rsidRPr="00BB52F4">
        <w:rPr>
          <w:rFonts w:ascii="Arial" w:hAnsi="Arial" w:cs="Arial"/>
          <w:sz w:val="22"/>
          <w:szCs w:val="22"/>
        </w:rPr>
        <w:t xml:space="preserve">According to </w:t>
      </w:r>
      <w:proofErr w:type="spellStart"/>
      <w:r w:rsidR="008C0D07" w:rsidRPr="00BB52F4">
        <w:rPr>
          <w:rFonts w:ascii="Arial" w:hAnsi="Arial" w:cs="Arial"/>
          <w:sz w:val="22"/>
          <w:szCs w:val="22"/>
        </w:rPr>
        <w:t>Ziebland</w:t>
      </w:r>
      <w:proofErr w:type="spellEnd"/>
      <w:r w:rsidR="008C0D07" w:rsidRPr="00BB52F4">
        <w:rPr>
          <w:rFonts w:ascii="Arial" w:hAnsi="Arial" w:cs="Arial"/>
          <w:sz w:val="22"/>
          <w:szCs w:val="22"/>
        </w:rPr>
        <w:t xml:space="preserve"> and McPherson (2006), thematic analysis is </w:t>
      </w:r>
      <w:r w:rsidR="0046231E">
        <w:rPr>
          <w:rFonts w:ascii="Arial" w:hAnsi="Arial" w:cs="Arial"/>
          <w:sz w:val="22"/>
          <w:szCs w:val="22"/>
        </w:rPr>
        <w:t xml:space="preserve">valuable </w:t>
      </w:r>
      <w:r w:rsidR="008C0D07" w:rsidRPr="00BB52F4">
        <w:rPr>
          <w:rFonts w:ascii="Arial" w:hAnsi="Arial" w:cs="Arial"/>
          <w:sz w:val="22"/>
          <w:szCs w:val="22"/>
        </w:rPr>
        <w:t xml:space="preserve">for </w:t>
      </w:r>
      <w:r w:rsidR="00621661" w:rsidRPr="00BB52F4">
        <w:rPr>
          <w:rFonts w:ascii="Arial" w:hAnsi="Arial" w:cs="Arial"/>
          <w:sz w:val="22"/>
          <w:szCs w:val="22"/>
        </w:rPr>
        <w:t>examining</w:t>
      </w:r>
      <w:r w:rsidR="008C0D07" w:rsidRPr="00BB52F4">
        <w:rPr>
          <w:rFonts w:ascii="Arial" w:hAnsi="Arial" w:cs="Arial"/>
          <w:sz w:val="22"/>
          <w:szCs w:val="22"/>
        </w:rPr>
        <w:t xml:space="preserve"> qualitative data. </w:t>
      </w:r>
      <w:r w:rsidR="00646F21" w:rsidRPr="00BB52F4">
        <w:rPr>
          <w:rFonts w:ascii="Arial" w:hAnsi="Arial" w:cs="Arial"/>
          <w:sz w:val="22"/>
          <w:szCs w:val="22"/>
        </w:rPr>
        <w:t>It is important to note that</w:t>
      </w:r>
      <w:r w:rsidR="00B20204" w:rsidRPr="00BB52F4">
        <w:rPr>
          <w:rFonts w:ascii="Arial" w:hAnsi="Arial" w:cs="Arial"/>
          <w:sz w:val="22"/>
          <w:szCs w:val="22"/>
        </w:rPr>
        <w:t xml:space="preserve"> this approach </w:t>
      </w:r>
      <w:r w:rsidR="008C0D07" w:rsidRPr="00BB52F4">
        <w:rPr>
          <w:rFonts w:ascii="Arial" w:hAnsi="Arial" w:cs="Arial"/>
          <w:sz w:val="22"/>
          <w:szCs w:val="22"/>
        </w:rPr>
        <w:t xml:space="preserve">can be </w:t>
      </w:r>
      <w:r w:rsidR="00241DD4" w:rsidRPr="00BB52F4">
        <w:rPr>
          <w:rFonts w:ascii="Arial" w:hAnsi="Arial" w:cs="Arial"/>
          <w:sz w:val="22"/>
          <w:szCs w:val="22"/>
        </w:rPr>
        <w:t>time</w:t>
      </w:r>
      <w:r w:rsidR="00293F34" w:rsidRPr="00BB52F4">
        <w:rPr>
          <w:rFonts w:ascii="Arial" w:hAnsi="Arial" w:cs="Arial"/>
          <w:sz w:val="22"/>
          <w:szCs w:val="22"/>
        </w:rPr>
        <w:t xml:space="preserve"> and resource-intensive</w:t>
      </w:r>
      <w:r w:rsidR="00BB52F4" w:rsidRPr="00BB52F4">
        <w:rPr>
          <w:rFonts w:ascii="Arial" w:hAnsi="Arial" w:cs="Arial"/>
          <w:sz w:val="22"/>
          <w:szCs w:val="22"/>
        </w:rPr>
        <w:t xml:space="preserve">, </w:t>
      </w:r>
      <w:r w:rsidR="00AA4B52" w:rsidRPr="00BB52F4">
        <w:rPr>
          <w:rFonts w:ascii="Arial" w:hAnsi="Arial" w:cs="Arial"/>
          <w:sz w:val="22"/>
          <w:szCs w:val="22"/>
        </w:rPr>
        <w:t xml:space="preserve">as noted </w:t>
      </w:r>
      <w:r w:rsidR="00E15B26" w:rsidRPr="00BB52F4">
        <w:rPr>
          <w:rFonts w:ascii="Arial" w:hAnsi="Arial" w:cs="Arial"/>
          <w:sz w:val="22"/>
          <w:szCs w:val="22"/>
        </w:rPr>
        <w:t>by</w:t>
      </w:r>
      <w:r w:rsidR="00071DA9" w:rsidRPr="00BB52F4">
        <w:rPr>
          <w:rFonts w:ascii="Arial" w:hAnsi="Arial" w:cs="Arial"/>
          <w:sz w:val="22"/>
          <w:szCs w:val="22"/>
        </w:rPr>
        <w:t xml:space="preserve"> </w:t>
      </w:r>
      <w:r w:rsidR="00071DA9" w:rsidRPr="00BB52F4">
        <w:rPr>
          <w:rFonts w:ascii="Arial" w:eastAsia="Times New Roman" w:hAnsi="Arial" w:cs="Arial"/>
          <w:kern w:val="0"/>
          <w:sz w:val="22"/>
          <w:szCs w:val="22"/>
          <w:lang w:eastAsia="en-GB"/>
          <w14:ligatures w14:val="none"/>
        </w:rPr>
        <w:t xml:space="preserve">Bitok, Tonui and </w:t>
      </w:r>
      <w:proofErr w:type="spellStart"/>
      <w:r w:rsidR="00071DA9" w:rsidRPr="00BB52F4">
        <w:rPr>
          <w:rFonts w:ascii="Arial" w:eastAsia="Times New Roman" w:hAnsi="Arial" w:cs="Arial"/>
          <w:kern w:val="0"/>
          <w:sz w:val="22"/>
          <w:szCs w:val="22"/>
          <w:lang w:eastAsia="en-GB"/>
          <w14:ligatures w14:val="none"/>
        </w:rPr>
        <w:t>Chepsiror</w:t>
      </w:r>
      <w:r w:rsidR="00801756" w:rsidRPr="00BB52F4">
        <w:rPr>
          <w:rFonts w:ascii="Arial" w:eastAsia="Times New Roman" w:hAnsi="Arial" w:cs="Arial"/>
          <w:kern w:val="0"/>
          <w:sz w:val="22"/>
          <w:szCs w:val="22"/>
          <w:lang w:eastAsia="en-GB"/>
          <w14:ligatures w14:val="none"/>
        </w:rPr>
        <w:t>’s</w:t>
      </w:r>
      <w:proofErr w:type="spellEnd"/>
      <w:r w:rsidR="00071DA9" w:rsidRPr="00BB52F4">
        <w:rPr>
          <w:rFonts w:ascii="Arial" w:eastAsia="Times New Roman" w:hAnsi="Arial" w:cs="Arial"/>
          <w:kern w:val="0"/>
          <w:sz w:val="22"/>
          <w:szCs w:val="22"/>
          <w:lang w:eastAsia="en-GB"/>
          <w14:ligatures w14:val="none"/>
        </w:rPr>
        <w:t xml:space="preserve"> (2014)</w:t>
      </w:r>
      <w:r w:rsidR="00B6462F" w:rsidRPr="00BB52F4">
        <w:rPr>
          <w:rFonts w:ascii="Arial" w:eastAsia="Times New Roman" w:hAnsi="Arial" w:cs="Arial"/>
          <w:kern w:val="0"/>
          <w:sz w:val="22"/>
          <w:szCs w:val="22"/>
          <w:lang w:eastAsia="en-GB"/>
          <w14:ligatures w14:val="none"/>
        </w:rPr>
        <w:t xml:space="preserve"> </w:t>
      </w:r>
      <w:r w:rsidR="00801756" w:rsidRPr="00BB52F4">
        <w:rPr>
          <w:rFonts w:ascii="Arial" w:eastAsia="Times New Roman" w:hAnsi="Arial" w:cs="Arial"/>
          <w:kern w:val="0"/>
          <w:sz w:val="22"/>
          <w:szCs w:val="22"/>
          <w:lang w:eastAsia="en-GB"/>
          <w14:ligatures w14:val="none"/>
        </w:rPr>
        <w:t>study</w:t>
      </w:r>
      <w:r w:rsidR="00BB52F4" w:rsidRPr="00BB52F4">
        <w:rPr>
          <w:rFonts w:ascii="Arial" w:hAnsi="Arial" w:cs="Arial"/>
          <w:sz w:val="22"/>
          <w:szCs w:val="22"/>
        </w:rPr>
        <w:t xml:space="preserve">. </w:t>
      </w:r>
      <w:r w:rsidR="00C708EB" w:rsidRPr="00BB52F4">
        <w:rPr>
          <w:rFonts w:ascii="Arial" w:hAnsi="Arial" w:cs="Arial"/>
          <w:sz w:val="22"/>
          <w:szCs w:val="22"/>
        </w:rPr>
        <w:t xml:space="preserve">Despite these </w:t>
      </w:r>
      <w:r w:rsidR="3682658B" w:rsidRPr="00BB52F4">
        <w:rPr>
          <w:rFonts w:ascii="Arial" w:hAnsi="Arial" w:cs="Arial"/>
          <w:sz w:val="22"/>
          <w:szCs w:val="22"/>
        </w:rPr>
        <w:t>challenges, McLeod</w:t>
      </w:r>
      <w:r w:rsidR="00C54E84" w:rsidRPr="00BB52F4">
        <w:rPr>
          <w:rFonts w:ascii="Arial" w:eastAsia="Times New Roman" w:hAnsi="Arial" w:cs="Arial"/>
          <w:kern w:val="0"/>
          <w:sz w:val="22"/>
          <w:szCs w:val="22"/>
          <w:lang w:eastAsia="en-GB"/>
          <w14:ligatures w14:val="none"/>
        </w:rPr>
        <w:t xml:space="preserve"> (2001)</w:t>
      </w:r>
      <w:r w:rsidR="00C54E84" w:rsidRPr="00BB52F4">
        <w:rPr>
          <w:rFonts w:ascii="Times New Roman" w:eastAsia="Times New Roman" w:hAnsi="Times New Roman" w:cs="Times New Roman"/>
          <w:kern w:val="0"/>
          <w:sz w:val="22"/>
          <w:szCs w:val="22"/>
          <w:lang w:eastAsia="en-GB"/>
          <w14:ligatures w14:val="none"/>
        </w:rPr>
        <w:t xml:space="preserve"> </w:t>
      </w:r>
      <w:r w:rsidR="00885A3F" w:rsidRPr="00BB52F4">
        <w:rPr>
          <w:rFonts w:ascii="Arial" w:hAnsi="Arial" w:cs="Arial"/>
          <w:sz w:val="22"/>
          <w:szCs w:val="22"/>
        </w:rPr>
        <w:t>argues that</w:t>
      </w:r>
      <w:r w:rsidR="00BB52F4">
        <w:rPr>
          <w:rFonts w:ascii="Arial" w:hAnsi="Arial" w:cs="Arial"/>
          <w:sz w:val="22"/>
          <w:szCs w:val="22"/>
        </w:rPr>
        <w:t xml:space="preserve"> </w:t>
      </w:r>
      <w:r w:rsidR="00E15B26" w:rsidRPr="00BB52F4">
        <w:rPr>
          <w:rFonts w:ascii="Arial" w:hAnsi="Arial" w:cs="Arial"/>
          <w:sz w:val="22"/>
          <w:szCs w:val="22"/>
        </w:rPr>
        <w:t>thematic analysis c</w:t>
      </w:r>
      <w:r w:rsidR="00F44D2F" w:rsidRPr="00BB52F4">
        <w:rPr>
          <w:rFonts w:ascii="Arial" w:hAnsi="Arial" w:cs="Arial"/>
          <w:sz w:val="22"/>
          <w:szCs w:val="22"/>
        </w:rPr>
        <w:t>an</w:t>
      </w:r>
      <w:r w:rsidR="00F44D2F" w:rsidRPr="00BB52F4">
        <w:rPr>
          <w:rFonts w:ascii="Arial" w:hAnsi="Arial" w:cs="Arial"/>
          <w:color w:val="1C1C1C"/>
          <w:sz w:val="22"/>
          <w:szCs w:val="22"/>
          <w:shd w:val="clear" w:color="auto" w:fill="FFFFFF"/>
        </w:rPr>
        <w:t xml:space="preserve"> be incredibly beneficial in revealing key themes and patterns within the data, leading to a deeper understanding of the research question.</w:t>
      </w:r>
    </w:p>
    <w:p w14:paraId="5FF1A74E" w14:textId="77777777" w:rsidR="00E62C47" w:rsidRPr="00C61C59" w:rsidRDefault="00000000" w:rsidP="00E62C47">
      <w:pPr>
        <w:spacing w:line="360" w:lineRule="auto"/>
        <w:jc w:val="both"/>
        <w:rPr>
          <w:rFonts w:ascii="Arial" w:hAnsi="Arial" w:cs="Arial"/>
          <w:color w:val="1C1C1C"/>
          <w:sz w:val="22"/>
          <w:szCs w:val="22"/>
          <w:shd w:val="clear" w:color="auto" w:fill="FFFFFF"/>
        </w:rPr>
      </w:pPr>
      <w:r w:rsidRPr="00D66A24">
        <w:rPr>
          <w:rFonts w:ascii="Arial" w:hAnsi="Arial" w:cs="Arial"/>
          <w:b/>
          <w:bCs/>
          <w:color w:val="1C1C1C"/>
          <w:sz w:val="22"/>
          <w:szCs w:val="22"/>
          <w:u w:val="single"/>
          <w:shd w:val="clear" w:color="auto" w:fill="FFFFFF"/>
        </w:rPr>
        <w:t>Figure 1</w:t>
      </w:r>
      <w:r w:rsidR="00032D7E">
        <w:rPr>
          <w:rFonts w:ascii="Arial" w:eastAsia="Times New Roman" w:hAnsi="Arial" w:cs="Arial"/>
          <w:kern w:val="0"/>
          <w:sz w:val="22"/>
          <w:szCs w:val="22"/>
          <w:lang w:eastAsia="en-GB"/>
          <w14:ligatures w14:val="none"/>
        </w:rPr>
        <w:t xml:space="preserve">    </w:t>
      </w:r>
    </w:p>
    <w:p w14:paraId="54AC5252" w14:textId="77777777" w:rsidR="006C0CE4" w:rsidRPr="003C45BE" w:rsidRDefault="00000000" w:rsidP="0058473A">
      <w:pPr>
        <w:spacing w:line="360" w:lineRule="auto"/>
        <w:jc w:val="center"/>
        <w:rPr>
          <w:rFonts w:ascii="Arial" w:hAnsi="Arial" w:cs="Arial"/>
          <w:b/>
          <w:bCs/>
          <w:color w:val="1C1C1C"/>
          <w:sz w:val="22"/>
          <w:szCs w:val="22"/>
          <w:u w:val="single"/>
          <w:shd w:val="clear" w:color="auto" w:fill="FFFFFF"/>
        </w:rPr>
      </w:pPr>
      <w:r w:rsidRPr="007B5E6E">
        <w:rPr>
          <w:rFonts w:ascii="Arial" w:hAnsi="Arial" w:cs="Arial"/>
          <w:b/>
          <w:bCs/>
          <w:noProof/>
          <w:color w:val="1C1C1C"/>
          <w:sz w:val="22"/>
          <w:szCs w:val="22"/>
          <w:u w:val="single"/>
          <w:shd w:val="clear" w:color="auto" w:fill="FFFFFF"/>
        </w:rPr>
        <w:drawing>
          <wp:inline distT="0" distB="0" distL="0" distR="0" wp14:anchorId="365AD33F" wp14:editId="5566E7E9">
            <wp:extent cx="2778151" cy="2166551"/>
            <wp:effectExtent l="0" t="0" r="3175" b="5715"/>
            <wp:docPr id="469697876"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697876" name="Picture 1" descr="A diagram of a diagram&#10;&#10;Description automatically generated"/>
                    <pic:cNvPicPr/>
                  </pic:nvPicPr>
                  <pic:blipFill>
                    <a:blip r:embed="rId9"/>
                    <a:stretch>
                      <a:fillRect/>
                    </a:stretch>
                  </pic:blipFill>
                  <pic:spPr>
                    <a:xfrm>
                      <a:off x="0" y="0"/>
                      <a:ext cx="2791041" cy="2176604"/>
                    </a:xfrm>
                    <a:prstGeom prst="rect">
                      <a:avLst/>
                    </a:prstGeom>
                  </pic:spPr>
                </pic:pic>
              </a:graphicData>
            </a:graphic>
          </wp:inline>
        </w:drawing>
      </w:r>
      <w:r w:rsidR="00913495" w:rsidRPr="00913495">
        <w:rPr>
          <w:rFonts w:ascii="Arial" w:eastAsia="Times New Roman" w:hAnsi="Arial" w:cs="Arial"/>
          <w:kern w:val="0"/>
          <w:sz w:val="22"/>
          <w:szCs w:val="22"/>
          <w:lang w:eastAsia="en-GB"/>
          <w14:ligatures w14:val="none"/>
        </w:rPr>
        <w:t xml:space="preserve">(Njogu </w:t>
      </w:r>
      <w:r w:rsidR="00913495" w:rsidRPr="00913495">
        <w:rPr>
          <w:rFonts w:ascii="Arial" w:eastAsia="Times New Roman" w:hAnsi="Arial" w:cs="Arial"/>
          <w:i/>
          <w:iCs/>
          <w:kern w:val="0"/>
          <w:sz w:val="22"/>
          <w:szCs w:val="22"/>
          <w:lang w:eastAsia="en-GB"/>
          <w14:ligatures w14:val="none"/>
        </w:rPr>
        <w:t>et al.</w:t>
      </w:r>
      <w:r w:rsidR="00913495" w:rsidRPr="00913495">
        <w:rPr>
          <w:rFonts w:ascii="Arial" w:eastAsia="Times New Roman" w:hAnsi="Arial" w:cs="Arial"/>
          <w:kern w:val="0"/>
          <w:sz w:val="22"/>
          <w:szCs w:val="22"/>
          <w:lang w:eastAsia="en-GB"/>
          <w14:ligatures w14:val="none"/>
        </w:rPr>
        <w:t>, 2022)</w:t>
      </w:r>
    </w:p>
    <w:p w14:paraId="71DEFEB6" w14:textId="77777777" w:rsidR="00DB7ABB" w:rsidRPr="00DB7ABB" w:rsidRDefault="00000000" w:rsidP="00D65091">
      <w:pPr>
        <w:spacing w:line="360" w:lineRule="auto"/>
        <w:jc w:val="both"/>
        <w:rPr>
          <w:rFonts w:ascii="Arial" w:hAnsi="Arial" w:cs="Arial"/>
          <w:color w:val="1C1C1C"/>
          <w:sz w:val="22"/>
          <w:szCs w:val="22"/>
          <w:shd w:val="clear" w:color="auto" w:fill="FFFFFF"/>
        </w:rPr>
      </w:pPr>
      <w:r w:rsidRPr="00D65091">
        <w:rPr>
          <w:rFonts w:ascii="Arial" w:hAnsi="Arial" w:cs="Arial"/>
          <w:color w:val="1C1C1C"/>
          <w:sz w:val="22"/>
          <w:szCs w:val="22"/>
          <w:shd w:val="clear" w:color="auto" w:fill="FFFFFF"/>
        </w:rPr>
        <w:t>Managing data collected during interactions with young children in a nursery is crucial. Given their limited verbal expression and vocabulary, coding is necessary for accurately deciphering and interpreting their responses, enabling a more comprehensive understanding of their perspectives and experiences</w:t>
      </w:r>
      <w:r w:rsidR="00C2425F" w:rsidRPr="00D65091">
        <w:rPr>
          <w:rFonts w:ascii="Arial" w:hAnsi="Arial" w:cs="Arial"/>
          <w:color w:val="1C1C1C"/>
          <w:sz w:val="22"/>
          <w:szCs w:val="22"/>
          <w:shd w:val="clear" w:color="auto" w:fill="FFFFFF"/>
        </w:rPr>
        <w:t xml:space="preserve"> </w:t>
      </w:r>
      <w:r w:rsidR="00C2425F" w:rsidRPr="00D65091">
        <w:rPr>
          <w:rFonts w:ascii="Arial" w:eastAsia="Times New Roman" w:hAnsi="Arial" w:cs="Arial"/>
          <w:kern w:val="0"/>
          <w:sz w:val="22"/>
          <w:szCs w:val="22"/>
          <w:lang w:eastAsia="en-GB"/>
          <w14:ligatures w14:val="none"/>
        </w:rPr>
        <w:t xml:space="preserve">(Tambling </w:t>
      </w:r>
      <w:r w:rsidR="00C2425F" w:rsidRPr="00D65091">
        <w:rPr>
          <w:rFonts w:ascii="Arial" w:eastAsia="Times New Roman" w:hAnsi="Arial" w:cs="Arial"/>
          <w:i/>
          <w:iCs/>
          <w:kern w:val="0"/>
          <w:sz w:val="22"/>
          <w:szCs w:val="22"/>
          <w:lang w:eastAsia="en-GB"/>
          <w14:ligatures w14:val="none"/>
        </w:rPr>
        <w:t>et al.</w:t>
      </w:r>
      <w:r w:rsidR="00C2425F" w:rsidRPr="00D65091">
        <w:rPr>
          <w:rFonts w:ascii="Arial" w:eastAsia="Times New Roman" w:hAnsi="Arial" w:cs="Arial"/>
          <w:kern w:val="0"/>
          <w:sz w:val="22"/>
          <w:szCs w:val="22"/>
          <w:lang w:eastAsia="en-GB"/>
          <w14:ligatures w14:val="none"/>
        </w:rPr>
        <w:t>, 2021)</w:t>
      </w:r>
      <w:r w:rsidR="002E06D2" w:rsidRPr="00D65091">
        <w:rPr>
          <w:rFonts w:ascii="Arial" w:hAnsi="Arial" w:cs="Arial"/>
          <w:color w:val="1C1C1C"/>
          <w:sz w:val="22"/>
          <w:szCs w:val="22"/>
          <w:shd w:val="clear" w:color="auto" w:fill="FFFFFF"/>
        </w:rPr>
        <w:t>. M</w:t>
      </w:r>
      <w:r w:rsidR="00A772E8" w:rsidRPr="00D65091">
        <w:rPr>
          <w:rFonts w:ascii="Arial" w:hAnsi="Arial" w:cs="Arial"/>
          <w:color w:val="1C1C1C"/>
          <w:sz w:val="22"/>
          <w:szCs w:val="22"/>
          <w:shd w:val="clear" w:color="auto" w:fill="FFFFFF"/>
        </w:rPr>
        <w:t>oreover</w:t>
      </w:r>
      <w:r w:rsidR="002E06D2" w:rsidRPr="00D65091">
        <w:rPr>
          <w:rFonts w:ascii="Arial" w:hAnsi="Arial" w:cs="Arial"/>
          <w:color w:val="1C1C1C"/>
          <w:sz w:val="22"/>
          <w:szCs w:val="22"/>
          <w:shd w:val="clear" w:color="auto" w:fill="FFFFFF"/>
        </w:rPr>
        <w:t xml:space="preserve">, </w:t>
      </w:r>
      <w:r w:rsidR="00B04FF7" w:rsidRPr="00D65091">
        <w:rPr>
          <w:rFonts w:ascii="Arial" w:eastAsia="Times New Roman" w:hAnsi="Arial" w:cs="Arial"/>
          <w:kern w:val="0"/>
          <w:sz w:val="22"/>
          <w:szCs w:val="22"/>
          <w:lang w:eastAsia="en-GB"/>
          <w14:ligatures w14:val="none"/>
        </w:rPr>
        <w:t xml:space="preserve">Franklin </w:t>
      </w:r>
      <w:r w:rsidR="00B04FF7" w:rsidRPr="00D65091">
        <w:rPr>
          <w:rFonts w:ascii="Arial" w:eastAsia="Times New Roman" w:hAnsi="Arial" w:cs="Arial"/>
          <w:i/>
          <w:iCs/>
          <w:kern w:val="0"/>
          <w:sz w:val="22"/>
          <w:szCs w:val="22"/>
          <w:lang w:eastAsia="en-GB"/>
          <w14:ligatures w14:val="none"/>
        </w:rPr>
        <w:t>et al. (</w:t>
      </w:r>
      <w:r w:rsidR="00B04FF7" w:rsidRPr="00D65091">
        <w:rPr>
          <w:rFonts w:ascii="Arial" w:eastAsia="Times New Roman" w:hAnsi="Arial" w:cs="Arial"/>
          <w:kern w:val="0"/>
          <w:sz w:val="22"/>
          <w:szCs w:val="22"/>
          <w:lang w:eastAsia="en-GB"/>
          <w14:ligatures w14:val="none"/>
        </w:rPr>
        <w:t xml:space="preserve"> 2018)</w:t>
      </w:r>
      <w:r w:rsidR="00B04FF7" w:rsidRPr="00D65091">
        <w:rPr>
          <w:rFonts w:ascii="Times New Roman" w:eastAsia="Times New Roman" w:hAnsi="Times New Roman" w:cs="Times New Roman"/>
          <w:kern w:val="0"/>
          <w:sz w:val="22"/>
          <w:szCs w:val="22"/>
          <w:lang w:eastAsia="en-GB"/>
          <w14:ligatures w14:val="none"/>
        </w:rPr>
        <w:t xml:space="preserve"> </w:t>
      </w:r>
      <w:r w:rsidR="00197189" w:rsidRPr="00D65091">
        <w:rPr>
          <w:rFonts w:ascii="Arial" w:hAnsi="Arial" w:cs="Arial"/>
          <w:color w:val="1C1C1C"/>
          <w:sz w:val="22"/>
          <w:szCs w:val="22"/>
          <w:shd w:val="clear" w:color="auto" w:fill="FFFFFF"/>
        </w:rPr>
        <w:t>state</w:t>
      </w:r>
      <w:r w:rsidR="00AE6275" w:rsidRPr="00D65091">
        <w:rPr>
          <w:rFonts w:ascii="Arial" w:hAnsi="Arial" w:cs="Arial"/>
          <w:color w:val="1C1C1C"/>
          <w:sz w:val="22"/>
          <w:szCs w:val="22"/>
          <w:shd w:val="clear" w:color="auto" w:fill="FFFFFF"/>
        </w:rPr>
        <w:t xml:space="preserve"> that c</w:t>
      </w:r>
      <w:r w:rsidRPr="00D65091">
        <w:rPr>
          <w:rFonts w:ascii="Arial" w:hAnsi="Arial" w:cs="Arial"/>
          <w:color w:val="1C1C1C"/>
          <w:sz w:val="22"/>
          <w:szCs w:val="22"/>
          <w:shd w:val="clear" w:color="auto" w:fill="FFFFFF"/>
        </w:rPr>
        <w:t>ategori</w:t>
      </w:r>
      <w:r w:rsidR="00565F86" w:rsidRPr="00D65091">
        <w:rPr>
          <w:rFonts w:ascii="Arial" w:hAnsi="Arial" w:cs="Arial"/>
          <w:color w:val="1C1C1C"/>
          <w:sz w:val="22"/>
          <w:szCs w:val="22"/>
          <w:shd w:val="clear" w:color="auto" w:fill="FFFFFF"/>
        </w:rPr>
        <w:t>s</w:t>
      </w:r>
      <w:r w:rsidRPr="00D65091">
        <w:rPr>
          <w:rFonts w:ascii="Arial" w:hAnsi="Arial" w:cs="Arial"/>
          <w:color w:val="1C1C1C"/>
          <w:sz w:val="22"/>
          <w:szCs w:val="22"/>
          <w:shd w:val="clear" w:color="auto" w:fill="FFFFFF"/>
        </w:rPr>
        <w:t xml:space="preserve">ing the data enables </w:t>
      </w:r>
      <w:r w:rsidR="00C2425F" w:rsidRPr="00D65091">
        <w:rPr>
          <w:rFonts w:ascii="Arial" w:hAnsi="Arial" w:cs="Arial"/>
          <w:color w:val="1C1C1C"/>
          <w:sz w:val="22"/>
          <w:szCs w:val="22"/>
          <w:shd w:val="clear" w:color="auto" w:fill="FFFFFF"/>
        </w:rPr>
        <w:t xml:space="preserve">the </w:t>
      </w:r>
      <w:r w:rsidRPr="00D65091">
        <w:rPr>
          <w:rFonts w:ascii="Arial" w:hAnsi="Arial" w:cs="Arial"/>
          <w:color w:val="1C1C1C"/>
          <w:sz w:val="22"/>
          <w:szCs w:val="22"/>
          <w:shd w:val="clear" w:color="auto" w:fill="FFFFFF"/>
        </w:rPr>
        <w:t xml:space="preserve">identification of age-appropriate themes that connect </w:t>
      </w:r>
      <w:r w:rsidRPr="00D65091">
        <w:rPr>
          <w:rFonts w:ascii="Arial" w:hAnsi="Arial" w:cs="Arial"/>
          <w:color w:val="1C1C1C"/>
          <w:sz w:val="22"/>
          <w:szCs w:val="22"/>
          <w:shd w:val="clear" w:color="auto" w:fill="FFFFFF"/>
        </w:rPr>
        <w:lastRenderedPageBreak/>
        <w:t>with the children's interests and requirements, enhancing the analysis and interpretation process.</w:t>
      </w:r>
    </w:p>
    <w:p w14:paraId="12DE6DAD" w14:textId="77777777" w:rsidR="00261301" w:rsidRDefault="00000000" w:rsidP="00F36AFF">
      <w:pPr>
        <w:spacing w:line="360" w:lineRule="auto"/>
        <w:jc w:val="both"/>
        <w:rPr>
          <w:rFonts w:ascii="Arial" w:hAnsi="Arial" w:cs="Arial"/>
          <w:color w:val="1C1C1C"/>
          <w:sz w:val="22"/>
          <w:szCs w:val="22"/>
          <w:shd w:val="clear" w:color="auto" w:fill="FFFFFF"/>
        </w:rPr>
      </w:pPr>
      <w:r w:rsidRPr="00D65091">
        <w:rPr>
          <w:rFonts w:ascii="Arial" w:hAnsi="Arial" w:cs="Arial"/>
          <w:sz w:val="22"/>
          <w:szCs w:val="22"/>
        </w:rPr>
        <w:t>When conducting research, it</w:t>
      </w:r>
      <w:r w:rsidR="00D52225">
        <w:rPr>
          <w:rFonts w:ascii="Arial" w:hAnsi="Arial" w:cs="Arial"/>
          <w:sz w:val="22"/>
          <w:szCs w:val="22"/>
        </w:rPr>
        <w:t xml:space="preserve"> is</w:t>
      </w:r>
      <w:r w:rsidRPr="00D65091">
        <w:rPr>
          <w:rFonts w:ascii="Arial" w:hAnsi="Arial" w:cs="Arial"/>
          <w:sz w:val="22"/>
          <w:szCs w:val="22"/>
        </w:rPr>
        <w:t xml:space="preserve"> crucial to take a reflexive approach to ensure the credibility of the results. As noted by Richards and Coombs (2023), effectively managing data collected during interactions with young children requires researchers to be open to adaptation and change depending on the participants and context of the study.</w:t>
      </w:r>
      <w:r w:rsidR="008425FD" w:rsidRPr="00D65091">
        <w:rPr>
          <w:rFonts w:ascii="Arial" w:hAnsi="Arial" w:cs="Arial"/>
          <w:sz w:val="22"/>
          <w:szCs w:val="22"/>
        </w:rPr>
        <w:t xml:space="preserve"> </w:t>
      </w:r>
      <w:r w:rsidR="00472BB2" w:rsidRPr="00D65091">
        <w:rPr>
          <w:rFonts w:ascii="Arial" w:hAnsi="Arial" w:cs="Arial"/>
          <w:sz w:val="22"/>
          <w:szCs w:val="22"/>
        </w:rPr>
        <w:t>Moreover</w:t>
      </w:r>
      <w:r w:rsidR="008425FD" w:rsidRPr="00D65091">
        <w:rPr>
          <w:rFonts w:ascii="Arial" w:hAnsi="Arial" w:cs="Arial"/>
          <w:sz w:val="22"/>
          <w:szCs w:val="22"/>
        </w:rPr>
        <w:t xml:space="preserve">, </w:t>
      </w:r>
      <w:r w:rsidR="000A1FFA" w:rsidRPr="00D65091">
        <w:rPr>
          <w:rFonts w:ascii="Arial" w:hAnsi="Arial" w:cs="Arial"/>
          <w:sz w:val="22"/>
          <w:szCs w:val="22"/>
        </w:rPr>
        <w:t xml:space="preserve">by </w:t>
      </w:r>
      <w:r w:rsidRPr="00D65091">
        <w:rPr>
          <w:rFonts w:ascii="Arial" w:hAnsi="Arial" w:cs="Arial"/>
          <w:sz w:val="22"/>
          <w:szCs w:val="22"/>
        </w:rPr>
        <w:t>critically examining any assumptions or biases that may be present</w:t>
      </w:r>
      <w:r w:rsidR="009502B0" w:rsidRPr="00D65091">
        <w:rPr>
          <w:rFonts w:ascii="Arial" w:hAnsi="Arial" w:cs="Arial"/>
          <w:sz w:val="22"/>
          <w:szCs w:val="22"/>
        </w:rPr>
        <w:t xml:space="preserve"> and considering the impact of researcher-participant interactions</w:t>
      </w:r>
      <w:r w:rsidR="000A1FFA" w:rsidRPr="00D65091">
        <w:rPr>
          <w:rFonts w:ascii="Arial" w:hAnsi="Arial" w:cs="Arial"/>
          <w:sz w:val="22"/>
          <w:szCs w:val="22"/>
        </w:rPr>
        <w:t>,</w:t>
      </w:r>
      <w:r w:rsidR="009502B0" w:rsidRPr="00D65091">
        <w:rPr>
          <w:rFonts w:ascii="Arial" w:hAnsi="Arial" w:cs="Arial"/>
          <w:sz w:val="22"/>
          <w:szCs w:val="22"/>
        </w:rPr>
        <w:t xml:space="preserve"> potential sources of researcher bias can be minimised,</w:t>
      </w:r>
      <w:r w:rsidRPr="00D65091">
        <w:rPr>
          <w:rFonts w:ascii="Arial" w:hAnsi="Arial" w:cs="Arial"/>
          <w:sz w:val="22"/>
          <w:szCs w:val="22"/>
        </w:rPr>
        <w:t xml:space="preserve"> and the findings can more accurately reflect the perspectives and experiences of the participants.</w:t>
      </w:r>
      <w:r w:rsidR="00517FD8" w:rsidRPr="00D65091">
        <w:rPr>
          <w:rFonts w:ascii="Arial" w:hAnsi="Arial" w:cs="Arial"/>
          <w:sz w:val="22"/>
          <w:szCs w:val="22"/>
        </w:rPr>
        <w:t xml:space="preserve"> </w:t>
      </w:r>
      <w:r w:rsidR="00517FD8" w:rsidRPr="00D65091">
        <w:rPr>
          <w:rFonts w:ascii="Arial" w:eastAsia="Times New Roman" w:hAnsi="Arial" w:cs="Arial"/>
          <w:kern w:val="0"/>
          <w:sz w:val="22"/>
          <w:szCs w:val="22"/>
          <w:lang w:eastAsia="en-GB"/>
          <w14:ligatures w14:val="none"/>
        </w:rPr>
        <w:t xml:space="preserve">Trainor and </w:t>
      </w:r>
      <w:proofErr w:type="spellStart"/>
      <w:r w:rsidR="00517FD8" w:rsidRPr="00D65091">
        <w:rPr>
          <w:rFonts w:ascii="Arial" w:eastAsia="Times New Roman" w:hAnsi="Arial" w:cs="Arial"/>
          <w:kern w:val="0"/>
          <w:sz w:val="22"/>
          <w:szCs w:val="22"/>
          <w:lang w:eastAsia="en-GB"/>
          <w14:ligatures w14:val="none"/>
        </w:rPr>
        <w:t>Bundon</w:t>
      </w:r>
      <w:proofErr w:type="spellEnd"/>
      <w:r w:rsidR="00517FD8" w:rsidRPr="00D65091">
        <w:rPr>
          <w:rFonts w:ascii="Arial" w:eastAsia="Times New Roman" w:hAnsi="Arial" w:cs="Arial"/>
          <w:kern w:val="0"/>
          <w:sz w:val="22"/>
          <w:szCs w:val="22"/>
          <w:lang w:eastAsia="en-GB"/>
          <w14:ligatures w14:val="none"/>
        </w:rPr>
        <w:t xml:space="preserve"> </w:t>
      </w:r>
      <w:r w:rsidR="00C62544" w:rsidRPr="00D65091">
        <w:rPr>
          <w:rFonts w:ascii="Arial" w:eastAsia="Times New Roman" w:hAnsi="Arial" w:cs="Arial"/>
          <w:kern w:val="0"/>
          <w:sz w:val="22"/>
          <w:szCs w:val="22"/>
          <w:lang w:eastAsia="en-GB"/>
          <w14:ligatures w14:val="none"/>
        </w:rPr>
        <w:t>(</w:t>
      </w:r>
      <w:r w:rsidR="00517FD8" w:rsidRPr="00D65091">
        <w:rPr>
          <w:rFonts w:ascii="Arial" w:eastAsia="Times New Roman" w:hAnsi="Arial" w:cs="Arial"/>
          <w:kern w:val="0"/>
          <w:sz w:val="22"/>
          <w:szCs w:val="22"/>
          <w:lang w:eastAsia="en-GB"/>
          <w14:ligatures w14:val="none"/>
        </w:rPr>
        <w:t>2020)</w:t>
      </w:r>
      <w:r w:rsidR="00BB4967" w:rsidRPr="00D65091">
        <w:rPr>
          <w:rFonts w:ascii="Arial" w:eastAsia="Times New Roman" w:hAnsi="Arial" w:cs="Arial"/>
          <w:kern w:val="0"/>
          <w:sz w:val="22"/>
          <w:szCs w:val="22"/>
          <w:lang w:eastAsia="en-GB"/>
          <w14:ligatures w14:val="none"/>
        </w:rPr>
        <w:t xml:space="preserve"> </w:t>
      </w:r>
      <w:r w:rsidR="00C62544" w:rsidRPr="00D65091">
        <w:rPr>
          <w:rFonts w:ascii="Arial" w:eastAsia="Times New Roman" w:hAnsi="Arial" w:cs="Arial"/>
          <w:kern w:val="0"/>
          <w:sz w:val="22"/>
          <w:szCs w:val="22"/>
          <w:lang w:eastAsia="en-GB"/>
          <w14:ligatures w14:val="none"/>
        </w:rPr>
        <w:t>also stress the importance of</w:t>
      </w:r>
      <w:r w:rsidR="00123027" w:rsidRPr="00D65091">
        <w:rPr>
          <w:rFonts w:ascii="Arial" w:eastAsia="Times New Roman" w:hAnsi="Arial" w:cs="Arial"/>
          <w:kern w:val="0"/>
          <w:sz w:val="22"/>
          <w:szCs w:val="22"/>
          <w:lang w:eastAsia="en-GB"/>
          <w14:ligatures w14:val="none"/>
        </w:rPr>
        <w:t xml:space="preserve"> ongoing</w:t>
      </w:r>
      <w:r w:rsidR="009139D6" w:rsidRPr="00D65091">
        <w:rPr>
          <w:rFonts w:ascii="Arial" w:hAnsi="Arial" w:cs="Arial"/>
          <w:color w:val="1C1C1C"/>
          <w:sz w:val="22"/>
          <w:szCs w:val="22"/>
          <w:shd w:val="clear" w:color="auto" w:fill="FFFFFF"/>
        </w:rPr>
        <w:t xml:space="preserve"> self-reflection and dialogue with participants</w:t>
      </w:r>
      <w:r w:rsidR="00C62544" w:rsidRPr="00D65091">
        <w:rPr>
          <w:rFonts w:ascii="Arial" w:hAnsi="Arial" w:cs="Arial"/>
          <w:color w:val="1C1C1C"/>
          <w:sz w:val="22"/>
          <w:szCs w:val="22"/>
          <w:shd w:val="clear" w:color="auto" w:fill="FFFFFF"/>
        </w:rPr>
        <w:t xml:space="preserve"> to validate </w:t>
      </w:r>
      <w:r w:rsidR="00D65091" w:rsidRPr="00D65091">
        <w:rPr>
          <w:rFonts w:ascii="Arial" w:hAnsi="Arial" w:cs="Arial"/>
          <w:color w:val="1C1C1C"/>
          <w:sz w:val="22"/>
          <w:szCs w:val="22"/>
          <w:shd w:val="clear" w:color="auto" w:fill="FFFFFF"/>
        </w:rPr>
        <w:t>presented themes and seek feedback,</w:t>
      </w:r>
      <w:r w:rsidR="00E347EE" w:rsidRPr="00D65091">
        <w:rPr>
          <w:rFonts w:ascii="Arial" w:hAnsi="Arial" w:cs="Arial"/>
          <w:color w:val="1C1C1C"/>
          <w:sz w:val="22"/>
          <w:szCs w:val="22"/>
          <w:shd w:val="clear" w:color="auto" w:fill="FFFFFF"/>
        </w:rPr>
        <w:t xml:space="preserve"> which is crucial </w:t>
      </w:r>
      <w:r w:rsidR="009139D6" w:rsidRPr="00D65091">
        <w:rPr>
          <w:rFonts w:ascii="Arial" w:hAnsi="Arial" w:cs="Arial"/>
          <w:color w:val="1C1C1C"/>
          <w:sz w:val="22"/>
          <w:szCs w:val="22"/>
          <w:shd w:val="clear" w:color="auto" w:fill="FFFFFF"/>
        </w:rPr>
        <w:t>in maintaining. Ultimately, this iterative process of reflexivity enhances the validity and relevance of the research question.</w:t>
      </w:r>
    </w:p>
    <w:p w14:paraId="7A224C80" w14:textId="77777777" w:rsidR="00261301" w:rsidRDefault="00261301" w:rsidP="00F36AFF">
      <w:pPr>
        <w:spacing w:line="360" w:lineRule="auto"/>
        <w:jc w:val="both"/>
        <w:rPr>
          <w:rFonts w:ascii="Arial" w:hAnsi="Arial" w:cs="Arial"/>
          <w:color w:val="1C1C1C"/>
          <w:sz w:val="22"/>
          <w:szCs w:val="22"/>
          <w:shd w:val="clear" w:color="auto" w:fill="FFFFFF"/>
        </w:rPr>
      </w:pPr>
    </w:p>
    <w:p w14:paraId="10DDD5B8" w14:textId="77777777" w:rsidR="459C7FC2" w:rsidRPr="00261301" w:rsidRDefault="00000000" w:rsidP="00F36AFF">
      <w:pPr>
        <w:spacing w:line="360" w:lineRule="auto"/>
        <w:jc w:val="both"/>
        <w:rPr>
          <w:rFonts w:ascii="Arial" w:hAnsi="Arial" w:cs="Arial"/>
          <w:color w:val="1C1C1C"/>
          <w:sz w:val="22"/>
          <w:szCs w:val="22"/>
          <w:shd w:val="clear" w:color="auto" w:fill="FFFFFF"/>
        </w:rPr>
      </w:pPr>
      <w:r w:rsidRPr="4D4299DF">
        <w:rPr>
          <w:rFonts w:ascii="Arial" w:hAnsi="Arial" w:cs="Arial"/>
          <w:sz w:val="28"/>
          <w:szCs w:val="28"/>
          <w:u w:val="single"/>
        </w:rPr>
        <w:t>Ethical considerations</w:t>
      </w:r>
    </w:p>
    <w:p w14:paraId="295CBA34" w14:textId="77777777" w:rsidR="00A74C0D" w:rsidRPr="00A74C0D" w:rsidRDefault="00000000" w:rsidP="00A74C0D">
      <w:pPr>
        <w:spacing w:line="360" w:lineRule="auto"/>
        <w:jc w:val="both"/>
        <w:rPr>
          <w:rFonts w:ascii="Arial" w:eastAsia="Arial" w:hAnsi="Arial" w:cs="Arial"/>
          <w:color w:val="000000" w:themeColor="text1"/>
          <w:sz w:val="22"/>
          <w:szCs w:val="22"/>
        </w:rPr>
      </w:pPr>
      <w:r w:rsidRPr="00A74C0D">
        <w:rPr>
          <w:rFonts w:ascii="Arial" w:hAnsi="Arial" w:cs="Arial"/>
          <w:color w:val="1C1C1C"/>
          <w:sz w:val="22"/>
          <w:szCs w:val="22"/>
          <w:shd w:val="clear" w:color="auto" w:fill="FFFFFF"/>
        </w:rPr>
        <w:t xml:space="preserve">During the research process, the researcher followed ethical protocols pertinent to the study. The British Educational Research Association (BERA) emphasised the significance of privacy and informed consent. In order to protect the individuals involved in the research, it was crucial to obtain ethical approval via the completion of an ethics form, as described in </w:t>
      </w:r>
      <w:r w:rsidRPr="00A74C0D">
        <w:rPr>
          <w:rFonts w:ascii="Arial" w:hAnsi="Arial" w:cs="Arial"/>
          <w:b/>
          <w:bCs/>
          <w:color w:val="1C1C1C"/>
          <w:sz w:val="22"/>
          <w:szCs w:val="22"/>
          <w:shd w:val="clear" w:color="auto" w:fill="FFFFFF"/>
        </w:rPr>
        <w:t>Appendix 1</w:t>
      </w:r>
      <w:r w:rsidRPr="00A74C0D">
        <w:rPr>
          <w:rFonts w:ascii="Arial" w:hAnsi="Arial" w:cs="Arial"/>
          <w:color w:val="1C1C1C"/>
          <w:sz w:val="22"/>
          <w:szCs w:val="22"/>
          <w:shd w:val="clear" w:color="auto" w:fill="FFFFFF"/>
        </w:rPr>
        <w:t>. BERA (2018) stressed the importance of seeking consent from study participants at the outset and allowing them to withdraw at any time. Additionally, the Education Workforce Council (2023) affirmed that teachers are accountable for ensuring the safety and well-being of students across various domains, including physical, social, moral, and educational aspects.</w:t>
      </w:r>
    </w:p>
    <w:p w14:paraId="656025DE" w14:textId="77777777" w:rsidR="00C23C11" w:rsidRDefault="00000000" w:rsidP="4D4299DF">
      <w:pPr>
        <w:spacing w:line="360" w:lineRule="auto"/>
        <w:jc w:val="both"/>
        <w:rPr>
          <w:rFonts w:ascii="Arial" w:eastAsia="Arial" w:hAnsi="Arial" w:cs="Arial"/>
          <w:color w:val="000000" w:themeColor="text1"/>
          <w:sz w:val="22"/>
          <w:szCs w:val="22"/>
        </w:rPr>
      </w:pPr>
      <w:r w:rsidRPr="00A74C0D">
        <w:rPr>
          <w:rFonts w:ascii="Arial" w:eastAsia="Arial" w:hAnsi="Arial" w:cs="Arial"/>
          <w:color w:val="000000" w:themeColor="text1"/>
          <w:sz w:val="22"/>
          <w:szCs w:val="22"/>
        </w:rPr>
        <w:t>Obtaining informed consent from children and their parents or legal guardians was essential before involving them in the research study. The consent was obtained to protect their rights from harm or discomfort (BERA, 2018). When conducting</w:t>
      </w:r>
      <w:r w:rsidRPr="009A2E21">
        <w:rPr>
          <w:rFonts w:ascii="Arial" w:eastAsia="Arial" w:hAnsi="Arial" w:cs="Arial"/>
          <w:color w:val="000000" w:themeColor="text1"/>
          <w:sz w:val="22"/>
          <w:szCs w:val="22"/>
        </w:rPr>
        <w:t xml:space="preserve"> research, the ethical implications of confidentiality and anonymity were considered. BERA (2018) recommended treating participants' anonymity and confidentiality as a standard practice. To respect confidentiality, the school's name was anonymised, and pseudonyms were assigned to the learners' names to guarantee anonymity in the write-up of results.</w:t>
      </w:r>
    </w:p>
    <w:p w14:paraId="3499B2B4" w14:textId="77777777" w:rsidR="00261301" w:rsidRDefault="00000000" w:rsidP="4D4299DF">
      <w:pPr>
        <w:spacing w:line="360" w:lineRule="auto"/>
        <w:jc w:val="both"/>
        <w:rPr>
          <w:rFonts w:ascii="Arial" w:eastAsia="Arial" w:hAnsi="Arial" w:cs="Arial"/>
          <w:color w:val="000000" w:themeColor="text1"/>
          <w:sz w:val="22"/>
          <w:szCs w:val="22"/>
        </w:rPr>
      </w:pPr>
      <w:r w:rsidRPr="1D9B6434">
        <w:rPr>
          <w:rFonts w:ascii="Arial" w:eastAsia="Arial" w:hAnsi="Arial" w:cs="Arial"/>
          <w:color w:val="000000" w:themeColor="text1"/>
          <w:sz w:val="22"/>
          <w:szCs w:val="22"/>
        </w:rPr>
        <w:t xml:space="preserve">The process of obtaining parental consent for the research study involved providing parents with a thorough overview and introducing the researcher to establish a sense of familiarity. A positive relationship was fostered, and any pressure or discomfort parents may have experienced was alleviated. Only children whose parents had given their consent were </w:t>
      </w:r>
      <w:r w:rsidRPr="1D9B6434">
        <w:rPr>
          <w:rFonts w:ascii="Arial" w:eastAsia="Arial" w:hAnsi="Arial" w:cs="Arial"/>
          <w:color w:val="000000" w:themeColor="text1"/>
          <w:sz w:val="22"/>
          <w:szCs w:val="22"/>
        </w:rPr>
        <w:lastRenderedPageBreak/>
        <w:t xml:space="preserve">included in the study. Subsequently, the </w:t>
      </w:r>
      <w:r w:rsidR="18146980" w:rsidRPr="1D9B6434">
        <w:rPr>
          <w:rFonts w:ascii="Arial" w:eastAsia="Arial" w:hAnsi="Arial" w:cs="Arial"/>
          <w:color w:val="000000" w:themeColor="text1"/>
          <w:sz w:val="22"/>
          <w:szCs w:val="22"/>
        </w:rPr>
        <w:t>students</w:t>
      </w:r>
      <w:r w:rsidRPr="1D9B6434">
        <w:rPr>
          <w:rFonts w:ascii="Arial" w:eastAsia="Arial" w:hAnsi="Arial" w:cs="Arial"/>
          <w:color w:val="000000" w:themeColor="text1"/>
          <w:sz w:val="22"/>
          <w:szCs w:val="22"/>
        </w:rPr>
        <w:t xml:space="preserve"> were </w:t>
      </w:r>
      <w:r w:rsidR="0014666F">
        <w:rPr>
          <w:rFonts w:ascii="Arial" w:eastAsia="Arial" w:hAnsi="Arial" w:cs="Arial"/>
          <w:color w:val="000000" w:themeColor="text1"/>
          <w:sz w:val="22"/>
          <w:szCs w:val="22"/>
        </w:rPr>
        <w:t>verbally asked for their assent at the session's start</w:t>
      </w:r>
      <w:r w:rsidRPr="1D9B6434">
        <w:rPr>
          <w:rFonts w:ascii="Arial" w:eastAsia="Arial" w:hAnsi="Arial" w:cs="Arial"/>
          <w:color w:val="000000" w:themeColor="text1"/>
          <w:sz w:val="22"/>
          <w:szCs w:val="22"/>
        </w:rPr>
        <w:t xml:space="preserve">. Due to the children's age, assent was sought using thumbs up and thumbs down. According to UNICEF (2023), the right of </w:t>
      </w:r>
      <w:r w:rsidR="345F75BB" w:rsidRPr="1D9B6434">
        <w:rPr>
          <w:rFonts w:ascii="Arial" w:eastAsia="Arial" w:hAnsi="Arial" w:cs="Arial"/>
          <w:color w:val="000000" w:themeColor="text1"/>
          <w:sz w:val="22"/>
          <w:szCs w:val="22"/>
        </w:rPr>
        <w:t>students</w:t>
      </w:r>
      <w:r w:rsidRPr="1D9B6434">
        <w:rPr>
          <w:rFonts w:ascii="Arial" w:eastAsia="Arial" w:hAnsi="Arial" w:cs="Arial"/>
          <w:color w:val="000000" w:themeColor="text1"/>
          <w:sz w:val="22"/>
          <w:szCs w:val="22"/>
        </w:rPr>
        <w:t xml:space="preserve"> to voice their opinions on all matters that affect them is essential and must be protected. To honour this, the study was clearly explained during the first session, allowing </w:t>
      </w:r>
      <w:r w:rsidR="0558A06A" w:rsidRPr="1D9B6434">
        <w:rPr>
          <w:rFonts w:ascii="Arial" w:eastAsia="Arial" w:hAnsi="Arial" w:cs="Arial"/>
          <w:color w:val="000000" w:themeColor="text1"/>
          <w:sz w:val="22"/>
          <w:szCs w:val="22"/>
        </w:rPr>
        <w:t>students</w:t>
      </w:r>
      <w:r w:rsidRPr="1D9B6434">
        <w:rPr>
          <w:rFonts w:ascii="Arial" w:eastAsia="Arial" w:hAnsi="Arial" w:cs="Arial"/>
          <w:color w:val="000000" w:themeColor="text1"/>
          <w:sz w:val="22"/>
          <w:szCs w:val="22"/>
        </w:rPr>
        <w:t xml:space="preserve"> to ask any questions they may have had. For those who chose to participate, the study proceeded.</w:t>
      </w:r>
    </w:p>
    <w:p w14:paraId="0769834D" w14:textId="77777777" w:rsidR="00261301" w:rsidRDefault="00261301" w:rsidP="4D4299DF">
      <w:pPr>
        <w:spacing w:line="360" w:lineRule="auto"/>
        <w:jc w:val="both"/>
        <w:rPr>
          <w:rFonts w:ascii="Arial" w:eastAsia="Arial" w:hAnsi="Arial" w:cs="Arial"/>
          <w:color w:val="000000" w:themeColor="text1"/>
          <w:sz w:val="22"/>
          <w:szCs w:val="22"/>
        </w:rPr>
      </w:pPr>
    </w:p>
    <w:p w14:paraId="75DEE7A1" w14:textId="77777777" w:rsidR="459C7FC2" w:rsidRPr="00261301" w:rsidRDefault="00000000" w:rsidP="4D4299DF">
      <w:pPr>
        <w:spacing w:line="360" w:lineRule="auto"/>
        <w:jc w:val="both"/>
        <w:rPr>
          <w:rFonts w:ascii="Arial" w:eastAsia="Arial" w:hAnsi="Arial" w:cs="Arial"/>
          <w:color w:val="000000" w:themeColor="text1"/>
          <w:sz w:val="22"/>
          <w:szCs w:val="22"/>
        </w:rPr>
      </w:pPr>
      <w:r w:rsidRPr="4D4299DF">
        <w:rPr>
          <w:rFonts w:ascii="Arial" w:hAnsi="Arial" w:cs="Arial"/>
          <w:sz w:val="28"/>
          <w:szCs w:val="28"/>
          <w:u w:val="single"/>
        </w:rPr>
        <w:t>Results/Analysis of Results/Discussion</w:t>
      </w:r>
    </w:p>
    <w:p w14:paraId="0368F059" w14:textId="77777777" w:rsidR="00A42C0F" w:rsidRPr="00D73B82" w:rsidRDefault="00000000" w:rsidP="4D4299DF">
      <w:pPr>
        <w:spacing w:line="360" w:lineRule="auto"/>
        <w:jc w:val="both"/>
        <w:rPr>
          <w:rFonts w:ascii="Arial" w:hAnsi="Arial" w:cs="Arial"/>
          <w:sz w:val="22"/>
          <w:szCs w:val="22"/>
        </w:rPr>
      </w:pPr>
      <w:r w:rsidRPr="00D73B82">
        <w:rPr>
          <w:rFonts w:ascii="Arial" w:hAnsi="Arial" w:cs="Arial"/>
          <w:sz w:val="22"/>
          <w:szCs w:val="22"/>
        </w:rPr>
        <w:t xml:space="preserve">Following the </w:t>
      </w:r>
      <w:r w:rsidR="00EA0C4F" w:rsidRPr="00D73B82">
        <w:rPr>
          <w:rFonts w:ascii="Arial" w:hAnsi="Arial" w:cs="Arial"/>
          <w:sz w:val="22"/>
          <w:szCs w:val="22"/>
        </w:rPr>
        <w:t>approval of the ethics form submitted</w:t>
      </w:r>
      <w:r w:rsidR="0014666F" w:rsidRPr="00D73B82">
        <w:rPr>
          <w:rFonts w:ascii="Arial" w:hAnsi="Arial" w:cs="Arial"/>
          <w:sz w:val="22"/>
          <w:szCs w:val="22"/>
        </w:rPr>
        <w:t>,</w:t>
      </w:r>
      <w:r w:rsidRPr="00D73B82">
        <w:rPr>
          <w:rFonts w:ascii="Arial" w:hAnsi="Arial" w:cs="Arial"/>
          <w:sz w:val="22"/>
          <w:szCs w:val="22"/>
        </w:rPr>
        <w:t xml:space="preserve"> det</w:t>
      </w:r>
      <w:r w:rsidR="009D680B" w:rsidRPr="00D73B82">
        <w:rPr>
          <w:rFonts w:ascii="Arial" w:hAnsi="Arial" w:cs="Arial"/>
          <w:sz w:val="22"/>
          <w:szCs w:val="22"/>
        </w:rPr>
        <w:t>a</w:t>
      </w:r>
      <w:r w:rsidRPr="00D73B82">
        <w:rPr>
          <w:rFonts w:ascii="Arial" w:hAnsi="Arial" w:cs="Arial"/>
          <w:sz w:val="22"/>
          <w:szCs w:val="22"/>
        </w:rPr>
        <w:t xml:space="preserve">iled in </w:t>
      </w:r>
      <w:r w:rsidRPr="00D73B82">
        <w:rPr>
          <w:rFonts w:ascii="Arial" w:hAnsi="Arial" w:cs="Arial"/>
          <w:b/>
          <w:bCs/>
          <w:sz w:val="22"/>
          <w:szCs w:val="22"/>
        </w:rPr>
        <w:t>Appendix 1</w:t>
      </w:r>
      <w:r w:rsidRPr="00D73B82">
        <w:rPr>
          <w:rFonts w:ascii="Arial" w:hAnsi="Arial" w:cs="Arial"/>
          <w:sz w:val="22"/>
          <w:szCs w:val="22"/>
        </w:rPr>
        <w:t xml:space="preserve">, a letter seeking parental consent was dispatched to the guardians of students listed in </w:t>
      </w:r>
      <w:r w:rsidRPr="00D73B82">
        <w:rPr>
          <w:rFonts w:ascii="Arial" w:hAnsi="Arial" w:cs="Arial"/>
          <w:b/>
          <w:bCs/>
          <w:sz w:val="22"/>
          <w:szCs w:val="22"/>
        </w:rPr>
        <w:t>Appendix 2</w:t>
      </w:r>
      <w:r w:rsidRPr="00D73B82">
        <w:rPr>
          <w:rFonts w:ascii="Arial" w:hAnsi="Arial" w:cs="Arial"/>
          <w:sz w:val="22"/>
          <w:szCs w:val="22"/>
        </w:rPr>
        <w:t>. Out of the thirty contacted, twenty-two granted their approval for their children to participate. From this pool of twenty-two, a sample of ten was chosen to partake in the utilised approach.</w:t>
      </w:r>
    </w:p>
    <w:p w14:paraId="6BD92653" w14:textId="77777777" w:rsidR="00D711D6" w:rsidRPr="00D73B82" w:rsidRDefault="00000000" w:rsidP="4D4299DF">
      <w:pPr>
        <w:spacing w:line="360" w:lineRule="auto"/>
        <w:jc w:val="both"/>
        <w:rPr>
          <w:rFonts w:ascii="Arial" w:hAnsi="Arial" w:cs="Arial"/>
          <w:sz w:val="22"/>
          <w:szCs w:val="22"/>
        </w:rPr>
      </w:pPr>
      <w:r w:rsidRPr="00D73B82">
        <w:rPr>
          <w:rFonts w:ascii="Arial" w:hAnsi="Arial" w:cs="Arial"/>
          <w:sz w:val="22"/>
          <w:szCs w:val="22"/>
        </w:rPr>
        <w:t>Ten children were in the</w:t>
      </w:r>
      <w:r w:rsidR="00621411" w:rsidRPr="00D73B82">
        <w:rPr>
          <w:rFonts w:ascii="Arial" w:hAnsi="Arial" w:cs="Arial"/>
          <w:sz w:val="22"/>
          <w:szCs w:val="22"/>
        </w:rPr>
        <w:t xml:space="preserve"> sample</w:t>
      </w:r>
      <w:r w:rsidRPr="00D73B82">
        <w:rPr>
          <w:rFonts w:ascii="Arial" w:hAnsi="Arial" w:cs="Arial"/>
          <w:sz w:val="22"/>
          <w:szCs w:val="22"/>
        </w:rPr>
        <w:t xml:space="preserve">, evenly split between five boys and five girls. All the children were of the </w:t>
      </w:r>
      <w:r w:rsidR="00A42C0F" w:rsidRPr="00D73B82">
        <w:rPr>
          <w:rFonts w:ascii="Arial" w:hAnsi="Arial" w:cs="Arial"/>
          <w:sz w:val="22"/>
          <w:szCs w:val="22"/>
        </w:rPr>
        <w:t>nursery-age</w:t>
      </w:r>
      <w:r w:rsidRPr="00D73B82">
        <w:rPr>
          <w:rFonts w:ascii="Arial" w:hAnsi="Arial" w:cs="Arial"/>
          <w:sz w:val="22"/>
          <w:szCs w:val="22"/>
        </w:rPr>
        <w:t xml:space="preserve"> demographic and came from diverse backgrounds with varying abilities.</w:t>
      </w:r>
      <w:r w:rsidR="00BF2355" w:rsidRPr="00D73B82">
        <w:rPr>
          <w:rFonts w:ascii="Arial" w:hAnsi="Arial" w:cs="Arial"/>
          <w:sz w:val="22"/>
          <w:szCs w:val="22"/>
        </w:rPr>
        <w:t xml:space="preserve"> </w:t>
      </w:r>
      <w:r w:rsidR="00E34968" w:rsidRPr="00D73B82">
        <w:rPr>
          <w:rFonts w:ascii="Arial" w:hAnsi="Arial" w:cs="Arial"/>
          <w:sz w:val="22"/>
          <w:szCs w:val="22"/>
        </w:rPr>
        <w:t>At the beginning of the research, sufficient time was allocated</w:t>
      </w:r>
      <w:r w:rsidR="00B8230A" w:rsidRPr="00D73B82">
        <w:rPr>
          <w:rFonts w:ascii="Arial" w:hAnsi="Arial" w:cs="Arial"/>
          <w:sz w:val="22"/>
          <w:szCs w:val="22"/>
        </w:rPr>
        <w:t xml:space="preserve"> for parents and children to seek </w:t>
      </w:r>
      <w:r w:rsidR="004D4AB4" w:rsidRPr="00D73B82">
        <w:rPr>
          <w:rFonts w:ascii="Arial" w:hAnsi="Arial" w:cs="Arial"/>
          <w:sz w:val="22"/>
          <w:szCs w:val="22"/>
        </w:rPr>
        <w:t>clarification</w:t>
      </w:r>
      <w:r w:rsidR="00B8230A" w:rsidRPr="00D73B82">
        <w:rPr>
          <w:rFonts w:ascii="Arial" w:hAnsi="Arial" w:cs="Arial"/>
          <w:sz w:val="22"/>
          <w:szCs w:val="22"/>
        </w:rPr>
        <w:t>. The names of the children who were required to provide their assent to participate in the research were recorded to ensure that all involved parties were well informed and all permissions were obtained before proceeding with the study.</w:t>
      </w:r>
    </w:p>
    <w:p w14:paraId="04A02D80" w14:textId="77777777" w:rsidR="00CE102E" w:rsidRPr="00D73B82" w:rsidRDefault="00000000" w:rsidP="001040AF">
      <w:pPr>
        <w:spacing w:line="360" w:lineRule="auto"/>
        <w:jc w:val="both"/>
        <w:rPr>
          <w:rFonts w:ascii="Times New Roman" w:eastAsia="Times New Roman" w:hAnsi="Times New Roman" w:cs="Times New Roman"/>
          <w:kern w:val="0"/>
          <w:sz w:val="22"/>
          <w:szCs w:val="22"/>
          <w:lang w:eastAsia="en-GB"/>
          <w14:ligatures w14:val="none"/>
        </w:rPr>
      </w:pPr>
      <w:r w:rsidRPr="00D73B82">
        <w:rPr>
          <w:rFonts w:ascii="Arial" w:hAnsi="Arial" w:cs="Arial"/>
          <w:sz w:val="22"/>
          <w:szCs w:val="22"/>
        </w:rPr>
        <w:t xml:space="preserve">The observation schedule outlined in </w:t>
      </w:r>
      <w:r w:rsidRPr="00D73B82">
        <w:rPr>
          <w:rFonts w:ascii="Arial" w:hAnsi="Arial" w:cs="Arial"/>
          <w:b/>
          <w:bCs/>
          <w:sz w:val="22"/>
          <w:szCs w:val="22"/>
        </w:rPr>
        <w:t>Appendix 4</w:t>
      </w:r>
      <w:r w:rsidRPr="00D73B82">
        <w:rPr>
          <w:rFonts w:ascii="Arial" w:hAnsi="Arial" w:cs="Arial"/>
          <w:sz w:val="22"/>
          <w:szCs w:val="22"/>
        </w:rPr>
        <w:t xml:space="preserve">  provided a means </w:t>
      </w:r>
      <w:r w:rsidR="006661E3" w:rsidRPr="00D73B82">
        <w:rPr>
          <w:rFonts w:ascii="Arial" w:hAnsi="Arial" w:cs="Arial"/>
          <w:sz w:val="22"/>
          <w:szCs w:val="22"/>
        </w:rPr>
        <w:t>to capture specific behaviours of interest. As</w:t>
      </w:r>
      <w:r w:rsidRPr="00D73B82">
        <w:rPr>
          <w:rFonts w:ascii="Arial" w:hAnsi="Arial" w:cs="Arial"/>
          <w:sz w:val="22"/>
          <w:szCs w:val="22"/>
        </w:rPr>
        <w:t xml:space="preserve"> </w:t>
      </w:r>
      <w:r w:rsidR="00343681" w:rsidRPr="00D73B82">
        <w:rPr>
          <w:rFonts w:ascii="Arial" w:eastAsia="Times New Roman" w:hAnsi="Arial" w:cs="Arial"/>
          <w:kern w:val="0"/>
          <w:sz w:val="22"/>
          <w:szCs w:val="22"/>
          <w:lang w:eastAsia="en-GB"/>
          <w14:ligatures w14:val="none"/>
        </w:rPr>
        <w:t xml:space="preserve">Waxman </w:t>
      </w:r>
      <w:r w:rsidR="00343681" w:rsidRPr="00D73B82">
        <w:rPr>
          <w:rFonts w:ascii="Arial" w:eastAsia="Times New Roman" w:hAnsi="Arial" w:cs="Arial"/>
          <w:i/>
          <w:iCs/>
          <w:kern w:val="0"/>
          <w:sz w:val="22"/>
          <w:szCs w:val="22"/>
          <w:lang w:eastAsia="en-GB"/>
          <w14:ligatures w14:val="none"/>
        </w:rPr>
        <w:t>et al.</w:t>
      </w:r>
      <w:r w:rsidR="00343681" w:rsidRPr="00D73B82">
        <w:rPr>
          <w:rFonts w:ascii="Arial" w:eastAsia="Times New Roman" w:hAnsi="Arial" w:cs="Arial"/>
          <w:kern w:val="0"/>
          <w:sz w:val="22"/>
          <w:szCs w:val="22"/>
          <w:lang w:eastAsia="en-GB"/>
          <w14:ligatures w14:val="none"/>
        </w:rPr>
        <w:t xml:space="preserve"> </w:t>
      </w:r>
      <w:r w:rsidR="00652C48" w:rsidRPr="00D73B82">
        <w:rPr>
          <w:rFonts w:ascii="Arial" w:eastAsia="Times New Roman" w:hAnsi="Arial" w:cs="Arial"/>
          <w:kern w:val="0"/>
          <w:sz w:val="22"/>
          <w:szCs w:val="22"/>
          <w:lang w:eastAsia="en-GB"/>
          <w14:ligatures w14:val="none"/>
        </w:rPr>
        <w:t>(</w:t>
      </w:r>
      <w:r w:rsidR="00343681" w:rsidRPr="00D73B82">
        <w:rPr>
          <w:rFonts w:ascii="Arial" w:eastAsia="Times New Roman" w:hAnsi="Arial" w:cs="Arial"/>
          <w:kern w:val="0"/>
          <w:sz w:val="22"/>
          <w:szCs w:val="22"/>
          <w:lang w:eastAsia="en-GB"/>
          <w14:ligatures w14:val="none"/>
        </w:rPr>
        <w:t>2004)</w:t>
      </w:r>
      <w:r w:rsidR="00652C48" w:rsidRPr="00D73B82">
        <w:rPr>
          <w:rFonts w:ascii="Arial" w:eastAsia="Times New Roman" w:hAnsi="Arial" w:cs="Arial"/>
          <w:kern w:val="0"/>
          <w:sz w:val="22"/>
          <w:szCs w:val="22"/>
          <w:lang w:eastAsia="en-GB"/>
          <w14:ligatures w14:val="none"/>
        </w:rPr>
        <w:t xml:space="preserve"> </w:t>
      </w:r>
      <w:r w:rsidR="00E43727" w:rsidRPr="00D73B82">
        <w:rPr>
          <w:rFonts w:ascii="Arial" w:eastAsia="Times New Roman" w:hAnsi="Arial" w:cs="Arial"/>
          <w:kern w:val="0"/>
          <w:sz w:val="22"/>
          <w:szCs w:val="22"/>
          <w:lang w:eastAsia="en-GB"/>
          <w14:ligatures w14:val="none"/>
        </w:rPr>
        <w:t>s</w:t>
      </w:r>
      <w:r w:rsidR="006661E3" w:rsidRPr="00D73B82">
        <w:rPr>
          <w:rFonts w:ascii="Arial" w:eastAsia="Times New Roman" w:hAnsi="Arial" w:cs="Arial"/>
          <w:kern w:val="0"/>
          <w:sz w:val="22"/>
          <w:szCs w:val="22"/>
          <w:lang w:eastAsia="en-GB"/>
          <w14:ligatures w14:val="none"/>
        </w:rPr>
        <w:t>uggest</w:t>
      </w:r>
      <w:r w:rsidR="004521B4" w:rsidRPr="00D73B82">
        <w:rPr>
          <w:rFonts w:ascii="Arial" w:eastAsia="Times New Roman" w:hAnsi="Arial" w:cs="Arial"/>
          <w:kern w:val="0"/>
          <w:sz w:val="22"/>
          <w:szCs w:val="22"/>
          <w:lang w:eastAsia="en-GB"/>
          <w14:ligatures w14:val="none"/>
        </w:rPr>
        <w:t>,</w:t>
      </w:r>
      <w:r w:rsidR="00E43727" w:rsidRPr="00D73B82">
        <w:rPr>
          <w:rFonts w:ascii="Arial" w:eastAsia="Times New Roman" w:hAnsi="Arial" w:cs="Arial"/>
          <w:kern w:val="0"/>
          <w:sz w:val="22"/>
          <w:szCs w:val="22"/>
          <w:lang w:eastAsia="en-GB"/>
          <w14:ligatures w14:val="none"/>
        </w:rPr>
        <w:t xml:space="preserve"> </w:t>
      </w:r>
      <w:r w:rsidR="004521B4" w:rsidRPr="00D73B82">
        <w:rPr>
          <w:rFonts w:ascii="Arial" w:eastAsia="Times New Roman" w:hAnsi="Arial" w:cs="Arial"/>
          <w:kern w:val="0"/>
          <w:sz w:val="22"/>
          <w:szCs w:val="22"/>
          <w:lang w:eastAsia="en-GB"/>
          <w14:ligatures w14:val="none"/>
        </w:rPr>
        <w:t xml:space="preserve">such a </w:t>
      </w:r>
      <w:r w:rsidRPr="00D73B82">
        <w:rPr>
          <w:rFonts w:ascii="Arial" w:hAnsi="Arial" w:cs="Arial"/>
          <w:sz w:val="22"/>
          <w:szCs w:val="22"/>
        </w:rPr>
        <w:t xml:space="preserve">focused approach helps </w:t>
      </w:r>
      <w:r w:rsidR="004521B4" w:rsidRPr="00D73B82">
        <w:rPr>
          <w:rFonts w:ascii="Arial" w:hAnsi="Arial" w:cs="Arial"/>
          <w:sz w:val="22"/>
          <w:szCs w:val="22"/>
        </w:rPr>
        <w:t>to guide the</w:t>
      </w:r>
      <w:r w:rsidRPr="00D73B82">
        <w:rPr>
          <w:rFonts w:ascii="Arial" w:hAnsi="Arial" w:cs="Arial"/>
          <w:sz w:val="22"/>
          <w:szCs w:val="22"/>
        </w:rPr>
        <w:t xml:space="preserve"> observation process and</w:t>
      </w:r>
      <w:r w:rsidR="000600F4" w:rsidRPr="00D73B82">
        <w:rPr>
          <w:rFonts w:ascii="Arial" w:hAnsi="Arial" w:cs="Arial"/>
          <w:sz w:val="22"/>
          <w:szCs w:val="22"/>
        </w:rPr>
        <w:t xml:space="preserve"> ensures that it remains aligned with the intended purpose, preventing any deviations.</w:t>
      </w:r>
      <w:r w:rsidR="00E707BE" w:rsidRPr="00D73B82">
        <w:rPr>
          <w:rFonts w:ascii="Arial" w:hAnsi="Arial" w:cs="Arial"/>
          <w:color w:val="1C1C1C"/>
          <w:sz w:val="22"/>
          <w:szCs w:val="22"/>
          <w:shd w:val="clear" w:color="auto" w:fill="FFFFFF"/>
        </w:rPr>
        <w:t xml:space="preserve"> </w:t>
      </w:r>
      <w:r w:rsidR="00837F19" w:rsidRPr="00D73B82">
        <w:rPr>
          <w:rFonts w:ascii="Arial" w:hAnsi="Arial" w:cs="Arial"/>
          <w:color w:val="1C1C1C"/>
          <w:sz w:val="22"/>
          <w:szCs w:val="22"/>
          <w:shd w:val="clear" w:color="auto" w:fill="FFFFFF"/>
        </w:rPr>
        <w:t>However</w:t>
      </w:r>
      <w:r w:rsidR="00375F8C" w:rsidRPr="00D73B82">
        <w:rPr>
          <w:rFonts w:ascii="Arial" w:hAnsi="Arial" w:cs="Arial"/>
          <w:color w:val="1C1C1C"/>
          <w:sz w:val="22"/>
          <w:szCs w:val="22"/>
          <w:shd w:val="clear" w:color="auto" w:fill="FFFFFF"/>
        </w:rPr>
        <w:t xml:space="preserve">, </w:t>
      </w:r>
      <w:proofErr w:type="spellStart"/>
      <w:r w:rsidR="00375F8C" w:rsidRPr="00D73B82">
        <w:rPr>
          <w:rFonts w:ascii="Arial" w:eastAsia="Times New Roman" w:hAnsi="Arial" w:cs="Arial"/>
          <w:kern w:val="0"/>
          <w:sz w:val="22"/>
          <w:szCs w:val="22"/>
          <w:lang w:eastAsia="en-GB"/>
          <w14:ligatures w14:val="none"/>
        </w:rPr>
        <w:t>Tilstone</w:t>
      </w:r>
      <w:proofErr w:type="spellEnd"/>
      <w:r w:rsidR="00375F8C" w:rsidRPr="00D73B82">
        <w:rPr>
          <w:rFonts w:ascii="Arial" w:eastAsia="Times New Roman" w:hAnsi="Arial" w:cs="Arial"/>
          <w:kern w:val="0"/>
          <w:sz w:val="22"/>
          <w:szCs w:val="22"/>
          <w:lang w:eastAsia="en-GB"/>
          <w14:ligatures w14:val="none"/>
        </w:rPr>
        <w:t xml:space="preserve"> (2013)</w:t>
      </w:r>
      <w:r w:rsidR="00375F8C" w:rsidRPr="00D73B82">
        <w:rPr>
          <w:rFonts w:ascii="Times New Roman" w:eastAsia="Times New Roman" w:hAnsi="Times New Roman" w:cs="Times New Roman"/>
          <w:kern w:val="0"/>
          <w:sz w:val="22"/>
          <w:szCs w:val="22"/>
          <w:lang w:eastAsia="en-GB"/>
          <w14:ligatures w14:val="none"/>
        </w:rPr>
        <w:t xml:space="preserve"> </w:t>
      </w:r>
      <w:r w:rsidR="00837F19" w:rsidRPr="00D73B82">
        <w:rPr>
          <w:rFonts w:ascii="Arial" w:hAnsi="Arial" w:cs="Arial"/>
          <w:color w:val="1C1C1C"/>
          <w:sz w:val="22"/>
          <w:szCs w:val="22"/>
          <w:shd w:val="clear" w:color="auto" w:fill="FFFFFF"/>
        </w:rPr>
        <w:t>argue</w:t>
      </w:r>
      <w:r w:rsidR="00375F8C" w:rsidRPr="00D73B82">
        <w:rPr>
          <w:rFonts w:ascii="Arial" w:hAnsi="Arial" w:cs="Arial"/>
          <w:color w:val="1C1C1C"/>
          <w:sz w:val="22"/>
          <w:szCs w:val="22"/>
          <w:shd w:val="clear" w:color="auto" w:fill="FFFFFF"/>
        </w:rPr>
        <w:t>s</w:t>
      </w:r>
      <w:r w:rsidR="00837F19" w:rsidRPr="00D73B82">
        <w:rPr>
          <w:rFonts w:ascii="Arial" w:hAnsi="Arial" w:cs="Arial"/>
          <w:color w:val="1C1C1C"/>
          <w:sz w:val="22"/>
          <w:szCs w:val="22"/>
          <w:shd w:val="clear" w:color="auto" w:fill="FFFFFF"/>
        </w:rPr>
        <w:t xml:space="preserve"> that </w:t>
      </w:r>
      <w:r w:rsidR="001040AF" w:rsidRPr="00D73B82">
        <w:rPr>
          <w:rFonts w:ascii="Arial" w:hAnsi="Arial" w:cs="Arial"/>
          <w:color w:val="1C1C1C"/>
          <w:sz w:val="22"/>
          <w:szCs w:val="22"/>
          <w:shd w:val="clear" w:color="auto" w:fill="FFFFFF"/>
        </w:rPr>
        <w:t>using</w:t>
      </w:r>
      <w:r w:rsidR="00837F19" w:rsidRPr="00D73B82">
        <w:rPr>
          <w:rFonts w:ascii="Arial" w:hAnsi="Arial" w:cs="Arial"/>
          <w:color w:val="1C1C1C"/>
          <w:sz w:val="22"/>
          <w:szCs w:val="22"/>
          <w:shd w:val="clear" w:color="auto" w:fill="FFFFFF"/>
        </w:rPr>
        <w:t xml:space="preserve"> observation schedules may limit a researcher's ability to capture unexpected behaviours that could enhance their understanding of the research question. Nevertheless, the schedule provided clear guidelines for data collection and contributed to a comprehensive understanding of the research question</w:t>
      </w:r>
      <w:r w:rsidR="00981779" w:rsidRPr="00D73B82">
        <w:rPr>
          <w:rFonts w:ascii="Arial" w:hAnsi="Arial" w:cs="Arial"/>
          <w:color w:val="1C1C1C"/>
          <w:sz w:val="22"/>
          <w:szCs w:val="22"/>
          <w:shd w:val="clear" w:color="auto" w:fill="FFFFFF"/>
        </w:rPr>
        <w:t>s.</w:t>
      </w:r>
    </w:p>
    <w:p w14:paraId="0FFE37FB" w14:textId="77777777" w:rsidR="00723428" w:rsidRPr="00D73B82" w:rsidRDefault="00000000" w:rsidP="4D4299DF">
      <w:pPr>
        <w:spacing w:line="360" w:lineRule="auto"/>
        <w:jc w:val="both"/>
        <w:rPr>
          <w:rFonts w:ascii="Arial" w:hAnsi="Arial" w:cs="Arial"/>
          <w:sz w:val="22"/>
          <w:szCs w:val="22"/>
        </w:rPr>
      </w:pPr>
      <w:r w:rsidRPr="00D73B82">
        <w:rPr>
          <w:rFonts w:ascii="Arial" w:hAnsi="Arial" w:cs="Arial"/>
          <w:sz w:val="22"/>
          <w:szCs w:val="22"/>
        </w:rPr>
        <w:t xml:space="preserve">The student's behaviours and interactions were observed throughout the day </w:t>
      </w:r>
      <w:r w:rsidR="003C35BB" w:rsidRPr="00D73B82">
        <w:rPr>
          <w:rFonts w:ascii="Arial" w:hAnsi="Arial" w:cs="Arial"/>
          <w:sz w:val="22"/>
          <w:szCs w:val="22"/>
        </w:rPr>
        <w:t>to ensure seamless transitions and successful participation in all activities</w:t>
      </w:r>
      <w:r w:rsidR="0087386B" w:rsidRPr="00D73B82">
        <w:rPr>
          <w:rFonts w:ascii="Arial" w:hAnsi="Arial" w:cs="Arial"/>
          <w:color w:val="1C1C1C"/>
          <w:sz w:val="22"/>
          <w:szCs w:val="22"/>
          <w:shd w:val="clear" w:color="auto" w:fill="FFFFFF"/>
        </w:rPr>
        <w:t>. As Quesada-Zeljkovic, Campos, and Nieto (2023) highlighted, observation is crucial in gaining insights into student behaviour</w:t>
      </w:r>
      <w:r w:rsidR="007E6972" w:rsidRPr="00D73B82">
        <w:rPr>
          <w:rFonts w:ascii="Arial" w:hAnsi="Arial" w:cs="Arial"/>
          <w:color w:val="1C1C1C"/>
          <w:sz w:val="22"/>
          <w:szCs w:val="22"/>
          <w:shd w:val="clear" w:color="auto" w:fill="FFFFFF"/>
        </w:rPr>
        <w:t xml:space="preserve"> and interactions. Upon analysing the observations, </w:t>
      </w:r>
      <w:r w:rsidR="0087386B" w:rsidRPr="00D73B82">
        <w:rPr>
          <w:rFonts w:ascii="Arial" w:hAnsi="Arial" w:cs="Arial"/>
          <w:color w:val="1C1C1C"/>
          <w:sz w:val="22"/>
          <w:szCs w:val="22"/>
          <w:shd w:val="clear" w:color="auto" w:fill="FFFFFF"/>
        </w:rPr>
        <w:t xml:space="preserve">a common theme was </w:t>
      </w:r>
      <w:r w:rsidR="007E6972" w:rsidRPr="00D73B82">
        <w:rPr>
          <w:rFonts w:ascii="Arial" w:hAnsi="Arial" w:cs="Arial"/>
          <w:color w:val="1C1C1C"/>
          <w:sz w:val="22"/>
          <w:szCs w:val="22"/>
          <w:shd w:val="clear" w:color="auto" w:fill="FFFFFF"/>
        </w:rPr>
        <w:t xml:space="preserve">identified which is outlined in Appendix 6. </w:t>
      </w:r>
      <w:r w:rsidR="003C35BB" w:rsidRPr="00D73B82">
        <w:rPr>
          <w:rFonts w:ascii="Arial" w:hAnsi="Arial" w:cs="Arial"/>
          <w:sz w:val="22"/>
          <w:szCs w:val="22"/>
        </w:rPr>
        <w:t xml:space="preserve">Most participants expressed enthusiasm for the visual timetable, while some less engaged expressed a desire for playtime. It became clear that these students were prone to distraction and required gentle reminders to remain focused and follow the visual timetable. </w:t>
      </w:r>
    </w:p>
    <w:p w14:paraId="26B65FAB" w14:textId="77777777" w:rsidR="00E954D8" w:rsidRPr="00D73B82" w:rsidRDefault="00000000" w:rsidP="4D4299DF">
      <w:pPr>
        <w:spacing w:line="360" w:lineRule="auto"/>
        <w:jc w:val="both"/>
        <w:rPr>
          <w:rFonts w:ascii="Arial" w:hAnsi="Arial" w:cs="Arial"/>
          <w:sz w:val="22"/>
          <w:szCs w:val="22"/>
        </w:rPr>
      </w:pPr>
      <w:r w:rsidRPr="00D73B82">
        <w:rPr>
          <w:rFonts w:ascii="Arial" w:hAnsi="Arial" w:cs="Arial"/>
          <w:b/>
          <w:bCs/>
          <w:sz w:val="22"/>
          <w:szCs w:val="22"/>
        </w:rPr>
        <w:lastRenderedPageBreak/>
        <w:t>Appendix 3</w:t>
      </w:r>
      <w:r w:rsidRPr="00D73B82">
        <w:rPr>
          <w:rFonts w:ascii="Arial" w:hAnsi="Arial" w:cs="Arial"/>
          <w:sz w:val="22"/>
          <w:szCs w:val="22"/>
        </w:rPr>
        <w:t xml:space="preserve"> contains a detailed outline of the questionnaire specifically developed for the research study. This questionnaire was designed to facilitate a more comprehensive understanding of the </w:t>
      </w:r>
      <w:r w:rsidR="00F26717" w:rsidRPr="00D73B82">
        <w:rPr>
          <w:rFonts w:ascii="Arial" w:hAnsi="Arial" w:cs="Arial"/>
          <w:sz w:val="22"/>
          <w:szCs w:val="22"/>
        </w:rPr>
        <w:t>student's comprehension and perception of the visual timetable. The questionnaire employed an investigative approach that probed deeper into the students' views and opinions about the visual timetable. Given the students' age, the questions were read aloud,</w:t>
      </w:r>
      <w:r w:rsidR="009A32A3" w:rsidRPr="00D73B82">
        <w:rPr>
          <w:rFonts w:ascii="Arial" w:hAnsi="Arial" w:cs="Arial"/>
          <w:sz w:val="22"/>
          <w:szCs w:val="22"/>
        </w:rPr>
        <w:t xml:space="preserve"> and responses were recorded </w:t>
      </w:r>
      <w:r w:rsidR="00D37779" w:rsidRPr="00D73B82">
        <w:rPr>
          <w:rFonts w:ascii="Arial" w:hAnsi="Arial" w:cs="Arial"/>
          <w:sz w:val="22"/>
          <w:szCs w:val="22"/>
        </w:rPr>
        <w:t>accordingly</w:t>
      </w:r>
      <w:r w:rsidR="009A32A3" w:rsidRPr="00D73B82">
        <w:rPr>
          <w:rFonts w:ascii="Arial" w:hAnsi="Arial" w:cs="Arial"/>
          <w:sz w:val="22"/>
          <w:szCs w:val="22"/>
        </w:rPr>
        <w:t>.</w:t>
      </w:r>
    </w:p>
    <w:p w14:paraId="3D80E189" w14:textId="77777777" w:rsidR="00690C26" w:rsidRPr="00D73B82" w:rsidRDefault="00000000" w:rsidP="008A6960">
      <w:pPr>
        <w:spacing w:before="240" w:line="360" w:lineRule="auto"/>
        <w:jc w:val="both"/>
        <w:rPr>
          <w:rFonts w:ascii="Arial" w:hAnsi="Arial" w:cs="Arial"/>
          <w:color w:val="1C1C1C"/>
          <w:sz w:val="22"/>
          <w:szCs w:val="22"/>
          <w:shd w:val="clear" w:color="auto" w:fill="FFFFFF"/>
        </w:rPr>
      </w:pPr>
      <w:r w:rsidRPr="00D73B82">
        <w:rPr>
          <w:rFonts w:ascii="Arial" w:hAnsi="Arial" w:cs="Arial"/>
          <w:sz w:val="22"/>
          <w:szCs w:val="22"/>
        </w:rPr>
        <w:t>The questionnaire results</w:t>
      </w:r>
      <w:r w:rsidR="00BC2CFB" w:rsidRPr="00D73B82">
        <w:rPr>
          <w:rFonts w:ascii="Arial" w:hAnsi="Arial" w:cs="Arial"/>
          <w:sz w:val="22"/>
          <w:szCs w:val="22"/>
        </w:rPr>
        <w:t xml:space="preserve"> outlined in</w:t>
      </w:r>
      <w:r w:rsidR="00BC2CFB" w:rsidRPr="00D73B82">
        <w:rPr>
          <w:rFonts w:ascii="Arial" w:hAnsi="Arial" w:cs="Arial"/>
          <w:b/>
          <w:bCs/>
          <w:sz w:val="22"/>
          <w:szCs w:val="22"/>
        </w:rPr>
        <w:t xml:space="preserve"> </w:t>
      </w:r>
      <w:r w:rsidR="00AC3BCA" w:rsidRPr="00D73B82">
        <w:rPr>
          <w:rFonts w:ascii="Arial" w:hAnsi="Arial" w:cs="Arial"/>
          <w:b/>
          <w:bCs/>
          <w:sz w:val="22"/>
          <w:szCs w:val="22"/>
        </w:rPr>
        <w:t>Appendix 5</w:t>
      </w:r>
      <w:r w:rsidRPr="00D73B82">
        <w:rPr>
          <w:rFonts w:ascii="Arial" w:hAnsi="Arial" w:cs="Arial"/>
          <w:sz w:val="22"/>
          <w:szCs w:val="22"/>
        </w:rPr>
        <w:t xml:space="preserve"> aligned with the observations made during the activities. The majority of students expressed a preference for the 'Choose our own learning' (COOL) sessions, both indoors and outdoors. Additionally, a consistent theme emerged from question 3, with all students reporting that the visual timetable made the</w:t>
      </w:r>
      <w:r w:rsidR="00383E6A" w:rsidRPr="00D73B82">
        <w:rPr>
          <w:rFonts w:ascii="Arial" w:hAnsi="Arial" w:cs="Arial"/>
          <w:sz w:val="22"/>
          <w:szCs w:val="22"/>
        </w:rPr>
        <w:t>m happy</w:t>
      </w:r>
      <w:r w:rsidRPr="00D73B82">
        <w:rPr>
          <w:rFonts w:ascii="Arial" w:hAnsi="Arial" w:cs="Arial"/>
          <w:sz w:val="22"/>
          <w:szCs w:val="22"/>
        </w:rPr>
        <w:t xml:space="preserve">. </w:t>
      </w:r>
      <w:r w:rsidR="008A6960" w:rsidRPr="00D73B82">
        <w:rPr>
          <w:rFonts w:ascii="Arial" w:hAnsi="Arial" w:cs="Arial"/>
          <w:color w:val="1C1C1C"/>
          <w:sz w:val="22"/>
          <w:szCs w:val="22"/>
          <w:shd w:val="clear" w:color="auto" w:fill="FFFFFF"/>
        </w:rPr>
        <w:t>A potential explanation for this finding is that 3-year-olds often have a limited vocabulary and may respond based on what they believe the researcher wants (Cohen et al., 2018). However, the responses may not have been as comprehensive as they could have been, which could impact the accuracy of the results</w:t>
      </w:r>
      <w:r w:rsidR="00495E35" w:rsidRPr="00D73B82">
        <w:rPr>
          <w:rFonts w:ascii="Arial" w:hAnsi="Arial" w:cs="Arial"/>
          <w:color w:val="1C1C1C"/>
          <w:sz w:val="22"/>
          <w:szCs w:val="22"/>
          <w:shd w:val="clear" w:color="auto" w:fill="FFFFFF"/>
        </w:rPr>
        <w:t>.</w:t>
      </w:r>
    </w:p>
    <w:p w14:paraId="14592A60" w14:textId="77777777" w:rsidR="00952DA1" w:rsidRPr="00D73B82" w:rsidRDefault="00000000" w:rsidP="008A6960">
      <w:pPr>
        <w:spacing w:before="240" w:line="360" w:lineRule="auto"/>
        <w:jc w:val="both"/>
        <w:rPr>
          <w:rFonts w:ascii="Times New Roman" w:eastAsia="Times New Roman" w:hAnsi="Times New Roman" w:cs="Times New Roman"/>
          <w:kern w:val="0"/>
          <w:sz w:val="22"/>
          <w:szCs w:val="22"/>
          <w:lang w:eastAsia="en-GB"/>
          <w14:ligatures w14:val="none"/>
        </w:rPr>
      </w:pPr>
      <w:r w:rsidRPr="00D73B82">
        <w:rPr>
          <w:rFonts w:ascii="Arial" w:hAnsi="Arial" w:cs="Arial"/>
          <w:sz w:val="22"/>
          <w:szCs w:val="22"/>
        </w:rPr>
        <w:t xml:space="preserve">After concluding the research project, the results were shared with the class mentor for further discussion. The mentor reiterated the school's dedication to promoting student autonomy, especially in the early years. The school strives to cultivate a learning atmosphere that inspires students to take ownership of their </w:t>
      </w:r>
      <w:r w:rsidR="00B74930" w:rsidRPr="00D73B82">
        <w:rPr>
          <w:rFonts w:ascii="Arial" w:hAnsi="Arial" w:cs="Arial"/>
          <w:sz w:val="22"/>
          <w:szCs w:val="22"/>
        </w:rPr>
        <w:t>learning</w:t>
      </w:r>
      <w:r w:rsidRPr="00D73B82">
        <w:rPr>
          <w:rFonts w:ascii="Arial" w:hAnsi="Arial" w:cs="Arial"/>
          <w:sz w:val="22"/>
          <w:szCs w:val="22"/>
        </w:rPr>
        <w:t xml:space="preserve"> and evolve into self-reliant individuals. This approach aligns</w:t>
      </w:r>
      <w:r w:rsidR="00B74930" w:rsidRPr="00D73B82">
        <w:rPr>
          <w:rFonts w:ascii="Arial" w:hAnsi="Arial" w:cs="Arial"/>
          <w:sz w:val="22"/>
          <w:szCs w:val="22"/>
        </w:rPr>
        <w:t xml:space="preserve"> </w:t>
      </w:r>
      <w:r w:rsidRPr="00D73B82">
        <w:rPr>
          <w:rFonts w:ascii="Arial" w:hAnsi="Arial" w:cs="Arial"/>
          <w:sz w:val="22"/>
          <w:szCs w:val="22"/>
        </w:rPr>
        <w:t>with the Curriculum for Wales, which recogni</w:t>
      </w:r>
      <w:r w:rsidR="00A320E8" w:rsidRPr="00D73B82">
        <w:rPr>
          <w:rFonts w:ascii="Arial" w:hAnsi="Arial" w:cs="Arial"/>
          <w:sz w:val="22"/>
          <w:szCs w:val="22"/>
        </w:rPr>
        <w:t>s</w:t>
      </w:r>
      <w:r w:rsidRPr="00D73B82">
        <w:rPr>
          <w:rFonts w:ascii="Arial" w:hAnsi="Arial" w:cs="Arial"/>
          <w:sz w:val="22"/>
          <w:szCs w:val="22"/>
        </w:rPr>
        <w:t>es the significance of holistic growth and future success in students (</w:t>
      </w:r>
      <w:r w:rsidRPr="00D73B82">
        <w:rPr>
          <w:rFonts w:ascii="Arial" w:eastAsia="Times New Roman" w:hAnsi="Arial" w:cs="Arial"/>
          <w:kern w:val="0"/>
          <w:sz w:val="22"/>
          <w:szCs w:val="22"/>
          <w:lang w:eastAsia="en-GB"/>
          <w14:ligatures w14:val="none"/>
        </w:rPr>
        <w:t>Welsh Government 2023b)</w:t>
      </w:r>
      <w:r w:rsidR="00497F33" w:rsidRPr="00D73B82">
        <w:rPr>
          <w:rFonts w:ascii="Arial" w:eastAsia="Times New Roman" w:hAnsi="Arial" w:cs="Arial"/>
          <w:kern w:val="0"/>
          <w:sz w:val="22"/>
          <w:szCs w:val="22"/>
          <w:lang w:eastAsia="en-GB"/>
          <w14:ligatures w14:val="none"/>
        </w:rPr>
        <w:t>.</w:t>
      </w:r>
    </w:p>
    <w:p w14:paraId="3BBB640A" w14:textId="77777777" w:rsidR="00261301" w:rsidRDefault="00261301" w:rsidP="4D4299DF">
      <w:pPr>
        <w:spacing w:line="360" w:lineRule="auto"/>
        <w:jc w:val="both"/>
        <w:rPr>
          <w:rFonts w:ascii="Arial" w:hAnsi="Arial" w:cs="Arial"/>
          <w:sz w:val="22"/>
          <w:szCs w:val="22"/>
        </w:rPr>
      </w:pPr>
    </w:p>
    <w:p w14:paraId="1EF9B232" w14:textId="77777777" w:rsidR="459C7FC2" w:rsidRDefault="00000000" w:rsidP="4D4299DF">
      <w:pPr>
        <w:spacing w:line="360" w:lineRule="auto"/>
        <w:jc w:val="both"/>
        <w:rPr>
          <w:rFonts w:ascii="Arial" w:hAnsi="Arial" w:cs="Arial"/>
          <w:sz w:val="28"/>
          <w:szCs w:val="28"/>
          <w:u w:val="single"/>
        </w:rPr>
      </w:pPr>
      <w:r w:rsidRPr="4D4299DF">
        <w:rPr>
          <w:rFonts w:ascii="Arial" w:hAnsi="Arial" w:cs="Arial"/>
          <w:sz w:val="28"/>
          <w:szCs w:val="28"/>
          <w:u w:val="single"/>
        </w:rPr>
        <w:t>Conclusions</w:t>
      </w:r>
    </w:p>
    <w:p w14:paraId="6C35E47B" w14:textId="77777777" w:rsidR="009E1BF1" w:rsidRPr="008A05A4" w:rsidRDefault="00000000" w:rsidP="008A05A4">
      <w:pPr>
        <w:spacing w:after="0" w:line="360" w:lineRule="auto"/>
        <w:jc w:val="both"/>
        <w:rPr>
          <w:rFonts w:ascii="Arial" w:eastAsia="Times New Roman" w:hAnsi="Arial" w:cs="Arial"/>
          <w:kern w:val="0"/>
          <w:sz w:val="22"/>
          <w:szCs w:val="22"/>
          <w:lang w:eastAsia="en-GB"/>
          <w14:ligatures w14:val="none"/>
        </w:rPr>
      </w:pPr>
      <w:r w:rsidRPr="008A05A4">
        <w:rPr>
          <w:rFonts w:ascii="Arial" w:eastAsia="Times New Roman" w:hAnsi="Arial" w:cs="Arial"/>
          <w:kern w:val="0"/>
          <w:sz w:val="22"/>
          <w:szCs w:val="22"/>
          <w:lang w:eastAsia="en-GB"/>
          <w14:ligatures w14:val="none"/>
        </w:rPr>
        <w:t xml:space="preserve">During the planning phase of the research study, one of the key considerations was the reliability of the data collection methods that would be used. After careful consideration and analysis, it was determined that observation and </w:t>
      </w:r>
      <w:r w:rsidR="008A05A4">
        <w:rPr>
          <w:rFonts w:ascii="Arial" w:eastAsia="Times New Roman" w:hAnsi="Arial" w:cs="Arial"/>
          <w:kern w:val="0"/>
          <w:sz w:val="22"/>
          <w:szCs w:val="22"/>
          <w:lang w:eastAsia="en-GB"/>
          <w14:ligatures w14:val="none"/>
        </w:rPr>
        <w:t>questionnaires</w:t>
      </w:r>
      <w:r w:rsidRPr="008A05A4">
        <w:rPr>
          <w:rFonts w:ascii="Arial" w:eastAsia="Times New Roman" w:hAnsi="Arial" w:cs="Arial"/>
          <w:kern w:val="0"/>
          <w:sz w:val="22"/>
          <w:szCs w:val="22"/>
          <w:lang w:eastAsia="en-GB"/>
          <w14:ligatures w14:val="none"/>
        </w:rPr>
        <w:t xml:space="preserve"> would be the most effective methods for collecting the required data. However, due to the age of the students participating in the study, it was decided that the questionnaires would need to be read aloud to the students, and their responses would be recorded accordingly.</w:t>
      </w:r>
    </w:p>
    <w:p w14:paraId="6A8B24FD" w14:textId="77777777" w:rsidR="00ED4E5F" w:rsidRPr="00EE0368" w:rsidRDefault="00000000" w:rsidP="008A05A4">
      <w:pPr>
        <w:spacing w:after="0" w:line="360" w:lineRule="auto"/>
        <w:jc w:val="both"/>
        <w:rPr>
          <w:rFonts w:ascii="Arial" w:eastAsia="Times New Roman" w:hAnsi="Arial" w:cs="Arial"/>
          <w:kern w:val="0"/>
          <w:sz w:val="22"/>
          <w:szCs w:val="22"/>
          <w:lang w:eastAsia="en-GB"/>
          <w14:ligatures w14:val="none"/>
        </w:rPr>
      </w:pPr>
      <w:r w:rsidRPr="008A05A4">
        <w:rPr>
          <w:rFonts w:ascii="Arial" w:eastAsia="Times New Roman" w:hAnsi="Arial" w:cs="Arial"/>
          <w:kern w:val="0"/>
          <w:sz w:val="22"/>
          <w:szCs w:val="22"/>
          <w:lang w:eastAsia="en-GB"/>
          <w14:ligatures w14:val="none"/>
        </w:rPr>
        <w:t xml:space="preserve">Despite this minor adjustment, the collected data was comprehensive and met the </w:t>
      </w:r>
      <w:r w:rsidR="009F029B">
        <w:rPr>
          <w:rFonts w:ascii="Arial" w:eastAsia="Times New Roman" w:hAnsi="Arial" w:cs="Arial"/>
          <w:kern w:val="0"/>
          <w:sz w:val="22"/>
          <w:szCs w:val="22"/>
          <w:lang w:eastAsia="en-GB"/>
          <w14:ligatures w14:val="none"/>
        </w:rPr>
        <w:t>study's requirements</w:t>
      </w:r>
      <w:r w:rsidRPr="008A05A4">
        <w:rPr>
          <w:rFonts w:ascii="Arial" w:eastAsia="Times New Roman" w:hAnsi="Arial" w:cs="Arial"/>
          <w:kern w:val="0"/>
          <w:sz w:val="22"/>
          <w:szCs w:val="22"/>
          <w:lang w:eastAsia="en-GB"/>
          <w14:ligatures w14:val="none"/>
        </w:rPr>
        <w:t xml:space="preserve">. </w:t>
      </w:r>
      <w:r w:rsidR="009F029B">
        <w:rPr>
          <w:rFonts w:ascii="Arial" w:eastAsia="Times New Roman" w:hAnsi="Arial" w:cs="Arial"/>
          <w:kern w:val="0"/>
          <w:sz w:val="22"/>
          <w:szCs w:val="22"/>
          <w:lang w:eastAsia="en-GB"/>
          <w14:ligatures w14:val="none"/>
        </w:rPr>
        <w:t xml:space="preserve">The research gathered valuable insights and information that helped </w:t>
      </w:r>
      <w:r w:rsidRPr="008A05A4">
        <w:rPr>
          <w:rFonts w:ascii="Arial" w:eastAsia="Times New Roman" w:hAnsi="Arial" w:cs="Arial"/>
          <w:kern w:val="0"/>
          <w:sz w:val="22"/>
          <w:szCs w:val="22"/>
          <w:lang w:eastAsia="en-GB"/>
          <w14:ligatures w14:val="none"/>
        </w:rPr>
        <w:t>inform the</w:t>
      </w:r>
      <w:r w:rsidR="00817571" w:rsidRPr="008A05A4">
        <w:rPr>
          <w:rFonts w:ascii="Arial" w:eastAsia="Times New Roman" w:hAnsi="Arial" w:cs="Arial"/>
          <w:kern w:val="0"/>
          <w:sz w:val="22"/>
          <w:szCs w:val="22"/>
          <w:lang w:eastAsia="en-GB"/>
          <w14:ligatures w14:val="none"/>
        </w:rPr>
        <w:t xml:space="preserve"> </w:t>
      </w:r>
      <w:r w:rsidRPr="008A05A4">
        <w:rPr>
          <w:rFonts w:ascii="Arial" w:eastAsia="Times New Roman" w:hAnsi="Arial" w:cs="Arial"/>
          <w:kern w:val="0"/>
          <w:sz w:val="22"/>
          <w:szCs w:val="22"/>
          <w:lang w:eastAsia="en-GB"/>
          <w14:ligatures w14:val="none"/>
        </w:rPr>
        <w:t>analysis and conclusions</w:t>
      </w:r>
      <w:r w:rsidRPr="003F4D61">
        <w:rPr>
          <w:rFonts w:ascii="Arial" w:eastAsia="Times New Roman" w:hAnsi="Arial" w:cs="Arial"/>
          <w:kern w:val="0"/>
          <w:sz w:val="22"/>
          <w:szCs w:val="22"/>
          <w:lang w:eastAsia="en-GB"/>
          <w14:ligatures w14:val="none"/>
        </w:rPr>
        <w:t xml:space="preserve"> using these two data collection methods. </w:t>
      </w:r>
    </w:p>
    <w:p w14:paraId="7716E3BC" w14:textId="77777777" w:rsidR="00ED4E5F" w:rsidRPr="003F4D61" w:rsidRDefault="00ED4E5F" w:rsidP="008A05A4">
      <w:pPr>
        <w:spacing w:after="0" w:line="360" w:lineRule="auto"/>
        <w:jc w:val="both"/>
        <w:rPr>
          <w:rFonts w:ascii="Arial" w:hAnsi="Arial" w:cs="Arial"/>
          <w:color w:val="1C1C1C"/>
          <w:sz w:val="22"/>
          <w:szCs w:val="22"/>
          <w:shd w:val="clear" w:color="auto" w:fill="FFFFFF"/>
        </w:rPr>
      </w:pPr>
    </w:p>
    <w:p w14:paraId="442B9DBB" w14:textId="77777777" w:rsidR="00ED4E5F" w:rsidRPr="003F4D61" w:rsidRDefault="00000000" w:rsidP="008A05A4">
      <w:pPr>
        <w:spacing w:after="0" w:line="360" w:lineRule="auto"/>
        <w:jc w:val="both"/>
        <w:rPr>
          <w:rFonts w:ascii="Arial" w:hAnsi="Arial" w:cs="Arial"/>
          <w:color w:val="1C1C1C"/>
          <w:sz w:val="22"/>
          <w:szCs w:val="22"/>
          <w:shd w:val="clear" w:color="auto" w:fill="FFFFFF"/>
        </w:rPr>
      </w:pPr>
      <w:r w:rsidRPr="003F4D61">
        <w:rPr>
          <w:rFonts w:ascii="Arial" w:eastAsia="Times New Roman" w:hAnsi="Arial" w:cs="Arial"/>
          <w:kern w:val="0"/>
          <w:sz w:val="22"/>
          <w:szCs w:val="22"/>
          <w:lang w:eastAsia="en-GB"/>
          <w14:ligatures w14:val="none"/>
        </w:rPr>
        <w:t xml:space="preserve">If allowed to conduct this research again, I would </w:t>
      </w:r>
      <w:r w:rsidR="00D548B3" w:rsidRPr="003F4D61">
        <w:rPr>
          <w:rFonts w:ascii="Arial" w:eastAsia="Times New Roman" w:hAnsi="Arial" w:cs="Arial"/>
          <w:kern w:val="0"/>
          <w:sz w:val="22"/>
          <w:szCs w:val="22"/>
          <w:lang w:eastAsia="en-GB"/>
          <w14:ligatures w14:val="none"/>
        </w:rPr>
        <w:t xml:space="preserve">continue to </w:t>
      </w:r>
      <w:r w:rsidRPr="003F4D61">
        <w:rPr>
          <w:rFonts w:ascii="Arial" w:eastAsia="Times New Roman" w:hAnsi="Arial" w:cs="Arial"/>
          <w:kern w:val="0"/>
          <w:sz w:val="22"/>
          <w:szCs w:val="22"/>
          <w:lang w:eastAsia="en-GB"/>
          <w14:ligatures w14:val="none"/>
        </w:rPr>
        <w:t xml:space="preserve">adhere to the six-phase process for thematic analysis. </w:t>
      </w:r>
      <w:r w:rsidR="008A05A4" w:rsidRPr="003F4D61">
        <w:rPr>
          <w:rFonts w:ascii="Arial" w:hAnsi="Arial" w:cs="Arial"/>
          <w:color w:val="1C1C1C"/>
          <w:sz w:val="22"/>
          <w:szCs w:val="22"/>
          <w:shd w:val="clear" w:color="auto" w:fill="FFFFFF"/>
        </w:rPr>
        <w:t>However</w:t>
      </w:r>
      <w:r w:rsidR="00626EC5" w:rsidRPr="003F4D61">
        <w:rPr>
          <w:rFonts w:ascii="Arial" w:hAnsi="Arial" w:cs="Arial"/>
          <w:color w:val="1C1C1C"/>
          <w:sz w:val="22"/>
          <w:szCs w:val="22"/>
          <w:shd w:val="clear" w:color="auto" w:fill="FFFFFF"/>
        </w:rPr>
        <w:t xml:space="preserve">, I would also explore using a group interview method instead </w:t>
      </w:r>
      <w:r w:rsidR="00626EC5" w:rsidRPr="003F4D61">
        <w:rPr>
          <w:rFonts w:ascii="Arial" w:hAnsi="Arial" w:cs="Arial"/>
          <w:color w:val="1C1C1C"/>
          <w:sz w:val="22"/>
          <w:szCs w:val="22"/>
          <w:shd w:val="clear" w:color="auto" w:fill="FFFFFF"/>
        </w:rPr>
        <w:lastRenderedPageBreak/>
        <w:t xml:space="preserve">of </w:t>
      </w:r>
      <w:r w:rsidR="00631B6C">
        <w:rPr>
          <w:rFonts w:ascii="Arial" w:hAnsi="Arial" w:cs="Arial"/>
          <w:color w:val="1C1C1C"/>
          <w:sz w:val="22"/>
          <w:szCs w:val="22"/>
          <w:shd w:val="clear" w:color="auto" w:fill="FFFFFF"/>
        </w:rPr>
        <w:t>questionnaires</w:t>
      </w:r>
      <w:r w:rsidR="00626EC5" w:rsidRPr="003F4D61">
        <w:rPr>
          <w:rFonts w:ascii="Arial" w:hAnsi="Arial" w:cs="Arial"/>
          <w:color w:val="1C1C1C"/>
          <w:sz w:val="22"/>
          <w:szCs w:val="22"/>
          <w:shd w:val="clear" w:color="auto" w:fill="FFFFFF"/>
        </w:rPr>
        <w:t>. This approach would create a more comfortable and stimulating environment for the participants, allowing them to share their thoughts and ideas more candidly and generate a broader range of responses. Additionally, it would foster interaction and discussion among the participants, leading to further insights and perspectives. Overall, following the six-phase process for thematic analysis and using a group interview method would allow me to gather more valuable and comprehensive data, leading to more robust and insightful conclusions.</w:t>
      </w:r>
    </w:p>
    <w:p w14:paraId="584EE147" w14:textId="77777777" w:rsidR="00447931" w:rsidRPr="003F4D61" w:rsidRDefault="00447931" w:rsidP="00754F22">
      <w:pPr>
        <w:spacing w:after="0" w:line="240" w:lineRule="auto"/>
        <w:rPr>
          <w:rFonts w:ascii="Arial" w:hAnsi="Arial" w:cs="Arial"/>
          <w:color w:val="1C1C1C"/>
          <w:sz w:val="22"/>
          <w:szCs w:val="22"/>
          <w:shd w:val="clear" w:color="auto" w:fill="FFFFFF"/>
        </w:rPr>
      </w:pPr>
    </w:p>
    <w:p w14:paraId="65255288" w14:textId="77777777" w:rsidR="00135AB7" w:rsidRPr="00FA692E" w:rsidRDefault="00000000" w:rsidP="00846C08">
      <w:pPr>
        <w:spacing w:after="0" w:line="360" w:lineRule="auto"/>
        <w:jc w:val="both"/>
        <w:rPr>
          <w:rFonts w:ascii="Arial" w:eastAsia="Times New Roman" w:hAnsi="Arial" w:cs="Arial"/>
          <w:kern w:val="0"/>
          <w:sz w:val="22"/>
          <w:szCs w:val="22"/>
          <w:lang w:eastAsia="en-GB"/>
          <w14:ligatures w14:val="none"/>
        </w:rPr>
      </w:pPr>
      <w:r w:rsidRPr="00FA692E">
        <w:rPr>
          <w:rFonts w:ascii="Arial" w:eastAsia="Times New Roman" w:hAnsi="Arial" w:cs="Arial"/>
          <w:kern w:val="0"/>
          <w:sz w:val="22"/>
          <w:szCs w:val="22"/>
          <w:lang w:eastAsia="en-GB"/>
          <w14:ligatures w14:val="none"/>
        </w:rPr>
        <w:t xml:space="preserve">Throughout the process, I engaged with various professional standards, including Professional Learning and Pedagogy. These standards were connected to the research study's 'Recording and Reporting' aspect, which involved observing and surveying participants. </w:t>
      </w:r>
      <w:r w:rsidR="00FA692E">
        <w:rPr>
          <w:rFonts w:ascii="Arial" w:eastAsia="Times New Roman" w:hAnsi="Arial" w:cs="Arial"/>
          <w:kern w:val="0"/>
          <w:sz w:val="22"/>
          <w:szCs w:val="22"/>
          <w:lang w:eastAsia="en-GB"/>
          <w14:ligatures w14:val="none"/>
        </w:rPr>
        <w:t>I maintained schedules and diligently recorded their questionnaire responses to capture student engagement and learning</w:t>
      </w:r>
      <w:r w:rsidRPr="00FA692E">
        <w:rPr>
          <w:rFonts w:ascii="Arial" w:eastAsia="Times New Roman" w:hAnsi="Arial" w:cs="Arial"/>
          <w:kern w:val="0"/>
          <w:sz w:val="22"/>
          <w:szCs w:val="22"/>
          <w:lang w:eastAsia="en-GB"/>
          <w14:ligatures w14:val="none"/>
        </w:rPr>
        <w:t xml:space="preserve">. Additionally, the research </w:t>
      </w:r>
      <w:r w:rsidR="003A68CD" w:rsidRPr="00FA692E">
        <w:rPr>
          <w:rFonts w:ascii="Arial" w:eastAsia="Times New Roman" w:hAnsi="Arial" w:cs="Arial"/>
          <w:kern w:val="0"/>
          <w:sz w:val="22"/>
          <w:szCs w:val="22"/>
          <w:lang w:eastAsia="en-GB"/>
          <w14:ligatures w14:val="none"/>
        </w:rPr>
        <w:t>study linked</w:t>
      </w:r>
      <w:r w:rsidR="00FB697E" w:rsidRPr="00FA692E">
        <w:rPr>
          <w:rFonts w:ascii="Arial" w:eastAsia="Times New Roman" w:hAnsi="Arial" w:cs="Arial"/>
          <w:kern w:val="0"/>
          <w:sz w:val="22"/>
          <w:szCs w:val="22"/>
          <w:lang w:eastAsia="en-GB"/>
          <w14:ligatures w14:val="none"/>
        </w:rPr>
        <w:t xml:space="preserve"> to the standard</w:t>
      </w:r>
      <w:r w:rsidRPr="00FA692E">
        <w:rPr>
          <w:rFonts w:ascii="Arial" w:eastAsia="Times New Roman" w:hAnsi="Arial" w:cs="Arial"/>
          <w:kern w:val="0"/>
          <w:sz w:val="22"/>
          <w:szCs w:val="22"/>
          <w:lang w:eastAsia="en-GB"/>
          <w14:ligatures w14:val="none"/>
        </w:rPr>
        <w:t xml:space="preserve"> 'Professional Networks and Communities,' which highlighted the value of research, including small-scale action research, in refining one's practice</w:t>
      </w:r>
      <w:r w:rsidR="00CE66FC" w:rsidRPr="00FA692E">
        <w:rPr>
          <w:rFonts w:ascii="Arial" w:eastAsia="Times New Roman" w:hAnsi="Arial" w:cs="Arial"/>
          <w:kern w:val="0"/>
          <w:sz w:val="22"/>
          <w:szCs w:val="22"/>
          <w:lang w:eastAsia="en-GB"/>
          <w14:ligatures w14:val="none"/>
        </w:rPr>
        <w:t xml:space="preserve">. </w:t>
      </w:r>
      <w:r w:rsidR="006B7970" w:rsidRPr="00FA692E">
        <w:rPr>
          <w:rFonts w:ascii="Arial" w:hAnsi="Arial" w:cs="Arial"/>
          <w:color w:val="1C1C1C"/>
          <w:sz w:val="22"/>
          <w:szCs w:val="22"/>
          <w:shd w:val="clear" w:color="auto" w:fill="FFFFFF"/>
        </w:rPr>
        <w:t>Moreover, by implementing visual timetables, I also adhered to the 'Managing the Learning Environment' standard, which helped establish and maintain an effective learning environment while promoting positive learning habits and behaviours that align with the four purposes and are easily understood by students</w:t>
      </w:r>
      <w:r w:rsidR="004D3A0A" w:rsidRPr="00FA692E">
        <w:rPr>
          <w:rFonts w:ascii="Arial" w:hAnsi="Arial" w:cs="Arial"/>
          <w:color w:val="292F33"/>
          <w:sz w:val="22"/>
          <w:szCs w:val="22"/>
          <w:shd w:val="clear" w:color="auto" w:fill="FFFFFF"/>
        </w:rPr>
        <w:t>.</w:t>
      </w:r>
    </w:p>
    <w:p w14:paraId="63DC2144" w14:textId="77777777" w:rsidR="00135AB7" w:rsidRDefault="00135AB7" w:rsidP="00846C08">
      <w:pPr>
        <w:spacing w:after="0" w:line="360" w:lineRule="auto"/>
        <w:jc w:val="both"/>
        <w:rPr>
          <w:rFonts w:ascii="Arial" w:eastAsia="Times New Roman" w:hAnsi="Arial" w:cs="Arial"/>
          <w:kern w:val="0"/>
          <w:sz w:val="22"/>
          <w:szCs w:val="22"/>
          <w:lang w:eastAsia="en-GB"/>
          <w14:ligatures w14:val="none"/>
        </w:rPr>
      </w:pPr>
    </w:p>
    <w:p w14:paraId="0EF52332" w14:textId="77777777" w:rsidR="459C7FC2" w:rsidRDefault="00000000" w:rsidP="00846C08">
      <w:pPr>
        <w:spacing w:after="0" w:line="360" w:lineRule="auto"/>
        <w:jc w:val="both"/>
        <w:rPr>
          <w:rFonts w:ascii="Arial" w:hAnsi="Arial" w:cs="Arial"/>
          <w:sz w:val="28"/>
          <w:szCs w:val="28"/>
          <w:u w:val="single"/>
        </w:rPr>
      </w:pPr>
      <w:r w:rsidRPr="4D4299DF">
        <w:rPr>
          <w:rFonts w:ascii="Arial" w:hAnsi="Arial" w:cs="Arial"/>
          <w:sz w:val="28"/>
          <w:szCs w:val="28"/>
          <w:u w:val="single"/>
        </w:rPr>
        <w:t>Recommendations</w:t>
      </w:r>
    </w:p>
    <w:p w14:paraId="6D53E172" w14:textId="77777777" w:rsidR="000E4CDA" w:rsidRPr="00B47C14" w:rsidRDefault="00000000" w:rsidP="00846C08">
      <w:pPr>
        <w:spacing w:after="0" w:line="360" w:lineRule="auto"/>
        <w:jc w:val="both"/>
        <w:rPr>
          <w:rFonts w:ascii="Arial" w:hAnsi="Arial" w:cs="Arial"/>
          <w:sz w:val="22"/>
          <w:szCs w:val="22"/>
        </w:rPr>
      </w:pPr>
      <w:r w:rsidRPr="00B47C14">
        <w:rPr>
          <w:rFonts w:ascii="Arial" w:hAnsi="Arial" w:cs="Arial"/>
          <w:sz w:val="22"/>
          <w:szCs w:val="22"/>
        </w:rPr>
        <w:t xml:space="preserve">Through my research, I recommend situating visual timetables near the classroom's cloakroom rather than in the </w:t>
      </w:r>
      <w:r w:rsidR="005803B0" w:rsidRPr="00B47C14">
        <w:rPr>
          <w:rFonts w:ascii="Arial" w:hAnsi="Arial" w:cs="Arial"/>
          <w:sz w:val="22"/>
          <w:szCs w:val="22"/>
        </w:rPr>
        <w:t xml:space="preserve">middle of </w:t>
      </w:r>
      <w:r w:rsidR="00021A5B" w:rsidRPr="00B47C14">
        <w:rPr>
          <w:rFonts w:ascii="Arial" w:hAnsi="Arial" w:cs="Arial"/>
          <w:sz w:val="22"/>
          <w:szCs w:val="22"/>
        </w:rPr>
        <w:t>the classroom.</w:t>
      </w:r>
      <w:r w:rsidRPr="00B47C14">
        <w:rPr>
          <w:rFonts w:ascii="Arial" w:hAnsi="Arial" w:cs="Arial"/>
          <w:sz w:val="22"/>
          <w:szCs w:val="22"/>
        </w:rPr>
        <w:t xml:space="preserve"> This strategic placement may help minimi</w:t>
      </w:r>
      <w:r w:rsidR="00AC1634" w:rsidRPr="00B47C14">
        <w:rPr>
          <w:rFonts w:ascii="Arial" w:hAnsi="Arial" w:cs="Arial"/>
          <w:sz w:val="22"/>
          <w:szCs w:val="22"/>
        </w:rPr>
        <w:t>s</w:t>
      </w:r>
      <w:r w:rsidRPr="00B47C14">
        <w:rPr>
          <w:rFonts w:ascii="Arial" w:hAnsi="Arial" w:cs="Arial"/>
          <w:sz w:val="22"/>
          <w:szCs w:val="22"/>
        </w:rPr>
        <w:t>e student distraction. Furthermore</w:t>
      </w:r>
      <w:r w:rsidR="00AC1634" w:rsidRPr="00B47C14">
        <w:rPr>
          <w:rFonts w:ascii="Arial" w:hAnsi="Arial" w:cs="Arial"/>
          <w:sz w:val="22"/>
          <w:szCs w:val="22"/>
        </w:rPr>
        <w:t xml:space="preserve">, </w:t>
      </w:r>
      <w:r w:rsidR="004F594B" w:rsidRPr="00B47C14">
        <w:rPr>
          <w:rFonts w:ascii="Arial" w:hAnsi="Arial" w:cs="Arial"/>
          <w:sz w:val="22"/>
          <w:szCs w:val="22"/>
        </w:rPr>
        <w:t>I recommend</w:t>
      </w:r>
      <w:r w:rsidR="00656FA1" w:rsidRPr="00B47C14">
        <w:rPr>
          <w:rFonts w:ascii="Arial" w:hAnsi="Arial" w:cs="Arial"/>
          <w:sz w:val="22"/>
          <w:szCs w:val="22"/>
        </w:rPr>
        <w:t xml:space="preserve"> </w:t>
      </w:r>
      <w:r w:rsidRPr="00B47C14">
        <w:rPr>
          <w:rFonts w:ascii="Arial" w:hAnsi="Arial" w:cs="Arial"/>
          <w:sz w:val="22"/>
          <w:szCs w:val="22"/>
        </w:rPr>
        <w:t>having fewer transitions on the timetables to enable students to retain the instructions for a more extended period, preventing confusion. These</w:t>
      </w:r>
      <w:r w:rsidR="00656FA1" w:rsidRPr="00B47C14">
        <w:rPr>
          <w:rFonts w:ascii="Arial" w:hAnsi="Arial" w:cs="Arial"/>
          <w:sz w:val="22"/>
          <w:szCs w:val="22"/>
        </w:rPr>
        <w:t xml:space="preserve"> </w:t>
      </w:r>
      <w:r w:rsidR="00174943" w:rsidRPr="00B47C14">
        <w:rPr>
          <w:rFonts w:ascii="Arial" w:hAnsi="Arial" w:cs="Arial"/>
          <w:sz w:val="22"/>
          <w:szCs w:val="22"/>
        </w:rPr>
        <w:t>recommendations</w:t>
      </w:r>
      <w:r w:rsidRPr="00B47C14">
        <w:rPr>
          <w:rFonts w:ascii="Arial" w:hAnsi="Arial" w:cs="Arial"/>
          <w:sz w:val="22"/>
          <w:szCs w:val="22"/>
        </w:rPr>
        <w:t xml:space="preserve"> will guide future research to assess the impact of visual timetables on young children's independence development in the classroom.</w:t>
      </w:r>
    </w:p>
    <w:p w14:paraId="45FCB9AA" w14:textId="77777777" w:rsidR="00656FA1" w:rsidRPr="00B47C14" w:rsidRDefault="00656FA1" w:rsidP="00846C08">
      <w:pPr>
        <w:spacing w:after="0" w:line="360" w:lineRule="auto"/>
        <w:jc w:val="both"/>
        <w:rPr>
          <w:rFonts w:ascii="Arial" w:hAnsi="Arial" w:cs="Arial"/>
          <w:sz w:val="22"/>
          <w:szCs w:val="22"/>
        </w:rPr>
      </w:pPr>
    </w:p>
    <w:p w14:paraId="0B6B944A" w14:textId="77777777" w:rsidR="009F41A0" w:rsidRPr="00B47C14" w:rsidRDefault="00000000" w:rsidP="00846C08">
      <w:pPr>
        <w:spacing w:after="0" w:line="360" w:lineRule="auto"/>
        <w:jc w:val="both"/>
        <w:rPr>
          <w:rFonts w:ascii="Arial" w:hAnsi="Arial" w:cs="Arial"/>
          <w:color w:val="1C1C1C"/>
          <w:sz w:val="22"/>
          <w:szCs w:val="22"/>
          <w:shd w:val="clear" w:color="auto" w:fill="FFFFFF"/>
        </w:rPr>
      </w:pPr>
      <w:r w:rsidRPr="00B47C14">
        <w:rPr>
          <w:rFonts w:ascii="Arial" w:hAnsi="Arial" w:cs="Arial"/>
          <w:sz w:val="22"/>
          <w:szCs w:val="22"/>
        </w:rPr>
        <w:t xml:space="preserve">This research has had a significant impact on my classroom and professional practice. </w:t>
      </w:r>
      <w:r w:rsidR="006A24AB" w:rsidRPr="00B47C14">
        <w:rPr>
          <w:rFonts w:ascii="Arial" w:hAnsi="Arial" w:cs="Arial"/>
          <w:color w:val="1C1C1C"/>
          <w:sz w:val="22"/>
          <w:szCs w:val="22"/>
          <w:shd w:val="clear" w:color="auto" w:fill="FFFFFF"/>
        </w:rPr>
        <w:t>Specifically, it has enabled me to maintain a well-managed classroom environment by facilitating my knowledge that the pupils are engaged in the activities displayed on the visual timetable</w:t>
      </w:r>
      <w:r w:rsidR="00734DBA" w:rsidRPr="00B47C14">
        <w:rPr>
          <w:rFonts w:ascii="Arial" w:hAnsi="Arial" w:cs="Arial"/>
          <w:color w:val="1C1C1C"/>
          <w:sz w:val="22"/>
          <w:szCs w:val="22"/>
          <w:shd w:val="clear" w:color="auto" w:fill="FFFFFF"/>
        </w:rPr>
        <w:t xml:space="preserve">, contributing to their </w:t>
      </w:r>
      <w:r w:rsidR="008D2664" w:rsidRPr="00B47C14">
        <w:rPr>
          <w:rFonts w:ascii="Arial" w:hAnsi="Arial" w:cs="Arial"/>
          <w:color w:val="1C1C1C"/>
          <w:sz w:val="22"/>
          <w:szCs w:val="22"/>
          <w:shd w:val="clear" w:color="auto" w:fill="FFFFFF"/>
        </w:rPr>
        <w:t>academic achievement.</w:t>
      </w:r>
      <w:r w:rsidR="006A24AB" w:rsidRPr="00B47C14">
        <w:rPr>
          <w:rFonts w:ascii="Arial" w:hAnsi="Arial" w:cs="Arial"/>
          <w:color w:val="1C1C1C"/>
          <w:sz w:val="22"/>
          <w:szCs w:val="22"/>
          <w:shd w:val="clear" w:color="auto" w:fill="FFFFFF"/>
        </w:rPr>
        <w:t xml:space="preserve"> </w:t>
      </w:r>
    </w:p>
    <w:p w14:paraId="39249314" w14:textId="77777777" w:rsidR="00D73B82" w:rsidRDefault="00D73B82" w:rsidP="4D4299DF">
      <w:pPr>
        <w:spacing w:line="360" w:lineRule="auto"/>
        <w:jc w:val="both"/>
        <w:rPr>
          <w:rFonts w:ascii="Arial" w:hAnsi="Arial" w:cs="Arial"/>
          <w:sz w:val="28"/>
          <w:szCs w:val="28"/>
          <w:u w:val="single"/>
        </w:rPr>
      </w:pPr>
    </w:p>
    <w:p w14:paraId="1819C95A" w14:textId="77777777" w:rsidR="00DD2A32" w:rsidRDefault="00DD2A32" w:rsidP="4D4299DF">
      <w:pPr>
        <w:spacing w:line="360" w:lineRule="auto"/>
        <w:jc w:val="both"/>
        <w:rPr>
          <w:rFonts w:ascii="Arial" w:hAnsi="Arial" w:cs="Arial"/>
          <w:sz w:val="28"/>
          <w:szCs w:val="28"/>
          <w:u w:val="single"/>
        </w:rPr>
      </w:pPr>
    </w:p>
    <w:p w14:paraId="44859D35" w14:textId="77777777" w:rsidR="00DD2A32" w:rsidRDefault="00DD2A32" w:rsidP="4D4299DF">
      <w:pPr>
        <w:spacing w:line="360" w:lineRule="auto"/>
        <w:jc w:val="both"/>
        <w:rPr>
          <w:rFonts w:ascii="Arial" w:hAnsi="Arial" w:cs="Arial"/>
          <w:sz w:val="28"/>
          <w:szCs w:val="28"/>
          <w:u w:val="single"/>
        </w:rPr>
      </w:pPr>
    </w:p>
    <w:p w14:paraId="4B2B48F2" w14:textId="304E3CF7" w:rsidR="008D67BF" w:rsidRDefault="00000000" w:rsidP="4D4299DF">
      <w:pPr>
        <w:spacing w:line="360" w:lineRule="auto"/>
        <w:jc w:val="both"/>
        <w:rPr>
          <w:rFonts w:ascii="Arial" w:hAnsi="Arial" w:cs="Arial"/>
          <w:sz w:val="28"/>
          <w:szCs w:val="28"/>
          <w:u w:val="single"/>
        </w:rPr>
      </w:pPr>
      <w:r w:rsidRPr="4D4299DF">
        <w:rPr>
          <w:rFonts w:ascii="Arial" w:hAnsi="Arial" w:cs="Arial"/>
          <w:sz w:val="28"/>
          <w:szCs w:val="28"/>
          <w:u w:val="single"/>
        </w:rPr>
        <w:lastRenderedPageBreak/>
        <w:t>Referenc</w:t>
      </w:r>
      <w:r w:rsidR="00515264">
        <w:rPr>
          <w:rFonts w:ascii="Arial" w:hAnsi="Arial" w:cs="Arial"/>
          <w:sz w:val="28"/>
          <w:szCs w:val="28"/>
          <w:u w:val="single"/>
        </w:rPr>
        <w:t>e</w:t>
      </w:r>
      <w:r w:rsidRPr="4D4299DF">
        <w:rPr>
          <w:rFonts w:ascii="Arial" w:hAnsi="Arial" w:cs="Arial"/>
          <w:sz w:val="28"/>
          <w:szCs w:val="28"/>
          <w:u w:val="single"/>
        </w:rPr>
        <w:t xml:space="preserve"> list:</w:t>
      </w:r>
    </w:p>
    <w:p w14:paraId="1469EA00"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Bitok, E., Tonui, B. and </w:t>
      </w:r>
      <w:proofErr w:type="spellStart"/>
      <w:r>
        <w:rPr>
          <w:rFonts w:ascii="Arial" w:hAnsi="Arial" w:cs="Arial"/>
          <w:kern w:val="0"/>
          <w:sz w:val="22"/>
          <w:szCs w:val="22"/>
          <w:lang w:val="en-US"/>
        </w:rPr>
        <w:t>Chepsiror</w:t>
      </w:r>
      <w:proofErr w:type="spellEnd"/>
      <w:r>
        <w:rPr>
          <w:rFonts w:ascii="Arial" w:hAnsi="Arial" w:cs="Arial"/>
          <w:kern w:val="0"/>
          <w:sz w:val="22"/>
          <w:szCs w:val="22"/>
          <w:lang w:val="en-US"/>
        </w:rPr>
        <w:t xml:space="preserve">, P. (2014) ‘RESOURCE CAPACITIES SUPPORTING THEMATIC APPROACH IN TEACHING ECDE CENTRES IN UASIN GISHU COUNTY’, </w:t>
      </w:r>
      <w:r>
        <w:rPr>
          <w:rFonts w:ascii="Arial" w:hAnsi="Arial" w:cs="Arial"/>
          <w:i/>
          <w:iCs/>
          <w:kern w:val="0"/>
          <w:sz w:val="22"/>
          <w:szCs w:val="22"/>
          <w:lang w:val="en-US"/>
        </w:rPr>
        <w:t>International Journal of Education Learning and Development</w:t>
      </w:r>
      <w:r>
        <w:rPr>
          <w:rFonts w:ascii="Arial" w:hAnsi="Arial" w:cs="Arial"/>
          <w:kern w:val="0"/>
          <w:sz w:val="22"/>
          <w:szCs w:val="22"/>
          <w:lang w:val="en-US"/>
        </w:rPr>
        <w:t>, 2(5), pp. 78–86.</w:t>
      </w:r>
    </w:p>
    <w:p w14:paraId="3E42AD02"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Braun, V. and Clarke, V. (2013) ‘Teaching  thematic  analysis:  Overcoming  challenges  and developing strategies for effective learning’, </w:t>
      </w:r>
      <w:r>
        <w:rPr>
          <w:rFonts w:ascii="Arial" w:hAnsi="Arial" w:cs="Arial"/>
          <w:i/>
          <w:iCs/>
          <w:kern w:val="0"/>
          <w:sz w:val="22"/>
          <w:szCs w:val="22"/>
          <w:lang w:val="en-US"/>
        </w:rPr>
        <w:t>The Psychologist</w:t>
      </w:r>
      <w:r>
        <w:rPr>
          <w:rFonts w:ascii="Arial" w:hAnsi="Arial" w:cs="Arial"/>
          <w:kern w:val="0"/>
          <w:sz w:val="22"/>
          <w:szCs w:val="22"/>
          <w:lang w:val="en-US"/>
        </w:rPr>
        <w:t xml:space="preserve">, 26(2), pp. 120–123. Available at: </w:t>
      </w:r>
      <w:hyperlink r:id="rId10" w:history="1">
        <w:r>
          <w:rPr>
            <w:rFonts w:ascii="Arial" w:hAnsi="Arial" w:cs="Arial"/>
            <w:kern w:val="0"/>
            <w:sz w:val="22"/>
            <w:szCs w:val="22"/>
            <w:lang w:val="en-US"/>
          </w:rPr>
          <w:t>https://ojs.aishe.org/index.php/aishe-j/article/view/335/553</w:t>
        </w:r>
      </w:hyperlink>
      <w:r>
        <w:rPr>
          <w:rFonts w:ascii="Arial" w:hAnsi="Arial" w:cs="Arial"/>
          <w:kern w:val="0"/>
          <w:sz w:val="22"/>
          <w:szCs w:val="22"/>
          <w:lang w:val="en-US"/>
        </w:rPr>
        <w:t xml:space="preserve"> (Accessed: 3 May 2024).</w:t>
      </w:r>
    </w:p>
    <w:p w14:paraId="1EF4099C"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British Educational Research Association (2018) </w:t>
      </w:r>
      <w:r>
        <w:rPr>
          <w:rFonts w:ascii="Arial" w:hAnsi="Arial" w:cs="Arial"/>
          <w:i/>
          <w:iCs/>
          <w:kern w:val="0"/>
          <w:sz w:val="22"/>
          <w:szCs w:val="22"/>
          <w:lang w:val="en-US"/>
        </w:rPr>
        <w:t>Ethical Guidelines for Educational Research, fourth edition (2018)</w:t>
      </w:r>
      <w:r>
        <w:rPr>
          <w:rFonts w:ascii="Arial" w:hAnsi="Arial" w:cs="Arial"/>
          <w:kern w:val="0"/>
          <w:sz w:val="22"/>
          <w:szCs w:val="22"/>
          <w:lang w:val="en-US"/>
        </w:rPr>
        <w:t xml:space="preserve">, </w:t>
      </w:r>
      <w:r>
        <w:rPr>
          <w:rFonts w:ascii="Arial" w:hAnsi="Arial" w:cs="Arial"/>
          <w:i/>
          <w:iCs/>
          <w:kern w:val="0"/>
          <w:sz w:val="22"/>
          <w:szCs w:val="22"/>
          <w:lang w:val="en-US"/>
        </w:rPr>
        <w:t>Bera.ac.uk</w:t>
      </w:r>
      <w:r>
        <w:rPr>
          <w:rFonts w:ascii="Arial" w:hAnsi="Arial" w:cs="Arial"/>
          <w:kern w:val="0"/>
          <w:sz w:val="22"/>
          <w:szCs w:val="22"/>
          <w:lang w:val="en-US"/>
        </w:rPr>
        <w:t xml:space="preserve">. British Educational Research Association. Available at: </w:t>
      </w:r>
      <w:hyperlink r:id="rId11" w:history="1">
        <w:r>
          <w:rPr>
            <w:rFonts w:ascii="Arial" w:hAnsi="Arial" w:cs="Arial"/>
            <w:kern w:val="0"/>
            <w:sz w:val="22"/>
            <w:szCs w:val="22"/>
            <w:lang w:val="en-US"/>
          </w:rPr>
          <w:t>https://www.bera.ac.uk/publication/ethical-guidelines-for-educational-research-2018</w:t>
        </w:r>
      </w:hyperlink>
      <w:r>
        <w:rPr>
          <w:rFonts w:ascii="Arial" w:hAnsi="Arial" w:cs="Arial"/>
          <w:kern w:val="0"/>
          <w:sz w:val="22"/>
          <w:szCs w:val="22"/>
          <w:lang w:val="en-US"/>
        </w:rPr>
        <w:t xml:space="preserve"> (Accessed: 5 March 2024).</w:t>
      </w:r>
    </w:p>
    <w:p w14:paraId="13215E05"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CAMHS (2018) </w:t>
      </w:r>
      <w:r>
        <w:rPr>
          <w:rFonts w:ascii="Arial" w:hAnsi="Arial" w:cs="Arial"/>
          <w:i/>
          <w:iCs/>
          <w:kern w:val="0"/>
          <w:sz w:val="22"/>
          <w:szCs w:val="22"/>
          <w:lang w:val="en-US"/>
        </w:rPr>
        <w:t>Introducing Routines</w:t>
      </w:r>
      <w:r>
        <w:rPr>
          <w:rFonts w:ascii="Arial" w:hAnsi="Arial" w:cs="Arial"/>
          <w:kern w:val="0"/>
          <w:sz w:val="22"/>
          <w:szCs w:val="22"/>
          <w:lang w:val="en-US"/>
        </w:rPr>
        <w:t xml:space="preserve">, </w:t>
      </w:r>
      <w:r>
        <w:rPr>
          <w:rFonts w:ascii="Arial" w:hAnsi="Arial" w:cs="Arial"/>
          <w:i/>
          <w:iCs/>
          <w:kern w:val="0"/>
          <w:sz w:val="22"/>
          <w:szCs w:val="22"/>
          <w:lang w:val="en-US"/>
        </w:rPr>
        <w:t>CAMHS</w:t>
      </w:r>
      <w:r>
        <w:rPr>
          <w:rFonts w:ascii="Arial" w:hAnsi="Arial" w:cs="Arial"/>
          <w:kern w:val="0"/>
          <w:sz w:val="22"/>
          <w:szCs w:val="22"/>
          <w:lang w:val="en-US"/>
        </w:rPr>
        <w:t xml:space="preserve">. Available at: </w:t>
      </w:r>
      <w:hyperlink r:id="rId12" w:history="1">
        <w:r>
          <w:rPr>
            <w:rFonts w:ascii="Arial" w:hAnsi="Arial" w:cs="Arial"/>
            <w:kern w:val="0"/>
            <w:sz w:val="22"/>
            <w:szCs w:val="22"/>
            <w:lang w:val="en-US"/>
          </w:rPr>
          <w:t>https://www.camhsnorthderbyshire.nhs.uk/learning-disabilities-introducing-routines</w:t>
        </w:r>
      </w:hyperlink>
      <w:r>
        <w:rPr>
          <w:rFonts w:ascii="Arial" w:hAnsi="Arial" w:cs="Arial"/>
          <w:kern w:val="0"/>
          <w:sz w:val="22"/>
          <w:szCs w:val="22"/>
          <w:lang w:val="en-US"/>
        </w:rPr>
        <w:t xml:space="preserve"> (Accessed: 27 March 2024).</w:t>
      </w:r>
    </w:p>
    <w:p w14:paraId="0220B013"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Cerasoli, C.P., Nicklin, J.M. and Ford, M.T. (2014) ‘Intrinsic motivation and extrinsic incentives jointly predict performance: A 40-year meta-analysis.’, </w:t>
      </w:r>
      <w:r>
        <w:rPr>
          <w:rFonts w:ascii="Arial" w:hAnsi="Arial" w:cs="Arial"/>
          <w:i/>
          <w:iCs/>
          <w:kern w:val="0"/>
          <w:sz w:val="22"/>
          <w:szCs w:val="22"/>
          <w:lang w:val="en-US"/>
        </w:rPr>
        <w:t>Psychological Bulletin</w:t>
      </w:r>
      <w:r>
        <w:rPr>
          <w:rFonts w:ascii="Arial" w:hAnsi="Arial" w:cs="Arial"/>
          <w:kern w:val="0"/>
          <w:sz w:val="22"/>
          <w:szCs w:val="22"/>
          <w:lang w:val="en-US"/>
        </w:rPr>
        <w:t xml:space="preserve">, 140(4), pp. 980–1008. Available at: </w:t>
      </w:r>
      <w:hyperlink r:id="rId13" w:history="1">
        <w:r>
          <w:rPr>
            <w:rFonts w:ascii="Arial" w:hAnsi="Arial" w:cs="Arial"/>
            <w:kern w:val="0"/>
            <w:sz w:val="22"/>
            <w:szCs w:val="22"/>
            <w:lang w:val="en-US"/>
          </w:rPr>
          <w:t>https://doi.org/10.1037/a0035661</w:t>
        </w:r>
      </w:hyperlink>
      <w:r>
        <w:rPr>
          <w:rFonts w:ascii="Arial" w:hAnsi="Arial" w:cs="Arial"/>
          <w:kern w:val="0"/>
          <w:sz w:val="22"/>
          <w:szCs w:val="22"/>
          <w:lang w:val="en-US"/>
        </w:rPr>
        <w:t>.</w:t>
      </w:r>
    </w:p>
    <w:p w14:paraId="3B0F7C9A"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Cerino, A. (2021) ‘The importance of </w:t>
      </w:r>
      <w:proofErr w:type="spellStart"/>
      <w:r>
        <w:rPr>
          <w:rFonts w:ascii="Arial" w:hAnsi="Arial" w:cs="Arial"/>
          <w:kern w:val="0"/>
          <w:sz w:val="22"/>
          <w:szCs w:val="22"/>
          <w:lang w:val="en-US"/>
        </w:rPr>
        <w:t>recognising</w:t>
      </w:r>
      <w:proofErr w:type="spellEnd"/>
      <w:r>
        <w:rPr>
          <w:rFonts w:ascii="Arial" w:hAnsi="Arial" w:cs="Arial"/>
          <w:kern w:val="0"/>
          <w:sz w:val="22"/>
          <w:szCs w:val="22"/>
          <w:lang w:val="en-US"/>
        </w:rPr>
        <w:t xml:space="preserve"> and promoting independence in young children: The role of the environment and the Danish forest school approach’, </w:t>
      </w:r>
      <w:r>
        <w:rPr>
          <w:rFonts w:ascii="Arial" w:hAnsi="Arial" w:cs="Arial"/>
          <w:i/>
          <w:iCs/>
          <w:kern w:val="0"/>
          <w:sz w:val="22"/>
          <w:szCs w:val="22"/>
          <w:lang w:val="en-US"/>
        </w:rPr>
        <w:t>Education 3-13</w:t>
      </w:r>
      <w:r>
        <w:rPr>
          <w:rFonts w:ascii="Arial" w:hAnsi="Arial" w:cs="Arial"/>
          <w:kern w:val="0"/>
          <w:sz w:val="22"/>
          <w:szCs w:val="22"/>
          <w:lang w:val="en-US"/>
        </w:rPr>
        <w:t xml:space="preserve">, 51(4), pp. 1–10. Available at: </w:t>
      </w:r>
      <w:hyperlink r:id="rId14" w:history="1">
        <w:r>
          <w:rPr>
            <w:rFonts w:ascii="Arial" w:hAnsi="Arial" w:cs="Arial"/>
            <w:kern w:val="0"/>
            <w:sz w:val="22"/>
            <w:szCs w:val="22"/>
            <w:lang w:val="en-US"/>
          </w:rPr>
          <w:t>https://doi.org/10.1080/03004279.2021.2000468</w:t>
        </w:r>
      </w:hyperlink>
      <w:r>
        <w:rPr>
          <w:rFonts w:ascii="Arial" w:hAnsi="Arial" w:cs="Arial"/>
          <w:kern w:val="0"/>
          <w:sz w:val="22"/>
          <w:szCs w:val="22"/>
          <w:lang w:val="en-US"/>
        </w:rPr>
        <w:t>.</w:t>
      </w:r>
    </w:p>
    <w:p w14:paraId="5C2C0686"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Cohen, L., Manion, L. and Morrison, K. (2018) </w:t>
      </w:r>
      <w:r>
        <w:rPr>
          <w:rFonts w:ascii="Arial" w:hAnsi="Arial" w:cs="Arial"/>
          <w:i/>
          <w:iCs/>
          <w:kern w:val="0"/>
          <w:sz w:val="22"/>
          <w:szCs w:val="22"/>
          <w:lang w:val="en-US"/>
        </w:rPr>
        <w:t>Research Methods in Education (8th edition)</w:t>
      </w:r>
      <w:r>
        <w:rPr>
          <w:rFonts w:ascii="Arial" w:hAnsi="Arial" w:cs="Arial"/>
          <w:kern w:val="0"/>
          <w:sz w:val="22"/>
          <w:szCs w:val="22"/>
          <w:lang w:val="en-US"/>
        </w:rPr>
        <w:t>. Oxford: Routledge.</w:t>
      </w:r>
    </w:p>
    <w:p w14:paraId="200326B6"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Education Workforce Council (2023) </w:t>
      </w:r>
      <w:r>
        <w:rPr>
          <w:rFonts w:ascii="Arial" w:hAnsi="Arial" w:cs="Arial"/>
          <w:i/>
          <w:iCs/>
          <w:kern w:val="0"/>
          <w:sz w:val="22"/>
          <w:szCs w:val="22"/>
          <w:lang w:val="en-US"/>
        </w:rPr>
        <w:t>Code of Professional Conduct and Practice</w:t>
      </w:r>
      <w:r>
        <w:rPr>
          <w:rFonts w:ascii="Arial" w:hAnsi="Arial" w:cs="Arial"/>
          <w:kern w:val="0"/>
          <w:sz w:val="22"/>
          <w:szCs w:val="22"/>
          <w:lang w:val="en-US"/>
        </w:rPr>
        <w:t xml:space="preserve">, </w:t>
      </w:r>
      <w:r>
        <w:rPr>
          <w:rFonts w:ascii="Arial" w:hAnsi="Arial" w:cs="Arial"/>
          <w:i/>
          <w:iCs/>
          <w:kern w:val="0"/>
          <w:sz w:val="22"/>
          <w:szCs w:val="22"/>
          <w:lang w:val="en-US"/>
        </w:rPr>
        <w:t>www.ewc.wales</w:t>
      </w:r>
      <w:r>
        <w:rPr>
          <w:rFonts w:ascii="Arial" w:hAnsi="Arial" w:cs="Arial"/>
          <w:kern w:val="0"/>
          <w:sz w:val="22"/>
          <w:szCs w:val="22"/>
          <w:lang w:val="en-US"/>
        </w:rPr>
        <w:t xml:space="preserve">. Available at: </w:t>
      </w:r>
      <w:hyperlink r:id="rId15" w:history="1">
        <w:r>
          <w:rPr>
            <w:rFonts w:ascii="Arial" w:hAnsi="Arial" w:cs="Arial"/>
            <w:kern w:val="0"/>
            <w:sz w:val="22"/>
            <w:szCs w:val="22"/>
            <w:lang w:val="en-US"/>
          </w:rPr>
          <w:t>https://www.ewc.wales/site/index.php/en/fitness-to-practise/code-of-professional-conduct-and-practice/the-code</w:t>
        </w:r>
      </w:hyperlink>
      <w:r>
        <w:rPr>
          <w:rFonts w:ascii="Arial" w:hAnsi="Arial" w:cs="Arial"/>
          <w:kern w:val="0"/>
          <w:sz w:val="22"/>
          <w:szCs w:val="22"/>
          <w:lang w:val="en-US"/>
        </w:rPr>
        <w:t xml:space="preserve"> (Accessed: 9 March 2024).</w:t>
      </w:r>
    </w:p>
    <w:p w14:paraId="33F0DA67"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Elliott, B. (2021) ‘Autism, Visual Thinking, and Independence’, </w:t>
      </w:r>
      <w:r>
        <w:rPr>
          <w:rFonts w:ascii="Arial" w:hAnsi="Arial" w:cs="Arial"/>
          <w:i/>
          <w:iCs/>
          <w:kern w:val="0"/>
          <w:sz w:val="22"/>
          <w:szCs w:val="22"/>
          <w:lang w:val="en-US"/>
        </w:rPr>
        <w:t>INDIGO (University of Illinois at Chicago)</w:t>
      </w:r>
      <w:r>
        <w:rPr>
          <w:rFonts w:ascii="Arial" w:hAnsi="Arial" w:cs="Arial"/>
          <w:kern w:val="0"/>
          <w:sz w:val="22"/>
          <w:szCs w:val="22"/>
          <w:lang w:val="en-US"/>
        </w:rPr>
        <w:t xml:space="preserve">, 1. Available at: </w:t>
      </w:r>
      <w:hyperlink r:id="rId16" w:history="1">
        <w:r>
          <w:rPr>
            <w:rFonts w:ascii="Arial" w:hAnsi="Arial" w:cs="Arial"/>
            <w:kern w:val="0"/>
            <w:sz w:val="22"/>
            <w:szCs w:val="22"/>
            <w:lang w:val="en-US"/>
          </w:rPr>
          <w:t>https://doi.org/10.26686/wgtn.17008195.v1</w:t>
        </w:r>
      </w:hyperlink>
      <w:r>
        <w:rPr>
          <w:rFonts w:ascii="Arial" w:hAnsi="Arial" w:cs="Arial"/>
          <w:kern w:val="0"/>
          <w:sz w:val="22"/>
          <w:szCs w:val="22"/>
          <w:lang w:val="en-US"/>
        </w:rPr>
        <w:t>.</w:t>
      </w:r>
    </w:p>
    <w:p w14:paraId="39F7636E"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Flyvbjerg, B. (2011) ‘Case Study’, in </w:t>
      </w:r>
      <w:r>
        <w:rPr>
          <w:rFonts w:ascii="Arial" w:hAnsi="Arial" w:cs="Arial"/>
          <w:i/>
          <w:iCs/>
          <w:kern w:val="0"/>
          <w:sz w:val="22"/>
          <w:szCs w:val="22"/>
          <w:lang w:val="en-US"/>
        </w:rPr>
        <w:t>The Sage Handbook of Qualitative Research</w:t>
      </w:r>
      <w:r>
        <w:rPr>
          <w:rFonts w:ascii="Arial" w:hAnsi="Arial" w:cs="Arial"/>
          <w:kern w:val="0"/>
          <w:sz w:val="22"/>
          <w:szCs w:val="22"/>
          <w:lang w:val="en-US"/>
        </w:rPr>
        <w:t>, pp. 301–316.</w:t>
      </w:r>
    </w:p>
    <w:p w14:paraId="62AE4DC6"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Franklin, P. </w:t>
      </w:r>
      <w:r>
        <w:rPr>
          <w:rFonts w:ascii="Arial" w:hAnsi="Arial" w:cs="Arial"/>
          <w:i/>
          <w:iCs/>
          <w:kern w:val="0"/>
          <w:sz w:val="22"/>
          <w:szCs w:val="22"/>
          <w:lang w:val="en-US"/>
        </w:rPr>
        <w:t>et al.</w:t>
      </w:r>
      <w:r>
        <w:rPr>
          <w:rFonts w:ascii="Arial" w:hAnsi="Arial" w:cs="Arial"/>
          <w:kern w:val="0"/>
          <w:sz w:val="22"/>
          <w:szCs w:val="22"/>
          <w:lang w:val="en-US"/>
        </w:rPr>
        <w:t xml:space="preserve"> (2018) ‘Health and social care professionals’ experiences of supporting </w:t>
      </w:r>
      <w:r>
        <w:rPr>
          <w:rFonts w:ascii="Arial" w:hAnsi="Arial" w:cs="Arial"/>
          <w:kern w:val="0"/>
          <w:sz w:val="22"/>
          <w:szCs w:val="22"/>
          <w:lang w:val="en-US"/>
        </w:rPr>
        <w:lastRenderedPageBreak/>
        <w:t xml:space="preserve">parents and their dependent children during, and following, the death of a parent: A qualitative review and thematic synthesis’, </w:t>
      </w:r>
      <w:r>
        <w:rPr>
          <w:rFonts w:ascii="Arial" w:hAnsi="Arial" w:cs="Arial"/>
          <w:i/>
          <w:iCs/>
          <w:kern w:val="0"/>
          <w:sz w:val="22"/>
          <w:szCs w:val="22"/>
          <w:lang w:val="en-US"/>
        </w:rPr>
        <w:t>Palliative Medicine</w:t>
      </w:r>
      <w:r>
        <w:rPr>
          <w:rFonts w:ascii="Arial" w:hAnsi="Arial" w:cs="Arial"/>
          <w:kern w:val="0"/>
          <w:sz w:val="22"/>
          <w:szCs w:val="22"/>
          <w:lang w:val="en-US"/>
        </w:rPr>
        <w:t xml:space="preserve">, 33(1), pp. 49–65. Available at: </w:t>
      </w:r>
      <w:hyperlink r:id="rId17" w:history="1">
        <w:r>
          <w:rPr>
            <w:rFonts w:ascii="Arial" w:hAnsi="Arial" w:cs="Arial"/>
            <w:kern w:val="0"/>
            <w:sz w:val="22"/>
            <w:szCs w:val="22"/>
            <w:lang w:val="en-US"/>
          </w:rPr>
          <w:t>https://doi.org/10.1177/0269216318803494</w:t>
        </w:r>
      </w:hyperlink>
      <w:r>
        <w:rPr>
          <w:rFonts w:ascii="Arial" w:hAnsi="Arial" w:cs="Arial"/>
          <w:kern w:val="0"/>
          <w:sz w:val="22"/>
          <w:szCs w:val="22"/>
          <w:lang w:val="en-US"/>
        </w:rPr>
        <w:t>.</w:t>
      </w:r>
    </w:p>
    <w:p w14:paraId="53EA8476"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Hassan, M. (2022) </w:t>
      </w:r>
      <w:r>
        <w:rPr>
          <w:rFonts w:ascii="Arial" w:hAnsi="Arial" w:cs="Arial"/>
          <w:i/>
          <w:iCs/>
          <w:kern w:val="0"/>
          <w:sz w:val="22"/>
          <w:szCs w:val="22"/>
          <w:lang w:val="en-US"/>
        </w:rPr>
        <w:t>Qualitative Research - Methods and Analysis</w:t>
      </w:r>
      <w:r>
        <w:rPr>
          <w:rFonts w:ascii="Arial" w:hAnsi="Arial" w:cs="Arial"/>
          <w:kern w:val="0"/>
          <w:sz w:val="22"/>
          <w:szCs w:val="22"/>
          <w:lang w:val="en-US"/>
        </w:rPr>
        <w:t xml:space="preserve">, </w:t>
      </w:r>
      <w:r>
        <w:rPr>
          <w:rFonts w:ascii="Arial" w:hAnsi="Arial" w:cs="Arial"/>
          <w:i/>
          <w:iCs/>
          <w:kern w:val="0"/>
          <w:sz w:val="22"/>
          <w:szCs w:val="22"/>
          <w:lang w:val="en-US"/>
        </w:rPr>
        <w:t>Research Method</w:t>
      </w:r>
      <w:r>
        <w:rPr>
          <w:rFonts w:ascii="Arial" w:hAnsi="Arial" w:cs="Arial"/>
          <w:kern w:val="0"/>
          <w:sz w:val="22"/>
          <w:szCs w:val="22"/>
          <w:lang w:val="en-US"/>
        </w:rPr>
        <w:t xml:space="preserve">. Available at: </w:t>
      </w:r>
      <w:hyperlink r:id="rId18" w:history="1">
        <w:r>
          <w:rPr>
            <w:rFonts w:ascii="Arial" w:hAnsi="Arial" w:cs="Arial"/>
            <w:kern w:val="0"/>
            <w:sz w:val="22"/>
            <w:szCs w:val="22"/>
            <w:lang w:val="en-US"/>
          </w:rPr>
          <w:t>https://researchmethod.net/qualitative-research/#google_vignette</w:t>
        </w:r>
      </w:hyperlink>
      <w:r>
        <w:rPr>
          <w:rFonts w:ascii="Arial" w:hAnsi="Arial" w:cs="Arial"/>
          <w:kern w:val="0"/>
          <w:sz w:val="22"/>
          <w:szCs w:val="22"/>
          <w:lang w:val="en-US"/>
        </w:rPr>
        <w:t xml:space="preserve"> (Accessed: 31 March 2024).</w:t>
      </w:r>
    </w:p>
    <w:p w14:paraId="66E89368"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sidRPr="00DD2A32">
        <w:rPr>
          <w:rFonts w:ascii="Arial" w:hAnsi="Arial" w:cs="Arial"/>
          <w:kern w:val="0"/>
          <w:sz w:val="22"/>
          <w:szCs w:val="22"/>
          <w:lang w:val="fr-FR"/>
        </w:rPr>
        <w:t xml:space="preserve">Hayes, G.R. </w:t>
      </w:r>
      <w:r w:rsidRPr="00DD2A32">
        <w:rPr>
          <w:rFonts w:ascii="Arial" w:hAnsi="Arial" w:cs="Arial"/>
          <w:i/>
          <w:iCs/>
          <w:kern w:val="0"/>
          <w:sz w:val="22"/>
          <w:szCs w:val="22"/>
          <w:lang w:val="fr-FR"/>
        </w:rPr>
        <w:t>et al.</w:t>
      </w:r>
      <w:r w:rsidRPr="00DD2A32">
        <w:rPr>
          <w:rFonts w:ascii="Arial" w:hAnsi="Arial" w:cs="Arial"/>
          <w:kern w:val="0"/>
          <w:sz w:val="22"/>
          <w:szCs w:val="22"/>
          <w:lang w:val="fr-FR"/>
        </w:rPr>
        <w:t xml:space="preserve"> </w:t>
      </w:r>
      <w:r>
        <w:rPr>
          <w:rFonts w:ascii="Arial" w:hAnsi="Arial" w:cs="Arial"/>
          <w:kern w:val="0"/>
          <w:sz w:val="22"/>
          <w:szCs w:val="22"/>
          <w:lang w:val="en-US"/>
        </w:rPr>
        <w:t xml:space="preserve">(2010) ‘Interactive visual supports for children with autism’, </w:t>
      </w:r>
      <w:r>
        <w:rPr>
          <w:rFonts w:ascii="Arial" w:hAnsi="Arial" w:cs="Arial"/>
          <w:i/>
          <w:iCs/>
          <w:kern w:val="0"/>
          <w:sz w:val="22"/>
          <w:szCs w:val="22"/>
          <w:lang w:val="en-US"/>
        </w:rPr>
        <w:t>Personal and Ubiquitous Computing</w:t>
      </w:r>
      <w:r>
        <w:rPr>
          <w:rFonts w:ascii="Arial" w:hAnsi="Arial" w:cs="Arial"/>
          <w:kern w:val="0"/>
          <w:sz w:val="22"/>
          <w:szCs w:val="22"/>
          <w:lang w:val="en-US"/>
        </w:rPr>
        <w:t xml:space="preserve">, 14(7), pp. 663–680. Available at: </w:t>
      </w:r>
      <w:hyperlink r:id="rId19" w:history="1">
        <w:r>
          <w:rPr>
            <w:rFonts w:ascii="Arial" w:hAnsi="Arial" w:cs="Arial"/>
            <w:kern w:val="0"/>
            <w:sz w:val="22"/>
            <w:szCs w:val="22"/>
            <w:lang w:val="en-US"/>
          </w:rPr>
          <w:t>https://doi.org/10.1007/s00779-010-0294-8</w:t>
        </w:r>
      </w:hyperlink>
      <w:r>
        <w:rPr>
          <w:rFonts w:ascii="Arial" w:hAnsi="Arial" w:cs="Arial"/>
          <w:kern w:val="0"/>
          <w:sz w:val="22"/>
          <w:szCs w:val="22"/>
          <w:lang w:val="en-US"/>
        </w:rPr>
        <w:t>.</w:t>
      </w:r>
    </w:p>
    <w:p w14:paraId="036BF63E"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Jason, L. and Glenwick, D. (2016) </w:t>
      </w:r>
      <w:r>
        <w:rPr>
          <w:rFonts w:ascii="Arial" w:hAnsi="Arial" w:cs="Arial"/>
          <w:i/>
          <w:iCs/>
          <w:kern w:val="0"/>
          <w:sz w:val="22"/>
          <w:szCs w:val="22"/>
          <w:lang w:val="en-US"/>
        </w:rPr>
        <w:t>Handbook of Methodological Approaches to Community-based Research: Qualitative, Quantitative, and Mixed Methods</w:t>
      </w:r>
      <w:r>
        <w:rPr>
          <w:rFonts w:ascii="Arial" w:hAnsi="Arial" w:cs="Arial"/>
          <w:kern w:val="0"/>
          <w:sz w:val="22"/>
          <w:szCs w:val="22"/>
          <w:lang w:val="en-US"/>
        </w:rPr>
        <w:t xml:space="preserve">, </w:t>
      </w:r>
      <w:r>
        <w:rPr>
          <w:rFonts w:ascii="Arial" w:hAnsi="Arial" w:cs="Arial"/>
          <w:i/>
          <w:iCs/>
          <w:kern w:val="0"/>
          <w:sz w:val="22"/>
          <w:szCs w:val="22"/>
          <w:lang w:val="en-US"/>
        </w:rPr>
        <w:t>Google Books</w:t>
      </w:r>
      <w:r>
        <w:rPr>
          <w:rFonts w:ascii="Arial" w:hAnsi="Arial" w:cs="Arial"/>
          <w:kern w:val="0"/>
          <w:sz w:val="22"/>
          <w:szCs w:val="22"/>
          <w:lang w:val="en-US"/>
        </w:rPr>
        <w:t xml:space="preserve">. Oxford University Press. Available at: </w:t>
      </w:r>
      <w:hyperlink r:id="rId20" w:history="1">
        <w:r>
          <w:rPr>
            <w:rFonts w:ascii="Arial" w:hAnsi="Arial" w:cs="Arial"/>
            <w:kern w:val="0"/>
            <w:sz w:val="22"/>
            <w:szCs w:val="22"/>
            <w:lang w:val="en-US"/>
          </w:rPr>
          <w:t>https://books.google.co.uk/books?hl=en&amp;lr=&amp;id=iiTYCgAAQBAJ&amp;oi=fnd&amp;pg=PA33&amp;dq=thematic+analysis+flexible+approach&amp;ots=rbyqdxngmF&amp;sig=UxPdzun5gh6OThwcL_SkS_KgSbg#v=onepage&amp;q=flexible&amp;f=false</w:t>
        </w:r>
      </w:hyperlink>
      <w:r>
        <w:rPr>
          <w:rFonts w:ascii="Arial" w:hAnsi="Arial" w:cs="Arial"/>
          <w:kern w:val="0"/>
          <w:sz w:val="22"/>
          <w:szCs w:val="22"/>
          <w:lang w:val="en-US"/>
        </w:rPr>
        <w:t xml:space="preserve"> (Accessed: 3 May 2024).</w:t>
      </w:r>
    </w:p>
    <w:p w14:paraId="5FD26CDB"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Joinson, A. (1999) ‘Social desirability, anonymity, and internet-based Questionnaires’, </w:t>
      </w:r>
      <w:r>
        <w:rPr>
          <w:rFonts w:ascii="Arial" w:hAnsi="Arial" w:cs="Arial"/>
          <w:i/>
          <w:iCs/>
          <w:kern w:val="0"/>
          <w:sz w:val="22"/>
          <w:szCs w:val="22"/>
          <w:lang w:val="en-US"/>
        </w:rPr>
        <w:t>Behavior Research Methods, Instruments, &amp; Computers</w:t>
      </w:r>
      <w:r>
        <w:rPr>
          <w:rFonts w:ascii="Arial" w:hAnsi="Arial" w:cs="Arial"/>
          <w:kern w:val="0"/>
          <w:sz w:val="22"/>
          <w:szCs w:val="22"/>
          <w:lang w:val="en-US"/>
        </w:rPr>
        <w:t xml:space="preserve">, 31(3), pp. 433–438. Available at: </w:t>
      </w:r>
      <w:hyperlink r:id="rId21" w:history="1">
        <w:r>
          <w:rPr>
            <w:rFonts w:ascii="Arial" w:hAnsi="Arial" w:cs="Arial"/>
            <w:kern w:val="0"/>
            <w:sz w:val="22"/>
            <w:szCs w:val="22"/>
            <w:lang w:val="en-US"/>
          </w:rPr>
          <w:t>https://doi.org/10.3758/bf03200723</w:t>
        </w:r>
      </w:hyperlink>
      <w:r>
        <w:rPr>
          <w:rFonts w:ascii="Arial" w:hAnsi="Arial" w:cs="Arial"/>
          <w:kern w:val="0"/>
          <w:sz w:val="22"/>
          <w:szCs w:val="22"/>
          <w:lang w:val="en-US"/>
        </w:rPr>
        <w:t>.</w:t>
      </w:r>
    </w:p>
    <w:p w14:paraId="26A70093"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Jonsen, K. and Jehn, K.A. (2009) ‘Using triangulation to validate themes in qualitative studies’, </w:t>
      </w:r>
      <w:r>
        <w:rPr>
          <w:rFonts w:ascii="Arial" w:hAnsi="Arial" w:cs="Arial"/>
          <w:i/>
          <w:iCs/>
          <w:kern w:val="0"/>
          <w:sz w:val="22"/>
          <w:szCs w:val="22"/>
          <w:lang w:val="en-US"/>
        </w:rPr>
        <w:t>Qualitative Research in Organizations and Management: An International Journal</w:t>
      </w:r>
      <w:r>
        <w:rPr>
          <w:rFonts w:ascii="Arial" w:hAnsi="Arial" w:cs="Arial"/>
          <w:kern w:val="0"/>
          <w:sz w:val="22"/>
          <w:szCs w:val="22"/>
          <w:lang w:val="en-US"/>
        </w:rPr>
        <w:t xml:space="preserve">, 4(2), pp. 123–150. Available at: </w:t>
      </w:r>
      <w:hyperlink r:id="rId22" w:history="1">
        <w:r>
          <w:rPr>
            <w:rFonts w:ascii="Arial" w:hAnsi="Arial" w:cs="Arial"/>
            <w:kern w:val="0"/>
            <w:sz w:val="22"/>
            <w:szCs w:val="22"/>
            <w:lang w:val="en-US"/>
          </w:rPr>
          <w:t>https://doi.org/10.1108/17465640910978391</w:t>
        </w:r>
      </w:hyperlink>
      <w:r>
        <w:rPr>
          <w:rFonts w:ascii="Arial" w:hAnsi="Arial" w:cs="Arial"/>
          <w:kern w:val="0"/>
          <w:sz w:val="22"/>
          <w:szCs w:val="22"/>
          <w:lang w:val="en-US"/>
        </w:rPr>
        <w:t>.</w:t>
      </w:r>
    </w:p>
    <w:p w14:paraId="6FCDDA45"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proofErr w:type="spellStart"/>
      <w:r>
        <w:rPr>
          <w:rFonts w:ascii="Arial" w:hAnsi="Arial" w:cs="Arial"/>
          <w:kern w:val="0"/>
          <w:sz w:val="22"/>
          <w:szCs w:val="22"/>
          <w:lang w:val="en-US"/>
        </w:rPr>
        <w:t>Kawulich</w:t>
      </w:r>
      <w:proofErr w:type="spellEnd"/>
      <w:r>
        <w:rPr>
          <w:rFonts w:ascii="Arial" w:hAnsi="Arial" w:cs="Arial"/>
          <w:kern w:val="0"/>
          <w:sz w:val="22"/>
          <w:szCs w:val="22"/>
          <w:lang w:val="en-US"/>
        </w:rPr>
        <w:t xml:space="preserve">, B. (2012) </w:t>
      </w:r>
      <w:r>
        <w:rPr>
          <w:rFonts w:ascii="Arial" w:hAnsi="Arial" w:cs="Arial"/>
          <w:i/>
          <w:iCs/>
          <w:kern w:val="0"/>
          <w:sz w:val="22"/>
          <w:szCs w:val="22"/>
          <w:lang w:val="en-US"/>
        </w:rPr>
        <w:t>Collecting Data Through Observation</w:t>
      </w:r>
      <w:r>
        <w:rPr>
          <w:rFonts w:ascii="Arial" w:hAnsi="Arial" w:cs="Arial"/>
          <w:kern w:val="0"/>
          <w:sz w:val="22"/>
          <w:szCs w:val="22"/>
          <w:lang w:val="en-US"/>
        </w:rPr>
        <w:t xml:space="preserve">, </w:t>
      </w:r>
      <w:r>
        <w:rPr>
          <w:rFonts w:ascii="Arial" w:hAnsi="Arial" w:cs="Arial"/>
          <w:i/>
          <w:iCs/>
          <w:kern w:val="0"/>
          <w:sz w:val="22"/>
          <w:szCs w:val="22"/>
          <w:lang w:val="en-US"/>
        </w:rPr>
        <w:t>ResearchGate</w:t>
      </w:r>
      <w:r>
        <w:rPr>
          <w:rFonts w:ascii="Arial" w:hAnsi="Arial" w:cs="Arial"/>
          <w:kern w:val="0"/>
          <w:sz w:val="22"/>
          <w:szCs w:val="22"/>
          <w:lang w:val="en-US"/>
        </w:rPr>
        <w:t xml:space="preserve">. Available at: </w:t>
      </w:r>
      <w:hyperlink r:id="rId23" w:history="1">
        <w:r>
          <w:rPr>
            <w:rFonts w:ascii="Arial" w:hAnsi="Arial" w:cs="Arial"/>
            <w:kern w:val="0"/>
            <w:sz w:val="22"/>
            <w:szCs w:val="22"/>
            <w:lang w:val="en-US"/>
          </w:rPr>
          <w:t>https://www.researchgate.net/publication/257944783_Collecting_data_through_observation</w:t>
        </w:r>
      </w:hyperlink>
      <w:r>
        <w:rPr>
          <w:rFonts w:ascii="Arial" w:hAnsi="Arial" w:cs="Arial"/>
          <w:kern w:val="0"/>
          <w:sz w:val="22"/>
          <w:szCs w:val="22"/>
          <w:lang w:val="en-US"/>
        </w:rPr>
        <w:t xml:space="preserve"> (Accessed: 31 March 2024).</w:t>
      </w:r>
    </w:p>
    <w:p w14:paraId="473B8539"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Li, N. (2023) ‘Research on the cultivation of students’ independent learning ability’, </w:t>
      </w:r>
      <w:r>
        <w:rPr>
          <w:rFonts w:ascii="Arial" w:hAnsi="Arial" w:cs="Arial"/>
          <w:i/>
          <w:iCs/>
          <w:kern w:val="0"/>
          <w:sz w:val="22"/>
          <w:szCs w:val="22"/>
          <w:lang w:val="en-US"/>
        </w:rPr>
        <w:t>Adult and Higher Education</w:t>
      </w:r>
      <w:r>
        <w:rPr>
          <w:rFonts w:ascii="Arial" w:hAnsi="Arial" w:cs="Arial"/>
          <w:kern w:val="0"/>
          <w:sz w:val="22"/>
          <w:szCs w:val="22"/>
          <w:lang w:val="en-US"/>
        </w:rPr>
        <w:t xml:space="preserve">, 5(19). Available at: </w:t>
      </w:r>
      <w:hyperlink r:id="rId24" w:history="1">
        <w:r>
          <w:rPr>
            <w:rFonts w:ascii="Arial" w:hAnsi="Arial" w:cs="Arial"/>
            <w:kern w:val="0"/>
            <w:sz w:val="22"/>
            <w:szCs w:val="22"/>
            <w:lang w:val="en-US"/>
          </w:rPr>
          <w:t>https://doi.org/10.23977/aduhe.2023.051906</w:t>
        </w:r>
      </w:hyperlink>
      <w:r>
        <w:rPr>
          <w:rFonts w:ascii="Arial" w:hAnsi="Arial" w:cs="Arial"/>
          <w:kern w:val="0"/>
          <w:sz w:val="22"/>
          <w:szCs w:val="22"/>
          <w:lang w:val="en-US"/>
        </w:rPr>
        <w:t>.</w:t>
      </w:r>
    </w:p>
    <w:p w14:paraId="5172B4CC"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Majumdar, A. (2022) </w:t>
      </w:r>
      <w:r>
        <w:rPr>
          <w:rFonts w:ascii="Arial" w:hAnsi="Arial" w:cs="Arial"/>
          <w:i/>
          <w:iCs/>
          <w:kern w:val="0"/>
          <w:sz w:val="22"/>
          <w:szCs w:val="22"/>
          <w:lang w:val="en-US"/>
        </w:rPr>
        <w:t>Thematic Analysis in Qualitative Research</w:t>
      </w:r>
      <w:r>
        <w:rPr>
          <w:rFonts w:ascii="Arial" w:hAnsi="Arial" w:cs="Arial"/>
          <w:kern w:val="0"/>
          <w:sz w:val="22"/>
          <w:szCs w:val="22"/>
          <w:lang w:val="en-US"/>
        </w:rPr>
        <w:t xml:space="preserve">, </w:t>
      </w:r>
      <w:r>
        <w:rPr>
          <w:rFonts w:ascii="Arial" w:hAnsi="Arial" w:cs="Arial"/>
          <w:i/>
          <w:iCs/>
          <w:kern w:val="0"/>
          <w:sz w:val="22"/>
          <w:szCs w:val="22"/>
          <w:lang w:val="en-US"/>
        </w:rPr>
        <w:t>Research Anthology on Innovative Research Methodologies and Utilization Across Multiple Disciplines</w:t>
      </w:r>
      <w:r>
        <w:rPr>
          <w:rFonts w:ascii="Arial" w:hAnsi="Arial" w:cs="Arial"/>
          <w:kern w:val="0"/>
          <w:sz w:val="22"/>
          <w:szCs w:val="22"/>
          <w:lang w:val="en-US"/>
        </w:rPr>
        <w:t xml:space="preserve">. Available at: </w:t>
      </w:r>
      <w:hyperlink r:id="rId25" w:history="1">
        <w:r>
          <w:rPr>
            <w:rFonts w:ascii="Arial" w:hAnsi="Arial" w:cs="Arial"/>
            <w:kern w:val="0"/>
            <w:sz w:val="22"/>
            <w:szCs w:val="22"/>
            <w:lang w:val="en-US"/>
          </w:rPr>
          <w:t>https://www.igi-global.com/chapter/thematic-analysis-in-qualitative-research/290815</w:t>
        </w:r>
      </w:hyperlink>
      <w:r>
        <w:rPr>
          <w:rFonts w:ascii="Arial" w:hAnsi="Arial" w:cs="Arial"/>
          <w:kern w:val="0"/>
          <w:sz w:val="22"/>
          <w:szCs w:val="22"/>
          <w:lang w:val="en-US"/>
        </w:rPr>
        <w:t xml:space="preserve"> (Accessed: 3 May 2024).</w:t>
      </w:r>
    </w:p>
    <w:p w14:paraId="388ECED3"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McGrath, C. and Debbie Laliberte Rudman (2019) ‘Using participant observation to enable </w:t>
      </w:r>
      <w:r>
        <w:rPr>
          <w:rFonts w:ascii="Arial" w:hAnsi="Arial" w:cs="Arial"/>
          <w:kern w:val="0"/>
          <w:sz w:val="22"/>
          <w:szCs w:val="22"/>
          <w:lang w:val="en-US"/>
        </w:rPr>
        <w:lastRenderedPageBreak/>
        <w:t xml:space="preserve">critical understandings of disability in later life: An illustration conducted with older adults with low vision’, </w:t>
      </w:r>
      <w:r>
        <w:rPr>
          <w:rFonts w:ascii="Arial" w:hAnsi="Arial" w:cs="Arial"/>
          <w:i/>
          <w:iCs/>
          <w:kern w:val="0"/>
          <w:sz w:val="22"/>
          <w:szCs w:val="22"/>
          <w:lang w:val="en-US"/>
        </w:rPr>
        <w:t>International Journal of Qualitative Methods</w:t>
      </w:r>
      <w:r>
        <w:rPr>
          <w:rFonts w:ascii="Arial" w:hAnsi="Arial" w:cs="Arial"/>
          <w:kern w:val="0"/>
          <w:sz w:val="22"/>
          <w:szCs w:val="22"/>
          <w:lang w:val="en-US"/>
        </w:rPr>
        <w:t xml:space="preserve">, 18, p. 1609406919891292. Available at: </w:t>
      </w:r>
      <w:hyperlink r:id="rId26" w:history="1">
        <w:r>
          <w:rPr>
            <w:rFonts w:ascii="Arial" w:hAnsi="Arial" w:cs="Arial"/>
            <w:kern w:val="0"/>
            <w:sz w:val="22"/>
            <w:szCs w:val="22"/>
            <w:lang w:val="en-US"/>
          </w:rPr>
          <w:t>https://doi.org/10.1177/1609406919891292</w:t>
        </w:r>
      </w:hyperlink>
      <w:r>
        <w:rPr>
          <w:rFonts w:ascii="Arial" w:hAnsi="Arial" w:cs="Arial"/>
          <w:kern w:val="0"/>
          <w:sz w:val="22"/>
          <w:szCs w:val="22"/>
          <w:lang w:val="en-US"/>
        </w:rPr>
        <w:t>.</w:t>
      </w:r>
    </w:p>
    <w:p w14:paraId="59A150E3"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McLeod, J. (2001) </w:t>
      </w:r>
      <w:r>
        <w:rPr>
          <w:rFonts w:ascii="Arial" w:hAnsi="Arial" w:cs="Arial"/>
          <w:i/>
          <w:iCs/>
          <w:kern w:val="0"/>
          <w:sz w:val="22"/>
          <w:szCs w:val="22"/>
          <w:lang w:val="en-US"/>
        </w:rPr>
        <w:t>Qualitative research in counselling and psychotherapy</w:t>
      </w:r>
      <w:r>
        <w:rPr>
          <w:rFonts w:ascii="Arial" w:hAnsi="Arial" w:cs="Arial"/>
          <w:kern w:val="0"/>
          <w:sz w:val="22"/>
          <w:szCs w:val="22"/>
          <w:lang w:val="en-US"/>
        </w:rPr>
        <w:t>. Sage.</w:t>
      </w:r>
    </w:p>
    <w:p w14:paraId="1CA9054F"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McLeod, S. (2024) </w:t>
      </w:r>
      <w:r>
        <w:rPr>
          <w:rFonts w:ascii="Arial" w:hAnsi="Arial" w:cs="Arial"/>
          <w:i/>
          <w:iCs/>
          <w:kern w:val="0"/>
          <w:sz w:val="22"/>
          <w:szCs w:val="22"/>
          <w:lang w:val="en-US"/>
        </w:rPr>
        <w:t>The Zone of Proximal Development and Scaffolding</w:t>
      </w:r>
      <w:r>
        <w:rPr>
          <w:rFonts w:ascii="Arial" w:hAnsi="Arial" w:cs="Arial"/>
          <w:kern w:val="0"/>
          <w:sz w:val="22"/>
          <w:szCs w:val="22"/>
          <w:lang w:val="en-US"/>
        </w:rPr>
        <w:t xml:space="preserve">, </w:t>
      </w:r>
      <w:r>
        <w:rPr>
          <w:rFonts w:ascii="Arial" w:hAnsi="Arial" w:cs="Arial"/>
          <w:i/>
          <w:iCs/>
          <w:kern w:val="0"/>
          <w:sz w:val="22"/>
          <w:szCs w:val="22"/>
          <w:lang w:val="en-US"/>
        </w:rPr>
        <w:t>Simply Psychology</w:t>
      </w:r>
      <w:r>
        <w:rPr>
          <w:rFonts w:ascii="Arial" w:hAnsi="Arial" w:cs="Arial"/>
          <w:kern w:val="0"/>
          <w:sz w:val="22"/>
          <w:szCs w:val="22"/>
          <w:lang w:val="en-US"/>
        </w:rPr>
        <w:t xml:space="preserve">. Available at: </w:t>
      </w:r>
      <w:hyperlink r:id="rId27" w:history="1">
        <w:r>
          <w:rPr>
            <w:rFonts w:ascii="Arial" w:hAnsi="Arial" w:cs="Arial"/>
            <w:kern w:val="0"/>
            <w:sz w:val="22"/>
            <w:szCs w:val="22"/>
            <w:lang w:val="en-US"/>
          </w:rPr>
          <w:t>https://www.simplypsychology.org/Zone-of-Proximal-Development.html</w:t>
        </w:r>
      </w:hyperlink>
      <w:r>
        <w:rPr>
          <w:rFonts w:ascii="Arial" w:hAnsi="Arial" w:cs="Arial"/>
          <w:kern w:val="0"/>
          <w:sz w:val="22"/>
          <w:szCs w:val="22"/>
          <w:lang w:val="en-US"/>
        </w:rPr>
        <w:t xml:space="preserve"> (Accessed: 27 March 2024).</w:t>
      </w:r>
    </w:p>
    <w:p w14:paraId="1B3D704F"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Mehri, E. and </w:t>
      </w:r>
      <w:proofErr w:type="spellStart"/>
      <w:r>
        <w:rPr>
          <w:rFonts w:ascii="Arial" w:hAnsi="Arial" w:cs="Arial"/>
          <w:kern w:val="0"/>
          <w:sz w:val="22"/>
          <w:szCs w:val="22"/>
          <w:lang w:val="en-US"/>
        </w:rPr>
        <w:t>Amerian</w:t>
      </w:r>
      <w:proofErr w:type="spellEnd"/>
      <w:r>
        <w:rPr>
          <w:rFonts w:ascii="Arial" w:hAnsi="Arial" w:cs="Arial"/>
          <w:kern w:val="0"/>
          <w:sz w:val="22"/>
          <w:szCs w:val="22"/>
          <w:lang w:val="en-US"/>
        </w:rPr>
        <w:t xml:space="preserve">, M. (2014) ‘Scaffolding in Sociocultural Theory: Definition, Steps, Features, Conditions, Tools, and Effective Considerations’, </w:t>
      </w:r>
      <w:r>
        <w:rPr>
          <w:rFonts w:ascii="Arial" w:hAnsi="Arial" w:cs="Arial"/>
          <w:i/>
          <w:iCs/>
          <w:kern w:val="0"/>
          <w:sz w:val="22"/>
          <w:szCs w:val="22"/>
          <w:lang w:val="en-US"/>
        </w:rPr>
        <w:t>Scientific Journal of Review</w:t>
      </w:r>
      <w:r>
        <w:rPr>
          <w:rFonts w:ascii="Arial" w:hAnsi="Arial" w:cs="Arial"/>
          <w:kern w:val="0"/>
          <w:sz w:val="22"/>
          <w:szCs w:val="22"/>
          <w:lang w:val="en-US"/>
        </w:rPr>
        <w:t xml:space="preserve">, 3, pp. 756–765. Available at: </w:t>
      </w:r>
      <w:hyperlink r:id="rId28" w:history="1">
        <w:r>
          <w:rPr>
            <w:rFonts w:ascii="Arial" w:hAnsi="Arial" w:cs="Arial"/>
            <w:kern w:val="0"/>
            <w:sz w:val="22"/>
            <w:szCs w:val="22"/>
            <w:lang w:val="en-US"/>
          </w:rPr>
          <w:t>https://doi.org/10.14196/sjr.v3i7.1505</w:t>
        </w:r>
      </w:hyperlink>
      <w:r>
        <w:rPr>
          <w:rFonts w:ascii="Arial" w:hAnsi="Arial" w:cs="Arial"/>
          <w:kern w:val="0"/>
          <w:sz w:val="22"/>
          <w:szCs w:val="22"/>
          <w:lang w:val="en-US"/>
        </w:rPr>
        <w:t>.</w:t>
      </w:r>
    </w:p>
    <w:p w14:paraId="1F0A3A8D"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Nelson, L., Groom, R. and Potrac, P. (2014) </w:t>
      </w:r>
      <w:r>
        <w:rPr>
          <w:rFonts w:ascii="Arial" w:hAnsi="Arial" w:cs="Arial"/>
          <w:i/>
          <w:iCs/>
          <w:kern w:val="0"/>
          <w:sz w:val="22"/>
          <w:szCs w:val="22"/>
          <w:lang w:val="en-US"/>
        </w:rPr>
        <w:t>Research Methods in Sports Coaching</w:t>
      </w:r>
      <w:r>
        <w:rPr>
          <w:rFonts w:ascii="Arial" w:hAnsi="Arial" w:cs="Arial"/>
          <w:kern w:val="0"/>
          <w:sz w:val="22"/>
          <w:szCs w:val="22"/>
          <w:lang w:val="en-US"/>
        </w:rPr>
        <w:t xml:space="preserve">. Edited by L. Nelson, R. Groom, and P. Potrac. Routledge, p. 112. Available at: </w:t>
      </w:r>
      <w:hyperlink r:id="rId29" w:history="1">
        <w:r>
          <w:rPr>
            <w:rFonts w:ascii="Arial" w:hAnsi="Arial" w:cs="Arial"/>
            <w:kern w:val="0"/>
            <w:sz w:val="22"/>
            <w:szCs w:val="22"/>
            <w:lang w:val="en-US"/>
          </w:rPr>
          <w:t>https://doi.org/10.4324/9780203797549</w:t>
        </w:r>
      </w:hyperlink>
      <w:r>
        <w:rPr>
          <w:rFonts w:ascii="Arial" w:hAnsi="Arial" w:cs="Arial"/>
          <w:kern w:val="0"/>
          <w:sz w:val="22"/>
          <w:szCs w:val="22"/>
          <w:lang w:val="en-US"/>
        </w:rPr>
        <w:t>.</w:t>
      </w:r>
    </w:p>
    <w:p w14:paraId="6675015F"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Nickerson, C. (2021) </w:t>
      </w:r>
      <w:r>
        <w:rPr>
          <w:rFonts w:ascii="Arial" w:hAnsi="Arial" w:cs="Arial"/>
          <w:i/>
          <w:iCs/>
          <w:kern w:val="0"/>
          <w:sz w:val="22"/>
          <w:szCs w:val="22"/>
          <w:lang w:val="en-US"/>
        </w:rPr>
        <w:t>Accommodation and assimilation in psychology - simply psychology</w:t>
      </w:r>
      <w:r>
        <w:rPr>
          <w:rFonts w:ascii="Arial" w:hAnsi="Arial" w:cs="Arial"/>
          <w:kern w:val="0"/>
          <w:sz w:val="22"/>
          <w:szCs w:val="22"/>
          <w:lang w:val="en-US"/>
        </w:rPr>
        <w:t xml:space="preserve">, </w:t>
      </w:r>
      <w:r>
        <w:rPr>
          <w:rFonts w:ascii="Arial" w:hAnsi="Arial" w:cs="Arial"/>
          <w:i/>
          <w:iCs/>
          <w:kern w:val="0"/>
          <w:sz w:val="22"/>
          <w:szCs w:val="22"/>
          <w:lang w:val="en-US"/>
        </w:rPr>
        <w:t>www.simplypsychology.org</w:t>
      </w:r>
      <w:r>
        <w:rPr>
          <w:rFonts w:ascii="Arial" w:hAnsi="Arial" w:cs="Arial"/>
          <w:kern w:val="0"/>
          <w:sz w:val="22"/>
          <w:szCs w:val="22"/>
          <w:lang w:val="en-US"/>
        </w:rPr>
        <w:t xml:space="preserve">. Available at: </w:t>
      </w:r>
      <w:hyperlink r:id="rId30" w:history="1">
        <w:r>
          <w:rPr>
            <w:rFonts w:ascii="Arial" w:hAnsi="Arial" w:cs="Arial"/>
            <w:kern w:val="0"/>
            <w:sz w:val="22"/>
            <w:szCs w:val="22"/>
            <w:lang w:val="en-US"/>
          </w:rPr>
          <w:t>https://www.simplypsychology.org/what-is-accommodation-and-assimilation.html</w:t>
        </w:r>
      </w:hyperlink>
      <w:r>
        <w:rPr>
          <w:rFonts w:ascii="Arial" w:hAnsi="Arial" w:cs="Arial"/>
          <w:kern w:val="0"/>
          <w:sz w:val="22"/>
          <w:szCs w:val="22"/>
          <w:lang w:val="en-US"/>
        </w:rPr>
        <w:t xml:space="preserve"> (Accessed: 27 March 2024).</w:t>
      </w:r>
    </w:p>
    <w:p w14:paraId="31C284A9"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Njogu, A. </w:t>
      </w:r>
      <w:r>
        <w:rPr>
          <w:rFonts w:ascii="Arial" w:hAnsi="Arial" w:cs="Arial"/>
          <w:i/>
          <w:iCs/>
          <w:kern w:val="0"/>
          <w:sz w:val="22"/>
          <w:szCs w:val="22"/>
          <w:lang w:val="en-US"/>
        </w:rPr>
        <w:t>et al.</w:t>
      </w:r>
      <w:r>
        <w:rPr>
          <w:rFonts w:ascii="Arial" w:hAnsi="Arial" w:cs="Arial"/>
          <w:kern w:val="0"/>
          <w:sz w:val="22"/>
          <w:szCs w:val="22"/>
          <w:lang w:val="en-US"/>
        </w:rPr>
        <w:t xml:space="preserve"> (2022) ‘Experiences of infertile women pursuing treatment in Kenya: a qualitative study’, </w:t>
      </w:r>
      <w:r>
        <w:rPr>
          <w:rFonts w:ascii="Arial" w:hAnsi="Arial" w:cs="Arial"/>
          <w:i/>
          <w:iCs/>
          <w:kern w:val="0"/>
          <w:sz w:val="22"/>
          <w:szCs w:val="22"/>
          <w:lang w:val="en-US"/>
        </w:rPr>
        <w:t>BMC Women’s Health</w:t>
      </w:r>
      <w:r>
        <w:rPr>
          <w:rFonts w:ascii="Arial" w:hAnsi="Arial" w:cs="Arial"/>
          <w:kern w:val="0"/>
          <w:sz w:val="22"/>
          <w:szCs w:val="22"/>
          <w:lang w:val="en-US"/>
        </w:rPr>
        <w:t xml:space="preserve">, 22. Available at: </w:t>
      </w:r>
      <w:hyperlink r:id="rId31" w:history="1">
        <w:r>
          <w:rPr>
            <w:rFonts w:ascii="Arial" w:hAnsi="Arial" w:cs="Arial"/>
            <w:kern w:val="0"/>
            <w:sz w:val="22"/>
            <w:szCs w:val="22"/>
            <w:lang w:val="en-US"/>
          </w:rPr>
          <w:t>https://doi.org/10.1186/s12905-022-01950-4</w:t>
        </w:r>
      </w:hyperlink>
      <w:r>
        <w:rPr>
          <w:rFonts w:ascii="Arial" w:hAnsi="Arial" w:cs="Arial"/>
          <w:kern w:val="0"/>
          <w:sz w:val="22"/>
          <w:szCs w:val="22"/>
          <w:lang w:val="en-US"/>
        </w:rPr>
        <w:t>.</w:t>
      </w:r>
    </w:p>
    <w:p w14:paraId="0E68177F"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Noble, H. and Heale, R. (2019) ‘Triangulation in research’, </w:t>
      </w:r>
      <w:r>
        <w:rPr>
          <w:rFonts w:ascii="Arial" w:hAnsi="Arial" w:cs="Arial"/>
          <w:i/>
          <w:iCs/>
          <w:kern w:val="0"/>
          <w:sz w:val="22"/>
          <w:szCs w:val="22"/>
          <w:lang w:val="en-US"/>
        </w:rPr>
        <w:t>Evidence Based Nursing</w:t>
      </w:r>
      <w:r>
        <w:rPr>
          <w:rFonts w:ascii="Arial" w:hAnsi="Arial" w:cs="Arial"/>
          <w:kern w:val="0"/>
          <w:sz w:val="22"/>
          <w:szCs w:val="22"/>
          <w:lang w:val="en-US"/>
        </w:rPr>
        <w:t xml:space="preserve">, 22(3), pp. 67–68. Available at: </w:t>
      </w:r>
      <w:hyperlink r:id="rId32" w:history="1">
        <w:r>
          <w:rPr>
            <w:rFonts w:ascii="Arial" w:hAnsi="Arial" w:cs="Arial"/>
            <w:kern w:val="0"/>
            <w:sz w:val="22"/>
            <w:szCs w:val="22"/>
            <w:lang w:val="en-US"/>
          </w:rPr>
          <w:t>https://ebn.bmj.com/content/22/3/67</w:t>
        </w:r>
      </w:hyperlink>
      <w:r>
        <w:rPr>
          <w:rFonts w:ascii="Arial" w:hAnsi="Arial" w:cs="Arial"/>
          <w:kern w:val="0"/>
          <w:sz w:val="22"/>
          <w:szCs w:val="22"/>
          <w:lang w:val="en-US"/>
        </w:rPr>
        <w:t xml:space="preserve"> (Accessed: 7 April 2024).</w:t>
      </w:r>
    </w:p>
    <w:p w14:paraId="4A5A1D48"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proofErr w:type="spellStart"/>
      <w:r>
        <w:rPr>
          <w:rFonts w:ascii="Arial" w:hAnsi="Arial" w:cs="Arial"/>
          <w:kern w:val="0"/>
          <w:sz w:val="22"/>
          <w:szCs w:val="22"/>
          <w:lang w:val="en-US"/>
        </w:rPr>
        <w:t>O’Cathain</w:t>
      </w:r>
      <w:proofErr w:type="spellEnd"/>
      <w:r>
        <w:rPr>
          <w:rFonts w:ascii="Arial" w:hAnsi="Arial" w:cs="Arial"/>
          <w:kern w:val="0"/>
          <w:sz w:val="22"/>
          <w:szCs w:val="22"/>
          <w:lang w:val="en-US"/>
        </w:rPr>
        <w:t xml:space="preserve">, A. and Thomas, K.J. (2004) ‘“Any other comments?” Open questions on questionnaires – a bane or a bonus to research?’, </w:t>
      </w:r>
      <w:r>
        <w:rPr>
          <w:rFonts w:ascii="Arial" w:hAnsi="Arial" w:cs="Arial"/>
          <w:i/>
          <w:iCs/>
          <w:kern w:val="0"/>
          <w:sz w:val="22"/>
          <w:szCs w:val="22"/>
          <w:lang w:val="en-US"/>
        </w:rPr>
        <w:t>BMC Medical Research Methodology</w:t>
      </w:r>
      <w:r>
        <w:rPr>
          <w:rFonts w:ascii="Arial" w:hAnsi="Arial" w:cs="Arial"/>
          <w:kern w:val="0"/>
          <w:sz w:val="22"/>
          <w:szCs w:val="22"/>
          <w:lang w:val="en-US"/>
        </w:rPr>
        <w:t xml:space="preserve">, 4(1), pp. 1–7. Available at: </w:t>
      </w:r>
      <w:hyperlink r:id="rId33" w:history="1">
        <w:r>
          <w:rPr>
            <w:rFonts w:ascii="Arial" w:hAnsi="Arial" w:cs="Arial"/>
            <w:kern w:val="0"/>
            <w:sz w:val="22"/>
            <w:szCs w:val="22"/>
            <w:lang w:val="en-US"/>
          </w:rPr>
          <w:t>https://doi.org/10.1186/1471-2288-4-25</w:t>
        </w:r>
      </w:hyperlink>
      <w:r>
        <w:rPr>
          <w:rFonts w:ascii="Arial" w:hAnsi="Arial" w:cs="Arial"/>
          <w:kern w:val="0"/>
          <w:sz w:val="22"/>
          <w:szCs w:val="22"/>
          <w:lang w:val="en-US"/>
        </w:rPr>
        <w:t>.</w:t>
      </w:r>
    </w:p>
    <w:p w14:paraId="7E222B32"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Priya, A. (2020) ‘Case Study Methodology of Qualitative Research: Key Attributes and Navigating the Conundrums in Its Application’, </w:t>
      </w:r>
      <w:r>
        <w:rPr>
          <w:rFonts w:ascii="Arial" w:hAnsi="Arial" w:cs="Arial"/>
          <w:i/>
          <w:iCs/>
          <w:kern w:val="0"/>
          <w:sz w:val="22"/>
          <w:szCs w:val="22"/>
          <w:lang w:val="en-US"/>
        </w:rPr>
        <w:t>Sociological Bulletin</w:t>
      </w:r>
      <w:r>
        <w:rPr>
          <w:rFonts w:ascii="Arial" w:hAnsi="Arial" w:cs="Arial"/>
          <w:kern w:val="0"/>
          <w:sz w:val="22"/>
          <w:szCs w:val="22"/>
          <w:lang w:val="en-US"/>
        </w:rPr>
        <w:t xml:space="preserve">, 70(1), pp. 94–110. Available at: </w:t>
      </w:r>
      <w:hyperlink r:id="rId34" w:history="1">
        <w:r>
          <w:rPr>
            <w:rFonts w:ascii="Arial" w:hAnsi="Arial" w:cs="Arial"/>
            <w:kern w:val="0"/>
            <w:sz w:val="22"/>
            <w:szCs w:val="22"/>
            <w:lang w:val="en-US"/>
          </w:rPr>
          <w:t>https://journals.sagepub.com/doi/full/10.1177/0038022920970318</w:t>
        </w:r>
      </w:hyperlink>
      <w:r>
        <w:rPr>
          <w:rFonts w:ascii="Arial" w:hAnsi="Arial" w:cs="Arial"/>
          <w:kern w:val="0"/>
          <w:sz w:val="22"/>
          <w:szCs w:val="22"/>
          <w:lang w:val="en-US"/>
        </w:rPr>
        <w:t xml:space="preserve"> (Accessed: 29 March 2024).</w:t>
      </w:r>
    </w:p>
    <w:p w14:paraId="7FE00769"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Quesada-Zeljkovic, M., Campos, R. and Nieto, C. (2023) ‘Observation of Early Social Interactions in Sibling Dyads: A Systematic Review’, </w:t>
      </w:r>
      <w:r>
        <w:rPr>
          <w:rFonts w:ascii="Arial" w:hAnsi="Arial" w:cs="Arial"/>
          <w:i/>
          <w:iCs/>
          <w:kern w:val="0"/>
          <w:sz w:val="22"/>
          <w:szCs w:val="22"/>
          <w:lang w:val="en-US"/>
        </w:rPr>
        <w:t xml:space="preserve">Clinical Child and Family Psychology </w:t>
      </w:r>
      <w:r>
        <w:rPr>
          <w:rFonts w:ascii="Arial" w:hAnsi="Arial" w:cs="Arial"/>
          <w:i/>
          <w:iCs/>
          <w:kern w:val="0"/>
          <w:sz w:val="22"/>
          <w:szCs w:val="22"/>
          <w:lang w:val="en-US"/>
        </w:rPr>
        <w:lastRenderedPageBreak/>
        <w:t>Review</w:t>
      </w:r>
      <w:r>
        <w:rPr>
          <w:rFonts w:ascii="Arial" w:hAnsi="Arial" w:cs="Arial"/>
          <w:kern w:val="0"/>
          <w:sz w:val="22"/>
          <w:szCs w:val="22"/>
          <w:lang w:val="en-US"/>
        </w:rPr>
        <w:t xml:space="preserve"> [Preprint]. Available at: </w:t>
      </w:r>
      <w:hyperlink r:id="rId35" w:history="1">
        <w:r>
          <w:rPr>
            <w:rFonts w:ascii="Arial" w:hAnsi="Arial" w:cs="Arial"/>
            <w:kern w:val="0"/>
            <w:sz w:val="22"/>
            <w:szCs w:val="22"/>
            <w:lang w:val="en-US"/>
          </w:rPr>
          <w:t>https://doi.org/10.1007/s10567-023-00461-4</w:t>
        </w:r>
      </w:hyperlink>
      <w:r>
        <w:rPr>
          <w:rFonts w:ascii="Arial" w:hAnsi="Arial" w:cs="Arial"/>
          <w:kern w:val="0"/>
          <w:sz w:val="22"/>
          <w:szCs w:val="22"/>
          <w:lang w:val="en-US"/>
        </w:rPr>
        <w:t>.</w:t>
      </w:r>
    </w:p>
    <w:p w14:paraId="508936DD"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Ravenswood, K. (2011) ‘Eisenhardt’s impact on theory in case study research’, </w:t>
      </w:r>
      <w:r>
        <w:rPr>
          <w:rFonts w:ascii="Arial" w:hAnsi="Arial" w:cs="Arial"/>
          <w:i/>
          <w:iCs/>
          <w:kern w:val="0"/>
          <w:sz w:val="22"/>
          <w:szCs w:val="22"/>
          <w:lang w:val="en-US"/>
        </w:rPr>
        <w:t>Journal of Business Research</w:t>
      </w:r>
      <w:r>
        <w:rPr>
          <w:rFonts w:ascii="Arial" w:hAnsi="Arial" w:cs="Arial"/>
          <w:kern w:val="0"/>
          <w:sz w:val="22"/>
          <w:szCs w:val="22"/>
          <w:lang w:val="en-US"/>
        </w:rPr>
        <w:t xml:space="preserve">, 64(7), pp. 680–686. Available at: </w:t>
      </w:r>
      <w:hyperlink r:id="rId36" w:history="1">
        <w:r>
          <w:rPr>
            <w:rFonts w:ascii="Arial" w:hAnsi="Arial" w:cs="Arial"/>
            <w:kern w:val="0"/>
            <w:sz w:val="22"/>
            <w:szCs w:val="22"/>
            <w:lang w:val="en-US"/>
          </w:rPr>
          <w:t>https://doi.org/10.1016/j.jbusres.2010.08.014</w:t>
        </w:r>
      </w:hyperlink>
      <w:r>
        <w:rPr>
          <w:rFonts w:ascii="Arial" w:hAnsi="Arial" w:cs="Arial"/>
          <w:kern w:val="0"/>
          <w:sz w:val="22"/>
          <w:szCs w:val="22"/>
          <w:lang w:val="en-US"/>
        </w:rPr>
        <w:t>.</w:t>
      </w:r>
    </w:p>
    <w:p w14:paraId="3B0A8F88"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Rebolj, A.B. (2013) </w:t>
      </w:r>
      <w:r>
        <w:rPr>
          <w:rFonts w:ascii="Arial" w:hAnsi="Arial" w:cs="Arial"/>
          <w:i/>
          <w:iCs/>
          <w:kern w:val="0"/>
          <w:sz w:val="22"/>
          <w:szCs w:val="22"/>
          <w:lang w:val="en-US"/>
        </w:rPr>
        <w:t>The Case Study as a Type of Qualitative Research</w:t>
      </w:r>
      <w:r>
        <w:rPr>
          <w:rFonts w:ascii="Arial" w:hAnsi="Arial" w:cs="Arial"/>
          <w:kern w:val="0"/>
          <w:sz w:val="22"/>
          <w:szCs w:val="22"/>
          <w:lang w:val="en-US"/>
        </w:rPr>
        <w:t xml:space="preserve">, </w:t>
      </w:r>
      <w:r>
        <w:rPr>
          <w:rFonts w:ascii="Arial" w:hAnsi="Arial" w:cs="Arial"/>
          <w:i/>
          <w:iCs/>
          <w:kern w:val="0"/>
          <w:sz w:val="22"/>
          <w:szCs w:val="22"/>
          <w:lang w:val="en-US"/>
        </w:rPr>
        <w:t>ResearchGate</w:t>
      </w:r>
      <w:r>
        <w:rPr>
          <w:rFonts w:ascii="Arial" w:hAnsi="Arial" w:cs="Arial"/>
          <w:kern w:val="0"/>
          <w:sz w:val="22"/>
          <w:szCs w:val="22"/>
          <w:lang w:val="en-US"/>
        </w:rPr>
        <w:t xml:space="preserve">. Available at: </w:t>
      </w:r>
      <w:hyperlink r:id="rId37" w:history="1">
        <w:r>
          <w:rPr>
            <w:rFonts w:ascii="Arial" w:hAnsi="Arial" w:cs="Arial"/>
            <w:kern w:val="0"/>
            <w:sz w:val="22"/>
            <w:szCs w:val="22"/>
            <w:lang w:val="en-US"/>
          </w:rPr>
          <w:t>https://www.researchgate.net/publication/265682891_The_case_study_as_a_type_of_qualitative_research</w:t>
        </w:r>
      </w:hyperlink>
      <w:r>
        <w:rPr>
          <w:rFonts w:ascii="Arial" w:hAnsi="Arial" w:cs="Arial"/>
          <w:kern w:val="0"/>
          <w:sz w:val="22"/>
          <w:szCs w:val="22"/>
          <w:lang w:val="en-US"/>
        </w:rPr>
        <w:t xml:space="preserve"> (Accessed: 29 March 2024).</w:t>
      </w:r>
    </w:p>
    <w:p w14:paraId="1F3126AE"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Richards, S. and Coombs, S. (2023) ‘Critical Perspectives on Research with Children’, </w:t>
      </w:r>
      <w:r>
        <w:rPr>
          <w:rFonts w:ascii="Arial" w:hAnsi="Arial" w:cs="Arial"/>
          <w:i/>
          <w:iCs/>
          <w:kern w:val="0"/>
          <w:sz w:val="22"/>
          <w:szCs w:val="22"/>
          <w:lang w:val="en-US"/>
        </w:rPr>
        <w:t>Bristol University Press eBooks</w:t>
      </w:r>
      <w:r>
        <w:rPr>
          <w:rFonts w:ascii="Arial" w:hAnsi="Arial" w:cs="Arial"/>
          <w:kern w:val="0"/>
          <w:sz w:val="22"/>
          <w:szCs w:val="22"/>
          <w:lang w:val="en-US"/>
        </w:rPr>
        <w:t xml:space="preserve"> [Preprint]. Available at: </w:t>
      </w:r>
      <w:hyperlink r:id="rId38" w:history="1">
        <w:r>
          <w:rPr>
            <w:rFonts w:ascii="Arial" w:hAnsi="Arial" w:cs="Arial"/>
            <w:kern w:val="0"/>
            <w:sz w:val="22"/>
            <w:szCs w:val="22"/>
            <w:lang w:val="en-US"/>
          </w:rPr>
          <w:t>https://doi.org/10.51952/9781529216806</w:t>
        </w:r>
      </w:hyperlink>
      <w:r>
        <w:rPr>
          <w:rFonts w:ascii="Arial" w:hAnsi="Arial" w:cs="Arial"/>
          <w:kern w:val="0"/>
          <w:sz w:val="22"/>
          <w:szCs w:val="22"/>
          <w:lang w:val="en-US"/>
        </w:rPr>
        <w:t>.</w:t>
      </w:r>
    </w:p>
    <w:p w14:paraId="3BA5A59F"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Rutherford, M. </w:t>
      </w:r>
      <w:r>
        <w:rPr>
          <w:rFonts w:ascii="Arial" w:hAnsi="Arial" w:cs="Arial"/>
          <w:i/>
          <w:iCs/>
          <w:kern w:val="0"/>
          <w:sz w:val="22"/>
          <w:szCs w:val="22"/>
          <w:lang w:val="en-US"/>
        </w:rPr>
        <w:t>et al.</w:t>
      </w:r>
      <w:r>
        <w:rPr>
          <w:rFonts w:ascii="Arial" w:hAnsi="Arial" w:cs="Arial"/>
          <w:kern w:val="0"/>
          <w:sz w:val="22"/>
          <w:szCs w:val="22"/>
          <w:lang w:val="en-US"/>
        </w:rPr>
        <w:t xml:space="preserve"> (2019) ‘Visual supports at home and in the community for individuals with autism spectrum disorders: A scoping review’, </w:t>
      </w:r>
      <w:r>
        <w:rPr>
          <w:rFonts w:ascii="Arial" w:hAnsi="Arial" w:cs="Arial"/>
          <w:i/>
          <w:iCs/>
          <w:kern w:val="0"/>
          <w:sz w:val="22"/>
          <w:szCs w:val="22"/>
          <w:lang w:val="en-US"/>
        </w:rPr>
        <w:t>Autism</w:t>
      </w:r>
      <w:r>
        <w:rPr>
          <w:rFonts w:ascii="Arial" w:hAnsi="Arial" w:cs="Arial"/>
          <w:kern w:val="0"/>
          <w:sz w:val="22"/>
          <w:szCs w:val="22"/>
          <w:lang w:val="en-US"/>
        </w:rPr>
        <w:t xml:space="preserve">, 24(2), p. 136236131987175. Available at: </w:t>
      </w:r>
      <w:hyperlink r:id="rId39" w:history="1">
        <w:r>
          <w:rPr>
            <w:rFonts w:ascii="Arial" w:hAnsi="Arial" w:cs="Arial"/>
            <w:kern w:val="0"/>
            <w:sz w:val="22"/>
            <w:szCs w:val="22"/>
            <w:lang w:val="en-US"/>
          </w:rPr>
          <w:t>https://doi.org/10.1177/1362361319871756</w:t>
        </w:r>
      </w:hyperlink>
      <w:r>
        <w:rPr>
          <w:rFonts w:ascii="Arial" w:hAnsi="Arial" w:cs="Arial"/>
          <w:kern w:val="0"/>
          <w:sz w:val="22"/>
          <w:szCs w:val="22"/>
          <w:lang w:val="en-US"/>
        </w:rPr>
        <w:t>.</w:t>
      </w:r>
    </w:p>
    <w:p w14:paraId="5CCF9861"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Rutherford, M. </w:t>
      </w:r>
      <w:r>
        <w:rPr>
          <w:rFonts w:ascii="Arial" w:hAnsi="Arial" w:cs="Arial"/>
          <w:i/>
          <w:iCs/>
          <w:kern w:val="0"/>
          <w:sz w:val="22"/>
          <w:szCs w:val="22"/>
          <w:lang w:val="en-US"/>
        </w:rPr>
        <w:t>et al.</w:t>
      </w:r>
      <w:r>
        <w:rPr>
          <w:rFonts w:ascii="Arial" w:hAnsi="Arial" w:cs="Arial"/>
          <w:kern w:val="0"/>
          <w:sz w:val="22"/>
          <w:szCs w:val="22"/>
          <w:lang w:val="en-US"/>
        </w:rPr>
        <w:t xml:space="preserve"> (2020) </w:t>
      </w:r>
      <w:r>
        <w:rPr>
          <w:rFonts w:ascii="Arial" w:hAnsi="Arial" w:cs="Arial"/>
          <w:i/>
          <w:iCs/>
          <w:kern w:val="0"/>
          <w:sz w:val="22"/>
          <w:szCs w:val="22"/>
          <w:lang w:val="en-US"/>
        </w:rPr>
        <w:t>Pupils’ views on visual timetables and labels in mainstream primary classrooms</w:t>
      </w:r>
      <w:r>
        <w:rPr>
          <w:rFonts w:ascii="Arial" w:hAnsi="Arial" w:cs="Arial"/>
          <w:kern w:val="0"/>
          <w:sz w:val="22"/>
          <w:szCs w:val="22"/>
          <w:lang w:val="en-US"/>
        </w:rPr>
        <w:t xml:space="preserve">. Available at: </w:t>
      </w:r>
      <w:hyperlink r:id="rId40" w:history="1">
        <w:r>
          <w:rPr>
            <w:rFonts w:ascii="Arial" w:hAnsi="Arial" w:cs="Arial"/>
            <w:kern w:val="0"/>
            <w:sz w:val="22"/>
            <w:szCs w:val="22"/>
            <w:lang w:val="en-US"/>
          </w:rPr>
          <w:t>https://eresearch.qmu.ac.uk/bitstream/handle/20.500.12289/10672/10672.pdf?sequence=1&amp;isAllowed=y</w:t>
        </w:r>
      </w:hyperlink>
      <w:r>
        <w:rPr>
          <w:rFonts w:ascii="Arial" w:hAnsi="Arial" w:cs="Arial"/>
          <w:kern w:val="0"/>
          <w:sz w:val="22"/>
          <w:szCs w:val="22"/>
          <w:lang w:val="en-US"/>
        </w:rPr>
        <w:t xml:space="preserve"> (Accessed: 27 March 2024).</w:t>
      </w:r>
    </w:p>
    <w:p w14:paraId="2315B65A"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School X (2021) </w:t>
      </w:r>
      <w:r>
        <w:rPr>
          <w:rFonts w:ascii="Arial" w:hAnsi="Arial" w:cs="Arial"/>
          <w:i/>
          <w:iCs/>
          <w:kern w:val="0"/>
          <w:sz w:val="22"/>
          <w:szCs w:val="22"/>
          <w:lang w:val="en-US"/>
        </w:rPr>
        <w:t>Welcome | School X</w:t>
      </w:r>
      <w:r>
        <w:rPr>
          <w:rFonts w:ascii="Arial" w:hAnsi="Arial" w:cs="Arial"/>
          <w:kern w:val="0"/>
          <w:sz w:val="22"/>
          <w:szCs w:val="22"/>
          <w:lang w:val="en-US"/>
        </w:rPr>
        <w:t xml:space="preserve">, </w:t>
      </w:r>
      <w:r>
        <w:rPr>
          <w:rFonts w:ascii="Arial" w:hAnsi="Arial" w:cs="Arial"/>
          <w:i/>
          <w:iCs/>
          <w:kern w:val="0"/>
          <w:sz w:val="22"/>
          <w:szCs w:val="22"/>
          <w:lang w:val="en-US"/>
        </w:rPr>
        <w:t>www.schoolx.co.uk</w:t>
      </w:r>
      <w:r>
        <w:rPr>
          <w:rFonts w:ascii="Arial" w:hAnsi="Arial" w:cs="Arial"/>
          <w:kern w:val="0"/>
          <w:sz w:val="22"/>
          <w:szCs w:val="22"/>
          <w:lang w:val="en-US"/>
        </w:rPr>
        <w:t xml:space="preserve">. Available at: </w:t>
      </w:r>
      <w:hyperlink r:id="rId41" w:history="1">
        <w:r>
          <w:rPr>
            <w:rFonts w:ascii="Arial" w:hAnsi="Arial" w:cs="Arial"/>
            <w:kern w:val="0"/>
            <w:sz w:val="22"/>
            <w:szCs w:val="22"/>
            <w:lang w:val="en-US"/>
          </w:rPr>
          <w:t>https://www.schoolx.co.uk/welcome/</w:t>
        </w:r>
      </w:hyperlink>
      <w:r>
        <w:rPr>
          <w:rFonts w:ascii="Arial" w:hAnsi="Arial" w:cs="Arial"/>
          <w:kern w:val="0"/>
          <w:sz w:val="22"/>
          <w:szCs w:val="22"/>
          <w:lang w:val="en-US"/>
        </w:rPr>
        <w:t xml:space="preserve"> (Accessed: 26 March 2024).</w:t>
      </w:r>
    </w:p>
    <w:p w14:paraId="130170DE"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Silverio, S., Hall, J. and Sandall, J. (2020) </w:t>
      </w:r>
      <w:r>
        <w:rPr>
          <w:rFonts w:ascii="Arial" w:hAnsi="Arial" w:cs="Arial"/>
          <w:i/>
          <w:iCs/>
          <w:kern w:val="0"/>
          <w:sz w:val="22"/>
          <w:szCs w:val="22"/>
          <w:lang w:val="en-US"/>
        </w:rPr>
        <w:t>(PDF) Time and Qualitative Research: Principles, Pitfalls, and Perils.</w:t>
      </w:r>
      <w:r>
        <w:rPr>
          <w:rFonts w:ascii="Arial" w:hAnsi="Arial" w:cs="Arial"/>
          <w:kern w:val="0"/>
          <w:sz w:val="22"/>
          <w:szCs w:val="22"/>
          <w:lang w:val="en-US"/>
        </w:rPr>
        <w:t xml:space="preserve">, </w:t>
      </w:r>
      <w:r>
        <w:rPr>
          <w:rFonts w:ascii="Arial" w:hAnsi="Arial" w:cs="Arial"/>
          <w:i/>
          <w:iCs/>
          <w:kern w:val="0"/>
          <w:sz w:val="22"/>
          <w:szCs w:val="22"/>
          <w:lang w:val="en-US"/>
        </w:rPr>
        <w:t>www.researchgate.net</w:t>
      </w:r>
      <w:r>
        <w:rPr>
          <w:rFonts w:ascii="Arial" w:hAnsi="Arial" w:cs="Arial"/>
          <w:kern w:val="0"/>
          <w:sz w:val="22"/>
          <w:szCs w:val="22"/>
          <w:lang w:val="en-US"/>
        </w:rPr>
        <w:t xml:space="preserve">. Available at: </w:t>
      </w:r>
      <w:hyperlink r:id="rId42" w:history="1">
        <w:r>
          <w:rPr>
            <w:rFonts w:ascii="Arial" w:hAnsi="Arial" w:cs="Arial"/>
            <w:kern w:val="0"/>
            <w:sz w:val="22"/>
            <w:szCs w:val="22"/>
            <w:lang w:val="en-US"/>
          </w:rPr>
          <w:t>https://www.researchgate.net/publication/338902281_Time_and_Qualitative_Research_Principles_Pitfalls_and_Perils</w:t>
        </w:r>
      </w:hyperlink>
      <w:r>
        <w:rPr>
          <w:rFonts w:ascii="Arial" w:hAnsi="Arial" w:cs="Arial"/>
          <w:kern w:val="0"/>
          <w:sz w:val="22"/>
          <w:szCs w:val="22"/>
          <w:lang w:val="en-US"/>
        </w:rPr>
        <w:t xml:space="preserve"> (Accessed: 30 March 2024).</w:t>
      </w:r>
    </w:p>
    <w:p w14:paraId="3953A3C7"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sidRPr="00DD2A32">
        <w:rPr>
          <w:rFonts w:ascii="Arial" w:hAnsi="Arial" w:cs="Arial"/>
          <w:kern w:val="0"/>
          <w:sz w:val="22"/>
          <w:szCs w:val="22"/>
          <w:lang w:val="fr-FR"/>
        </w:rPr>
        <w:t xml:space="preserve">Simkus, J. (2023) </w:t>
      </w:r>
      <w:r w:rsidRPr="00DD2A32">
        <w:rPr>
          <w:rFonts w:ascii="Arial" w:hAnsi="Arial" w:cs="Arial"/>
          <w:i/>
          <w:iCs/>
          <w:kern w:val="0"/>
          <w:sz w:val="22"/>
          <w:szCs w:val="22"/>
          <w:lang w:val="fr-FR"/>
        </w:rPr>
        <w:t>Observer Bias: Definition, Examples &amp; Prevention</w:t>
      </w:r>
      <w:r w:rsidRPr="00DD2A32">
        <w:rPr>
          <w:rFonts w:ascii="Arial" w:hAnsi="Arial" w:cs="Arial"/>
          <w:kern w:val="0"/>
          <w:sz w:val="22"/>
          <w:szCs w:val="22"/>
          <w:lang w:val="fr-FR"/>
        </w:rPr>
        <w:t xml:space="preserve">, </w:t>
      </w:r>
      <w:r w:rsidRPr="00DD2A32">
        <w:rPr>
          <w:rFonts w:ascii="Arial" w:hAnsi="Arial" w:cs="Arial"/>
          <w:i/>
          <w:iCs/>
          <w:kern w:val="0"/>
          <w:sz w:val="22"/>
          <w:szCs w:val="22"/>
          <w:lang w:val="fr-FR"/>
        </w:rPr>
        <w:t>SimplyPsychology</w:t>
      </w:r>
      <w:r w:rsidRPr="00DD2A32">
        <w:rPr>
          <w:rFonts w:ascii="Arial" w:hAnsi="Arial" w:cs="Arial"/>
          <w:kern w:val="0"/>
          <w:sz w:val="22"/>
          <w:szCs w:val="22"/>
          <w:lang w:val="fr-FR"/>
        </w:rPr>
        <w:t xml:space="preserve">. </w:t>
      </w:r>
      <w:r>
        <w:rPr>
          <w:rFonts w:ascii="Arial" w:hAnsi="Arial" w:cs="Arial"/>
          <w:kern w:val="0"/>
          <w:sz w:val="22"/>
          <w:szCs w:val="22"/>
          <w:lang w:val="en-US"/>
        </w:rPr>
        <w:t xml:space="preserve">Available at: </w:t>
      </w:r>
      <w:hyperlink r:id="rId43" w:history="1">
        <w:r>
          <w:rPr>
            <w:rFonts w:ascii="Arial" w:hAnsi="Arial" w:cs="Arial"/>
            <w:kern w:val="0"/>
            <w:sz w:val="22"/>
            <w:szCs w:val="22"/>
            <w:lang w:val="en-US"/>
          </w:rPr>
          <w:t>https://www.simplypsychology.org/observer-bias-definition-examples-prevention.html</w:t>
        </w:r>
      </w:hyperlink>
      <w:r>
        <w:rPr>
          <w:rFonts w:ascii="Arial" w:hAnsi="Arial" w:cs="Arial"/>
          <w:kern w:val="0"/>
          <w:sz w:val="22"/>
          <w:szCs w:val="22"/>
          <w:lang w:val="en-US"/>
        </w:rPr>
        <w:t xml:space="preserve"> (Accessed: 31 March 2024).</w:t>
      </w:r>
    </w:p>
    <w:p w14:paraId="58BEECCC"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Simons, H. (2009) </w:t>
      </w:r>
      <w:r>
        <w:rPr>
          <w:rFonts w:ascii="Arial" w:hAnsi="Arial" w:cs="Arial"/>
          <w:i/>
          <w:iCs/>
          <w:kern w:val="0"/>
          <w:sz w:val="22"/>
          <w:szCs w:val="22"/>
          <w:lang w:val="en-US"/>
        </w:rPr>
        <w:t>Case Study Research in Practice</w:t>
      </w:r>
      <w:r>
        <w:rPr>
          <w:rFonts w:ascii="Arial" w:hAnsi="Arial" w:cs="Arial"/>
          <w:kern w:val="0"/>
          <w:sz w:val="22"/>
          <w:szCs w:val="22"/>
          <w:lang w:val="en-US"/>
        </w:rPr>
        <w:t>. SAGE.</w:t>
      </w:r>
    </w:p>
    <w:p w14:paraId="2F8F3057"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Sousa, V.E.C., Matson, J. and Dunn Lopez, K. (2016) ‘Questionnaire Adapting: Little Changes Mean a Lot’, </w:t>
      </w:r>
      <w:r>
        <w:rPr>
          <w:rFonts w:ascii="Arial" w:hAnsi="Arial" w:cs="Arial"/>
          <w:i/>
          <w:iCs/>
          <w:kern w:val="0"/>
          <w:sz w:val="22"/>
          <w:szCs w:val="22"/>
          <w:lang w:val="en-US"/>
        </w:rPr>
        <w:t>Western Journal of Nursing Research</w:t>
      </w:r>
      <w:r>
        <w:rPr>
          <w:rFonts w:ascii="Arial" w:hAnsi="Arial" w:cs="Arial"/>
          <w:kern w:val="0"/>
          <w:sz w:val="22"/>
          <w:szCs w:val="22"/>
          <w:lang w:val="en-US"/>
        </w:rPr>
        <w:t xml:space="preserve">, 39(9), pp. 1289–1300. </w:t>
      </w:r>
      <w:r>
        <w:rPr>
          <w:rFonts w:ascii="Arial" w:hAnsi="Arial" w:cs="Arial"/>
          <w:kern w:val="0"/>
          <w:sz w:val="22"/>
          <w:szCs w:val="22"/>
          <w:lang w:val="en-US"/>
        </w:rPr>
        <w:lastRenderedPageBreak/>
        <w:t xml:space="preserve">Available at: </w:t>
      </w:r>
      <w:hyperlink r:id="rId44" w:history="1">
        <w:r>
          <w:rPr>
            <w:rFonts w:ascii="Arial" w:hAnsi="Arial" w:cs="Arial"/>
            <w:kern w:val="0"/>
            <w:sz w:val="22"/>
            <w:szCs w:val="22"/>
            <w:lang w:val="en-US"/>
          </w:rPr>
          <w:t>https://doi.org/10.1177/0193945916678212</w:t>
        </w:r>
      </w:hyperlink>
      <w:r>
        <w:rPr>
          <w:rFonts w:ascii="Arial" w:hAnsi="Arial" w:cs="Arial"/>
          <w:kern w:val="0"/>
          <w:sz w:val="22"/>
          <w:szCs w:val="22"/>
          <w:lang w:val="en-US"/>
        </w:rPr>
        <w:t>.</w:t>
      </w:r>
    </w:p>
    <w:p w14:paraId="233E5877"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Staddon, J.E.R. and Cerutti, D.T. (2003) </w:t>
      </w:r>
      <w:r>
        <w:rPr>
          <w:rFonts w:ascii="Arial" w:hAnsi="Arial" w:cs="Arial"/>
          <w:i/>
          <w:iCs/>
          <w:kern w:val="0"/>
          <w:sz w:val="22"/>
          <w:szCs w:val="22"/>
          <w:lang w:val="en-US"/>
        </w:rPr>
        <w:t>Operant Conditioning</w:t>
      </w:r>
      <w:r>
        <w:rPr>
          <w:rFonts w:ascii="Arial" w:hAnsi="Arial" w:cs="Arial"/>
          <w:kern w:val="0"/>
          <w:sz w:val="22"/>
          <w:szCs w:val="22"/>
          <w:lang w:val="en-US"/>
        </w:rPr>
        <w:t xml:space="preserve">, </w:t>
      </w:r>
      <w:r>
        <w:rPr>
          <w:rFonts w:ascii="Arial" w:hAnsi="Arial" w:cs="Arial"/>
          <w:i/>
          <w:iCs/>
          <w:kern w:val="0"/>
          <w:sz w:val="22"/>
          <w:szCs w:val="22"/>
          <w:lang w:val="en-US"/>
        </w:rPr>
        <w:t>ResearchGate</w:t>
      </w:r>
      <w:r>
        <w:rPr>
          <w:rFonts w:ascii="Arial" w:hAnsi="Arial" w:cs="Arial"/>
          <w:kern w:val="0"/>
          <w:sz w:val="22"/>
          <w:szCs w:val="22"/>
          <w:lang w:val="en-US"/>
        </w:rPr>
        <w:t xml:space="preserve">. Annual Reviews. Available at: </w:t>
      </w:r>
      <w:hyperlink r:id="rId45" w:history="1">
        <w:r>
          <w:rPr>
            <w:rFonts w:ascii="Arial" w:hAnsi="Arial" w:cs="Arial"/>
            <w:kern w:val="0"/>
            <w:sz w:val="22"/>
            <w:szCs w:val="22"/>
            <w:lang w:val="en-US"/>
          </w:rPr>
          <w:t>https://www.researchgate.net/publication/11050491_Operant_Conditioning</w:t>
        </w:r>
      </w:hyperlink>
      <w:r>
        <w:rPr>
          <w:rFonts w:ascii="Arial" w:hAnsi="Arial" w:cs="Arial"/>
          <w:kern w:val="0"/>
          <w:sz w:val="22"/>
          <w:szCs w:val="22"/>
          <w:lang w:val="en-US"/>
        </w:rPr>
        <w:t xml:space="preserve"> (Accessed: 27 March 2024).</w:t>
      </w:r>
    </w:p>
    <w:p w14:paraId="29D4A56C"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sidRPr="00DD2A32">
        <w:rPr>
          <w:rFonts w:ascii="Arial" w:hAnsi="Arial" w:cs="Arial"/>
          <w:kern w:val="0"/>
          <w:sz w:val="22"/>
          <w:szCs w:val="22"/>
          <w:lang w:val="nl-NL"/>
        </w:rPr>
        <w:t xml:space="preserve">Tambling, R.R. </w:t>
      </w:r>
      <w:r w:rsidRPr="00DD2A32">
        <w:rPr>
          <w:rFonts w:ascii="Arial" w:hAnsi="Arial" w:cs="Arial"/>
          <w:i/>
          <w:iCs/>
          <w:kern w:val="0"/>
          <w:sz w:val="22"/>
          <w:szCs w:val="22"/>
          <w:lang w:val="nl-NL"/>
        </w:rPr>
        <w:t>et al.</w:t>
      </w:r>
      <w:r w:rsidRPr="00DD2A32">
        <w:rPr>
          <w:rFonts w:ascii="Arial" w:hAnsi="Arial" w:cs="Arial"/>
          <w:kern w:val="0"/>
          <w:sz w:val="22"/>
          <w:szCs w:val="22"/>
          <w:lang w:val="nl-NL"/>
        </w:rPr>
        <w:t xml:space="preserve"> </w:t>
      </w:r>
      <w:r>
        <w:rPr>
          <w:rFonts w:ascii="Arial" w:hAnsi="Arial" w:cs="Arial"/>
          <w:kern w:val="0"/>
          <w:sz w:val="22"/>
          <w:szCs w:val="22"/>
          <w:lang w:val="en-US"/>
        </w:rPr>
        <w:t xml:space="preserve">(2021) ‘Thematic Analysis of Parent–Child Conversations About COVID-19: “Playing It Safe”’, </w:t>
      </w:r>
      <w:r>
        <w:rPr>
          <w:rFonts w:ascii="Arial" w:hAnsi="Arial" w:cs="Arial"/>
          <w:i/>
          <w:iCs/>
          <w:kern w:val="0"/>
          <w:sz w:val="22"/>
          <w:szCs w:val="22"/>
          <w:lang w:val="en-US"/>
        </w:rPr>
        <w:t>Journal of Child and Family Studies</w:t>
      </w:r>
      <w:r>
        <w:rPr>
          <w:rFonts w:ascii="Arial" w:hAnsi="Arial" w:cs="Arial"/>
          <w:kern w:val="0"/>
          <w:sz w:val="22"/>
          <w:szCs w:val="22"/>
          <w:lang w:val="en-US"/>
        </w:rPr>
        <w:t xml:space="preserve">, 30(2), pp. 325–337. Available at: </w:t>
      </w:r>
      <w:hyperlink r:id="rId46" w:history="1">
        <w:r>
          <w:rPr>
            <w:rFonts w:ascii="Arial" w:hAnsi="Arial" w:cs="Arial"/>
            <w:kern w:val="0"/>
            <w:sz w:val="22"/>
            <w:szCs w:val="22"/>
            <w:lang w:val="en-US"/>
          </w:rPr>
          <w:t>https://doi.org/10.1007/s10826-020-01889-w</w:t>
        </w:r>
      </w:hyperlink>
      <w:r>
        <w:rPr>
          <w:rFonts w:ascii="Arial" w:hAnsi="Arial" w:cs="Arial"/>
          <w:kern w:val="0"/>
          <w:sz w:val="22"/>
          <w:szCs w:val="22"/>
          <w:lang w:val="en-US"/>
        </w:rPr>
        <w:t>.</w:t>
      </w:r>
    </w:p>
    <w:p w14:paraId="5DDAF20E"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proofErr w:type="spellStart"/>
      <w:r>
        <w:rPr>
          <w:rFonts w:ascii="Arial" w:hAnsi="Arial" w:cs="Arial"/>
          <w:kern w:val="0"/>
          <w:sz w:val="22"/>
          <w:szCs w:val="22"/>
          <w:lang w:val="en-US"/>
        </w:rPr>
        <w:t>Tilstone</w:t>
      </w:r>
      <w:proofErr w:type="spellEnd"/>
      <w:r>
        <w:rPr>
          <w:rFonts w:ascii="Arial" w:hAnsi="Arial" w:cs="Arial"/>
          <w:kern w:val="0"/>
          <w:sz w:val="22"/>
          <w:szCs w:val="22"/>
          <w:lang w:val="en-US"/>
        </w:rPr>
        <w:t xml:space="preserve">, C. (2013) </w:t>
      </w:r>
      <w:r>
        <w:rPr>
          <w:rFonts w:ascii="Arial" w:hAnsi="Arial" w:cs="Arial"/>
          <w:i/>
          <w:iCs/>
          <w:kern w:val="0"/>
          <w:sz w:val="22"/>
          <w:szCs w:val="22"/>
          <w:lang w:val="en-US"/>
        </w:rPr>
        <w:t>Observing Teaching and Learning</w:t>
      </w:r>
      <w:r>
        <w:rPr>
          <w:rFonts w:ascii="Arial" w:hAnsi="Arial" w:cs="Arial"/>
          <w:kern w:val="0"/>
          <w:sz w:val="22"/>
          <w:szCs w:val="22"/>
          <w:lang w:val="en-US"/>
        </w:rPr>
        <w:t xml:space="preserve">. Edited by C. </w:t>
      </w:r>
      <w:proofErr w:type="spellStart"/>
      <w:r>
        <w:rPr>
          <w:rFonts w:ascii="Arial" w:hAnsi="Arial" w:cs="Arial"/>
          <w:kern w:val="0"/>
          <w:sz w:val="22"/>
          <w:szCs w:val="22"/>
          <w:lang w:val="en-US"/>
        </w:rPr>
        <w:t>Tilstone</w:t>
      </w:r>
      <w:proofErr w:type="spellEnd"/>
      <w:r>
        <w:rPr>
          <w:rFonts w:ascii="Arial" w:hAnsi="Arial" w:cs="Arial"/>
          <w:kern w:val="0"/>
          <w:sz w:val="22"/>
          <w:szCs w:val="22"/>
          <w:lang w:val="en-US"/>
        </w:rPr>
        <w:t xml:space="preserve">. David Fulton Publishers. Available at: </w:t>
      </w:r>
      <w:hyperlink r:id="rId47" w:history="1">
        <w:r>
          <w:rPr>
            <w:rFonts w:ascii="Arial" w:hAnsi="Arial" w:cs="Arial"/>
            <w:kern w:val="0"/>
            <w:sz w:val="22"/>
            <w:szCs w:val="22"/>
            <w:lang w:val="en-US"/>
          </w:rPr>
          <w:t>https://doi.org/10.4324/9781315067650</w:t>
        </w:r>
      </w:hyperlink>
      <w:r>
        <w:rPr>
          <w:rFonts w:ascii="Arial" w:hAnsi="Arial" w:cs="Arial"/>
          <w:kern w:val="0"/>
          <w:sz w:val="22"/>
          <w:szCs w:val="22"/>
          <w:lang w:val="en-US"/>
        </w:rPr>
        <w:t>.</w:t>
      </w:r>
    </w:p>
    <w:p w14:paraId="3384EA6A"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Trainor, L.R. and </w:t>
      </w:r>
      <w:proofErr w:type="spellStart"/>
      <w:r>
        <w:rPr>
          <w:rFonts w:ascii="Arial" w:hAnsi="Arial" w:cs="Arial"/>
          <w:kern w:val="0"/>
          <w:sz w:val="22"/>
          <w:szCs w:val="22"/>
          <w:lang w:val="en-US"/>
        </w:rPr>
        <w:t>Bundon</w:t>
      </w:r>
      <w:proofErr w:type="spellEnd"/>
      <w:r>
        <w:rPr>
          <w:rFonts w:ascii="Arial" w:hAnsi="Arial" w:cs="Arial"/>
          <w:kern w:val="0"/>
          <w:sz w:val="22"/>
          <w:szCs w:val="22"/>
          <w:lang w:val="en-US"/>
        </w:rPr>
        <w:t xml:space="preserve">, A. (2020) ‘Developing the craft: reflexive accounts of doing reflexive thematic analysis’, </w:t>
      </w:r>
      <w:r>
        <w:rPr>
          <w:rFonts w:ascii="Arial" w:hAnsi="Arial" w:cs="Arial"/>
          <w:i/>
          <w:iCs/>
          <w:kern w:val="0"/>
          <w:sz w:val="22"/>
          <w:szCs w:val="22"/>
          <w:lang w:val="en-US"/>
        </w:rPr>
        <w:t>Qualitative Research in Sport, Exercise and Health</w:t>
      </w:r>
      <w:r>
        <w:rPr>
          <w:rFonts w:ascii="Arial" w:hAnsi="Arial" w:cs="Arial"/>
          <w:kern w:val="0"/>
          <w:sz w:val="22"/>
          <w:szCs w:val="22"/>
          <w:lang w:val="en-US"/>
        </w:rPr>
        <w:t xml:space="preserve">, 13(5), pp. 1–22. Available at: </w:t>
      </w:r>
      <w:hyperlink r:id="rId48" w:history="1">
        <w:r>
          <w:rPr>
            <w:rFonts w:ascii="Arial" w:hAnsi="Arial" w:cs="Arial"/>
            <w:kern w:val="0"/>
            <w:sz w:val="22"/>
            <w:szCs w:val="22"/>
            <w:lang w:val="en-US"/>
          </w:rPr>
          <w:t>https://doi.org/10.1080/2159676x.2020.1840423</w:t>
        </w:r>
      </w:hyperlink>
      <w:r>
        <w:rPr>
          <w:rFonts w:ascii="Arial" w:hAnsi="Arial" w:cs="Arial"/>
          <w:kern w:val="0"/>
          <w:sz w:val="22"/>
          <w:szCs w:val="22"/>
          <w:lang w:val="en-US"/>
        </w:rPr>
        <w:t>.</w:t>
      </w:r>
    </w:p>
    <w:p w14:paraId="0D21AA7F"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UNICEF (2023) </w:t>
      </w:r>
      <w:r>
        <w:rPr>
          <w:rFonts w:ascii="Arial" w:hAnsi="Arial" w:cs="Arial"/>
          <w:i/>
          <w:iCs/>
          <w:kern w:val="0"/>
          <w:sz w:val="22"/>
          <w:szCs w:val="22"/>
          <w:lang w:val="en-US"/>
        </w:rPr>
        <w:t>A summary of the UN Convention  on the Rights of the Child</w:t>
      </w:r>
      <w:r>
        <w:rPr>
          <w:rFonts w:ascii="Arial" w:hAnsi="Arial" w:cs="Arial"/>
          <w:kern w:val="0"/>
          <w:sz w:val="22"/>
          <w:szCs w:val="22"/>
          <w:lang w:val="en-US"/>
        </w:rPr>
        <w:t xml:space="preserve">, </w:t>
      </w:r>
      <w:proofErr w:type="spellStart"/>
      <w:r>
        <w:rPr>
          <w:rFonts w:ascii="Arial" w:hAnsi="Arial" w:cs="Arial"/>
          <w:i/>
          <w:iCs/>
          <w:kern w:val="0"/>
          <w:sz w:val="22"/>
          <w:szCs w:val="22"/>
          <w:lang w:val="en-US"/>
        </w:rPr>
        <w:t>Unicef</w:t>
      </w:r>
      <w:proofErr w:type="spellEnd"/>
      <w:r>
        <w:rPr>
          <w:rFonts w:ascii="Arial" w:hAnsi="Arial" w:cs="Arial"/>
          <w:i/>
          <w:iCs/>
          <w:kern w:val="0"/>
          <w:sz w:val="22"/>
          <w:szCs w:val="22"/>
          <w:lang w:val="en-US"/>
        </w:rPr>
        <w:t xml:space="preserve"> UK</w:t>
      </w:r>
      <w:r>
        <w:rPr>
          <w:rFonts w:ascii="Arial" w:hAnsi="Arial" w:cs="Arial"/>
          <w:kern w:val="0"/>
          <w:sz w:val="22"/>
          <w:szCs w:val="22"/>
          <w:lang w:val="en-US"/>
        </w:rPr>
        <w:t xml:space="preserve">. Available at: </w:t>
      </w:r>
      <w:hyperlink r:id="rId49" w:history="1">
        <w:r>
          <w:rPr>
            <w:rFonts w:ascii="Arial" w:hAnsi="Arial" w:cs="Arial"/>
            <w:kern w:val="0"/>
            <w:sz w:val="22"/>
            <w:szCs w:val="22"/>
            <w:lang w:val="en-US"/>
          </w:rPr>
          <w:t>https://www.unicef.org.uk/about-unicef-uk/</w:t>
        </w:r>
      </w:hyperlink>
      <w:r>
        <w:rPr>
          <w:rFonts w:ascii="Arial" w:hAnsi="Arial" w:cs="Arial"/>
          <w:kern w:val="0"/>
          <w:sz w:val="22"/>
          <w:szCs w:val="22"/>
          <w:lang w:val="en-US"/>
        </w:rPr>
        <w:t xml:space="preserve"> (Accessed: 5 March 2024).</w:t>
      </w:r>
    </w:p>
    <w:p w14:paraId="5F967046"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Waxman, H.C. </w:t>
      </w:r>
      <w:r>
        <w:rPr>
          <w:rFonts w:ascii="Arial" w:hAnsi="Arial" w:cs="Arial"/>
          <w:i/>
          <w:iCs/>
          <w:kern w:val="0"/>
          <w:sz w:val="22"/>
          <w:szCs w:val="22"/>
          <w:lang w:val="en-US"/>
        </w:rPr>
        <w:t>et al.</w:t>
      </w:r>
      <w:r>
        <w:rPr>
          <w:rFonts w:ascii="Arial" w:hAnsi="Arial" w:cs="Arial"/>
          <w:kern w:val="0"/>
          <w:sz w:val="22"/>
          <w:szCs w:val="22"/>
          <w:lang w:val="en-US"/>
        </w:rPr>
        <w:t xml:space="preserve"> (2004) ‘The Uses of the Classroom Observation Schedule to Improve Classroom Instruction’, in </w:t>
      </w:r>
      <w:r>
        <w:rPr>
          <w:rFonts w:ascii="Arial" w:hAnsi="Arial" w:cs="Arial"/>
          <w:i/>
          <w:iCs/>
          <w:kern w:val="0"/>
          <w:sz w:val="22"/>
          <w:szCs w:val="22"/>
          <w:lang w:val="en-US"/>
        </w:rPr>
        <w:t>Observational Research in U.S. Classrooms: New Approaches for Understanding Cultural and Linguistic Diversity</w:t>
      </w:r>
      <w:r>
        <w:rPr>
          <w:rFonts w:ascii="Arial" w:hAnsi="Arial" w:cs="Arial"/>
          <w:kern w:val="0"/>
          <w:sz w:val="22"/>
          <w:szCs w:val="22"/>
          <w:lang w:val="en-US"/>
        </w:rPr>
        <w:t xml:space="preserve">. Cambridge: Cambridge University Press, p. 7296. Available at: </w:t>
      </w:r>
      <w:hyperlink r:id="rId50" w:history="1">
        <w:r>
          <w:rPr>
            <w:rFonts w:ascii="Arial" w:hAnsi="Arial" w:cs="Arial"/>
            <w:kern w:val="0"/>
            <w:sz w:val="22"/>
            <w:szCs w:val="22"/>
            <w:lang w:val="en-US"/>
          </w:rPr>
          <w:t>https://doi.org/10.1017/CBO9780511616419.004</w:t>
        </w:r>
      </w:hyperlink>
      <w:r>
        <w:rPr>
          <w:rFonts w:ascii="Arial" w:hAnsi="Arial" w:cs="Arial"/>
          <w:kern w:val="0"/>
          <w:sz w:val="22"/>
          <w:szCs w:val="22"/>
          <w:lang w:val="en-US"/>
        </w:rPr>
        <w:t>.</w:t>
      </w:r>
    </w:p>
    <w:p w14:paraId="295E18BB"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Welsh Government (2019) </w:t>
      </w:r>
      <w:r>
        <w:rPr>
          <w:rFonts w:ascii="Arial" w:hAnsi="Arial" w:cs="Arial"/>
          <w:i/>
          <w:iCs/>
          <w:kern w:val="0"/>
          <w:sz w:val="22"/>
          <w:szCs w:val="22"/>
          <w:lang w:val="en-US"/>
        </w:rPr>
        <w:t>Professional Standards for Teaching and Leadership</w:t>
      </w:r>
      <w:r>
        <w:rPr>
          <w:rFonts w:ascii="Arial" w:hAnsi="Arial" w:cs="Arial"/>
          <w:kern w:val="0"/>
          <w:sz w:val="22"/>
          <w:szCs w:val="22"/>
          <w:lang w:val="en-US"/>
        </w:rPr>
        <w:t xml:space="preserve">. Available at: </w:t>
      </w:r>
      <w:hyperlink r:id="rId51" w:history="1">
        <w:r>
          <w:rPr>
            <w:rFonts w:ascii="Arial" w:hAnsi="Arial" w:cs="Arial"/>
            <w:kern w:val="0"/>
            <w:sz w:val="22"/>
            <w:szCs w:val="22"/>
            <w:lang w:val="en-US"/>
          </w:rPr>
          <w:t>https://hwb.gov.wales/api/storage/19bc948b-8a3f-41e0-944a-7bf2cadf7d18/professional-standards-for-teaching-and-leadership-interactive-pdf-for-pc.pdf</w:t>
        </w:r>
      </w:hyperlink>
      <w:r>
        <w:rPr>
          <w:rFonts w:ascii="Arial" w:hAnsi="Arial" w:cs="Arial"/>
          <w:kern w:val="0"/>
          <w:sz w:val="22"/>
          <w:szCs w:val="22"/>
          <w:lang w:val="en-US"/>
        </w:rPr>
        <w:t xml:space="preserve"> (Accessed: 30 March 2024).</w:t>
      </w:r>
    </w:p>
    <w:p w14:paraId="19E7759C"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Welsh Government (2020) </w:t>
      </w:r>
      <w:r>
        <w:rPr>
          <w:rFonts w:ascii="Arial" w:hAnsi="Arial" w:cs="Arial"/>
          <w:i/>
          <w:iCs/>
          <w:kern w:val="0"/>
          <w:sz w:val="22"/>
          <w:szCs w:val="22"/>
          <w:lang w:val="en-US"/>
        </w:rPr>
        <w:t>Developing a vision for curriculum design - Hwb</w:t>
      </w:r>
      <w:r>
        <w:rPr>
          <w:rFonts w:ascii="Arial" w:hAnsi="Arial" w:cs="Arial"/>
          <w:kern w:val="0"/>
          <w:sz w:val="22"/>
          <w:szCs w:val="22"/>
          <w:lang w:val="en-US"/>
        </w:rPr>
        <w:t xml:space="preserve">, </w:t>
      </w:r>
      <w:proofErr w:type="spellStart"/>
      <w:r>
        <w:rPr>
          <w:rFonts w:ascii="Arial" w:hAnsi="Arial" w:cs="Arial"/>
          <w:i/>
          <w:iCs/>
          <w:kern w:val="0"/>
          <w:sz w:val="22"/>
          <w:szCs w:val="22"/>
          <w:lang w:val="en-US"/>
        </w:rPr>
        <w:t>hwb.gov.wales</w:t>
      </w:r>
      <w:proofErr w:type="spellEnd"/>
      <w:r>
        <w:rPr>
          <w:rFonts w:ascii="Arial" w:hAnsi="Arial" w:cs="Arial"/>
          <w:kern w:val="0"/>
          <w:sz w:val="22"/>
          <w:szCs w:val="22"/>
          <w:lang w:val="en-US"/>
        </w:rPr>
        <w:t xml:space="preserve">. Available at: </w:t>
      </w:r>
      <w:hyperlink r:id="rId52" w:history="1">
        <w:r>
          <w:rPr>
            <w:rFonts w:ascii="Arial" w:hAnsi="Arial" w:cs="Arial"/>
            <w:kern w:val="0"/>
            <w:sz w:val="22"/>
            <w:szCs w:val="22"/>
            <w:lang w:val="en-US"/>
          </w:rPr>
          <w:t>https://hwb.gov.wales/curriculum-for-wales/designing-your-curriculum/developing-a-vision-for-curriculum-design/</w:t>
        </w:r>
      </w:hyperlink>
      <w:r>
        <w:rPr>
          <w:rFonts w:ascii="Arial" w:hAnsi="Arial" w:cs="Arial"/>
          <w:kern w:val="0"/>
          <w:sz w:val="22"/>
          <w:szCs w:val="22"/>
          <w:lang w:val="en-US"/>
        </w:rPr>
        <w:t xml:space="preserve"> (Accessed: 26 March 2024).</w:t>
      </w:r>
    </w:p>
    <w:p w14:paraId="5F979393"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Welsh Government (2023a) </w:t>
      </w:r>
      <w:r>
        <w:rPr>
          <w:rFonts w:ascii="Arial" w:hAnsi="Arial" w:cs="Arial"/>
          <w:i/>
          <w:iCs/>
          <w:kern w:val="0"/>
          <w:sz w:val="22"/>
          <w:szCs w:val="22"/>
          <w:lang w:val="en-US"/>
        </w:rPr>
        <w:t>Enabling learning - Hwb</w:t>
      </w:r>
      <w:r>
        <w:rPr>
          <w:rFonts w:ascii="Arial" w:hAnsi="Arial" w:cs="Arial"/>
          <w:kern w:val="0"/>
          <w:sz w:val="22"/>
          <w:szCs w:val="22"/>
          <w:lang w:val="en-US"/>
        </w:rPr>
        <w:t xml:space="preserve">, </w:t>
      </w:r>
      <w:proofErr w:type="spellStart"/>
      <w:r>
        <w:rPr>
          <w:rFonts w:ascii="Arial" w:hAnsi="Arial" w:cs="Arial"/>
          <w:i/>
          <w:iCs/>
          <w:kern w:val="0"/>
          <w:sz w:val="22"/>
          <w:szCs w:val="22"/>
          <w:lang w:val="en-US"/>
        </w:rPr>
        <w:t>hwb.gov.wales</w:t>
      </w:r>
      <w:proofErr w:type="spellEnd"/>
      <w:r>
        <w:rPr>
          <w:rFonts w:ascii="Arial" w:hAnsi="Arial" w:cs="Arial"/>
          <w:kern w:val="0"/>
          <w:sz w:val="22"/>
          <w:szCs w:val="22"/>
          <w:lang w:val="en-US"/>
        </w:rPr>
        <w:t xml:space="preserve">. Available at: </w:t>
      </w:r>
      <w:hyperlink r:id="rId53" w:history="1">
        <w:r>
          <w:rPr>
            <w:rFonts w:ascii="Arial" w:hAnsi="Arial" w:cs="Arial"/>
            <w:kern w:val="0"/>
            <w:sz w:val="22"/>
            <w:szCs w:val="22"/>
            <w:lang w:val="en-US"/>
          </w:rPr>
          <w:t>https://hwb.gov.wales/curriculum-for-wales/designing-your-curriculum/enabling-learning/</w:t>
        </w:r>
      </w:hyperlink>
      <w:r>
        <w:rPr>
          <w:rFonts w:ascii="Arial" w:hAnsi="Arial" w:cs="Arial"/>
          <w:kern w:val="0"/>
          <w:sz w:val="22"/>
          <w:szCs w:val="22"/>
          <w:lang w:val="en-US"/>
        </w:rPr>
        <w:t xml:space="preserve"> (Accessed: 27 March 2024).</w:t>
      </w:r>
    </w:p>
    <w:p w14:paraId="55054731"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Welsh Government (2023b) </w:t>
      </w:r>
      <w:r>
        <w:rPr>
          <w:rFonts w:ascii="Arial" w:hAnsi="Arial" w:cs="Arial"/>
          <w:i/>
          <w:iCs/>
          <w:kern w:val="0"/>
          <w:sz w:val="22"/>
          <w:szCs w:val="22"/>
          <w:lang w:val="en-US"/>
        </w:rPr>
        <w:t>Enabling learning - Hwb</w:t>
      </w:r>
      <w:r>
        <w:rPr>
          <w:rFonts w:ascii="Arial" w:hAnsi="Arial" w:cs="Arial"/>
          <w:kern w:val="0"/>
          <w:sz w:val="22"/>
          <w:szCs w:val="22"/>
          <w:lang w:val="en-US"/>
        </w:rPr>
        <w:t xml:space="preserve">, </w:t>
      </w:r>
      <w:proofErr w:type="spellStart"/>
      <w:r>
        <w:rPr>
          <w:rFonts w:ascii="Arial" w:hAnsi="Arial" w:cs="Arial"/>
          <w:i/>
          <w:iCs/>
          <w:kern w:val="0"/>
          <w:sz w:val="22"/>
          <w:szCs w:val="22"/>
          <w:lang w:val="en-US"/>
        </w:rPr>
        <w:t>hwb.gov.wales</w:t>
      </w:r>
      <w:proofErr w:type="spellEnd"/>
      <w:r>
        <w:rPr>
          <w:rFonts w:ascii="Arial" w:hAnsi="Arial" w:cs="Arial"/>
          <w:kern w:val="0"/>
          <w:sz w:val="22"/>
          <w:szCs w:val="22"/>
          <w:lang w:val="en-US"/>
        </w:rPr>
        <w:t xml:space="preserve">. Available at: </w:t>
      </w:r>
      <w:hyperlink r:id="rId54" w:history="1">
        <w:r>
          <w:rPr>
            <w:rFonts w:ascii="Arial" w:hAnsi="Arial" w:cs="Arial"/>
            <w:kern w:val="0"/>
            <w:sz w:val="22"/>
            <w:szCs w:val="22"/>
            <w:lang w:val="en-US"/>
          </w:rPr>
          <w:t>https://hwb.gov.wales/curriculum-for-wales/designing-your-curriculum/enabling-learning/</w:t>
        </w:r>
      </w:hyperlink>
      <w:r>
        <w:rPr>
          <w:rFonts w:ascii="Arial" w:hAnsi="Arial" w:cs="Arial"/>
          <w:kern w:val="0"/>
          <w:sz w:val="22"/>
          <w:szCs w:val="22"/>
          <w:lang w:val="en-US"/>
        </w:rPr>
        <w:t xml:space="preserve"> </w:t>
      </w:r>
      <w:r>
        <w:rPr>
          <w:rFonts w:ascii="Arial" w:hAnsi="Arial" w:cs="Arial"/>
          <w:kern w:val="0"/>
          <w:sz w:val="22"/>
          <w:szCs w:val="22"/>
          <w:lang w:val="en-US"/>
        </w:rPr>
        <w:lastRenderedPageBreak/>
        <w:t>(Accessed: 5 May 2024).</w:t>
      </w:r>
    </w:p>
    <w:p w14:paraId="46890601"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Yin, R.K. (1994) </w:t>
      </w:r>
      <w:r>
        <w:rPr>
          <w:rFonts w:ascii="Arial" w:hAnsi="Arial" w:cs="Arial"/>
          <w:i/>
          <w:iCs/>
          <w:kern w:val="0"/>
          <w:sz w:val="22"/>
          <w:szCs w:val="22"/>
          <w:lang w:val="en-US"/>
        </w:rPr>
        <w:t>Case Study Research</w:t>
      </w:r>
      <w:r>
        <w:rPr>
          <w:rFonts w:ascii="Arial" w:hAnsi="Arial" w:cs="Arial"/>
          <w:kern w:val="0"/>
          <w:sz w:val="22"/>
          <w:szCs w:val="22"/>
          <w:lang w:val="en-US"/>
        </w:rPr>
        <w:t>. SAGE Publications, Incorporated.</w:t>
      </w:r>
    </w:p>
    <w:p w14:paraId="11B84116"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proofErr w:type="spellStart"/>
      <w:r>
        <w:rPr>
          <w:rFonts w:ascii="Arial" w:hAnsi="Arial" w:cs="Arial"/>
          <w:kern w:val="0"/>
          <w:sz w:val="22"/>
          <w:szCs w:val="22"/>
          <w:lang w:val="en-US"/>
        </w:rPr>
        <w:t>Ziebland</w:t>
      </w:r>
      <w:proofErr w:type="spellEnd"/>
      <w:r>
        <w:rPr>
          <w:rFonts w:ascii="Arial" w:hAnsi="Arial" w:cs="Arial"/>
          <w:kern w:val="0"/>
          <w:sz w:val="22"/>
          <w:szCs w:val="22"/>
          <w:lang w:val="en-US"/>
        </w:rPr>
        <w:t xml:space="preserve">, S. and McPherson, A. (2006) ‘Making sense of qualitative data analysis: an introduction with illustrations from </w:t>
      </w:r>
      <w:proofErr w:type="spellStart"/>
      <w:r>
        <w:rPr>
          <w:rFonts w:ascii="Arial" w:hAnsi="Arial" w:cs="Arial"/>
          <w:kern w:val="0"/>
          <w:sz w:val="22"/>
          <w:szCs w:val="22"/>
          <w:lang w:val="en-US"/>
        </w:rPr>
        <w:t>DIPEx</w:t>
      </w:r>
      <w:proofErr w:type="spellEnd"/>
      <w:r>
        <w:rPr>
          <w:rFonts w:ascii="Arial" w:hAnsi="Arial" w:cs="Arial"/>
          <w:kern w:val="0"/>
          <w:sz w:val="22"/>
          <w:szCs w:val="22"/>
          <w:lang w:val="en-US"/>
        </w:rPr>
        <w:t xml:space="preserve"> (personal experiences of health and illness)’, </w:t>
      </w:r>
      <w:r>
        <w:rPr>
          <w:rFonts w:ascii="Arial" w:hAnsi="Arial" w:cs="Arial"/>
          <w:i/>
          <w:iCs/>
          <w:kern w:val="0"/>
          <w:sz w:val="22"/>
          <w:szCs w:val="22"/>
          <w:lang w:val="en-US"/>
        </w:rPr>
        <w:t>Medical Education</w:t>
      </w:r>
      <w:r>
        <w:rPr>
          <w:rFonts w:ascii="Arial" w:hAnsi="Arial" w:cs="Arial"/>
          <w:kern w:val="0"/>
          <w:sz w:val="22"/>
          <w:szCs w:val="22"/>
          <w:lang w:val="en-US"/>
        </w:rPr>
        <w:t xml:space="preserve">, 40(5), pp. 405–414. Available at: </w:t>
      </w:r>
      <w:hyperlink r:id="rId55" w:history="1">
        <w:r>
          <w:rPr>
            <w:rFonts w:ascii="Arial" w:hAnsi="Arial" w:cs="Arial"/>
            <w:kern w:val="0"/>
            <w:sz w:val="22"/>
            <w:szCs w:val="22"/>
            <w:lang w:val="en-US"/>
          </w:rPr>
          <w:t>https://doi.org/10.1111/j.1365-2929.2006.02467.x</w:t>
        </w:r>
      </w:hyperlink>
      <w:r>
        <w:rPr>
          <w:rFonts w:ascii="Arial" w:hAnsi="Arial" w:cs="Arial"/>
          <w:kern w:val="0"/>
          <w:sz w:val="22"/>
          <w:szCs w:val="22"/>
          <w:lang w:val="en-US"/>
        </w:rPr>
        <w:t>.</w:t>
      </w:r>
    </w:p>
    <w:p w14:paraId="64A5B1F8" w14:textId="77777777" w:rsidR="00DD2A32" w:rsidRDefault="00DD2A32" w:rsidP="00DD2A32">
      <w:pPr>
        <w:widowControl w:val="0"/>
        <w:autoSpaceDE w:val="0"/>
        <w:autoSpaceDN w:val="0"/>
        <w:adjustRightInd w:val="0"/>
        <w:spacing w:after="240" w:line="360" w:lineRule="auto"/>
        <w:rPr>
          <w:rFonts w:ascii="Arial" w:hAnsi="Arial" w:cs="Arial"/>
          <w:kern w:val="0"/>
          <w:sz w:val="22"/>
          <w:szCs w:val="22"/>
          <w:lang w:val="en-US"/>
        </w:rPr>
      </w:pPr>
      <w:r>
        <w:rPr>
          <w:rFonts w:ascii="Arial" w:hAnsi="Arial" w:cs="Arial"/>
          <w:kern w:val="0"/>
          <w:sz w:val="22"/>
          <w:szCs w:val="22"/>
          <w:lang w:val="en-US"/>
        </w:rPr>
        <w:t xml:space="preserve">Zimmerman, K.N., Ledford, J.R. and Barton, E.E. (2017) ‘Using Visual Activity Schedules for Young Children With Challenging Behavior’, </w:t>
      </w:r>
      <w:r>
        <w:rPr>
          <w:rFonts w:ascii="Arial" w:hAnsi="Arial" w:cs="Arial"/>
          <w:i/>
          <w:iCs/>
          <w:kern w:val="0"/>
          <w:sz w:val="22"/>
          <w:szCs w:val="22"/>
          <w:lang w:val="en-US"/>
        </w:rPr>
        <w:t>Journal of Early Intervention</w:t>
      </w:r>
      <w:r>
        <w:rPr>
          <w:rFonts w:ascii="Arial" w:hAnsi="Arial" w:cs="Arial"/>
          <w:kern w:val="0"/>
          <w:sz w:val="22"/>
          <w:szCs w:val="22"/>
          <w:lang w:val="en-US"/>
        </w:rPr>
        <w:t xml:space="preserve">, 39(4), pp. 339–358. Available at: </w:t>
      </w:r>
      <w:hyperlink r:id="rId56" w:history="1">
        <w:r>
          <w:rPr>
            <w:rFonts w:ascii="Arial" w:hAnsi="Arial" w:cs="Arial"/>
            <w:kern w:val="0"/>
            <w:sz w:val="22"/>
            <w:szCs w:val="22"/>
            <w:lang w:val="en-US"/>
          </w:rPr>
          <w:t>https://doi.org/10.1177/1053815117725693</w:t>
        </w:r>
      </w:hyperlink>
      <w:r>
        <w:rPr>
          <w:rFonts w:ascii="Arial" w:hAnsi="Arial" w:cs="Arial"/>
          <w:kern w:val="0"/>
          <w:sz w:val="22"/>
          <w:szCs w:val="22"/>
          <w:lang w:val="en-US"/>
        </w:rPr>
        <w:t>.</w:t>
      </w:r>
    </w:p>
    <w:p w14:paraId="1B833A8D" w14:textId="77777777" w:rsidR="00DD2A32" w:rsidRDefault="00DD2A32" w:rsidP="4D4299DF">
      <w:pPr>
        <w:spacing w:line="360" w:lineRule="auto"/>
        <w:jc w:val="both"/>
        <w:rPr>
          <w:rFonts w:ascii="Arial" w:hAnsi="Arial" w:cs="Arial"/>
          <w:sz w:val="28"/>
          <w:szCs w:val="28"/>
          <w:u w:val="single"/>
        </w:rPr>
      </w:pPr>
    </w:p>
    <w:p w14:paraId="58BBC3FE" w14:textId="77777777" w:rsidR="00312722" w:rsidRPr="00E64473" w:rsidRDefault="00312722">
      <w:pPr>
        <w:rPr>
          <w:rFonts w:ascii="Arial" w:hAnsi="Arial" w:cs="Arial"/>
          <w:bCs/>
          <w:sz w:val="22"/>
          <w:szCs w:val="22"/>
        </w:rPr>
      </w:pPr>
    </w:p>
    <w:sectPr w:rsidR="00312722" w:rsidRPr="00E64473" w:rsidSect="00975BC5">
      <w:headerReference w:type="default" r:id="rId57"/>
      <w:footerReference w:type="default" r:id="rId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1B4BCC" w14:textId="77777777" w:rsidR="00975BC5" w:rsidRDefault="00975BC5">
      <w:pPr>
        <w:spacing w:after="0" w:line="240" w:lineRule="auto"/>
      </w:pPr>
      <w:r>
        <w:separator/>
      </w:r>
    </w:p>
  </w:endnote>
  <w:endnote w:type="continuationSeparator" w:id="0">
    <w:p w14:paraId="5D169B6F" w14:textId="77777777" w:rsidR="00975BC5" w:rsidRDefault="00975B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88FC56" w14:textId="77777777" w:rsidR="00CF461F" w:rsidRDefault="00000000">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4E45281D" w14:textId="77777777" w:rsidR="00E908A0" w:rsidRDefault="00E908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E09377" w14:textId="77777777" w:rsidR="00975BC5" w:rsidRDefault="00975BC5">
      <w:pPr>
        <w:spacing w:after="0" w:line="240" w:lineRule="auto"/>
      </w:pPr>
      <w:r>
        <w:separator/>
      </w:r>
    </w:p>
  </w:footnote>
  <w:footnote w:type="continuationSeparator" w:id="0">
    <w:p w14:paraId="6A0676D4" w14:textId="77777777" w:rsidR="00975BC5" w:rsidRDefault="00975B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A37BBF" w14:textId="77777777" w:rsidR="00E908A0" w:rsidRDefault="00000000">
    <w:pPr>
      <w:pStyle w:val="Header"/>
    </w:pPr>
    <w:r>
      <w:t>ECAD7004</w:t>
    </w:r>
    <w:r>
      <w:ptab w:relativeTo="margin" w:alignment="center" w:leader="none"/>
    </w:r>
    <w:r>
      <w:ptab w:relativeTo="margin" w:alignment="right" w:leader="none"/>
    </w:r>
    <w:r w:rsidR="00CF461F">
      <w:t>Student number 2312202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1680"/>
    <w:rsid w:val="00006769"/>
    <w:rsid w:val="000119A9"/>
    <w:rsid w:val="00013AD2"/>
    <w:rsid w:val="00021A5B"/>
    <w:rsid w:val="00030C50"/>
    <w:rsid w:val="00031DB5"/>
    <w:rsid w:val="00032D7E"/>
    <w:rsid w:val="000337FD"/>
    <w:rsid w:val="00036339"/>
    <w:rsid w:val="00043DE8"/>
    <w:rsid w:val="0005076A"/>
    <w:rsid w:val="00051C72"/>
    <w:rsid w:val="00054EC6"/>
    <w:rsid w:val="00057077"/>
    <w:rsid w:val="000600F4"/>
    <w:rsid w:val="00061AC0"/>
    <w:rsid w:val="00061D41"/>
    <w:rsid w:val="00067779"/>
    <w:rsid w:val="00070DAE"/>
    <w:rsid w:val="00071DA9"/>
    <w:rsid w:val="00072EFF"/>
    <w:rsid w:val="0007452C"/>
    <w:rsid w:val="00075C76"/>
    <w:rsid w:val="00081172"/>
    <w:rsid w:val="0008161F"/>
    <w:rsid w:val="0008179C"/>
    <w:rsid w:val="00084573"/>
    <w:rsid w:val="00086D80"/>
    <w:rsid w:val="00092725"/>
    <w:rsid w:val="000930F8"/>
    <w:rsid w:val="000A1FFA"/>
    <w:rsid w:val="000C0B83"/>
    <w:rsid w:val="000C73A8"/>
    <w:rsid w:val="000E1352"/>
    <w:rsid w:val="000E200D"/>
    <w:rsid w:val="000E494D"/>
    <w:rsid w:val="000E4CDA"/>
    <w:rsid w:val="000E6C46"/>
    <w:rsid w:val="000F545E"/>
    <w:rsid w:val="000F59E0"/>
    <w:rsid w:val="00101C02"/>
    <w:rsid w:val="00103B55"/>
    <w:rsid w:val="001040AF"/>
    <w:rsid w:val="00104428"/>
    <w:rsid w:val="001155CE"/>
    <w:rsid w:val="00122D18"/>
    <w:rsid w:val="00122E43"/>
    <w:rsid w:val="00123027"/>
    <w:rsid w:val="0012616A"/>
    <w:rsid w:val="00127063"/>
    <w:rsid w:val="00135AB7"/>
    <w:rsid w:val="001366B5"/>
    <w:rsid w:val="001450F4"/>
    <w:rsid w:val="0014666F"/>
    <w:rsid w:val="001477AE"/>
    <w:rsid w:val="00163804"/>
    <w:rsid w:val="00165959"/>
    <w:rsid w:val="00172386"/>
    <w:rsid w:val="00174943"/>
    <w:rsid w:val="0017676C"/>
    <w:rsid w:val="001900CC"/>
    <w:rsid w:val="00195623"/>
    <w:rsid w:val="00197189"/>
    <w:rsid w:val="00197F54"/>
    <w:rsid w:val="001A2477"/>
    <w:rsid w:val="001A338F"/>
    <w:rsid w:val="001A7C34"/>
    <w:rsid w:val="001B448F"/>
    <w:rsid w:val="001B4AA9"/>
    <w:rsid w:val="001C0853"/>
    <w:rsid w:val="001C3B9D"/>
    <w:rsid w:val="001C60B3"/>
    <w:rsid w:val="001D66D7"/>
    <w:rsid w:val="001E009F"/>
    <w:rsid w:val="001E1C86"/>
    <w:rsid w:val="001E2478"/>
    <w:rsid w:val="001E38AE"/>
    <w:rsid w:val="001E3D0A"/>
    <w:rsid w:val="001E57BF"/>
    <w:rsid w:val="001E6256"/>
    <w:rsid w:val="001E650C"/>
    <w:rsid w:val="001F1AF6"/>
    <w:rsid w:val="0021001E"/>
    <w:rsid w:val="00210155"/>
    <w:rsid w:val="00216FC5"/>
    <w:rsid w:val="002211BC"/>
    <w:rsid w:val="00225666"/>
    <w:rsid w:val="00226076"/>
    <w:rsid w:val="00233FDC"/>
    <w:rsid w:val="00241DD4"/>
    <w:rsid w:val="002511AD"/>
    <w:rsid w:val="0025214C"/>
    <w:rsid w:val="00252C52"/>
    <w:rsid w:val="00253083"/>
    <w:rsid w:val="00261301"/>
    <w:rsid w:val="00262ACF"/>
    <w:rsid w:val="00267CAA"/>
    <w:rsid w:val="002756D1"/>
    <w:rsid w:val="00282009"/>
    <w:rsid w:val="00283E30"/>
    <w:rsid w:val="002844F7"/>
    <w:rsid w:val="002858AA"/>
    <w:rsid w:val="00293F34"/>
    <w:rsid w:val="002A0035"/>
    <w:rsid w:val="002A0D17"/>
    <w:rsid w:val="002A0D8D"/>
    <w:rsid w:val="002A1B3F"/>
    <w:rsid w:val="002A36FE"/>
    <w:rsid w:val="002B137F"/>
    <w:rsid w:val="002B1F22"/>
    <w:rsid w:val="002B23CE"/>
    <w:rsid w:val="002B405C"/>
    <w:rsid w:val="002B70E0"/>
    <w:rsid w:val="002C31C0"/>
    <w:rsid w:val="002C3BCD"/>
    <w:rsid w:val="002C5F62"/>
    <w:rsid w:val="002C71EA"/>
    <w:rsid w:val="002C732A"/>
    <w:rsid w:val="002D05C0"/>
    <w:rsid w:val="002D4052"/>
    <w:rsid w:val="002E06D2"/>
    <w:rsid w:val="002E1C83"/>
    <w:rsid w:val="002E3A1A"/>
    <w:rsid w:val="002E3F40"/>
    <w:rsid w:val="002E43AD"/>
    <w:rsid w:val="002E62AA"/>
    <w:rsid w:val="002E6BB0"/>
    <w:rsid w:val="002F146D"/>
    <w:rsid w:val="002F224F"/>
    <w:rsid w:val="002F5C44"/>
    <w:rsid w:val="00300614"/>
    <w:rsid w:val="00300B34"/>
    <w:rsid w:val="0030742E"/>
    <w:rsid w:val="00312722"/>
    <w:rsid w:val="00317806"/>
    <w:rsid w:val="00321555"/>
    <w:rsid w:val="003326AA"/>
    <w:rsid w:val="00343681"/>
    <w:rsid w:val="00346636"/>
    <w:rsid w:val="0035437C"/>
    <w:rsid w:val="003548FD"/>
    <w:rsid w:val="00365BFE"/>
    <w:rsid w:val="00367183"/>
    <w:rsid w:val="0037108C"/>
    <w:rsid w:val="00375F8C"/>
    <w:rsid w:val="00377EA6"/>
    <w:rsid w:val="003827D2"/>
    <w:rsid w:val="00383E6A"/>
    <w:rsid w:val="003852CD"/>
    <w:rsid w:val="0039482D"/>
    <w:rsid w:val="003953FF"/>
    <w:rsid w:val="003A0A1C"/>
    <w:rsid w:val="003A36B1"/>
    <w:rsid w:val="003A4E18"/>
    <w:rsid w:val="003A68CD"/>
    <w:rsid w:val="003B0050"/>
    <w:rsid w:val="003B12C3"/>
    <w:rsid w:val="003B20E1"/>
    <w:rsid w:val="003B39C5"/>
    <w:rsid w:val="003B500C"/>
    <w:rsid w:val="003B747C"/>
    <w:rsid w:val="003C35BB"/>
    <w:rsid w:val="003C45BE"/>
    <w:rsid w:val="003D0D9B"/>
    <w:rsid w:val="003D3EB5"/>
    <w:rsid w:val="003E023F"/>
    <w:rsid w:val="003E7FDA"/>
    <w:rsid w:val="003F4D61"/>
    <w:rsid w:val="003F6EAF"/>
    <w:rsid w:val="00402766"/>
    <w:rsid w:val="00403733"/>
    <w:rsid w:val="0040487A"/>
    <w:rsid w:val="004141C5"/>
    <w:rsid w:val="00415F1F"/>
    <w:rsid w:val="00415FA1"/>
    <w:rsid w:val="00420073"/>
    <w:rsid w:val="0042537A"/>
    <w:rsid w:val="0042606F"/>
    <w:rsid w:val="00431267"/>
    <w:rsid w:val="0043161F"/>
    <w:rsid w:val="004326B0"/>
    <w:rsid w:val="00433702"/>
    <w:rsid w:val="0043609A"/>
    <w:rsid w:val="00436CBE"/>
    <w:rsid w:val="0043739E"/>
    <w:rsid w:val="00441420"/>
    <w:rsid w:val="004419C2"/>
    <w:rsid w:val="00446905"/>
    <w:rsid w:val="00447931"/>
    <w:rsid w:val="004521B4"/>
    <w:rsid w:val="00453A26"/>
    <w:rsid w:val="00456A52"/>
    <w:rsid w:val="004615B9"/>
    <w:rsid w:val="0046231E"/>
    <w:rsid w:val="004700B2"/>
    <w:rsid w:val="00472BB2"/>
    <w:rsid w:val="0048295D"/>
    <w:rsid w:val="00486707"/>
    <w:rsid w:val="0048746F"/>
    <w:rsid w:val="00487CBB"/>
    <w:rsid w:val="004919A6"/>
    <w:rsid w:val="00495E35"/>
    <w:rsid w:val="00496869"/>
    <w:rsid w:val="00497838"/>
    <w:rsid w:val="00497F33"/>
    <w:rsid w:val="004A25F7"/>
    <w:rsid w:val="004A30B0"/>
    <w:rsid w:val="004B0593"/>
    <w:rsid w:val="004B072C"/>
    <w:rsid w:val="004B4C6D"/>
    <w:rsid w:val="004B7585"/>
    <w:rsid w:val="004C1C12"/>
    <w:rsid w:val="004C4A0B"/>
    <w:rsid w:val="004C547E"/>
    <w:rsid w:val="004D1569"/>
    <w:rsid w:val="004D3A0A"/>
    <w:rsid w:val="004D4AB4"/>
    <w:rsid w:val="004D5DC7"/>
    <w:rsid w:val="004D7DB1"/>
    <w:rsid w:val="004E5220"/>
    <w:rsid w:val="004F207D"/>
    <w:rsid w:val="004F594B"/>
    <w:rsid w:val="004F5C5D"/>
    <w:rsid w:val="004F6923"/>
    <w:rsid w:val="00500D92"/>
    <w:rsid w:val="00506C70"/>
    <w:rsid w:val="00510FC7"/>
    <w:rsid w:val="00511A54"/>
    <w:rsid w:val="0051396A"/>
    <w:rsid w:val="00514138"/>
    <w:rsid w:val="00515264"/>
    <w:rsid w:val="00517FD8"/>
    <w:rsid w:val="00521157"/>
    <w:rsid w:val="00537259"/>
    <w:rsid w:val="005404F9"/>
    <w:rsid w:val="00542970"/>
    <w:rsid w:val="005518AF"/>
    <w:rsid w:val="00560EA9"/>
    <w:rsid w:val="00565F86"/>
    <w:rsid w:val="00570CB9"/>
    <w:rsid w:val="00573041"/>
    <w:rsid w:val="00575711"/>
    <w:rsid w:val="00577E8F"/>
    <w:rsid w:val="005803B0"/>
    <w:rsid w:val="005806D3"/>
    <w:rsid w:val="0058473A"/>
    <w:rsid w:val="00592E98"/>
    <w:rsid w:val="0059345B"/>
    <w:rsid w:val="00593C34"/>
    <w:rsid w:val="005959E6"/>
    <w:rsid w:val="0059688D"/>
    <w:rsid w:val="005A1BA3"/>
    <w:rsid w:val="005A1D6E"/>
    <w:rsid w:val="005A3A87"/>
    <w:rsid w:val="005A58DD"/>
    <w:rsid w:val="005A68D0"/>
    <w:rsid w:val="005B2F88"/>
    <w:rsid w:val="005C4215"/>
    <w:rsid w:val="005C4655"/>
    <w:rsid w:val="005C57C8"/>
    <w:rsid w:val="005C7103"/>
    <w:rsid w:val="005C71A7"/>
    <w:rsid w:val="005C7488"/>
    <w:rsid w:val="005C7BD6"/>
    <w:rsid w:val="005D4580"/>
    <w:rsid w:val="005D4A81"/>
    <w:rsid w:val="005D5692"/>
    <w:rsid w:val="005D61E3"/>
    <w:rsid w:val="005D66E5"/>
    <w:rsid w:val="005D70C1"/>
    <w:rsid w:val="005D7CFD"/>
    <w:rsid w:val="005E338C"/>
    <w:rsid w:val="005E70D5"/>
    <w:rsid w:val="005E784A"/>
    <w:rsid w:val="005F1AE1"/>
    <w:rsid w:val="005F6500"/>
    <w:rsid w:val="00602624"/>
    <w:rsid w:val="006174EE"/>
    <w:rsid w:val="00621411"/>
    <w:rsid w:val="00621661"/>
    <w:rsid w:val="00626EC5"/>
    <w:rsid w:val="00631B6C"/>
    <w:rsid w:val="0063278A"/>
    <w:rsid w:val="00633445"/>
    <w:rsid w:val="00634C9D"/>
    <w:rsid w:val="006366C5"/>
    <w:rsid w:val="006373CB"/>
    <w:rsid w:val="00637942"/>
    <w:rsid w:val="006411D1"/>
    <w:rsid w:val="006413D4"/>
    <w:rsid w:val="006427D2"/>
    <w:rsid w:val="006433DC"/>
    <w:rsid w:val="0064435F"/>
    <w:rsid w:val="00645BAF"/>
    <w:rsid w:val="0064699A"/>
    <w:rsid w:val="00646E80"/>
    <w:rsid w:val="00646F21"/>
    <w:rsid w:val="006506EB"/>
    <w:rsid w:val="00650B8E"/>
    <w:rsid w:val="00652C48"/>
    <w:rsid w:val="00653955"/>
    <w:rsid w:val="00654339"/>
    <w:rsid w:val="006551F8"/>
    <w:rsid w:val="00656FA1"/>
    <w:rsid w:val="006660DF"/>
    <w:rsid w:val="006661E3"/>
    <w:rsid w:val="006676D5"/>
    <w:rsid w:val="0067552C"/>
    <w:rsid w:val="0067622D"/>
    <w:rsid w:val="00680F25"/>
    <w:rsid w:val="0068394F"/>
    <w:rsid w:val="00686DC4"/>
    <w:rsid w:val="00690C26"/>
    <w:rsid w:val="00692476"/>
    <w:rsid w:val="00697E6B"/>
    <w:rsid w:val="006A0AAD"/>
    <w:rsid w:val="006A24AB"/>
    <w:rsid w:val="006A25B2"/>
    <w:rsid w:val="006B1865"/>
    <w:rsid w:val="006B4613"/>
    <w:rsid w:val="006B633B"/>
    <w:rsid w:val="006B7970"/>
    <w:rsid w:val="006C0CE4"/>
    <w:rsid w:val="006C1E0E"/>
    <w:rsid w:val="006C3E8F"/>
    <w:rsid w:val="006D75BF"/>
    <w:rsid w:val="006E0416"/>
    <w:rsid w:val="006E1B58"/>
    <w:rsid w:val="006E7BD6"/>
    <w:rsid w:val="006F0A23"/>
    <w:rsid w:val="006F3297"/>
    <w:rsid w:val="006F7940"/>
    <w:rsid w:val="00700BA8"/>
    <w:rsid w:val="00706B82"/>
    <w:rsid w:val="00706D68"/>
    <w:rsid w:val="007075FA"/>
    <w:rsid w:val="00710B21"/>
    <w:rsid w:val="00723428"/>
    <w:rsid w:val="00727922"/>
    <w:rsid w:val="00733C81"/>
    <w:rsid w:val="00734DBA"/>
    <w:rsid w:val="00736633"/>
    <w:rsid w:val="00742B75"/>
    <w:rsid w:val="007447B1"/>
    <w:rsid w:val="00754EB7"/>
    <w:rsid w:val="00754F22"/>
    <w:rsid w:val="007554C0"/>
    <w:rsid w:val="0076257C"/>
    <w:rsid w:val="00763C85"/>
    <w:rsid w:val="00776C75"/>
    <w:rsid w:val="007837C8"/>
    <w:rsid w:val="00787EB0"/>
    <w:rsid w:val="0079678E"/>
    <w:rsid w:val="007A33B1"/>
    <w:rsid w:val="007A3A66"/>
    <w:rsid w:val="007A4E26"/>
    <w:rsid w:val="007A5C29"/>
    <w:rsid w:val="007A6189"/>
    <w:rsid w:val="007B1537"/>
    <w:rsid w:val="007B5E6E"/>
    <w:rsid w:val="007C04C6"/>
    <w:rsid w:val="007D39F9"/>
    <w:rsid w:val="007D3F39"/>
    <w:rsid w:val="007D4519"/>
    <w:rsid w:val="007E398F"/>
    <w:rsid w:val="007E6972"/>
    <w:rsid w:val="007F2D94"/>
    <w:rsid w:val="00801756"/>
    <w:rsid w:val="00811D41"/>
    <w:rsid w:val="00814584"/>
    <w:rsid w:val="00817571"/>
    <w:rsid w:val="00821AC0"/>
    <w:rsid w:val="00823351"/>
    <w:rsid w:val="008239A0"/>
    <w:rsid w:val="00825D2D"/>
    <w:rsid w:val="00826408"/>
    <w:rsid w:val="008345F8"/>
    <w:rsid w:val="00835A45"/>
    <w:rsid w:val="00837F19"/>
    <w:rsid w:val="008425FD"/>
    <w:rsid w:val="00842F66"/>
    <w:rsid w:val="00846C08"/>
    <w:rsid w:val="008552E7"/>
    <w:rsid w:val="00855B9B"/>
    <w:rsid w:val="00866318"/>
    <w:rsid w:val="008663A3"/>
    <w:rsid w:val="008709FD"/>
    <w:rsid w:val="008734CA"/>
    <w:rsid w:val="0087386B"/>
    <w:rsid w:val="00876981"/>
    <w:rsid w:val="008778A7"/>
    <w:rsid w:val="00885A3F"/>
    <w:rsid w:val="00890DAA"/>
    <w:rsid w:val="0089557A"/>
    <w:rsid w:val="008A05A4"/>
    <w:rsid w:val="008A1B78"/>
    <w:rsid w:val="008A350B"/>
    <w:rsid w:val="008A5E1F"/>
    <w:rsid w:val="008A6960"/>
    <w:rsid w:val="008B1835"/>
    <w:rsid w:val="008C091B"/>
    <w:rsid w:val="008C0D07"/>
    <w:rsid w:val="008C0F4F"/>
    <w:rsid w:val="008C59D9"/>
    <w:rsid w:val="008C6AA3"/>
    <w:rsid w:val="008D2664"/>
    <w:rsid w:val="008D47AB"/>
    <w:rsid w:val="008D67BF"/>
    <w:rsid w:val="008E72E1"/>
    <w:rsid w:val="008F6631"/>
    <w:rsid w:val="00910041"/>
    <w:rsid w:val="00913495"/>
    <w:rsid w:val="009139D6"/>
    <w:rsid w:val="00914258"/>
    <w:rsid w:val="00916F5D"/>
    <w:rsid w:val="009225F7"/>
    <w:rsid w:val="009403E2"/>
    <w:rsid w:val="00943801"/>
    <w:rsid w:val="009502B0"/>
    <w:rsid w:val="00952DA1"/>
    <w:rsid w:val="009533FD"/>
    <w:rsid w:val="009555CA"/>
    <w:rsid w:val="00961493"/>
    <w:rsid w:val="0096451E"/>
    <w:rsid w:val="00973537"/>
    <w:rsid w:val="00975BC5"/>
    <w:rsid w:val="00981779"/>
    <w:rsid w:val="009870C9"/>
    <w:rsid w:val="009953CE"/>
    <w:rsid w:val="009A2E21"/>
    <w:rsid w:val="009A32A3"/>
    <w:rsid w:val="009A72E2"/>
    <w:rsid w:val="009B62CF"/>
    <w:rsid w:val="009B7DB1"/>
    <w:rsid w:val="009C1F5A"/>
    <w:rsid w:val="009C4E08"/>
    <w:rsid w:val="009C5A2D"/>
    <w:rsid w:val="009C6188"/>
    <w:rsid w:val="009D1F1C"/>
    <w:rsid w:val="009D2A52"/>
    <w:rsid w:val="009D680B"/>
    <w:rsid w:val="009E1BF1"/>
    <w:rsid w:val="009E37D0"/>
    <w:rsid w:val="009E50BA"/>
    <w:rsid w:val="009E5538"/>
    <w:rsid w:val="009F029B"/>
    <w:rsid w:val="009F41A0"/>
    <w:rsid w:val="009F4E01"/>
    <w:rsid w:val="00A05A55"/>
    <w:rsid w:val="00A0748B"/>
    <w:rsid w:val="00A11C7A"/>
    <w:rsid w:val="00A11F02"/>
    <w:rsid w:val="00A14037"/>
    <w:rsid w:val="00A20422"/>
    <w:rsid w:val="00A2075F"/>
    <w:rsid w:val="00A26800"/>
    <w:rsid w:val="00A320E8"/>
    <w:rsid w:val="00A341AD"/>
    <w:rsid w:val="00A36D0F"/>
    <w:rsid w:val="00A40DAF"/>
    <w:rsid w:val="00A42C0F"/>
    <w:rsid w:val="00A42E48"/>
    <w:rsid w:val="00A527B2"/>
    <w:rsid w:val="00A54549"/>
    <w:rsid w:val="00A57CD8"/>
    <w:rsid w:val="00A6413A"/>
    <w:rsid w:val="00A6490A"/>
    <w:rsid w:val="00A65194"/>
    <w:rsid w:val="00A659BD"/>
    <w:rsid w:val="00A703FF"/>
    <w:rsid w:val="00A705D9"/>
    <w:rsid w:val="00A74C0D"/>
    <w:rsid w:val="00A76BAB"/>
    <w:rsid w:val="00A772E8"/>
    <w:rsid w:val="00A82D3C"/>
    <w:rsid w:val="00A92D7D"/>
    <w:rsid w:val="00A94E95"/>
    <w:rsid w:val="00A97890"/>
    <w:rsid w:val="00AA1E6C"/>
    <w:rsid w:val="00AA4B52"/>
    <w:rsid w:val="00AA6988"/>
    <w:rsid w:val="00AB1680"/>
    <w:rsid w:val="00AC1634"/>
    <w:rsid w:val="00AC32DF"/>
    <w:rsid w:val="00AC3BCA"/>
    <w:rsid w:val="00AC4F76"/>
    <w:rsid w:val="00AD33E3"/>
    <w:rsid w:val="00AD36B2"/>
    <w:rsid w:val="00AD4497"/>
    <w:rsid w:val="00AD7404"/>
    <w:rsid w:val="00AE0964"/>
    <w:rsid w:val="00AE5B51"/>
    <w:rsid w:val="00AE6275"/>
    <w:rsid w:val="00AE6FCD"/>
    <w:rsid w:val="00AE7063"/>
    <w:rsid w:val="00AE78EE"/>
    <w:rsid w:val="00AF1CDB"/>
    <w:rsid w:val="00AF3CF0"/>
    <w:rsid w:val="00AF5D37"/>
    <w:rsid w:val="00AF72E4"/>
    <w:rsid w:val="00B0108E"/>
    <w:rsid w:val="00B03CC4"/>
    <w:rsid w:val="00B04FF7"/>
    <w:rsid w:val="00B1140B"/>
    <w:rsid w:val="00B17A11"/>
    <w:rsid w:val="00B20204"/>
    <w:rsid w:val="00B20FD6"/>
    <w:rsid w:val="00B26CDC"/>
    <w:rsid w:val="00B306CF"/>
    <w:rsid w:val="00B31278"/>
    <w:rsid w:val="00B343FC"/>
    <w:rsid w:val="00B45A1D"/>
    <w:rsid w:val="00B47C14"/>
    <w:rsid w:val="00B50C27"/>
    <w:rsid w:val="00B6462F"/>
    <w:rsid w:val="00B6745B"/>
    <w:rsid w:val="00B67581"/>
    <w:rsid w:val="00B73AFF"/>
    <w:rsid w:val="00B74930"/>
    <w:rsid w:val="00B74EDE"/>
    <w:rsid w:val="00B8230A"/>
    <w:rsid w:val="00B82718"/>
    <w:rsid w:val="00B86FB1"/>
    <w:rsid w:val="00B87CB3"/>
    <w:rsid w:val="00B917D1"/>
    <w:rsid w:val="00B925A9"/>
    <w:rsid w:val="00B975AE"/>
    <w:rsid w:val="00BA2D2D"/>
    <w:rsid w:val="00BA3DF4"/>
    <w:rsid w:val="00BA5994"/>
    <w:rsid w:val="00BB0F48"/>
    <w:rsid w:val="00BB22D9"/>
    <w:rsid w:val="00BB3671"/>
    <w:rsid w:val="00BB3AAC"/>
    <w:rsid w:val="00BB4967"/>
    <w:rsid w:val="00BB4E9D"/>
    <w:rsid w:val="00BB52F4"/>
    <w:rsid w:val="00BC14AE"/>
    <w:rsid w:val="00BC2ACE"/>
    <w:rsid w:val="00BC2CFB"/>
    <w:rsid w:val="00BC3765"/>
    <w:rsid w:val="00BC529D"/>
    <w:rsid w:val="00BC5573"/>
    <w:rsid w:val="00BE1E22"/>
    <w:rsid w:val="00BE3A01"/>
    <w:rsid w:val="00BE58D0"/>
    <w:rsid w:val="00BF2355"/>
    <w:rsid w:val="00BF6F41"/>
    <w:rsid w:val="00C01ABA"/>
    <w:rsid w:val="00C021F4"/>
    <w:rsid w:val="00C061F1"/>
    <w:rsid w:val="00C067F4"/>
    <w:rsid w:val="00C10557"/>
    <w:rsid w:val="00C112ED"/>
    <w:rsid w:val="00C220DA"/>
    <w:rsid w:val="00C23C11"/>
    <w:rsid w:val="00C2425F"/>
    <w:rsid w:val="00C25C6D"/>
    <w:rsid w:val="00C27DD6"/>
    <w:rsid w:val="00C36C19"/>
    <w:rsid w:val="00C4093C"/>
    <w:rsid w:val="00C44B53"/>
    <w:rsid w:val="00C4726F"/>
    <w:rsid w:val="00C50BB7"/>
    <w:rsid w:val="00C50F73"/>
    <w:rsid w:val="00C547E6"/>
    <w:rsid w:val="00C54E84"/>
    <w:rsid w:val="00C55835"/>
    <w:rsid w:val="00C61150"/>
    <w:rsid w:val="00C61C59"/>
    <w:rsid w:val="00C62544"/>
    <w:rsid w:val="00C708EB"/>
    <w:rsid w:val="00C71B9D"/>
    <w:rsid w:val="00C74C3E"/>
    <w:rsid w:val="00C81780"/>
    <w:rsid w:val="00C901EE"/>
    <w:rsid w:val="00C92149"/>
    <w:rsid w:val="00C92E68"/>
    <w:rsid w:val="00C96725"/>
    <w:rsid w:val="00C9698A"/>
    <w:rsid w:val="00CA3097"/>
    <w:rsid w:val="00CB00CE"/>
    <w:rsid w:val="00CB1294"/>
    <w:rsid w:val="00CC3B45"/>
    <w:rsid w:val="00CC3EEE"/>
    <w:rsid w:val="00CE102E"/>
    <w:rsid w:val="00CE3446"/>
    <w:rsid w:val="00CE3708"/>
    <w:rsid w:val="00CE66FC"/>
    <w:rsid w:val="00CF2DBA"/>
    <w:rsid w:val="00CF3FB4"/>
    <w:rsid w:val="00CF461F"/>
    <w:rsid w:val="00D0118A"/>
    <w:rsid w:val="00D01ADA"/>
    <w:rsid w:val="00D01C40"/>
    <w:rsid w:val="00D02201"/>
    <w:rsid w:val="00D0298C"/>
    <w:rsid w:val="00D059E2"/>
    <w:rsid w:val="00D133C5"/>
    <w:rsid w:val="00D152DC"/>
    <w:rsid w:val="00D209D5"/>
    <w:rsid w:val="00D2369E"/>
    <w:rsid w:val="00D318DA"/>
    <w:rsid w:val="00D31BE2"/>
    <w:rsid w:val="00D346F3"/>
    <w:rsid w:val="00D34F8C"/>
    <w:rsid w:val="00D37779"/>
    <w:rsid w:val="00D37C5D"/>
    <w:rsid w:val="00D40334"/>
    <w:rsid w:val="00D40E04"/>
    <w:rsid w:val="00D43BF9"/>
    <w:rsid w:val="00D52225"/>
    <w:rsid w:val="00D548B3"/>
    <w:rsid w:val="00D548E2"/>
    <w:rsid w:val="00D56559"/>
    <w:rsid w:val="00D60E1B"/>
    <w:rsid w:val="00D61F45"/>
    <w:rsid w:val="00D63CC2"/>
    <w:rsid w:val="00D65091"/>
    <w:rsid w:val="00D65DAD"/>
    <w:rsid w:val="00D66A24"/>
    <w:rsid w:val="00D711D6"/>
    <w:rsid w:val="00D71861"/>
    <w:rsid w:val="00D73B82"/>
    <w:rsid w:val="00D80DAE"/>
    <w:rsid w:val="00D87C9D"/>
    <w:rsid w:val="00D93634"/>
    <w:rsid w:val="00D95CB1"/>
    <w:rsid w:val="00D96B1D"/>
    <w:rsid w:val="00DA2B92"/>
    <w:rsid w:val="00DB17C3"/>
    <w:rsid w:val="00DB2CB1"/>
    <w:rsid w:val="00DB4A82"/>
    <w:rsid w:val="00DB7133"/>
    <w:rsid w:val="00DB76DB"/>
    <w:rsid w:val="00DB7ABB"/>
    <w:rsid w:val="00DC176F"/>
    <w:rsid w:val="00DC45B2"/>
    <w:rsid w:val="00DC5652"/>
    <w:rsid w:val="00DD2A32"/>
    <w:rsid w:val="00DE4E95"/>
    <w:rsid w:val="00DE5950"/>
    <w:rsid w:val="00DE7499"/>
    <w:rsid w:val="00DF0610"/>
    <w:rsid w:val="00DF0E5C"/>
    <w:rsid w:val="00DF1B75"/>
    <w:rsid w:val="00DF2078"/>
    <w:rsid w:val="00DF334E"/>
    <w:rsid w:val="00DF3E2A"/>
    <w:rsid w:val="00DF5533"/>
    <w:rsid w:val="00DF6C25"/>
    <w:rsid w:val="00E02D96"/>
    <w:rsid w:val="00E02F45"/>
    <w:rsid w:val="00E03ED5"/>
    <w:rsid w:val="00E14825"/>
    <w:rsid w:val="00E15B26"/>
    <w:rsid w:val="00E241F9"/>
    <w:rsid w:val="00E27689"/>
    <w:rsid w:val="00E27FF5"/>
    <w:rsid w:val="00E329A1"/>
    <w:rsid w:val="00E33D6F"/>
    <w:rsid w:val="00E347EE"/>
    <w:rsid w:val="00E34968"/>
    <w:rsid w:val="00E43727"/>
    <w:rsid w:val="00E44C9B"/>
    <w:rsid w:val="00E56410"/>
    <w:rsid w:val="00E61480"/>
    <w:rsid w:val="00E627C7"/>
    <w:rsid w:val="00E62C47"/>
    <w:rsid w:val="00E64473"/>
    <w:rsid w:val="00E707BE"/>
    <w:rsid w:val="00E74FAC"/>
    <w:rsid w:val="00E77510"/>
    <w:rsid w:val="00E8370D"/>
    <w:rsid w:val="00E84E08"/>
    <w:rsid w:val="00E87FEF"/>
    <w:rsid w:val="00E908A0"/>
    <w:rsid w:val="00E954D8"/>
    <w:rsid w:val="00E97073"/>
    <w:rsid w:val="00EA0C4F"/>
    <w:rsid w:val="00EA43CE"/>
    <w:rsid w:val="00EA54FF"/>
    <w:rsid w:val="00EA5FF1"/>
    <w:rsid w:val="00EB506B"/>
    <w:rsid w:val="00EB6FCA"/>
    <w:rsid w:val="00EC3910"/>
    <w:rsid w:val="00EC398E"/>
    <w:rsid w:val="00ED4E5F"/>
    <w:rsid w:val="00ED62BB"/>
    <w:rsid w:val="00EE0368"/>
    <w:rsid w:val="00EE0F4C"/>
    <w:rsid w:val="00EE19A8"/>
    <w:rsid w:val="00EF1323"/>
    <w:rsid w:val="00EF35CA"/>
    <w:rsid w:val="00EF5357"/>
    <w:rsid w:val="00F0664C"/>
    <w:rsid w:val="00F076A9"/>
    <w:rsid w:val="00F16DFC"/>
    <w:rsid w:val="00F26717"/>
    <w:rsid w:val="00F27667"/>
    <w:rsid w:val="00F345AB"/>
    <w:rsid w:val="00F36AFF"/>
    <w:rsid w:val="00F36FF2"/>
    <w:rsid w:val="00F44D2F"/>
    <w:rsid w:val="00F45978"/>
    <w:rsid w:val="00F50AE7"/>
    <w:rsid w:val="00F512E7"/>
    <w:rsid w:val="00F51F51"/>
    <w:rsid w:val="00F52C1D"/>
    <w:rsid w:val="00F61FB0"/>
    <w:rsid w:val="00F66580"/>
    <w:rsid w:val="00F75FAE"/>
    <w:rsid w:val="00F81C3C"/>
    <w:rsid w:val="00F84459"/>
    <w:rsid w:val="00F850BF"/>
    <w:rsid w:val="00F87CAD"/>
    <w:rsid w:val="00F91AC9"/>
    <w:rsid w:val="00FA3582"/>
    <w:rsid w:val="00FA692E"/>
    <w:rsid w:val="00FB1029"/>
    <w:rsid w:val="00FB3D0C"/>
    <w:rsid w:val="00FB5EE9"/>
    <w:rsid w:val="00FB697E"/>
    <w:rsid w:val="00FC2E3F"/>
    <w:rsid w:val="00FC3F5B"/>
    <w:rsid w:val="00FD0DF6"/>
    <w:rsid w:val="00FD2ADB"/>
    <w:rsid w:val="00FE1746"/>
    <w:rsid w:val="00FF04E6"/>
    <w:rsid w:val="00FF168F"/>
    <w:rsid w:val="00FF1B59"/>
    <w:rsid w:val="010F155E"/>
    <w:rsid w:val="02DE19B4"/>
    <w:rsid w:val="02EF0708"/>
    <w:rsid w:val="038DC4CA"/>
    <w:rsid w:val="04DDB6C5"/>
    <w:rsid w:val="0558A06A"/>
    <w:rsid w:val="05C5B247"/>
    <w:rsid w:val="06226C91"/>
    <w:rsid w:val="06AC8D0D"/>
    <w:rsid w:val="076D9399"/>
    <w:rsid w:val="08A0B022"/>
    <w:rsid w:val="08EED139"/>
    <w:rsid w:val="091ED2D1"/>
    <w:rsid w:val="0B32506D"/>
    <w:rsid w:val="0B5F74D8"/>
    <w:rsid w:val="0C236286"/>
    <w:rsid w:val="0E1C516B"/>
    <w:rsid w:val="0EA44D2D"/>
    <w:rsid w:val="0EB79EF2"/>
    <w:rsid w:val="10416A46"/>
    <w:rsid w:val="12E59708"/>
    <w:rsid w:val="141D1D4F"/>
    <w:rsid w:val="16830A3B"/>
    <w:rsid w:val="1803292F"/>
    <w:rsid w:val="18146980"/>
    <w:rsid w:val="1B6F0F91"/>
    <w:rsid w:val="1D9AC645"/>
    <w:rsid w:val="1D9B6434"/>
    <w:rsid w:val="1F48D629"/>
    <w:rsid w:val="1FDDBF0C"/>
    <w:rsid w:val="21BFA341"/>
    <w:rsid w:val="232F3F6E"/>
    <w:rsid w:val="23BDDFD9"/>
    <w:rsid w:val="24225A0D"/>
    <w:rsid w:val="242FDC3D"/>
    <w:rsid w:val="2D2FC4CD"/>
    <w:rsid w:val="2DEDCA59"/>
    <w:rsid w:val="2EFC9535"/>
    <w:rsid w:val="33E9E4D1"/>
    <w:rsid w:val="345F75BB"/>
    <w:rsid w:val="3682658B"/>
    <w:rsid w:val="37F3CF7E"/>
    <w:rsid w:val="393EA273"/>
    <w:rsid w:val="396D50E8"/>
    <w:rsid w:val="3A592655"/>
    <w:rsid w:val="3A653DC6"/>
    <w:rsid w:val="3A6A13A9"/>
    <w:rsid w:val="3C3FEB3C"/>
    <w:rsid w:val="3C5F256E"/>
    <w:rsid w:val="3C70D2AD"/>
    <w:rsid w:val="3CEA1697"/>
    <w:rsid w:val="3CFA26AF"/>
    <w:rsid w:val="3E7A9AB7"/>
    <w:rsid w:val="41118CAD"/>
    <w:rsid w:val="424B0FDD"/>
    <w:rsid w:val="42FAC919"/>
    <w:rsid w:val="43282F91"/>
    <w:rsid w:val="4400F6F1"/>
    <w:rsid w:val="4424B3F0"/>
    <w:rsid w:val="459C7FC2"/>
    <w:rsid w:val="466EFB2B"/>
    <w:rsid w:val="47345DCC"/>
    <w:rsid w:val="4A772C12"/>
    <w:rsid w:val="4A838A3E"/>
    <w:rsid w:val="4BEF4029"/>
    <w:rsid w:val="4C0FDE97"/>
    <w:rsid w:val="4C12FC73"/>
    <w:rsid w:val="4D4299DF"/>
    <w:rsid w:val="52DB96C0"/>
    <w:rsid w:val="549D0C4F"/>
    <w:rsid w:val="549D8E4E"/>
    <w:rsid w:val="57032BEE"/>
    <w:rsid w:val="57591600"/>
    <w:rsid w:val="5BF6DB16"/>
    <w:rsid w:val="5C812B25"/>
    <w:rsid w:val="5D97A3FE"/>
    <w:rsid w:val="5E94CF78"/>
    <w:rsid w:val="5F16A30C"/>
    <w:rsid w:val="600DC3DF"/>
    <w:rsid w:val="6042AABE"/>
    <w:rsid w:val="6342ED76"/>
    <w:rsid w:val="647733BA"/>
    <w:rsid w:val="66538FA2"/>
    <w:rsid w:val="678374C3"/>
    <w:rsid w:val="67E8D0F6"/>
    <w:rsid w:val="682D50B0"/>
    <w:rsid w:val="687C920A"/>
    <w:rsid w:val="70191A42"/>
    <w:rsid w:val="71D3F38E"/>
    <w:rsid w:val="7209EBCB"/>
    <w:rsid w:val="7294C325"/>
    <w:rsid w:val="74F2B7DB"/>
    <w:rsid w:val="762F5366"/>
    <w:rsid w:val="765C6AF8"/>
    <w:rsid w:val="7CD98FF8"/>
    <w:rsid w:val="7FA678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FA417C"/>
  <w15:chartTrackingRefBased/>
  <w15:docId w15:val="{925088E6-24DE-4CEC-828A-A55CCD0E59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1680"/>
  </w:style>
  <w:style w:type="paragraph" w:styleId="Heading1">
    <w:name w:val="heading 1"/>
    <w:basedOn w:val="Normal"/>
    <w:next w:val="Normal"/>
    <w:link w:val="Heading1Char"/>
    <w:uiPriority w:val="9"/>
    <w:qFormat/>
    <w:rsid w:val="00AB16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16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16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16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16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16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16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16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16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16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16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16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16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16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16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16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16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1680"/>
    <w:rPr>
      <w:rFonts w:eastAsiaTheme="majorEastAsia" w:cstheme="majorBidi"/>
      <w:color w:val="272727" w:themeColor="text1" w:themeTint="D8"/>
    </w:rPr>
  </w:style>
  <w:style w:type="paragraph" w:styleId="Title">
    <w:name w:val="Title"/>
    <w:basedOn w:val="Normal"/>
    <w:next w:val="Normal"/>
    <w:link w:val="TitleChar"/>
    <w:uiPriority w:val="10"/>
    <w:qFormat/>
    <w:rsid w:val="00AB16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16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16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16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1680"/>
    <w:pPr>
      <w:spacing w:before="160"/>
      <w:jc w:val="center"/>
    </w:pPr>
    <w:rPr>
      <w:i/>
      <w:iCs/>
      <w:color w:val="404040" w:themeColor="text1" w:themeTint="BF"/>
    </w:rPr>
  </w:style>
  <w:style w:type="character" w:customStyle="1" w:styleId="QuoteChar">
    <w:name w:val="Quote Char"/>
    <w:basedOn w:val="DefaultParagraphFont"/>
    <w:link w:val="Quote"/>
    <w:uiPriority w:val="29"/>
    <w:rsid w:val="00AB1680"/>
    <w:rPr>
      <w:i/>
      <w:iCs/>
      <w:color w:val="404040" w:themeColor="text1" w:themeTint="BF"/>
    </w:rPr>
  </w:style>
  <w:style w:type="paragraph" w:styleId="ListParagraph">
    <w:name w:val="List Paragraph"/>
    <w:basedOn w:val="Normal"/>
    <w:uiPriority w:val="34"/>
    <w:qFormat/>
    <w:rsid w:val="00AB1680"/>
    <w:pPr>
      <w:ind w:left="720"/>
      <w:contextualSpacing/>
    </w:pPr>
  </w:style>
  <w:style w:type="character" w:styleId="IntenseEmphasis">
    <w:name w:val="Intense Emphasis"/>
    <w:basedOn w:val="DefaultParagraphFont"/>
    <w:uiPriority w:val="21"/>
    <w:qFormat/>
    <w:rsid w:val="00AB1680"/>
    <w:rPr>
      <w:i/>
      <w:iCs/>
      <w:color w:val="0F4761" w:themeColor="accent1" w:themeShade="BF"/>
    </w:rPr>
  </w:style>
  <w:style w:type="paragraph" w:styleId="IntenseQuote">
    <w:name w:val="Intense Quote"/>
    <w:basedOn w:val="Normal"/>
    <w:next w:val="Normal"/>
    <w:link w:val="IntenseQuoteChar"/>
    <w:uiPriority w:val="30"/>
    <w:qFormat/>
    <w:rsid w:val="00AB16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1680"/>
    <w:rPr>
      <w:i/>
      <w:iCs/>
      <w:color w:val="0F4761" w:themeColor="accent1" w:themeShade="BF"/>
    </w:rPr>
  </w:style>
  <w:style w:type="character" w:styleId="IntenseReference">
    <w:name w:val="Intense Reference"/>
    <w:basedOn w:val="DefaultParagraphFont"/>
    <w:uiPriority w:val="32"/>
    <w:qFormat/>
    <w:rsid w:val="00AB1680"/>
    <w:rPr>
      <w:b/>
      <w:bCs/>
      <w:smallCaps/>
      <w:color w:val="0F4761" w:themeColor="accent1" w:themeShade="BF"/>
      <w:spacing w:val="5"/>
    </w:rPr>
  </w:style>
  <w:style w:type="character" w:customStyle="1" w:styleId="normaltextrun">
    <w:name w:val="normaltextrun"/>
    <w:basedOn w:val="DefaultParagraphFont"/>
    <w:rsid w:val="00710B21"/>
  </w:style>
  <w:style w:type="paragraph" w:styleId="Header">
    <w:name w:val="header"/>
    <w:basedOn w:val="Normal"/>
    <w:link w:val="HeaderChar"/>
    <w:uiPriority w:val="99"/>
    <w:unhideWhenUsed/>
    <w:rsid w:val="00E908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08A0"/>
  </w:style>
  <w:style w:type="paragraph" w:styleId="Footer">
    <w:name w:val="footer"/>
    <w:basedOn w:val="Normal"/>
    <w:link w:val="FooterChar"/>
    <w:uiPriority w:val="99"/>
    <w:unhideWhenUsed/>
    <w:rsid w:val="00E908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08A0"/>
  </w:style>
  <w:style w:type="paragraph" w:customStyle="1" w:styleId="AssignHeader">
    <w:name w:val="AssignHeader"/>
    <w:basedOn w:val="Normal"/>
    <w:next w:val="Normal"/>
    <w:link w:val="AssignHeaderChar"/>
    <w:qFormat/>
    <w:rsid w:val="00FE1746"/>
    <w:pPr>
      <w:spacing w:after="0" w:line="360" w:lineRule="auto"/>
      <w:jc w:val="center"/>
    </w:pPr>
    <w:rPr>
      <w:rFonts w:ascii="Arial" w:hAnsi="Arial"/>
      <w:b/>
      <w:kern w:val="0"/>
      <w:sz w:val="36"/>
      <w:szCs w:val="22"/>
      <w:u w:val="single"/>
      <w14:ligatures w14:val="none"/>
    </w:rPr>
  </w:style>
  <w:style w:type="character" w:customStyle="1" w:styleId="AssignHeaderChar">
    <w:name w:val="AssignHeader Char"/>
    <w:basedOn w:val="DefaultParagraphFont"/>
    <w:link w:val="AssignHeader"/>
    <w:rsid w:val="00FE1746"/>
    <w:rPr>
      <w:rFonts w:ascii="Arial" w:hAnsi="Arial"/>
      <w:b/>
      <w:kern w:val="0"/>
      <w:sz w:val="36"/>
      <w:szCs w:val="22"/>
      <w:u w:val="single"/>
      <w14:ligatures w14:val="none"/>
    </w:rPr>
  </w:style>
  <w:style w:type="paragraph" w:styleId="NormalWeb">
    <w:name w:val="Normal (Web)"/>
    <w:basedOn w:val="Normal"/>
    <w:uiPriority w:val="99"/>
    <w:unhideWhenUsed/>
    <w:rsid w:val="00DF553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C547E6"/>
    <w:rPr>
      <w:b/>
      <w:bCs/>
    </w:rPr>
  </w:style>
  <w:style w:type="paragraph" w:customStyle="1" w:styleId="paragraph">
    <w:name w:val="paragraph"/>
    <w:basedOn w:val="Normal"/>
    <w:rsid w:val="009F4E0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eop">
    <w:name w:val="eop"/>
    <w:basedOn w:val="DefaultParagraphFont"/>
    <w:rsid w:val="009F4E01"/>
  </w:style>
  <w:style w:type="character" w:styleId="Hyperlink">
    <w:name w:val="Hyperlink"/>
    <w:basedOn w:val="DefaultParagraphFont"/>
    <w:uiPriority w:val="99"/>
    <w:semiHidden/>
    <w:unhideWhenUsed/>
    <w:rsid w:val="006A0AA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37/a0035661" TargetMode="External"/><Relationship Id="rId18" Type="http://schemas.openxmlformats.org/officeDocument/2006/relationships/hyperlink" Target="https://researchmethod.net/qualitative-research/#google_vignette" TargetMode="External"/><Relationship Id="rId26" Type="http://schemas.openxmlformats.org/officeDocument/2006/relationships/hyperlink" Target="https://doi.org/10.1177/1609406919891292" TargetMode="External"/><Relationship Id="rId39" Type="http://schemas.openxmlformats.org/officeDocument/2006/relationships/hyperlink" Target="https://doi.org/10.1177/1362361319871756" TargetMode="External"/><Relationship Id="rId21" Type="http://schemas.openxmlformats.org/officeDocument/2006/relationships/hyperlink" Target="https://doi.org/10.3758/bf03200723" TargetMode="External"/><Relationship Id="rId34" Type="http://schemas.openxmlformats.org/officeDocument/2006/relationships/hyperlink" Target="https://journals.sagepub.com/doi/full/10.1177/0038022920970318" TargetMode="External"/><Relationship Id="rId42" Type="http://schemas.openxmlformats.org/officeDocument/2006/relationships/hyperlink" Target="https://www.researchgate.net/publication/338902281_Time_and_Qualitative_Research_Principles_Pitfalls_and_Perils" TargetMode="External"/><Relationship Id="rId47" Type="http://schemas.openxmlformats.org/officeDocument/2006/relationships/hyperlink" Target="https://doi.org/10.4324/9781315067650" TargetMode="External"/><Relationship Id="rId50" Type="http://schemas.openxmlformats.org/officeDocument/2006/relationships/hyperlink" Target="https://doi.org/10.1017/CBO9780511616419.004" TargetMode="External"/><Relationship Id="rId55" Type="http://schemas.openxmlformats.org/officeDocument/2006/relationships/hyperlink" Target="https://doi.org/10.1111/j.1365-2929.2006.02467.x"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doi.org/10.26686/wgtn.17008195.v1" TargetMode="External"/><Relationship Id="rId29" Type="http://schemas.openxmlformats.org/officeDocument/2006/relationships/hyperlink" Target="https://doi.org/10.4324/9780203797549" TargetMode="External"/><Relationship Id="rId11" Type="http://schemas.openxmlformats.org/officeDocument/2006/relationships/hyperlink" Target="https://www.bera.ac.uk/publication/ethical-guidelines-for-educational-research-2018" TargetMode="External"/><Relationship Id="rId24" Type="http://schemas.openxmlformats.org/officeDocument/2006/relationships/hyperlink" Target="https://doi.org/10.23977/aduhe.2023.051906" TargetMode="External"/><Relationship Id="rId32" Type="http://schemas.openxmlformats.org/officeDocument/2006/relationships/hyperlink" Target="https://ebn.bmj.com/content/22/3/67" TargetMode="External"/><Relationship Id="rId37" Type="http://schemas.openxmlformats.org/officeDocument/2006/relationships/hyperlink" Target="https://www.researchgate.net/publication/265682891_The_case_study_as_a_type_of_qualitative_research" TargetMode="External"/><Relationship Id="rId40" Type="http://schemas.openxmlformats.org/officeDocument/2006/relationships/hyperlink" Target="https://eresearch.qmu.ac.uk/bitstream/handle/20.500.12289/10672/10672.pdf?sequence=1&amp;isAllowed=y" TargetMode="External"/><Relationship Id="rId45" Type="http://schemas.openxmlformats.org/officeDocument/2006/relationships/hyperlink" Target="https://www.researchgate.net/publication/11050491_Operant_Conditioning" TargetMode="External"/><Relationship Id="rId53" Type="http://schemas.openxmlformats.org/officeDocument/2006/relationships/hyperlink" Target="https://hwb.gov.wales/curriculum-for-wales/designing-your-curriculum/enabling-learning/" TargetMode="External"/><Relationship Id="rId58" Type="http://schemas.openxmlformats.org/officeDocument/2006/relationships/footer" Target="footer1.xml"/><Relationship Id="rId5" Type="http://schemas.openxmlformats.org/officeDocument/2006/relationships/settings" Target="settings.xml"/><Relationship Id="rId19" Type="http://schemas.openxmlformats.org/officeDocument/2006/relationships/hyperlink" Target="https://doi.org/10.1007/s00779-010-0294-8"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080/03004279.2021.2000468" TargetMode="External"/><Relationship Id="rId22" Type="http://schemas.openxmlformats.org/officeDocument/2006/relationships/hyperlink" Target="https://doi.org/10.1108/17465640910978391" TargetMode="External"/><Relationship Id="rId27" Type="http://schemas.openxmlformats.org/officeDocument/2006/relationships/hyperlink" Target="https://www.simplypsychology.org/Zone-of-Proximal-Development.html" TargetMode="External"/><Relationship Id="rId30" Type="http://schemas.openxmlformats.org/officeDocument/2006/relationships/hyperlink" Target="https://www.simplypsychology.org/what-is-accommodation-and-assimilation.html" TargetMode="External"/><Relationship Id="rId35" Type="http://schemas.openxmlformats.org/officeDocument/2006/relationships/hyperlink" Target="https://doi.org/10.1007/s10567-023-00461-4" TargetMode="External"/><Relationship Id="rId43" Type="http://schemas.openxmlformats.org/officeDocument/2006/relationships/hyperlink" Target="https://www.simplypsychology.org/observer-bias-definition-examples-prevention.html" TargetMode="External"/><Relationship Id="rId48" Type="http://schemas.openxmlformats.org/officeDocument/2006/relationships/hyperlink" Target="https://doi.org/10.1080/2159676x.2020.1840423" TargetMode="External"/><Relationship Id="rId56" Type="http://schemas.openxmlformats.org/officeDocument/2006/relationships/hyperlink" Target="https://doi.org/10.1177/1053815117725693" TargetMode="External"/><Relationship Id="rId8" Type="http://schemas.openxmlformats.org/officeDocument/2006/relationships/endnotes" Target="endnotes.xml"/><Relationship Id="rId51" Type="http://schemas.openxmlformats.org/officeDocument/2006/relationships/hyperlink" Target="https://hwb.gov.wales/api/storage/19bc948b-8a3f-41e0-944a-7bf2cadf7d18/professional-standards-for-teaching-and-leadership-interactive-pdf-for-pc.pdf" TargetMode="External"/><Relationship Id="rId3" Type="http://schemas.openxmlformats.org/officeDocument/2006/relationships/customXml" Target="../customXml/item3.xml"/><Relationship Id="rId12" Type="http://schemas.openxmlformats.org/officeDocument/2006/relationships/hyperlink" Target="https://www.camhsnorthderbyshire.nhs.uk/learning-disabilities-introducing-routines" TargetMode="External"/><Relationship Id="rId17" Type="http://schemas.openxmlformats.org/officeDocument/2006/relationships/hyperlink" Target="https://doi.org/10.1177/0269216318803494" TargetMode="External"/><Relationship Id="rId25" Type="http://schemas.openxmlformats.org/officeDocument/2006/relationships/hyperlink" Target="https://www.igi-global.com/chapter/thematic-analysis-in-qualitative-research/290815" TargetMode="External"/><Relationship Id="rId33" Type="http://schemas.openxmlformats.org/officeDocument/2006/relationships/hyperlink" Target="https://doi.org/10.1186/1471-2288-4-25" TargetMode="External"/><Relationship Id="rId38" Type="http://schemas.openxmlformats.org/officeDocument/2006/relationships/hyperlink" Target="https://doi.org/10.51952/9781529216806" TargetMode="External"/><Relationship Id="rId46" Type="http://schemas.openxmlformats.org/officeDocument/2006/relationships/hyperlink" Target="https://doi.org/10.1007/s10826-020-01889-w" TargetMode="External"/><Relationship Id="rId59" Type="http://schemas.openxmlformats.org/officeDocument/2006/relationships/fontTable" Target="fontTable.xml"/><Relationship Id="rId20" Type="http://schemas.openxmlformats.org/officeDocument/2006/relationships/hyperlink" Target="https://books.google.co.uk/books?hl=en&amp;lr=&amp;id=iiTYCgAAQBAJ&amp;oi=fnd&amp;pg=PA33&amp;dq=thematic+analysis+flexible+approach&amp;ots=rbyqdxngmF&amp;sig=UxPdzun5gh6OThwcL_SkS_KgSbg#v=onepage&amp;q=flexible&amp;f=false" TargetMode="External"/><Relationship Id="rId41" Type="http://schemas.openxmlformats.org/officeDocument/2006/relationships/hyperlink" Target="https://www.schoolx.co.uk/welcome/" TargetMode="External"/><Relationship Id="rId54" Type="http://schemas.openxmlformats.org/officeDocument/2006/relationships/hyperlink" Target="https://hwb.gov.wales/curriculum-for-wales/designing-your-curriculum/enabling-learning/"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ewc.wales/site/index.php/en/fitness-to-practise/code-of-professional-conduct-and-practice/the-code" TargetMode="External"/><Relationship Id="rId23" Type="http://schemas.openxmlformats.org/officeDocument/2006/relationships/hyperlink" Target="https://www.researchgate.net/publication/257944783_Collecting_data_through_observation" TargetMode="External"/><Relationship Id="rId28" Type="http://schemas.openxmlformats.org/officeDocument/2006/relationships/hyperlink" Target="https://doi.org/10.14196/sjr.v3i7.1505" TargetMode="External"/><Relationship Id="rId36" Type="http://schemas.openxmlformats.org/officeDocument/2006/relationships/hyperlink" Target="https://doi.org/10.1016/j.jbusres.2010.08.014" TargetMode="External"/><Relationship Id="rId49" Type="http://schemas.openxmlformats.org/officeDocument/2006/relationships/hyperlink" Target="https://www.unicef.org.uk/about-unicef-uk/" TargetMode="External"/><Relationship Id="rId57" Type="http://schemas.openxmlformats.org/officeDocument/2006/relationships/header" Target="header1.xml"/><Relationship Id="rId10" Type="http://schemas.openxmlformats.org/officeDocument/2006/relationships/hyperlink" Target="https://ojs.aishe.org/index.php/aishe-j/article/view/335/553" TargetMode="External"/><Relationship Id="rId31" Type="http://schemas.openxmlformats.org/officeDocument/2006/relationships/hyperlink" Target="https://doi.org/10.1186/s12905-022-01950-4" TargetMode="External"/><Relationship Id="rId44" Type="http://schemas.openxmlformats.org/officeDocument/2006/relationships/hyperlink" Target="https://doi.org/10.1177/0193945916678212" TargetMode="External"/><Relationship Id="rId52" Type="http://schemas.openxmlformats.org/officeDocument/2006/relationships/hyperlink" Target="https://hwb.gov.wales/curriculum-for-wales/designing-your-curriculum/developing-a-vision-for-curriculum-design/"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6" ma:contentTypeDescription="Create a new document." ma:contentTypeScope="" ma:versionID="f47ca8f98ad2f22c43197cdc221f8eea">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52be6a713089e0623672fbb89f066080"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SystemTags"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ServiceLocation" ma:index="22" nillable="true" ma:displayName="Location" ma:indexed="true" ma:internalName="MediaServiceLocatio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8FC725F9-3278-4B11-B711-78E3E4EB97FB}">
  <ds:schemaRefs>
    <ds:schemaRef ds:uri="http://schemas.microsoft.com/sharepoint/v3/contenttype/forms"/>
  </ds:schemaRefs>
</ds:datastoreItem>
</file>

<file path=customXml/itemProps2.xml><?xml version="1.0" encoding="utf-8"?>
<ds:datastoreItem xmlns:ds="http://schemas.openxmlformats.org/officeDocument/2006/customXml" ds:itemID="{5F9BED1A-6DAB-4C2A-89D7-BAD7FA5C7F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02AD9DA-F9FE-4756-A96F-F99BFD2E37A5}">
  <ds:schemaRefs>
    <ds:schemaRef ds:uri="http://schemas.microsoft.com/office/2006/metadata/properties"/>
    <ds:schemaRef ds:uri="http://schemas.microsoft.com/office/infopath/2007/PartnerControls"/>
    <ds:schemaRef ds:uri="60ab93c2-c2e2-4a82-ab36-09e8ba3f753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5935</Words>
  <Characters>38940</Characters>
  <Application>Microsoft Office Word</Application>
  <DocSecurity>0</DocSecurity>
  <Lines>618</Lines>
  <Paragraphs>164</Paragraphs>
  <ScaleCrop>false</ScaleCrop>
  <Company/>
  <LinksUpToDate>false</LinksUpToDate>
  <CharactersWithSpaces>44711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Tania Evans-Piper (2312202)</dc:creator>
  <cp:lastModifiedBy>Tania Evans-Piper (2312202)</cp:lastModifiedBy>
  <cp:revision>5</cp:revision>
  <dcterms:created xsi:type="dcterms:W3CDTF">2024-05-06T21:50:00Z</dcterms:created>
  <dcterms:modified xsi:type="dcterms:W3CDTF">2024-05-06T21:53:00Z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y fmtid="{D5CDD505-2E9C-101B-9397-08002B2CF9AE}" pid="3" name="GrammarlyDocumentId">
    <vt:lpwstr>b6c3feb3-8198-4a6e-acb3-1074ca70cc23</vt:lpwstr>
  </property>
</Properties>
</file>