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145805"/>
        <w:bibliography/>
      </w:sdtPr>
      <w:sdtEndPr>
        <w:rPr>
          <w:rFonts w:cstheme="minorHAnsi"/>
        </w:rPr>
      </w:sdtEndPr>
      <w:sdtContent>
        <w:p w14:paraId="093E6D21" w14:textId="03EFD93D" w:rsidR="00D973E9" w:rsidRPr="00D024F3" w:rsidRDefault="00D973E9" w:rsidP="00D973E9">
          <w:pPr>
            <w:spacing w:line="480" w:lineRule="auto"/>
            <w:rPr>
              <w:rFonts w:cstheme="minorHAnsi"/>
            </w:rPr>
          </w:pPr>
          <w:r w:rsidRPr="00D024F3">
            <w:rPr>
              <w:rFonts w:cstheme="minorHAnsi"/>
            </w:rPr>
            <w:t>Student: Naomi Saunders</w:t>
          </w:r>
        </w:p>
        <w:p w14:paraId="1FB45D20" w14:textId="1ABBF64E" w:rsidR="00D973E9" w:rsidRPr="00D024F3" w:rsidRDefault="00D973E9" w:rsidP="00D973E9">
          <w:pPr>
            <w:spacing w:line="480" w:lineRule="auto"/>
            <w:rPr>
              <w:rFonts w:cstheme="minorHAnsi"/>
            </w:rPr>
          </w:pPr>
          <w:r w:rsidRPr="00D024F3">
            <w:rPr>
              <w:rFonts w:cstheme="minorHAnsi"/>
            </w:rPr>
            <w:t>Id: 2117856</w:t>
          </w:r>
        </w:p>
        <w:p w14:paraId="191C25D8" w14:textId="77777777" w:rsidR="00D973E9" w:rsidRPr="00D024F3" w:rsidRDefault="00D973E9" w:rsidP="00D973E9">
          <w:pPr>
            <w:spacing w:line="480" w:lineRule="auto"/>
            <w:rPr>
              <w:rFonts w:cstheme="minorHAnsi"/>
              <w:b/>
              <w:bCs/>
            </w:rPr>
          </w:pPr>
          <w:r w:rsidRPr="00D024F3">
            <w:rPr>
              <w:rFonts w:cstheme="minorHAnsi"/>
              <w:b/>
              <w:bCs/>
            </w:rPr>
            <w:t>Essay one:</w:t>
          </w:r>
        </w:p>
        <w:p w14:paraId="1E37BE9E" w14:textId="3B2E2789" w:rsidR="00D973E9" w:rsidRDefault="00D973E9" w:rsidP="00D973E9">
          <w:pPr>
            <w:spacing w:line="480" w:lineRule="auto"/>
            <w:rPr>
              <w:rFonts w:cstheme="minorHAnsi"/>
            </w:rPr>
          </w:pPr>
          <w:r w:rsidRPr="00D024F3">
            <w:rPr>
              <w:rFonts w:cstheme="minorHAnsi"/>
            </w:rPr>
            <w:t>How have the different values and cultural norms within diverse communities impacted upon policing? You should evaluate how multi-culturalism has affected professional policies and standards (</w:t>
          </w:r>
          <w:proofErr w:type="gramStart"/>
          <w:r w:rsidRPr="00D024F3">
            <w:rPr>
              <w:rFonts w:cstheme="minorHAnsi"/>
            </w:rPr>
            <w:t>e.g.</w:t>
          </w:r>
          <w:proofErr w:type="gramEnd"/>
          <w:r w:rsidRPr="00D024F3">
            <w:rPr>
              <w:rFonts w:cstheme="minorHAnsi"/>
            </w:rPr>
            <w:t xml:space="preserve"> PACE, Code of Ethics) as well as policing practice (e.g. neighbourhood policing).</w:t>
          </w:r>
        </w:p>
        <w:p w14:paraId="74AF8CE8" w14:textId="77777777" w:rsidR="00F16A01" w:rsidRPr="00D024F3" w:rsidRDefault="00F16A01" w:rsidP="00D973E9">
          <w:pPr>
            <w:spacing w:line="480" w:lineRule="auto"/>
            <w:rPr>
              <w:rFonts w:cstheme="minorHAnsi"/>
            </w:rPr>
          </w:pPr>
        </w:p>
        <w:p w14:paraId="50B9EDA0" w14:textId="5A21951B" w:rsidR="00D973E9" w:rsidRDefault="00D973E9" w:rsidP="00D973E9">
          <w:pPr>
            <w:spacing w:line="480" w:lineRule="auto"/>
            <w:rPr>
              <w:rFonts w:cstheme="minorHAnsi"/>
            </w:rPr>
          </w:pPr>
          <w:bookmarkStart w:id="0" w:name="_Hlk124347249"/>
          <w:r w:rsidRPr="00D973E9">
            <w:rPr>
              <w:rFonts w:cstheme="minorHAnsi"/>
            </w:rPr>
            <w:t>In 1829, Sir Robert Peel intended on creating an ethical Police Force in the United Kingdom, Peel’s intention saw birth a set of professional standards in the Metropolitan Police. Police Forces within the United Kingdom and worldwide followed suit; Peels principles are still applied within training to new officers joining in this modern day. Throughout the decades however, there have been many catastrophic ethical failures in the organisation which have sparked public outrage within diverse communities. Ironically the phrase imbedded within the Peelian Principles “Police are the Public and the Public are the Police” (Robert Peel, 1829) is a bitter pill to swallow when we review events thereafter. Evidently shown in the UK in 1999 of the failure by Police to adequately investigate the murder of black male Stephen Lawrence by a white male mob, igniting public protests. Suggesting being “symbolic of the problem of racist violence in Britain and the inadequacies of policies to address it.”</w:t>
          </w:r>
          <w:sdt>
            <w:sdtPr>
              <w:rPr>
                <w:rFonts w:cstheme="minorHAnsi"/>
              </w:rPr>
              <w:id w:val="-1580052996"/>
              <w:citation/>
            </w:sdtPr>
            <w:sdtContent>
              <w:r w:rsidRPr="00D973E9">
                <w:rPr>
                  <w:rFonts w:cstheme="minorHAnsi"/>
                </w:rPr>
                <w:fldChar w:fldCharType="begin"/>
              </w:r>
              <w:r w:rsidRPr="00D973E9">
                <w:rPr>
                  <w:rFonts w:cstheme="minorHAnsi"/>
                </w:rPr>
                <w:instrText xml:space="preserve"> CITATION Sou13 \l 2057 </w:instrText>
              </w:r>
              <w:r w:rsidRPr="00D973E9">
                <w:rPr>
                  <w:rFonts w:cstheme="minorHAnsi"/>
                </w:rPr>
                <w:fldChar w:fldCharType="separate"/>
              </w:r>
              <w:r w:rsidRPr="00D973E9">
                <w:rPr>
                  <w:rFonts w:cstheme="minorHAnsi"/>
                  <w:noProof/>
                </w:rPr>
                <w:t xml:space="preserve"> (Souhami, 2013)</w:t>
              </w:r>
              <w:r w:rsidRPr="00D973E9">
                <w:rPr>
                  <w:rFonts w:cstheme="minorHAnsi"/>
                </w:rPr>
                <w:fldChar w:fldCharType="end"/>
              </w:r>
            </w:sdtContent>
          </w:sdt>
          <w:r w:rsidRPr="00D973E9">
            <w:rPr>
              <w:rFonts w:cstheme="minorHAnsi"/>
            </w:rPr>
            <w:t xml:space="preserve">. Furthermore, some twenty-one years later, crowds of protesting public wishing to defund the force altogether following the death of black male George Floyd in USA by a white male officer </w:t>
          </w:r>
          <w:sdt>
            <w:sdtPr>
              <w:rPr>
                <w:rFonts w:cstheme="minorHAnsi"/>
              </w:rPr>
              <w:id w:val="-1484464704"/>
              <w:citation/>
            </w:sdtPr>
            <w:sdtContent>
              <w:r w:rsidRPr="00D973E9">
                <w:rPr>
                  <w:rFonts w:cstheme="minorHAnsi"/>
                </w:rPr>
                <w:fldChar w:fldCharType="begin"/>
              </w:r>
              <w:r w:rsidRPr="00D973E9">
                <w:rPr>
                  <w:rFonts w:cstheme="minorHAnsi"/>
                </w:rPr>
                <w:instrText xml:space="preserve"> CITATION Jen211 \l 2057 </w:instrText>
              </w:r>
              <w:r w:rsidRPr="00D973E9">
                <w:rPr>
                  <w:rFonts w:cstheme="minorHAnsi"/>
                </w:rPr>
                <w:fldChar w:fldCharType="separate"/>
              </w:r>
              <w:r w:rsidRPr="00D973E9">
                <w:rPr>
                  <w:rFonts w:cstheme="minorHAnsi"/>
                  <w:noProof/>
                </w:rPr>
                <w:t>(Jennifer E. Cobbina-Dungy, 2021)</w:t>
              </w:r>
              <w:r w:rsidRPr="00D973E9">
                <w:rPr>
                  <w:rFonts w:cstheme="minorHAnsi"/>
                </w:rPr>
                <w:fldChar w:fldCharType="end"/>
              </w:r>
            </w:sdtContent>
          </w:sdt>
          <w:r w:rsidRPr="00D973E9">
            <w:rPr>
              <w:rFonts w:cstheme="minorHAnsi"/>
            </w:rPr>
            <w:t xml:space="preserve">. These lead some to believe that there is still systematic racism within the organisation, and it has been the root of some fatal miscarriages of justice within the UK. These such events have introduced high profile interventions and injections of change in law and the criminal justice system to push values and multi-culturalism as standard. This essay will look at the events that followed a murder in South Wales and the handling by Police. It will </w:t>
          </w:r>
          <w:r w:rsidRPr="00D973E9">
            <w:rPr>
              <w:rFonts w:cstheme="minorHAnsi"/>
            </w:rPr>
            <w:lastRenderedPageBreak/>
            <w:t xml:space="preserve">also look at how Police have overcome and developed. diverse communities being impacted by policing and in turn the steps taken by Police to tackle its stand on ethnic minorities. </w:t>
          </w:r>
        </w:p>
        <w:p w14:paraId="5562145C" w14:textId="77777777" w:rsidR="00F16A01" w:rsidRPr="00D973E9" w:rsidRDefault="00F16A01" w:rsidP="00D973E9">
          <w:pPr>
            <w:spacing w:line="480" w:lineRule="auto"/>
            <w:rPr>
              <w:rFonts w:cstheme="minorHAnsi"/>
            </w:rPr>
          </w:pPr>
        </w:p>
        <w:p w14:paraId="07DDFA3B" w14:textId="77777777" w:rsidR="00D973E9" w:rsidRPr="00D973E9" w:rsidRDefault="00D973E9" w:rsidP="00D973E9">
          <w:pPr>
            <w:spacing w:line="480" w:lineRule="auto"/>
            <w:rPr>
              <w:rFonts w:cstheme="minorHAnsi"/>
            </w:rPr>
          </w:pPr>
          <w:r w:rsidRPr="00D973E9">
            <w:rPr>
              <w:rFonts w:cstheme="minorHAnsi"/>
            </w:rPr>
            <w:t xml:space="preserve">The case of the 1988 brutal murder of Lynette White in Tiger Bay Cardiff, saw the arrest of five black and mixed-race men whom three were subsequently charged and later acquitted of her murder. This decision making stemmed from a one minded path, run with by the Police, disregarding an original e-fit of a white male stood outside the crime scene with blood-stained hands. Police chose to focus on false accounts instead of the eyewitness sketch which later mirrored that of the true murderer, Jeffrey Gafoor. Satish Sekar has written two books on the murder and states in addition that “there was no credible evidence that proved the Cardiff Five guilty. Reams of evidence relating to alternative suspects...” </w:t>
          </w:r>
          <w:sdt>
            <w:sdtPr>
              <w:rPr>
                <w:rFonts w:cstheme="minorHAnsi"/>
              </w:rPr>
              <w:id w:val="-192765896"/>
              <w:citation/>
            </w:sdtPr>
            <w:sdtContent>
              <w:r w:rsidRPr="00D973E9">
                <w:rPr>
                  <w:rFonts w:cstheme="minorHAnsi"/>
                </w:rPr>
                <w:fldChar w:fldCharType="begin"/>
              </w:r>
              <w:r w:rsidRPr="00D973E9">
                <w:rPr>
                  <w:rFonts w:cstheme="minorHAnsi"/>
                </w:rPr>
                <w:instrText xml:space="preserve"> CITATION Sek11 \l 2057 </w:instrText>
              </w:r>
              <w:r w:rsidRPr="00D973E9">
                <w:rPr>
                  <w:rFonts w:cstheme="minorHAnsi"/>
                </w:rPr>
                <w:fldChar w:fldCharType="separate"/>
              </w:r>
              <w:r w:rsidRPr="00D973E9">
                <w:rPr>
                  <w:rFonts w:cstheme="minorHAnsi"/>
                  <w:noProof/>
                </w:rPr>
                <w:t>(Sekar, 2011)</w:t>
              </w:r>
              <w:r w:rsidRPr="00D973E9">
                <w:rPr>
                  <w:rFonts w:cstheme="minorHAnsi"/>
                </w:rPr>
                <w:fldChar w:fldCharType="end"/>
              </w:r>
            </w:sdtContent>
          </w:sdt>
          <w:r w:rsidRPr="00D973E9">
            <w:rPr>
              <w:rFonts w:cstheme="minorHAnsi"/>
            </w:rPr>
            <w:t xml:space="preserve">. During the investigation, Whites boyfriend Miller, one of the accused, was interviewed 19 times despite the introduction of PACE. The Police and Criminal Evidence Act in 1984, which the Home Office outlined as being introduced to professionalise police powers and protect detainees’ human rights. O’Mahony confirms that Miller did not receive a fair interview from officers using inappropriate tactics and behaviours, concluding  “PACE legislation was not enough to safeguard against vulnerable suspects from giving false confessions in the interview room” </w:t>
          </w:r>
          <w:sdt>
            <w:sdtPr>
              <w:rPr>
                <w:rFonts w:cstheme="minorHAnsi"/>
              </w:rPr>
              <w:id w:val="-1569260727"/>
              <w:citation/>
            </w:sdtPr>
            <w:sdtContent>
              <w:r w:rsidRPr="00D973E9">
                <w:rPr>
                  <w:rFonts w:cstheme="minorHAnsi"/>
                </w:rPr>
                <w:fldChar w:fldCharType="begin"/>
              </w:r>
              <w:r w:rsidRPr="00D973E9">
                <w:rPr>
                  <w:rFonts w:cstheme="minorHAnsi"/>
                </w:rPr>
                <w:instrText xml:space="preserve"> CITATION Bre12 \l 2057 </w:instrText>
              </w:r>
              <w:r w:rsidRPr="00D973E9">
                <w:rPr>
                  <w:rFonts w:cstheme="minorHAnsi"/>
                </w:rPr>
                <w:fldChar w:fldCharType="separate"/>
              </w:r>
              <w:r w:rsidRPr="00D973E9">
                <w:rPr>
                  <w:rFonts w:cstheme="minorHAnsi"/>
                  <w:noProof/>
                </w:rPr>
                <w:t>(Brendan M. O’Mahony, 2012)</w:t>
              </w:r>
              <w:r w:rsidRPr="00D973E9">
                <w:rPr>
                  <w:rFonts w:cstheme="minorHAnsi"/>
                </w:rPr>
                <w:fldChar w:fldCharType="end"/>
              </w:r>
            </w:sdtContent>
          </w:sdt>
          <w:r w:rsidRPr="00D973E9">
            <w:rPr>
              <w:rFonts w:cstheme="minorHAnsi"/>
            </w:rPr>
            <w:t>. As a result of this, following their acquittal of the murder, Police across the UK plunged resources into training officers in interviewing skills and tightening the PACE belt.</w:t>
          </w:r>
        </w:p>
        <w:p w14:paraId="69D55A82" w14:textId="77777777" w:rsidR="00D973E9" w:rsidRPr="00D973E9" w:rsidRDefault="00D973E9" w:rsidP="00D973E9">
          <w:pPr>
            <w:spacing w:line="480" w:lineRule="auto"/>
            <w:rPr>
              <w:rFonts w:cstheme="minorHAnsi"/>
            </w:rPr>
          </w:pPr>
          <w:r w:rsidRPr="00D973E9">
            <w:rPr>
              <w:rFonts w:cstheme="minorHAnsi"/>
            </w:rPr>
            <w:t xml:space="preserve">The ongoing argument of racial profiling as a cultural norm is still prevalent today and is seen in Police use of the Stop and Search Power. </w:t>
          </w:r>
        </w:p>
        <w:p w14:paraId="38FE2C75" w14:textId="77777777" w:rsidR="00D973E9" w:rsidRPr="00D973E9" w:rsidRDefault="00D973E9" w:rsidP="00D973E9">
          <w:pPr>
            <w:spacing w:line="480" w:lineRule="auto"/>
            <w:ind w:left="567"/>
            <w:rPr>
              <w:rFonts w:cstheme="minorHAnsi"/>
              <w:noProof/>
            </w:rPr>
          </w:pPr>
          <w:r w:rsidRPr="00D973E9">
            <w:rPr>
              <w:rFonts w:cstheme="minorHAnsi"/>
            </w:rPr>
            <w:t xml:space="preserve">“For young black men in particular, the humiliating experience of being repeatedly stopped and searched is a sad fact of life, in some parts of London at least. It is hardly surprising   that…hostile attitudes towards the police.” </w:t>
          </w:r>
          <w:r w:rsidRPr="00D973E9">
            <w:rPr>
              <w:rFonts w:cstheme="minorHAnsi"/>
              <w:noProof/>
            </w:rPr>
            <w:t>(Bernie Grant, 1997)</w:t>
          </w:r>
        </w:p>
        <w:p w14:paraId="2E6F0DAA" w14:textId="68D10A8C" w:rsidR="00D973E9" w:rsidRDefault="00D973E9" w:rsidP="00D973E9">
          <w:pPr>
            <w:spacing w:line="480" w:lineRule="auto"/>
            <w:rPr>
              <w:rFonts w:eastAsia="Times New Roman" w:cstheme="minorHAnsi"/>
              <w:lang w:eastAsia="en-GB"/>
            </w:rPr>
          </w:pPr>
          <w:r w:rsidRPr="00D973E9">
            <w:rPr>
              <w:rFonts w:cstheme="minorHAnsi"/>
              <w:noProof/>
            </w:rPr>
            <w:lastRenderedPageBreak/>
            <w:t xml:space="preserve">Statiscs show that in 2018/19 that the rate per 1000 stop searches carried out in the UK, 37.9 were black ethnic and 3.9 white ethnic and of these, black Caribbean and black Other groups consistently had the highest rates </w:t>
          </w:r>
          <w:sdt>
            <w:sdtPr>
              <w:rPr>
                <w:rFonts w:cstheme="minorHAnsi"/>
                <w:noProof/>
              </w:rPr>
              <w:id w:val="1989970413"/>
              <w:citation/>
            </w:sdtPr>
            <w:sdtContent>
              <w:r w:rsidRPr="00D973E9">
                <w:rPr>
                  <w:rFonts w:cstheme="minorHAnsi"/>
                  <w:noProof/>
                </w:rPr>
                <w:fldChar w:fldCharType="begin"/>
              </w:r>
              <w:r w:rsidRPr="00D973E9">
                <w:rPr>
                  <w:rFonts w:cstheme="minorHAnsi"/>
                  <w:noProof/>
                </w:rPr>
                <w:instrText xml:space="preserve"> CITATION GOV22 \l 2057 </w:instrText>
              </w:r>
              <w:r w:rsidRPr="00D973E9">
                <w:rPr>
                  <w:rFonts w:cstheme="minorHAnsi"/>
                  <w:noProof/>
                </w:rPr>
                <w:fldChar w:fldCharType="separate"/>
              </w:r>
              <w:r w:rsidRPr="00D973E9">
                <w:rPr>
                  <w:rFonts w:cstheme="minorHAnsi"/>
                  <w:noProof/>
                </w:rPr>
                <w:t>(GOV.UK, 2022)</w:t>
              </w:r>
              <w:r w:rsidRPr="00D973E9">
                <w:rPr>
                  <w:rFonts w:cstheme="minorHAnsi"/>
                  <w:noProof/>
                </w:rPr>
                <w:fldChar w:fldCharType="end"/>
              </w:r>
            </w:sdtContent>
          </w:sdt>
          <w:r w:rsidRPr="00D973E9">
            <w:rPr>
              <w:rFonts w:cstheme="minorHAnsi"/>
              <w:noProof/>
            </w:rPr>
            <w:t xml:space="preserve">. To tackle the issues of racism and overturn ethic minorties stigma, </w:t>
          </w:r>
          <w:r w:rsidRPr="00D973E9">
            <w:rPr>
              <w:rFonts w:cstheme="minorHAnsi"/>
            </w:rPr>
            <w:t>Police forces introduced training on areas such as Human Rights, diversity, and equality into criteria to challenge bias and educate its officers. Driven by the lead training for Police, the IPOC pledged “to improve public confidence in policing, means putting people of different backgrounds, cultures and experiences”</w:t>
          </w:r>
          <w:sdt>
            <w:sdtPr>
              <w:rPr>
                <w:rFonts w:cstheme="minorHAnsi"/>
              </w:rPr>
              <w:id w:val="-620148190"/>
              <w:citation/>
            </w:sdtPr>
            <w:sdtContent>
              <w:r w:rsidRPr="00D973E9">
                <w:rPr>
                  <w:rFonts w:cstheme="minorHAnsi"/>
                </w:rPr>
                <w:fldChar w:fldCharType="begin"/>
              </w:r>
              <w:r w:rsidRPr="00D973E9">
                <w:rPr>
                  <w:rFonts w:cstheme="minorHAnsi"/>
                </w:rPr>
                <w:instrText xml:space="preserve"> CITATION IOP22 \l 2057 </w:instrText>
              </w:r>
              <w:r w:rsidRPr="00D973E9">
                <w:rPr>
                  <w:rFonts w:cstheme="minorHAnsi"/>
                </w:rPr>
                <w:fldChar w:fldCharType="separate"/>
              </w:r>
              <w:r w:rsidRPr="00D973E9">
                <w:rPr>
                  <w:rFonts w:cstheme="minorHAnsi"/>
                  <w:noProof/>
                </w:rPr>
                <w:t xml:space="preserve"> (IOPC, 2022)</w:t>
              </w:r>
              <w:r w:rsidRPr="00D973E9">
                <w:rPr>
                  <w:rFonts w:cstheme="minorHAnsi"/>
                </w:rPr>
                <w:fldChar w:fldCharType="end"/>
              </w:r>
            </w:sdtContent>
          </w:sdt>
          <w:r w:rsidRPr="00D973E9">
            <w:rPr>
              <w:rFonts w:cstheme="minorHAnsi"/>
            </w:rPr>
            <w:t>.</w:t>
          </w:r>
          <w:bookmarkEnd w:id="0"/>
          <w:r w:rsidRPr="00D973E9">
            <w:rPr>
              <w:rFonts w:cstheme="minorHAnsi"/>
            </w:rPr>
            <w:t xml:space="preserve"> Furthermore, a </w:t>
          </w:r>
          <w:r w:rsidRPr="00D973E9">
            <w:rPr>
              <w:rFonts w:eastAsia="Times New Roman" w:cstheme="minorHAnsi"/>
              <w:lang w:eastAsia="en-GB"/>
            </w:rPr>
            <w:t xml:space="preserve"> National Target was set by Government in 1999 for 7% of Officers to be of ethnic minority by 2009 to reflect the national average of 7%  </w:t>
          </w:r>
          <w:sdt>
            <w:sdtPr>
              <w:rPr>
                <w:rFonts w:eastAsia="Times New Roman" w:cstheme="minorHAnsi"/>
                <w:lang w:eastAsia="en-GB"/>
              </w:rPr>
              <w:id w:val="2053415024"/>
              <w:citation/>
            </w:sdtPr>
            <w:sdtContent>
              <w:r w:rsidRPr="00D973E9">
                <w:rPr>
                  <w:rFonts w:eastAsia="Times New Roman" w:cstheme="minorHAnsi"/>
                  <w:lang w:eastAsia="en-GB"/>
                </w:rPr>
                <w:fldChar w:fldCharType="begin"/>
              </w:r>
              <w:r w:rsidRPr="00D973E9">
                <w:rPr>
                  <w:rFonts w:eastAsia="Times New Roman" w:cstheme="minorHAnsi"/>
                  <w:lang w:eastAsia="en-GB"/>
                </w:rPr>
                <w:instrText xml:space="preserve"> CITATION Bel13 \l 2057 </w:instrText>
              </w:r>
              <w:r w:rsidRPr="00D973E9">
                <w:rPr>
                  <w:rFonts w:eastAsia="Times New Roman" w:cstheme="minorHAnsi"/>
                  <w:lang w:eastAsia="en-GB"/>
                </w:rPr>
                <w:fldChar w:fldCharType="separate"/>
              </w:r>
              <w:r w:rsidRPr="00D973E9">
                <w:rPr>
                  <w:rFonts w:eastAsia="Times New Roman" w:cstheme="minorHAnsi"/>
                  <w:noProof/>
                  <w:lang w:eastAsia="en-GB"/>
                </w:rPr>
                <w:t>(Bhugowandeen, 2013)</w:t>
              </w:r>
              <w:r w:rsidRPr="00D973E9">
                <w:rPr>
                  <w:rFonts w:eastAsia="Times New Roman" w:cstheme="minorHAnsi"/>
                  <w:lang w:eastAsia="en-GB"/>
                </w:rPr>
                <w:fldChar w:fldCharType="end"/>
              </w:r>
            </w:sdtContent>
          </w:sdt>
          <w:r w:rsidRPr="00D973E9">
            <w:rPr>
              <w:rFonts w:eastAsia="Times New Roman" w:cstheme="minorHAnsi"/>
              <w:lang w:eastAsia="en-GB"/>
            </w:rPr>
            <w:t>. Associations such as South Wales Black Police were established to support Officers from BME (Black Ethnic Minority). In addition, the Race Action Plan, signed by all 43 forces within the UK, came into effect to improve the quality of Black people working for and coming onto contact with Police. Lastly, Sworn in 2005, the Neighbourhood Policing Programme was created to secure public confidence in the Police, encouraging community engagement. It is evident that the Police are actively trying to distinguish the racism issues and counteract with positive action.</w:t>
          </w:r>
        </w:p>
        <w:p w14:paraId="368E9E30" w14:textId="77777777" w:rsidR="00F16A01" w:rsidRPr="00D973E9" w:rsidRDefault="00F16A01" w:rsidP="00D973E9">
          <w:pPr>
            <w:spacing w:line="480" w:lineRule="auto"/>
            <w:rPr>
              <w:rFonts w:eastAsia="Times New Roman" w:cstheme="minorHAnsi"/>
              <w:lang w:eastAsia="en-GB"/>
            </w:rPr>
          </w:pPr>
        </w:p>
        <w:p w14:paraId="756BFC1C" w14:textId="77777777" w:rsidR="00D973E9" w:rsidRPr="00D973E9" w:rsidRDefault="00D973E9" w:rsidP="00D973E9">
          <w:pPr>
            <w:spacing w:line="480" w:lineRule="auto"/>
            <w:rPr>
              <w:rFonts w:eastAsia="Times New Roman" w:cstheme="minorHAnsi"/>
              <w:lang w:eastAsia="en-GB"/>
            </w:rPr>
          </w:pPr>
          <w:r w:rsidRPr="00D973E9">
            <w:rPr>
              <w:rFonts w:eastAsia="Times New Roman" w:cstheme="minorHAnsi"/>
              <w:lang w:eastAsia="en-GB"/>
            </w:rPr>
            <w:t>Concluding an essay on this topic is not an easy task as there is so much to unveil, say, feel and think. A bias and unbiased consciousness is an invisible entity deep within a person’s belief system. Unfortunately, it is not only until the damage has been done that it shows its ugly face. Across the Criminal Justice System, high up Government down to an individual police constable, people are actively fighting for the rights of others. Police forces  labelled as a majority due to the actions of the minority who hold racist beliefs, so its compelling that they speak out when its witnessed. It is this fact that will start to disarm and disregard those who do not belong in such a powerful position. Regrettably, this problem of cultural norms and ethnic minorities exists still, but we have come far in tackling it in the UK to understand ourselves and those in our community we share.</w:t>
          </w:r>
        </w:p>
        <w:p w14:paraId="588FE55C" w14:textId="32340692" w:rsidR="00D973E9" w:rsidRPr="00D973E9" w:rsidRDefault="00D973E9" w:rsidP="00D973E9">
          <w:pPr>
            <w:tabs>
              <w:tab w:val="left" w:pos="7515"/>
            </w:tabs>
            <w:spacing w:line="480" w:lineRule="auto"/>
            <w:rPr>
              <w:rFonts w:eastAsia="Times New Roman" w:cstheme="minorHAnsi"/>
              <w:lang w:eastAsia="en-GB"/>
            </w:rPr>
          </w:pPr>
          <w:r w:rsidRPr="00D973E9">
            <w:rPr>
              <w:rFonts w:eastAsia="Times New Roman" w:cstheme="minorHAnsi"/>
              <w:lang w:eastAsia="en-GB"/>
            </w:rPr>
            <w:t xml:space="preserve">                                                                                                                                                      Word Count: 973</w:t>
          </w:r>
        </w:p>
        <w:p w14:paraId="235EDB62" w14:textId="77777777" w:rsidR="00D973E9" w:rsidRPr="00D973E9" w:rsidRDefault="00D973E9" w:rsidP="00D973E9">
          <w:pPr>
            <w:spacing w:line="480" w:lineRule="auto"/>
            <w:rPr>
              <w:rFonts w:cstheme="minorHAnsi"/>
            </w:rPr>
          </w:pPr>
        </w:p>
        <w:sdt>
          <w:sdtPr>
            <w:rPr>
              <w:rFonts w:cstheme="minorHAnsi"/>
            </w:rPr>
            <w:id w:val="-854884478"/>
            <w:docPartObj>
              <w:docPartGallery w:val="Bibliographies"/>
              <w:docPartUnique/>
            </w:docPartObj>
          </w:sdtPr>
          <w:sdtEndPr/>
          <w:sdtContent>
            <w:p w14:paraId="0912F3BB"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r w:rsidRPr="00D973E9">
                <w:rPr>
                  <w:rFonts w:eastAsiaTheme="majorEastAsia" w:cstheme="minorHAnsi"/>
                  <w:color w:val="2F5496" w:themeColor="accent1" w:themeShade="BF"/>
                  <w:lang w:val="en-US"/>
                </w:rPr>
                <w:t>References</w:t>
              </w:r>
            </w:p>
            <w:sdt>
              <w:sdtPr>
                <w:rPr>
                  <w:rFonts w:cstheme="minorHAnsi"/>
                </w:rPr>
                <w:id w:val="-573587230"/>
                <w:bibliography/>
              </w:sdtPr>
              <w:sdtEndPr/>
              <w:sdtContent>
                <w:p w14:paraId="371CF818" w14:textId="77777777" w:rsidR="00D973E9" w:rsidRPr="00D973E9" w:rsidRDefault="00D973E9" w:rsidP="00D973E9">
                  <w:pPr>
                    <w:spacing w:line="480" w:lineRule="auto"/>
                    <w:ind w:left="720" w:hanging="720"/>
                    <w:rPr>
                      <w:rFonts w:cstheme="minorHAnsi"/>
                      <w:noProof/>
                      <w:lang w:val="en-US"/>
                    </w:rPr>
                  </w:pPr>
                  <w:r w:rsidRPr="00D973E9">
                    <w:rPr>
                      <w:rFonts w:cstheme="minorHAnsi"/>
                    </w:rPr>
                    <w:fldChar w:fldCharType="begin"/>
                  </w:r>
                  <w:r w:rsidRPr="00D973E9">
                    <w:rPr>
                      <w:rFonts w:cstheme="minorHAnsi"/>
                    </w:rPr>
                    <w:instrText xml:space="preserve"> BIBLIOGRAPHY </w:instrText>
                  </w:r>
                  <w:r w:rsidRPr="00D973E9">
                    <w:rPr>
                      <w:rFonts w:cstheme="minorHAnsi"/>
                    </w:rPr>
                    <w:fldChar w:fldCharType="separate"/>
                  </w:r>
                  <w:r w:rsidRPr="00D973E9">
                    <w:rPr>
                      <w:rFonts w:cstheme="minorHAnsi"/>
                      <w:noProof/>
                      <w:lang w:val="en-US"/>
                    </w:rPr>
                    <w:t xml:space="preserve">Bhugowandeen, B. (2013). Diversity in the British police : adapting to a multicultural society. </w:t>
                  </w:r>
                  <w:r w:rsidRPr="00D973E9">
                    <w:rPr>
                      <w:rFonts w:cstheme="minorHAnsi"/>
                      <w:i/>
                      <w:iCs/>
                      <w:noProof/>
                      <w:lang w:val="en-US"/>
                    </w:rPr>
                    <w:t>Colonial and postcolonial culture and decolonisation</w:t>
                  </w:r>
                  <w:r w:rsidRPr="00D973E9">
                    <w:rPr>
                      <w:rFonts w:cstheme="minorHAnsi"/>
                      <w:noProof/>
                      <w:lang w:val="en-US"/>
                    </w:rPr>
                    <w:t>, 10.</w:t>
                  </w:r>
                </w:p>
                <w:p w14:paraId="6D667C2B"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Brendan M. O’Mahony, B. M. (2012). To Challenge, or not to Challenge? Best Practice when Interviewing Vulnerable Suspects. </w:t>
                  </w:r>
                  <w:r w:rsidRPr="00D973E9">
                    <w:rPr>
                      <w:rFonts w:cstheme="minorHAnsi"/>
                      <w:i/>
                      <w:iCs/>
                      <w:noProof/>
                      <w:lang w:val="en-US"/>
                    </w:rPr>
                    <w:t>Policing: A Journal of Policy and Practice 6(3)</w:t>
                  </w:r>
                  <w:r w:rsidRPr="00D973E9">
                    <w:rPr>
                      <w:rFonts w:cstheme="minorHAnsi"/>
                      <w:noProof/>
                      <w:lang w:val="en-US"/>
                    </w:rPr>
                    <w:t>, 301-313.</w:t>
                  </w:r>
                </w:p>
                <w:p w14:paraId="0FB67A74"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GOV.UK. (2022, May 27th). </w:t>
                  </w:r>
                  <w:r w:rsidRPr="00D973E9">
                    <w:rPr>
                      <w:rFonts w:cstheme="minorHAnsi"/>
                      <w:i/>
                      <w:iCs/>
                      <w:noProof/>
                      <w:lang w:val="en-US"/>
                    </w:rPr>
                    <w:t>Crime, Justice and the Law.</w:t>
                  </w:r>
                  <w:r w:rsidRPr="00D973E9">
                    <w:rPr>
                      <w:rFonts w:cstheme="minorHAnsi"/>
                      <w:noProof/>
                      <w:lang w:val="en-US"/>
                    </w:rPr>
                    <w:t xml:space="preserve"> Retrieved from Stop and Search: https://www.ethnicity-facts-figures.service.gov.uk/crime-justice-and-the-law/policing/stop-and-search/latest#by-ethnicity-over-time-to-2019</w:t>
                  </w:r>
                </w:p>
                <w:p w14:paraId="66847F4B"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Jennifer E. Cobbina-Dungy, D. J.-B. (2021). Too much policing: Why calls are being made to defund the police. </w:t>
                  </w:r>
                  <w:r w:rsidRPr="00D973E9">
                    <w:rPr>
                      <w:rFonts w:cstheme="minorHAnsi"/>
                      <w:i/>
                      <w:iCs/>
                      <w:noProof/>
                      <w:lang w:val="en-US"/>
                    </w:rPr>
                    <w:t>Punishment and Society</w:t>
                  </w:r>
                  <w:r w:rsidRPr="00D973E9">
                    <w:rPr>
                      <w:rFonts w:cstheme="minorHAnsi"/>
                      <w:noProof/>
                      <w:lang w:val="en-US"/>
                    </w:rPr>
                    <w:t>, 1-18.</w:t>
                  </w:r>
                </w:p>
                <w:p w14:paraId="0414413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Peel, R. (1829). </w:t>
                  </w:r>
                  <w:r w:rsidRPr="00D973E9">
                    <w:rPr>
                      <w:rFonts w:cstheme="minorHAnsi"/>
                      <w:i/>
                      <w:iCs/>
                      <w:noProof/>
                      <w:lang w:val="en-US"/>
                    </w:rPr>
                    <w:t>The Nine Principles of Robert Peel</w:t>
                  </w:r>
                  <w:r w:rsidRPr="00D973E9">
                    <w:rPr>
                      <w:rFonts w:cstheme="minorHAnsi"/>
                      <w:noProof/>
                      <w:lang w:val="en-US"/>
                    </w:rPr>
                    <w:t>. Retrieved from CrimJ 408: Police Administration: https://courses.worldcampus.psu.edu/welcome/crimj408/history_04.html</w:t>
                  </w:r>
                </w:p>
                <w:p w14:paraId="18164361"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Phillips, B. B. (2007). Disproportionate and Discriminatory: Reviewing the Evidence on Police Stop and Search. </w:t>
                  </w:r>
                  <w:r w:rsidRPr="00D973E9">
                    <w:rPr>
                      <w:rFonts w:cstheme="minorHAnsi"/>
                      <w:i/>
                      <w:iCs/>
                      <w:noProof/>
                      <w:lang w:val="en-US"/>
                    </w:rPr>
                    <w:t>The Modern Law Review 70(6)</w:t>
                  </w:r>
                  <w:r w:rsidRPr="00D973E9">
                    <w:rPr>
                      <w:rFonts w:cstheme="minorHAnsi"/>
                      <w:noProof/>
                      <w:lang w:val="en-US"/>
                    </w:rPr>
                    <w:t>, 936-961.</w:t>
                  </w:r>
                </w:p>
                <w:p w14:paraId="2923B1C3"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Sekar, S. (2011, December 1). </w:t>
                  </w:r>
                  <w:r w:rsidRPr="00D973E9">
                    <w:rPr>
                      <w:rFonts w:cstheme="minorHAnsi"/>
                      <w:i/>
                      <w:iCs/>
                      <w:noProof/>
                      <w:lang w:val="en-US"/>
                    </w:rPr>
                    <w:t>Still no justice for the Cardiff Three</w:t>
                  </w:r>
                  <w:r w:rsidRPr="00D973E9">
                    <w:rPr>
                      <w:rFonts w:cstheme="minorHAnsi"/>
                      <w:noProof/>
                      <w:lang w:val="en-US"/>
                    </w:rPr>
                    <w:t>. Retrieved from The Guardian: https://www.theguardian.com/commentisfree/2011/dec/01/no-justice-for-cardiff-3</w:t>
                  </w:r>
                </w:p>
                <w:p w14:paraId="5967514B" w14:textId="77777777" w:rsidR="00D973E9" w:rsidRPr="00D973E9" w:rsidRDefault="00D973E9" w:rsidP="00D973E9">
                  <w:pPr>
                    <w:spacing w:line="480" w:lineRule="auto"/>
                    <w:ind w:left="720" w:hanging="720"/>
                    <w:rPr>
                      <w:rFonts w:cstheme="minorHAnsi"/>
                      <w:noProof/>
                      <w:lang w:val="en-US"/>
                    </w:rPr>
                  </w:pPr>
                  <w:r w:rsidRPr="00D973E9">
                    <w:rPr>
                      <w:rFonts w:cstheme="minorHAnsi"/>
                      <w:i/>
                      <w:iCs/>
                      <w:noProof/>
                      <w:lang w:val="en-US"/>
                    </w:rPr>
                    <w:t>Sir Robert Peel and the new Metropolitan Police</w:t>
                  </w:r>
                  <w:r w:rsidRPr="00D973E9">
                    <w:rPr>
                      <w:rFonts w:cstheme="minorHAnsi"/>
                      <w:noProof/>
                      <w:lang w:val="en-US"/>
                    </w:rPr>
                    <w:t>. (n.d.). Retrieved 1 12, 2023, from The National Archives: http://www.nationalarchives.gov.uk/education/candp/prevention/g08/g08cs2.htm</w:t>
                  </w:r>
                </w:p>
                <w:p w14:paraId="6BA680B6"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Souhami, A. (2013). Understanding Institutional Racism: the Stephen Lawrence Inquiry and the police service reaction. In M. Rowe, </w:t>
                  </w:r>
                  <w:r w:rsidRPr="00D973E9">
                    <w:rPr>
                      <w:rFonts w:cstheme="minorHAnsi"/>
                      <w:i/>
                      <w:iCs/>
                      <w:noProof/>
                      <w:lang w:val="en-US"/>
                    </w:rPr>
                    <w:t>Beyond Macpherson: Issues in policing, race and society</w:t>
                  </w:r>
                  <w:r w:rsidRPr="00D973E9">
                    <w:rPr>
                      <w:rFonts w:cstheme="minorHAnsi"/>
                      <w:noProof/>
                      <w:lang w:val="en-US"/>
                    </w:rPr>
                    <w:t xml:space="preserve"> (pp. 66-87). London: Willan Publisher.</w:t>
                  </w:r>
                </w:p>
                <w:p w14:paraId="7D7BE4F1" w14:textId="35F1DD1A" w:rsidR="00D973E9" w:rsidRPr="00D024F3" w:rsidRDefault="00D973E9" w:rsidP="00D973E9">
                  <w:pPr>
                    <w:spacing w:line="480" w:lineRule="auto"/>
                    <w:rPr>
                      <w:rFonts w:cstheme="minorHAnsi"/>
                    </w:rPr>
                  </w:pPr>
                  <w:r w:rsidRPr="00D024F3">
                    <w:rPr>
                      <w:rFonts w:cstheme="minorHAnsi"/>
                      <w:b/>
                      <w:bCs/>
                      <w:noProof/>
                    </w:rPr>
                    <w:lastRenderedPageBreak/>
                    <w:fldChar w:fldCharType="end"/>
                  </w:r>
                </w:p>
              </w:sdtContent>
            </w:sdt>
          </w:sdtContent>
        </w:sdt>
        <w:p w14:paraId="5F0196B8" w14:textId="77777777" w:rsidR="00D973E9" w:rsidRPr="00D024F3" w:rsidRDefault="00D973E9" w:rsidP="00D973E9">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b/>
              <w:bCs/>
              <w:lang w:eastAsia="en-GB"/>
            </w:rPr>
            <w:t>Essay two:</w:t>
          </w:r>
          <w:r w:rsidRPr="00D024F3">
            <w:rPr>
              <w:rFonts w:eastAsia="Times New Roman" w:cstheme="minorHAnsi"/>
              <w:lang w:eastAsia="en-GB"/>
            </w:rPr>
            <w:t xml:space="preserve"> </w:t>
          </w:r>
        </w:p>
        <w:p w14:paraId="5D0F2BB5" w14:textId="726E0DFE" w:rsidR="00D973E9" w:rsidRDefault="00D973E9"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lang w:eastAsia="en-GB"/>
            </w:rPr>
            <w:t xml:space="preserve">What makes vulnerable young people and adults more at risk of exploitation by criminal gangs? </w:t>
          </w:r>
          <w:r w:rsidRPr="00D024F3">
            <w:rPr>
              <w:rFonts w:eastAsia="Times New Roman" w:cstheme="minorHAnsi"/>
              <w:u w:val="single"/>
              <w:lang w:eastAsia="en-GB"/>
            </w:rPr>
            <w:t>Examine</w:t>
          </w:r>
          <w:r w:rsidRPr="00D024F3">
            <w:rPr>
              <w:rFonts w:eastAsia="Times New Roman" w:cstheme="minorHAnsi"/>
              <w:lang w:eastAsia="en-GB"/>
            </w:rPr>
            <w:t xml:space="preserve"> both the psychological and socio-economic characteristics of victims of exploitation.</w:t>
          </w:r>
        </w:p>
        <w:p w14:paraId="031BBCAB" w14:textId="77777777" w:rsidR="00F16A01" w:rsidRPr="00F16A01" w:rsidRDefault="00F16A01"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p>
        <w:p w14:paraId="2FA58E0E" w14:textId="77777777" w:rsidR="00D973E9" w:rsidRPr="00D973E9" w:rsidRDefault="00D973E9" w:rsidP="00D973E9">
          <w:pPr>
            <w:spacing w:line="480" w:lineRule="auto"/>
            <w:rPr>
              <w:rFonts w:cstheme="minorHAnsi"/>
              <w:lang w:val="en-US"/>
            </w:rPr>
          </w:pPr>
          <w:r w:rsidRPr="00D973E9">
            <w:rPr>
              <w:rFonts w:cstheme="minorHAnsi"/>
              <w:lang w:val="en-US"/>
            </w:rPr>
            <w:t xml:space="preserve">From an early age, children form friendship groups with others that they feel a connection with, whether that is a common interest or hobby, it could also be familial traits or trauma bonds they recognize within one another. It is suggested that there are two underlying factors when people chose a person to enter a friendship with. These factors compose of environmental and individual </w:t>
          </w:r>
          <w:sdt>
            <w:sdtPr>
              <w:rPr>
                <w:rFonts w:cstheme="minorHAnsi"/>
                <w:lang w:val="en-US"/>
              </w:rPr>
              <w:id w:val="1635513087"/>
              <w:citation/>
            </w:sdtPr>
            <w:sdtContent>
              <w:r w:rsidRPr="00D973E9">
                <w:rPr>
                  <w:rFonts w:cstheme="minorHAnsi"/>
                  <w:lang w:val="en-US"/>
                </w:rPr>
                <w:fldChar w:fldCharType="begin"/>
              </w:r>
              <w:r w:rsidRPr="00D973E9">
                <w:rPr>
                  <w:rFonts w:cstheme="minorHAnsi"/>
                </w:rPr>
                <w:instrText xml:space="preserve">CITATION Pro18 \l 2057 </w:instrText>
              </w:r>
              <w:r w:rsidRPr="00D973E9">
                <w:rPr>
                  <w:rFonts w:cstheme="minorHAnsi"/>
                  <w:lang w:val="en-US"/>
                </w:rPr>
                <w:fldChar w:fldCharType="separate"/>
              </w:r>
              <w:r w:rsidRPr="00D973E9">
                <w:rPr>
                  <w:rFonts w:cstheme="minorHAnsi"/>
                  <w:noProof/>
                </w:rPr>
                <w:t>(Degges-White, 2018)</w:t>
              </w:r>
              <w:r w:rsidRPr="00D973E9">
                <w:rPr>
                  <w:rFonts w:cstheme="minorHAnsi"/>
                  <w:lang w:val="en-US"/>
                </w:rPr>
                <w:fldChar w:fldCharType="end"/>
              </w:r>
            </w:sdtContent>
          </w:sdt>
          <w:r w:rsidRPr="00D973E9">
            <w:rPr>
              <w:rFonts w:cstheme="minorHAnsi"/>
              <w:lang w:val="en-US"/>
            </w:rPr>
            <w:t>. Members of a gang are predominantly people with the same views and beliefs, sometimes this is bound by religion but not the driving force. What is the difference between a friendship ‘group’ and a ‘gang’? “</w:t>
          </w:r>
          <w:r w:rsidRPr="00D973E9">
            <w:rPr>
              <w:rFonts w:cstheme="minorHAnsi"/>
              <w:color w:val="000000"/>
              <w:spacing w:val="4"/>
              <w:shd w:val="clear" w:color="auto" w:fill="FFFFFF"/>
            </w:rPr>
            <w:t>If they do not engage in criminal activity or if there is offending and it is of a lower non-violent level, then they would be considered a peer group not a gang” (SafeguardingHub, 2018).</w:t>
          </w:r>
          <w:r w:rsidRPr="00D973E9">
            <w:rPr>
              <w:rFonts w:cstheme="minorHAnsi"/>
              <w:lang w:val="en-US"/>
            </w:rPr>
            <w:t xml:space="preserve"> The difference is the structure, there being a stepping-stone of hierarchy and an agenda to commit criminal offence. The added layer of criminality is far more than people sharing common life experiences and tastes, it is the agenda of the hierarchy within it to gain from using the lower levels. This essay will look at the vulnerable, both the young and old, who are seen as low level in the gangs and who are manipulated, exploited, and used by the higher gang members. In addition, it will examine how the vulnerable have become susceptible to this grooming and how their psyche and social backgrounds impact their choice in joining.</w:t>
          </w:r>
        </w:p>
        <w:p w14:paraId="7D4768ED" w14:textId="77777777" w:rsidR="00D973E9" w:rsidRPr="00D973E9" w:rsidRDefault="00D973E9" w:rsidP="00D973E9">
          <w:pPr>
            <w:spacing w:line="480" w:lineRule="auto"/>
            <w:rPr>
              <w:rFonts w:cstheme="minorHAnsi"/>
              <w:lang w:val="en-US"/>
            </w:rPr>
          </w:pPr>
        </w:p>
        <w:p w14:paraId="379154FE" w14:textId="77777777" w:rsidR="00D973E9" w:rsidRPr="00D973E9" w:rsidRDefault="00D973E9" w:rsidP="00D973E9">
          <w:pPr>
            <w:spacing w:line="480" w:lineRule="auto"/>
            <w:rPr>
              <w:rFonts w:cstheme="minorHAnsi"/>
              <w:lang w:val="en-US"/>
            </w:rPr>
          </w:pPr>
          <w:r w:rsidRPr="00D973E9">
            <w:rPr>
              <w:rFonts w:cstheme="minorHAnsi"/>
              <w:lang w:val="en-US"/>
            </w:rPr>
            <w:t xml:space="preserve">Vulnerability is the core of recruitment for criminal gangs, children are automatically categorized under this characteristic due to their age, however there are other factors at play. Not all children have the perfect childhood with loving parents and a safe nurturing environment to grow in. </w:t>
          </w:r>
          <w:r w:rsidRPr="00D973E9">
            <w:rPr>
              <w:rFonts w:cstheme="minorHAnsi"/>
              <w:lang w:val="en-US"/>
            </w:rPr>
            <w:lastRenderedPageBreak/>
            <w:t>Unfortunately, child abuse remains prevalent and can happen to all classes of children around the world. Wolff et al., (2020) states:</w:t>
          </w:r>
        </w:p>
        <w:p w14:paraId="5D7668B7" w14:textId="18575E8C" w:rsidR="00D973E9" w:rsidRDefault="00D973E9" w:rsidP="00D973E9">
          <w:pPr>
            <w:spacing w:line="480" w:lineRule="auto"/>
            <w:ind w:firstLine="720"/>
            <w:rPr>
              <w:rFonts w:cstheme="minorHAnsi"/>
            </w:rPr>
          </w:pPr>
          <w:r w:rsidRPr="00D973E9">
            <w:rPr>
              <w:rFonts w:cstheme="minorHAnsi"/>
              <w:lang w:val="en-US"/>
            </w:rPr>
            <w:t xml:space="preserve"> “</w:t>
          </w:r>
          <w:r w:rsidRPr="00D973E9">
            <w:rPr>
              <w:rFonts w:cstheme="minorHAnsi"/>
            </w:rPr>
            <w:t>Certain family circumstances have been shown to significantly predict gang involvement, including a lack of health insurance, the jailing or imprisonment of a household member, and foster care placement—all of which are considered “adverse childhood experiences”.</w:t>
          </w:r>
        </w:p>
        <w:p w14:paraId="6AD2E2CB" w14:textId="77777777" w:rsidR="00F16A01" w:rsidRPr="00D973E9" w:rsidRDefault="00F16A01" w:rsidP="00D973E9">
          <w:pPr>
            <w:spacing w:line="480" w:lineRule="auto"/>
            <w:ind w:firstLine="720"/>
            <w:rPr>
              <w:rFonts w:cstheme="minorHAnsi"/>
            </w:rPr>
          </w:pPr>
        </w:p>
        <w:p w14:paraId="229C2985" w14:textId="77777777" w:rsidR="00D973E9" w:rsidRPr="00D973E9" w:rsidRDefault="00D973E9" w:rsidP="00D973E9">
          <w:pPr>
            <w:spacing w:line="480" w:lineRule="auto"/>
            <w:rPr>
              <w:rFonts w:cstheme="minorHAnsi"/>
              <w:lang w:val="en-US"/>
            </w:rPr>
          </w:pPr>
          <w:r w:rsidRPr="00D973E9">
            <w:rPr>
              <w:rFonts w:cstheme="minorHAnsi"/>
              <w:lang w:val="en-US"/>
            </w:rPr>
            <w:t xml:space="preserve">Abuse that children can be subjected to endure at home can be emotional, psychological, physical, sexual, or even a concoction of all. Although cases of parental neglect exist, abuse can also be sustained by from a close family member/family friend or foster/children’s home, which instills a sense of fear into opening to others through shame or being believed. These psychological scars can often lead to abused children fleeing home to find another source of support. Gang members are enlisted duties within the structure of the organization and there are specific roles to ‘recruit’. Recruiters will seek children who are runaways and tap into this to instill a sense of “family” and “belonging” for children to join the gang. Once the children are coerced into joining and feel a part of something, they are then subjected to the work element. Children will need to earn for their gang membership. NSPCC explains that children are used on the frontline as they are less suspected by the Police and if suspected will receive smaller custodial sentences (NSPCC, 2019). Furthermore, due to being underage, children are also “bought” by the gang, to begin with. Underage and a temptation of access to alcohol, cigarettes or drugs is a tactic that is utilized to pull in children. Exploring this idea of being bought also links in with the socio-economic aspect. </w:t>
          </w:r>
        </w:p>
        <w:p w14:paraId="5BF1A284" w14:textId="5572FDE9" w:rsidR="00D973E9" w:rsidRDefault="00D973E9" w:rsidP="00D973E9">
          <w:pPr>
            <w:spacing w:line="480" w:lineRule="auto"/>
            <w:rPr>
              <w:rFonts w:cstheme="minorHAnsi"/>
              <w:noProof/>
              <w:color w:val="000000"/>
            </w:rPr>
          </w:pPr>
          <w:r w:rsidRPr="00D973E9">
            <w:rPr>
              <w:rFonts w:cstheme="minorHAnsi"/>
              <w:lang w:val="en-US"/>
            </w:rPr>
            <w:t xml:space="preserve">According to McVie and </w:t>
          </w:r>
          <w:proofErr w:type="spellStart"/>
          <w:r w:rsidRPr="00D973E9">
            <w:rPr>
              <w:rFonts w:cstheme="minorHAnsi"/>
              <w:lang w:val="en-US"/>
            </w:rPr>
            <w:t>McAra</w:t>
          </w:r>
          <w:proofErr w:type="spellEnd"/>
          <w:r w:rsidRPr="00D973E9">
            <w:rPr>
              <w:rFonts w:cstheme="minorHAnsi"/>
              <w:lang w:val="en-US"/>
            </w:rPr>
            <w:t xml:space="preserve"> (2015) </w:t>
          </w:r>
          <w:r w:rsidRPr="00D973E9">
            <w:rPr>
              <w:rFonts w:cstheme="minorHAnsi"/>
              <w:color w:val="000000"/>
            </w:rPr>
            <w:t>“poverty is a strong driver of violent offending amongst young people”</w:t>
          </w:r>
          <w:r w:rsidRPr="00D973E9">
            <w:rPr>
              <w:rFonts w:cstheme="minorHAnsi"/>
              <w:noProof/>
              <w:color w:val="000000"/>
            </w:rPr>
            <w:t xml:space="preserve">. Looking at poverty and children, those who are less academic tend to skip lessons or drop out of school altogether, allowing them to be hanging around the streets more and have less access, as adults, to work. In addition, if children are from low income families with parents working more than one job to make ends meet, then their whereabouts are not being accounted for. </w:t>
          </w:r>
          <w:r w:rsidRPr="00D973E9">
            <w:rPr>
              <w:rFonts w:cstheme="minorHAnsi"/>
              <w:noProof/>
              <w:color w:val="000000"/>
            </w:rPr>
            <w:lastRenderedPageBreak/>
            <w:t>Consequently, boredom and lack of parental presence is a recipe for children to be exposed. In addition, children from lower class families are not expected to be able to receive new material items as opposed to families of stable wealth. So, inticement from recruting gangs of new trainers or tracksuit, would be appealling to the immature mindet of a child from a low income household. Gang members will buy the children, and once recruited, force them to begin working the drugline as a pay back. This is the particularly the structure of how OCGS or Organised Criminal Gangs operate their drug running in County Lines (Metropolitan Police, 2023).</w:t>
          </w:r>
        </w:p>
        <w:p w14:paraId="3783C443" w14:textId="77777777" w:rsidR="00F16A01" w:rsidRPr="00D973E9" w:rsidRDefault="00F16A01" w:rsidP="00D973E9">
          <w:pPr>
            <w:spacing w:line="480" w:lineRule="auto"/>
            <w:rPr>
              <w:rFonts w:cstheme="minorHAnsi"/>
              <w:noProof/>
              <w:color w:val="000000"/>
            </w:rPr>
          </w:pPr>
        </w:p>
        <w:p w14:paraId="5FF47B91" w14:textId="77777777" w:rsidR="00D973E9" w:rsidRPr="00D973E9" w:rsidRDefault="00D973E9" w:rsidP="00D973E9">
          <w:pPr>
            <w:spacing w:line="480" w:lineRule="auto"/>
            <w:rPr>
              <w:rFonts w:cstheme="minorHAnsi"/>
              <w:noProof/>
              <w:color w:val="2A2A2A"/>
              <w:shd w:val="clear" w:color="auto" w:fill="FFFFFF"/>
            </w:rPr>
          </w:pPr>
          <w:r w:rsidRPr="00D973E9">
            <w:rPr>
              <w:rFonts w:cstheme="minorHAnsi"/>
              <w:noProof/>
              <w:color w:val="000000"/>
            </w:rPr>
            <w:t xml:space="preserve">Switching focus to vulnerable adults, the two main pyscological and socio-economic factors are disability and addiction. Within the United Kingdom, those with disabilities are aided with accomodation, vehicles and money to assist a normal life. People with disabilities, whether that may be physical or mental, they have a weakness in which gangs will exploit. The term widely used within the Police is ‘cuckooing’ and </w:t>
          </w:r>
          <w:r w:rsidRPr="00D973E9">
            <w:rPr>
              <w:rFonts w:cstheme="minorHAnsi"/>
              <w:color w:val="1F2025"/>
              <w:shd w:val="clear" w:color="auto" w:fill="FFFFFF"/>
            </w:rPr>
            <w:t xml:space="preserve">is a term given to criminals who target the homes of vulnerable adults </w:t>
          </w:r>
          <w:r w:rsidRPr="00D973E9">
            <w:rPr>
              <w:rFonts w:cstheme="minorHAnsi"/>
              <w:noProof/>
              <w:color w:val="1F2025"/>
              <w:shd w:val="clear" w:color="auto" w:fill="FFFFFF"/>
            </w:rPr>
            <w:t>(Metropolitan Police, 2023)</w:t>
          </w:r>
          <w:r w:rsidRPr="00D973E9">
            <w:rPr>
              <w:rFonts w:cstheme="minorHAnsi"/>
              <w:color w:val="1F2025"/>
              <w:shd w:val="clear" w:color="auto" w:fill="FFFFFF"/>
            </w:rPr>
            <w:t>.</w:t>
          </w:r>
          <w:r w:rsidRPr="00D973E9">
            <w:rPr>
              <w:rFonts w:cstheme="minorHAnsi"/>
              <w:noProof/>
              <w:color w:val="000000"/>
            </w:rPr>
            <w:t xml:space="preserve"> These vulnerable people have something that the OCG can utilise: space, finances and a non-suspicious address. The OCG use violence to take over these vulnerable people, and use “befriending” on those who don’t have the capacity to understand. Adults with addiction are commonly used and are possibly the easiest target for OCG members, they already have the power by having what these vulnerable people need. Drugs. </w:t>
          </w:r>
          <w:r w:rsidRPr="00D973E9">
            <w:rPr>
              <w:rFonts w:cstheme="minorHAnsi"/>
              <w:color w:val="2A2A2A"/>
              <w:shd w:val="clear" w:color="auto" w:fill="FFFFFF"/>
            </w:rPr>
            <w:t>In the words of a drug user targeted by the OCG he explains “They don’t ask they just invade…and move in basically…They just keep bailing you [with drugs] so you are always in debt with them so that you are theirs basically”</w:t>
          </w:r>
          <w:r w:rsidRPr="00D973E9">
            <w:rPr>
              <w:rFonts w:cstheme="minorHAnsi"/>
              <w:noProof/>
              <w:color w:val="2A2A2A"/>
              <w:shd w:val="clear" w:color="auto" w:fill="FFFFFF"/>
            </w:rPr>
            <w:t xml:space="preserve"> (Coomer,R and Moyle, L. 2018)</w:t>
          </w:r>
        </w:p>
        <w:p w14:paraId="555FC0C4" w14:textId="77777777" w:rsidR="00F16A01" w:rsidRDefault="00F16A01" w:rsidP="00D973E9">
          <w:pPr>
            <w:spacing w:line="480" w:lineRule="auto"/>
            <w:rPr>
              <w:rFonts w:cstheme="minorHAnsi"/>
              <w:noProof/>
              <w:color w:val="2A2A2A"/>
              <w:shd w:val="clear" w:color="auto" w:fill="FFFFFF"/>
            </w:rPr>
          </w:pPr>
        </w:p>
        <w:p w14:paraId="34D06097" w14:textId="16805C40" w:rsidR="00D973E9" w:rsidRPr="00D973E9" w:rsidRDefault="00D973E9" w:rsidP="00D973E9">
          <w:pPr>
            <w:spacing w:line="480" w:lineRule="auto"/>
            <w:rPr>
              <w:rFonts w:cstheme="minorHAnsi"/>
              <w:color w:val="2A2A2A"/>
              <w:shd w:val="clear" w:color="auto" w:fill="FFFFFF"/>
            </w:rPr>
          </w:pPr>
          <w:r w:rsidRPr="00D973E9">
            <w:rPr>
              <w:rFonts w:cstheme="minorHAnsi"/>
              <w:noProof/>
              <w:color w:val="2A2A2A"/>
              <w:shd w:val="clear" w:color="auto" w:fill="FFFFFF"/>
            </w:rPr>
            <w:t xml:space="preserve">Following an exmaination from several angles of how vulnerable children and adults are targeted to be exploited by gangs, there is a common thread. Gangs cleverely understand the chinks within peoples lives, whether that be wealth, support, a community, a friend or an addiction. These </w:t>
          </w:r>
          <w:r w:rsidRPr="00D973E9">
            <w:rPr>
              <w:rFonts w:cstheme="minorHAnsi"/>
              <w:noProof/>
              <w:color w:val="2A2A2A"/>
              <w:shd w:val="clear" w:color="auto" w:fill="FFFFFF"/>
            </w:rPr>
            <w:lastRenderedPageBreak/>
            <w:t>unfortunate events within peoples lives which condemn them vulnerable, is the perfect storm for the recruiters of the OCG. Their opportunist nature and swift skills to groom, chain these people further, with their vulnerabilty to their new desinty dedicated to crime.</w:t>
          </w:r>
        </w:p>
        <w:p w14:paraId="19D164BE" w14:textId="26500E9A" w:rsidR="00D973E9" w:rsidRPr="00D973E9" w:rsidRDefault="00D973E9" w:rsidP="00D973E9">
          <w:pPr>
            <w:spacing w:line="480" w:lineRule="auto"/>
            <w:ind w:firstLine="720"/>
            <w:rPr>
              <w:rFonts w:cstheme="minorHAnsi"/>
              <w:color w:val="2A2A2A"/>
              <w:shd w:val="clear" w:color="auto" w:fill="FFFFFF"/>
            </w:rPr>
          </w:pP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r>
          <w:r w:rsidRPr="00D973E9">
            <w:rPr>
              <w:rFonts w:cstheme="minorHAnsi"/>
              <w:color w:val="2A2A2A"/>
              <w:shd w:val="clear" w:color="auto" w:fill="FFFFFF"/>
            </w:rPr>
            <w:tab/>
            <w:t>Word count: 1040</w:t>
          </w:r>
        </w:p>
        <w:p w14:paraId="111284D9"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p>
        <w:sdt>
          <w:sdtPr>
            <w:rPr>
              <w:rFonts w:cstheme="minorHAnsi"/>
            </w:rPr>
            <w:id w:val="-1251741668"/>
            <w:docPartObj>
              <w:docPartGallery w:val="Bibliographies"/>
              <w:docPartUnique/>
            </w:docPartObj>
          </w:sdtPr>
          <w:sdtEndPr/>
          <w:sdtContent>
            <w:p w14:paraId="0E7F38AD" w14:textId="77777777" w:rsidR="00D973E9" w:rsidRPr="00D973E9" w:rsidRDefault="00D973E9" w:rsidP="00D973E9">
              <w:pPr>
                <w:keepNext/>
                <w:keepLines/>
                <w:spacing w:before="240" w:after="0" w:line="480" w:lineRule="auto"/>
                <w:outlineLvl w:val="0"/>
                <w:rPr>
                  <w:rFonts w:eastAsiaTheme="majorEastAsia" w:cstheme="minorHAnsi"/>
                  <w:color w:val="2F5496" w:themeColor="accent1" w:themeShade="BF"/>
                  <w:lang w:val="en-US"/>
                </w:rPr>
              </w:pPr>
              <w:r w:rsidRPr="00D973E9">
                <w:rPr>
                  <w:rFonts w:eastAsiaTheme="majorEastAsia" w:cstheme="minorHAnsi"/>
                  <w:color w:val="2F5496" w:themeColor="accent1" w:themeShade="BF"/>
                  <w:lang w:val="en-US"/>
                </w:rPr>
                <w:t>References</w:t>
              </w:r>
            </w:p>
            <w:sdt>
              <w:sdtPr>
                <w:rPr>
                  <w:rFonts w:cstheme="minorHAnsi"/>
                </w:rPr>
                <w:id w:val="-382326293"/>
                <w:bibliography/>
              </w:sdtPr>
              <w:sdtEndPr/>
              <w:sdtContent>
                <w:p w14:paraId="41ADEF08" w14:textId="77777777" w:rsidR="00D973E9" w:rsidRPr="00D973E9" w:rsidRDefault="00D973E9" w:rsidP="00D973E9">
                  <w:pPr>
                    <w:spacing w:line="480" w:lineRule="auto"/>
                    <w:ind w:left="720" w:hanging="720"/>
                    <w:rPr>
                      <w:rFonts w:cstheme="minorHAnsi"/>
                      <w:noProof/>
                      <w:lang w:val="en-US"/>
                    </w:rPr>
                  </w:pPr>
                  <w:r w:rsidRPr="00D973E9">
                    <w:rPr>
                      <w:rFonts w:cstheme="minorHAnsi"/>
                    </w:rPr>
                    <w:fldChar w:fldCharType="begin"/>
                  </w:r>
                  <w:r w:rsidRPr="00D973E9">
                    <w:rPr>
                      <w:rFonts w:cstheme="minorHAnsi"/>
                    </w:rPr>
                    <w:instrText xml:space="preserve"> BIBLIOGRAPHY </w:instrText>
                  </w:r>
                  <w:r w:rsidRPr="00D973E9">
                    <w:rPr>
                      <w:rFonts w:cstheme="minorHAnsi"/>
                    </w:rPr>
                    <w:fldChar w:fldCharType="separate"/>
                  </w:r>
                  <w:r w:rsidRPr="00D973E9">
                    <w:rPr>
                      <w:rFonts w:cstheme="minorHAnsi"/>
                      <w:noProof/>
                      <w:lang w:val="en-US"/>
                    </w:rPr>
                    <w:t xml:space="preserve">Degges-White, S. (2018, May` 29th). </w:t>
                  </w:r>
                  <w:r w:rsidRPr="00D973E9">
                    <w:rPr>
                      <w:rFonts w:cstheme="minorHAnsi"/>
                      <w:i/>
                      <w:iCs/>
                      <w:noProof/>
                      <w:lang w:val="en-US"/>
                    </w:rPr>
                    <w:t>Friendology: The Science of Friendship</w:t>
                  </w:r>
                  <w:r w:rsidRPr="00D973E9">
                    <w:rPr>
                      <w:rFonts w:cstheme="minorHAnsi"/>
                      <w:noProof/>
                      <w:lang w:val="en-US"/>
                    </w:rPr>
                    <w:t>. Retrieved from Pyscology Today: https://www.psychologytoday.com/us/blog/lifetime-connections/201805/friendology-the-science-friendship</w:t>
                  </w:r>
                </w:p>
                <w:p w14:paraId="48B7E9DC"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Kevin T. Wolff, M. T. (2020). Adverse Childhood Experiences (ACEs) and Gang Involvement Among Juvenile Offenders: Assessing the Mediation Effects of Substance Use and Temperament Deficits. </w:t>
                  </w:r>
                  <w:r w:rsidRPr="00D973E9">
                    <w:rPr>
                      <w:rFonts w:cstheme="minorHAnsi"/>
                      <w:i/>
                      <w:iCs/>
                      <w:noProof/>
                      <w:lang w:val="en-US"/>
                    </w:rPr>
                    <w:t>Youth Violence and Juvenile Justice 18(1)</w:t>
                  </w:r>
                  <w:r w:rsidRPr="00D973E9">
                    <w:rPr>
                      <w:rFonts w:cstheme="minorHAnsi"/>
                      <w:noProof/>
                      <w:lang w:val="en-US"/>
                    </w:rPr>
                    <w:t>, 24-53.</w:t>
                  </w:r>
                </w:p>
                <w:p w14:paraId="52938299"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McVie, L. M. (2015, November 27th). </w:t>
                  </w:r>
                  <w:r w:rsidRPr="00D973E9">
                    <w:rPr>
                      <w:rFonts w:cstheme="minorHAnsi"/>
                      <w:i/>
                      <w:iCs/>
                      <w:noProof/>
                      <w:lang w:val="en-US"/>
                    </w:rPr>
                    <w:t>An uncomfortable truth - the strong link between poverty and crime</w:t>
                  </w:r>
                  <w:r w:rsidRPr="00D973E9">
                    <w:rPr>
                      <w:rFonts w:cstheme="minorHAnsi"/>
                      <w:noProof/>
                      <w:lang w:val="en-US"/>
                    </w:rPr>
                    <w:t>. Retrieved from Transform Justice: https://www.transformjustice.org.uk/an-uncomfortable-truth-the-strong-link-between-poverty-and-crime/</w:t>
                  </w:r>
                </w:p>
                <w:p w14:paraId="0006141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MP, H. O. (2015, June 8th). </w:t>
                  </w:r>
                  <w:r w:rsidRPr="00D973E9">
                    <w:rPr>
                      <w:rFonts w:cstheme="minorHAnsi"/>
                      <w:i/>
                      <w:iCs/>
                      <w:noProof/>
                      <w:lang w:val="en-US"/>
                    </w:rPr>
                    <w:t>Knife, gun and gang crime</w:t>
                  </w:r>
                  <w:r w:rsidRPr="00D973E9">
                    <w:rPr>
                      <w:rFonts w:cstheme="minorHAnsi"/>
                      <w:noProof/>
                      <w:lang w:val="en-US"/>
                    </w:rPr>
                    <w:t>. Retrieved from GOV.UK: https://www.gov.uk/government/news/changes-in-legislation-reflected-in-new-gang-definition</w:t>
                  </w:r>
                </w:p>
                <w:p w14:paraId="043D1DB5"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Police, M. (2023). </w:t>
                  </w:r>
                  <w:r w:rsidRPr="00D973E9">
                    <w:rPr>
                      <w:rFonts w:cstheme="minorHAnsi"/>
                      <w:i/>
                      <w:iCs/>
                      <w:noProof/>
                      <w:lang w:val="en-US"/>
                    </w:rPr>
                    <w:t>County Lines</w:t>
                  </w:r>
                  <w:r w:rsidRPr="00D973E9">
                    <w:rPr>
                      <w:rFonts w:cstheme="minorHAnsi"/>
                      <w:noProof/>
                      <w:lang w:val="en-US"/>
                    </w:rPr>
                    <w:t>. Retrieved from Metropolitan Police: https://www.met.police.uk/advice/advice-and-information/cl/county-lines/</w:t>
                  </w:r>
                </w:p>
                <w:p w14:paraId="37A96573" w14:textId="77777777" w:rsidR="00D973E9" w:rsidRPr="00D973E9" w:rsidRDefault="00D973E9" w:rsidP="00D973E9">
                  <w:pPr>
                    <w:spacing w:line="480" w:lineRule="auto"/>
                    <w:ind w:left="720" w:hanging="720"/>
                    <w:rPr>
                      <w:rFonts w:cstheme="minorHAnsi"/>
                      <w:noProof/>
                      <w:lang w:val="en-US"/>
                    </w:rPr>
                  </w:pPr>
                  <w:r w:rsidRPr="00D973E9">
                    <w:rPr>
                      <w:rFonts w:cstheme="minorHAnsi"/>
                      <w:noProof/>
                      <w:lang w:val="en-US"/>
                    </w:rPr>
                    <w:t xml:space="preserve">Ross Coomer, L. M. (2018). The Changing Shape of Street-Level Heroin and Crack Supply in England: Commuting, Holidaying and Cuckooing Drug Dealers across 'County Lines'. </w:t>
                  </w:r>
                  <w:r w:rsidRPr="00D973E9">
                    <w:rPr>
                      <w:rFonts w:cstheme="minorHAnsi"/>
                      <w:i/>
                      <w:iCs/>
                      <w:noProof/>
                      <w:lang w:val="en-US"/>
                    </w:rPr>
                    <w:t>The British Journal of Criminology</w:t>
                  </w:r>
                  <w:r w:rsidRPr="00D973E9">
                    <w:rPr>
                      <w:rFonts w:cstheme="minorHAnsi"/>
                      <w:noProof/>
                      <w:lang w:val="en-US"/>
                    </w:rPr>
                    <w:t>, 1323-1342.</w:t>
                  </w:r>
                </w:p>
                <w:p w14:paraId="42E492C2" w14:textId="78A5B2DA" w:rsidR="00D973E9" w:rsidRPr="00D024F3" w:rsidRDefault="00D973E9" w:rsidP="00D973E9">
                  <w:pPr>
                    <w:spacing w:line="480" w:lineRule="auto"/>
                    <w:rPr>
                      <w:rFonts w:cstheme="minorHAnsi"/>
                    </w:rPr>
                  </w:pPr>
                  <w:r w:rsidRPr="00D024F3">
                    <w:rPr>
                      <w:rFonts w:cstheme="minorHAnsi"/>
                      <w:b/>
                      <w:bCs/>
                      <w:noProof/>
                    </w:rPr>
                    <w:lastRenderedPageBreak/>
                    <w:fldChar w:fldCharType="end"/>
                  </w:r>
                  <w:r w:rsidRPr="00D024F3">
                    <w:rPr>
                      <w:rFonts w:cstheme="minorHAnsi"/>
                      <w:noProof/>
                    </w:rPr>
                    <w:t xml:space="preserve">Police, M. (2023). </w:t>
                  </w:r>
                  <w:r w:rsidRPr="00D024F3">
                    <w:rPr>
                      <w:rFonts w:cstheme="minorHAnsi"/>
                      <w:i/>
                      <w:iCs/>
                      <w:noProof/>
                    </w:rPr>
                    <w:t xml:space="preserve">Adult and elder abuse. </w:t>
                  </w:r>
                  <w:r w:rsidRPr="00D024F3">
                    <w:rPr>
                      <w:rFonts w:cstheme="minorHAnsi"/>
                      <w:noProof/>
                    </w:rPr>
                    <w:t>Retrieved from Metropolitan Police:</w:t>
                  </w:r>
                  <w:r w:rsidRPr="00D024F3">
                    <w:rPr>
                      <w:rFonts w:cstheme="minorHAnsi"/>
                    </w:rPr>
                    <w:tab/>
                  </w:r>
                  <w:r w:rsidRPr="00D024F3">
                    <w:rPr>
                      <w:rFonts w:cstheme="minorHAnsi"/>
                      <w:noProof/>
                      <w:lang w:val="en-US"/>
                    </w:rPr>
                    <w:t>https://www.met.police.uk/advice/advice-and-information/ap/adult-elder-abuse/</w:t>
                  </w:r>
                </w:p>
              </w:sdtContent>
            </w:sdt>
          </w:sdtContent>
        </w:sdt>
        <w:p w14:paraId="6F225087" w14:textId="77777777" w:rsidR="00D973E9" w:rsidRPr="00D024F3" w:rsidRDefault="00D973E9" w:rsidP="00D024F3">
          <w:pPr>
            <w:spacing w:after="0" w:line="480" w:lineRule="auto"/>
            <w:ind w:right="531"/>
            <w:rPr>
              <w:rFonts w:eastAsia="Times New Roman" w:cstheme="minorHAnsi"/>
              <w:b/>
              <w:bCs/>
              <w:lang w:eastAsia="en-GB"/>
            </w:rPr>
          </w:pPr>
        </w:p>
        <w:p w14:paraId="5D11E5DE" w14:textId="11AE849E" w:rsidR="00D973E9" w:rsidRPr="00D024F3" w:rsidRDefault="00D973E9" w:rsidP="00D973E9">
          <w:pPr>
            <w:spacing w:after="0" w:line="480" w:lineRule="auto"/>
            <w:ind w:left="567" w:right="531"/>
            <w:rPr>
              <w:rFonts w:eastAsia="Times New Roman" w:cstheme="minorHAnsi"/>
              <w:b/>
              <w:bCs/>
              <w:lang w:eastAsia="en-GB"/>
            </w:rPr>
          </w:pPr>
          <w:r w:rsidRPr="00D024F3">
            <w:rPr>
              <w:rFonts w:eastAsia="Times New Roman" w:cstheme="minorHAnsi"/>
              <w:b/>
              <w:bCs/>
              <w:lang w:eastAsia="en-GB"/>
            </w:rPr>
            <w:t xml:space="preserve">Essay three: </w:t>
          </w:r>
        </w:p>
        <w:p w14:paraId="6BBC3C72" w14:textId="1960975F" w:rsidR="00D973E9" w:rsidRDefault="00D973E9" w:rsidP="00F16A01">
          <w:pPr>
            <w:spacing w:after="0" w:line="480" w:lineRule="auto"/>
            <w:ind w:left="567" w:right="531"/>
            <w:rPr>
              <w:rFonts w:eastAsia="Times New Roman" w:cstheme="minorHAnsi"/>
              <w:lang w:eastAsia="en-GB"/>
            </w:rPr>
          </w:pPr>
          <w:r w:rsidRPr="00D024F3">
            <w:rPr>
              <w:rFonts w:eastAsia="Times New Roman" w:cstheme="minorHAnsi"/>
              <w:u w:val="single"/>
              <w:lang w:eastAsia="en-GB"/>
            </w:rPr>
            <w:t>How effective</w:t>
          </w:r>
          <w:r w:rsidRPr="00D024F3">
            <w:rPr>
              <w:rFonts w:eastAsia="Times New Roman" w:cstheme="minorHAnsi"/>
              <w:lang w:eastAsia="en-GB"/>
            </w:rPr>
            <w:t xml:space="preserve"> is MAPPA as a means of managing offenders?</w:t>
          </w:r>
        </w:p>
        <w:p w14:paraId="299BE849" w14:textId="77777777" w:rsidR="00F16A01" w:rsidRPr="00F16A01" w:rsidRDefault="00F16A01" w:rsidP="00F16A01">
          <w:pPr>
            <w:spacing w:after="0" w:line="480" w:lineRule="auto"/>
            <w:ind w:left="567" w:right="531"/>
            <w:rPr>
              <w:rFonts w:eastAsia="Times New Roman" w:cstheme="minorHAnsi"/>
              <w:lang w:eastAsia="en-GB"/>
            </w:rPr>
          </w:pPr>
        </w:p>
        <w:p w14:paraId="00E64F91" w14:textId="77777777" w:rsidR="00D973E9" w:rsidRPr="00D024F3" w:rsidRDefault="00D973E9" w:rsidP="00D973E9">
          <w:pPr>
            <w:spacing w:line="480" w:lineRule="auto"/>
            <w:rPr>
              <w:rFonts w:cstheme="minorHAnsi"/>
            </w:rPr>
          </w:pPr>
          <w:r w:rsidRPr="00D024F3">
            <w:rPr>
              <w:rFonts w:cstheme="minorHAnsi"/>
            </w:rPr>
            <w:t>Prior to exploring the effectiveness of MAPPA at managing offenders, an introduction to who and how it came about is essential understanding to readers. MAPPA is an acronym which unabbreviated reads as Multi-Agency Public Protection Arrangement and is an amalgamation of the Police, Prison and Probation Services, and local authorities. The arrangement was established to protect the public by risk assessing the more serious offenders upon their integration into society following a custodial sentence. The need of this partnership was due to the concerns around the behaviours of offenders, in particular violent sex offenders, once released into the public domain</w:t>
          </w:r>
          <w:sdt>
            <w:sdtPr>
              <w:rPr>
                <w:rFonts w:cstheme="minorHAnsi"/>
              </w:rPr>
              <w:id w:val="-1130862085"/>
              <w:citation/>
            </w:sdtPr>
            <w:sdtContent>
              <w:r w:rsidRPr="00D024F3">
                <w:rPr>
                  <w:rFonts w:cstheme="minorHAnsi"/>
                </w:rPr>
                <w:fldChar w:fldCharType="begin"/>
              </w:r>
              <w:r w:rsidRPr="00D024F3">
                <w:rPr>
                  <w:rFonts w:cstheme="minorHAnsi"/>
                </w:rPr>
                <w:instrText xml:space="preserve"> CITATION Sto08 \l 2057 </w:instrText>
              </w:r>
              <w:r w:rsidRPr="00D024F3">
                <w:rPr>
                  <w:rFonts w:cstheme="minorHAnsi"/>
                </w:rPr>
                <w:fldChar w:fldCharType="separate"/>
              </w:r>
              <w:r w:rsidRPr="00D024F3">
                <w:rPr>
                  <w:rFonts w:cstheme="minorHAnsi"/>
                  <w:noProof/>
                </w:rPr>
                <w:t xml:space="preserve"> (Stout, Williams, &amp; Yates, 2008)</w:t>
              </w:r>
              <w:r w:rsidRPr="00D024F3">
                <w:rPr>
                  <w:rFonts w:cstheme="minorHAnsi"/>
                </w:rPr>
                <w:fldChar w:fldCharType="end"/>
              </w:r>
            </w:sdtContent>
          </w:sdt>
          <w:r w:rsidRPr="00D024F3">
            <w:rPr>
              <w:rFonts w:cstheme="minorHAnsi"/>
            </w:rPr>
            <w:t xml:space="preserve">. Both the Police and Prison and Probation Services hold a responsibility to monitor offenders by gathering and sharing information with one another. There are three main categories that offenders are sort under and there are three levels in which offenders are risk assessed into </w:t>
          </w:r>
          <w:r w:rsidRPr="00D024F3">
            <w:rPr>
              <w:rFonts w:cstheme="minorHAnsi"/>
              <w:noProof/>
            </w:rPr>
            <w:t>(Justice, System, &amp; Service, Multi-agency public protection arrangements (MAPPA): Guidance, 2014)</w:t>
          </w:r>
          <w:r w:rsidRPr="00D024F3">
            <w:rPr>
              <w:rFonts w:cstheme="minorHAnsi"/>
            </w:rPr>
            <w:t xml:space="preserve">. The complexity of each individual offender’s case is studied and drawn from it is the level of management required from MAPPA. Level 1 requires the least involvement by agencies whilst Level 2 and 3 offenders require the most input from MAPPA due to the seriousness of the crimes committed and in hand the most risk imposed to the public </w:t>
          </w:r>
          <w:sdt>
            <w:sdtPr>
              <w:rPr>
                <w:rFonts w:cstheme="minorHAnsi"/>
              </w:rPr>
              <w:id w:val="1019737225"/>
              <w:citation/>
            </w:sdtPr>
            <w:sdtContent>
              <w:r w:rsidRPr="00D024F3">
                <w:rPr>
                  <w:rFonts w:cstheme="minorHAnsi"/>
                </w:rPr>
                <w:fldChar w:fldCharType="begin"/>
              </w:r>
              <w:r w:rsidRPr="00D024F3">
                <w:rPr>
                  <w:rFonts w:cstheme="minorHAnsi"/>
                </w:rPr>
                <w:instrText xml:space="preserve"> CITATION Col17 \l 2057 </w:instrText>
              </w:r>
              <w:r w:rsidRPr="00D024F3">
                <w:rPr>
                  <w:rFonts w:cstheme="minorHAnsi"/>
                </w:rPr>
                <w:fldChar w:fldCharType="separate"/>
              </w:r>
              <w:r w:rsidRPr="00D024F3">
                <w:rPr>
                  <w:rFonts w:cstheme="minorHAnsi"/>
                  <w:noProof/>
                </w:rPr>
                <w:t>(Policing, 2017)</w:t>
              </w:r>
              <w:r w:rsidRPr="00D024F3">
                <w:rPr>
                  <w:rFonts w:cstheme="minorHAnsi"/>
                </w:rPr>
                <w:fldChar w:fldCharType="end"/>
              </w:r>
            </w:sdtContent>
          </w:sdt>
          <w:r w:rsidRPr="00D024F3">
            <w:rPr>
              <w:rFonts w:cstheme="minorHAnsi"/>
            </w:rPr>
            <w:t xml:space="preserve">. </w:t>
          </w:r>
        </w:p>
        <w:p w14:paraId="1E871C82" w14:textId="77777777" w:rsidR="00D973E9" w:rsidRPr="00D024F3" w:rsidRDefault="00D973E9" w:rsidP="00D973E9">
          <w:pPr>
            <w:spacing w:line="480" w:lineRule="auto"/>
            <w:rPr>
              <w:rFonts w:cstheme="minorHAnsi"/>
            </w:rPr>
          </w:pPr>
        </w:p>
        <w:p w14:paraId="405D6EDC" w14:textId="77777777" w:rsidR="00D973E9" w:rsidRPr="00D024F3" w:rsidRDefault="00D973E9" w:rsidP="00D973E9">
          <w:pPr>
            <w:spacing w:line="480" w:lineRule="auto"/>
            <w:rPr>
              <w:rFonts w:cstheme="minorHAnsi"/>
            </w:rPr>
          </w:pPr>
          <w:r w:rsidRPr="00D024F3">
            <w:rPr>
              <w:rFonts w:cstheme="minorHAnsi"/>
            </w:rPr>
            <w:t xml:space="preserve">Given that its functionality is to manage offenders as a joint enterprise, the evidence of MAPPAs effectiveness would therefore rely upon the effective communication and information sharing between agencies. Some academics argue that a fatality of the MAPPA system is that this isn’t </w:t>
          </w:r>
          <w:r w:rsidRPr="00D024F3">
            <w:rPr>
              <w:rFonts w:cstheme="minorHAnsi"/>
            </w:rPr>
            <w:lastRenderedPageBreak/>
            <w:t>happening to the extent it should. There appears to be a crack in information sharing when it comes to an argument over ‘need to know’ information, breaching confidentiality and keeping things “in house”</w:t>
          </w:r>
          <w:r w:rsidRPr="00D024F3">
            <w:rPr>
              <w:rFonts w:cstheme="minorHAnsi"/>
              <w:noProof/>
            </w:rPr>
            <w:t xml:space="preserve"> (Nash &amp; Walker, 2009). Police and Probabtion would experience and deal with issues by individuals within their world and not incoperate or inform the other, therefore, not highlighting behaviours. Furthermore, resulting in potential escalation or change in criminal offending not being flagged as a potential public danger. Nash and Walker (2009) critique this as potentially hampering effective public protection. Evidencing this is the case of Joseph McCann and the failings of the Probabtion Service in its management of the offender on release. McCann was on license and under MAPPA Level 2 when he committed eight offences without being recalled to prison. The </w:t>
          </w:r>
          <w:r w:rsidRPr="00D024F3">
            <w:rPr>
              <w:rFonts w:cstheme="minorHAnsi"/>
            </w:rPr>
            <w:t xml:space="preserve">McCann case shone a light on agencies not communicating and working together and how that failure is detrimental to the allowance of reoffending and revictimizing allowing further serious offences. As well as the failure to manage the offender, the ineffectiveness of allowing a further eight occurrences of criminality spark a debate on if MAPPA works on reducing reoffending. This is just one case. In 2020 the Lord Chancellor reviewed McCanns case and concluded that poor planning allowed him to evade authorities and poor assessing allowed missed opportunities </w:t>
          </w:r>
          <w:sdt>
            <w:sdtPr>
              <w:rPr>
                <w:rFonts w:cstheme="minorHAnsi"/>
              </w:rPr>
              <w:id w:val="1747834550"/>
              <w:citation/>
            </w:sdtPr>
            <w:sdtContent>
              <w:r w:rsidRPr="00D024F3">
                <w:rPr>
                  <w:rFonts w:cstheme="minorHAnsi"/>
                </w:rPr>
                <w:fldChar w:fldCharType="begin"/>
              </w:r>
              <w:r w:rsidRPr="00D024F3">
                <w:rPr>
                  <w:rFonts w:cstheme="minorHAnsi"/>
                </w:rPr>
                <w:instrText xml:space="preserve"> CITATION Min20 \l 2057 </w:instrText>
              </w:r>
              <w:r w:rsidRPr="00D024F3">
                <w:rPr>
                  <w:rFonts w:cstheme="minorHAnsi"/>
                </w:rPr>
                <w:fldChar w:fldCharType="separate"/>
              </w:r>
              <w:r w:rsidRPr="00D024F3">
                <w:rPr>
                  <w:rFonts w:cstheme="minorHAnsi"/>
                  <w:noProof/>
                </w:rPr>
                <w:t>(Justice, Probation Serious Further Offence Review in the case of JOSEPH McCANN, 2020)</w:t>
              </w:r>
              <w:r w:rsidRPr="00D024F3">
                <w:rPr>
                  <w:rFonts w:cstheme="minorHAnsi"/>
                </w:rPr>
                <w:fldChar w:fldCharType="end"/>
              </w:r>
            </w:sdtContent>
          </w:sdt>
          <w:r w:rsidRPr="00D024F3">
            <w:rPr>
              <w:rFonts w:cstheme="minorHAnsi"/>
            </w:rPr>
            <w:t>.</w:t>
          </w:r>
        </w:p>
        <w:p w14:paraId="5B72C5C6" w14:textId="77777777" w:rsidR="00D973E9" w:rsidRPr="00D024F3" w:rsidRDefault="00D973E9" w:rsidP="00D973E9">
          <w:pPr>
            <w:spacing w:line="480" w:lineRule="auto"/>
            <w:rPr>
              <w:rFonts w:cstheme="minorHAnsi"/>
            </w:rPr>
          </w:pPr>
        </w:p>
        <w:p w14:paraId="5D1A28FA" w14:textId="77777777" w:rsidR="00D973E9" w:rsidRPr="00D024F3" w:rsidRDefault="00D973E9" w:rsidP="00D973E9">
          <w:pPr>
            <w:spacing w:line="480" w:lineRule="auto"/>
            <w:rPr>
              <w:rFonts w:cstheme="minorHAnsi"/>
            </w:rPr>
          </w:pPr>
          <w:r w:rsidRPr="00D024F3">
            <w:rPr>
              <w:rFonts w:cstheme="minorHAnsi"/>
            </w:rPr>
            <w:t>In opposition, there can be positives found both statistically and academically on the effectiveness of MAPPA. It provides a framework for risk management and from it, agencies have birthed new concepts of being able to closely monitor offenders in the community. Some two years after the roll out of MAPPA, the introduction of the Violent and Sex Offender Register (</w:t>
          </w:r>
          <w:proofErr w:type="spellStart"/>
          <w:r w:rsidRPr="00D024F3">
            <w:rPr>
              <w:rFonts w:cstheme="minorHAnsi"/>
            </w:rPr>
            <w:t>ViSOR</w:t>
          </w:r>
          <w:proofErr w:type="spellEnd"/>
          <w:r w:rsidRPr="00D024F3">
            <w:rPr>
              <w:rFonts w:cstheme="minorHAnsi"/>
            </w:rPr>
            <w:t xml:space="preserve">), created by the Police, added a new strength to the information sharing system. </w:t>
          </w:r>
          <w:r w:rsidRPr="00D024F3">
            <w:rPr>
              <w:rFonts w:cstheme="minorHAnsi"/>
              <w:noProof/>
            </w:rPr>
            <w:t>David Edwards (2003)</w:t>
          </w:r>
          <w:r w:rsidRPr="00D024F3">
            <w:rPr>
              <w:rFonts w:cstheme="minorHAnsi"/>
            </w:rPr>
            <w:t xml:space="preserve"> describes </w:t>
          </w:r>
          <w:proofErr w:type="spellStart"/>
          <w:r w:rsidRPr="00D024F3">
            <w:rPr>
              <w:rFonts w:cstheme="minorHAnsi"/>
            </w:rPr>
            <w:t>ViSOR</w:t>
          </w:r>
          <w:proofErr w:type="spellEnd"/>
          <w:r w:rsidRPr="00D024F3">
            <w:rPr>
              <w:rFonts w:cstheme="minorHAnsi"/>
            </w:rPr>
            <w:t xml:space="preserve"> as having an inbuilt process which actively monitors offenders allowing nobody to “slip through the net”. Furthermore, being an IT Database, it allows information to be accessed from any force across the country. Consequently, if other offenders like McCann, who moved around a lot to </w:t>
          </w:r>
          <w:r w:rsidRPr="00D024F3">
            <w:rPr>
              <w:rFonts w:cstheme="minorHAnsi"/>
            </w:rPr>
            <w:lastRenderedPageBreak/>
            <w:t xml:space="preserve">evade agencies, were to be on a new radar, agencies would now have a platform to research. Of course, this works for current offenders within the MAPPA population, new offenders will not be active on the register until they commit an offence. Chief Inspector Massey commented "For the first-time investigators will have a complete package of intelligence... This sort of intelligence will prove vital in managing offenders as they move from area to area” </w:t>
          </w:r>
          <w:sdt>
            <w:sdtPr>
              <w:rPr>
                <w:rFonts w:cstheme="minorHAnsi"/>
              </w:rPr>
              <w:id w:val="-1145346686"/>
              <w:citation/>
            </w:sdtPr>
            <w:sdtContent>
              <w:r w:rsidRPr="00D024F3">
                <w:rPr>
                  <w:rFonts w:cstheme="minorHAnsi"/>
                </w:rPr>
                <w:fldChar w:fldCharType="begin"/>
              </w:r>
              <w:r w:rsidRPr="00D024F3">
                <w:rPr>
                  <w:rFonts w:cstheme="minorHAnsi"/>
                </w:rPr>
                <w:instrText xml:space="preserve"> CITATION Dav03 \l 2057 </w:instrText>
              </w:r>
              <w:r w:rsidRPr="00D024F3">
                <w:rPr>
                  <w:rFonts w:cstheme="minorHAnsi"/>
                </w:rPr>
                <w:fldChar w:fldCharType="separate"/>
              </w:r>
              <w:r w:rsidRPr="00D024F3">
                <w:rPr>
                  <w:rFonts w:cstheme="minorHAnsi"/>
                  <w:noProof/>
                </w:rPr>
                <w:t>(Edwards, 2003)</w:t>
              </w:r>
              <w:r w:rsidRPr="00D024F3">
                <w:rPr>
                  <w:rFonts w:cstheme="minorHAnsi"/>
                </w:rPr>
                <w:fldChar w:fldCharType="end"/>
              </w:r>
            </w:sdtContent>
          </w:sdt>
          <w:r w:rsidRPr="00D024F3">
            <w:rPr>
              <w:rFonts w:cstheme="minorHAnsi"/>
            </w:rPr>
            <w:t>.</w:t>
          </w:r>
        </w:p>
        <w:p w14:paraId="4FA2D5D0" w14:textId="77777777" w:rsidR="00D973E9" w:rsidRPr="00D024F3" w:rsidRDefault="00D973E9" w:rsidP="00D973E9">
          <w:pPr>
            <w:spacing w:line="480" w:lineRule="auto"/>
            <w:rPr>
              <w:rFonts w:cstheme="minorHAnsi"/>
              <w:noProof/>
            </w:rPr>
          </w:pPr>
        </w:p>
        <w:p w14:paraId="34F161FB" w14:textId="65694A61" w:rsidR="00D973E9" w:rsidRDefault="00D973E9" w:rsidP="00D973E9">
          <w:pPr>
            <w:spacing w:line="480" w:lineRule="auto"/>
            <w:rPr>
              <w:rFonts w:cstheme="minorHAnsi"/>
              <w:color w:val="111111"/>
              <w:shd w:val="clear" w:color="auto" w:fill="FFFFFF"/>
            </w:rPr>
          </w:pPr>
          <w:r w:rsidRPr="00D024F3">
            <w:rPr>
              <w:rFonts w:cstheme="minorHAnsi"/>
            </w:rPr>
            <w:t>The Ministry of Justice holds an annual review of the functionality of MAPPA and o</w:t>
          </w:r>
          <w:r w:rsidRPr="00D024F3">
            <w:rPr>
              <w:rFonts w:cstheme="minorHAnsi"/>
              <w:color w:val="111111"/>
              <w:shd w:val="clear" w:color="auto" w:fill="FFFFFF"/>
            </w:rPr>
            <w:t>n 31 March 2021,</w:t>
          </w:r>
          <w:r w:rsidRPr="00D024F3">
            <w:rPr>
              <w:rStyle w:val="Strong"/>
              <w:rFonts w:cstheme="minorHAnsi"/>
              <w:color w:val="111111"/>
              <w:shd w:val="clear" w:color="auto" w:fill="FFFFFF"/>
            </w:rPr>
            <w:t> 86,268</w:t>
          </w:r>
          <w:r w:rsidRPr="00D024F3">
            <w:rPr>
              <w:rFonts w:cstheme="minorHAnsi"/>
              <w:color w:val="111111"/>
              <w:shd w:val="clear" w:color="auto" w:fill="FFFFFF"/>
            </w:rPr>
            <w:t xml:space="preserve"> offenders were being managed at Level 1, 2% higher than in last year and 37% higher than in 2014 and the overall MAPPA population is up 70% from a decade earlier in 2011 </w:t>
          </w:r>
          <w:sdt>
            <w:sdtPr>
              <w:rPr>
                <w:rFonts w:cstheme="minorHAnsi"/>
                <w:color w:val="111111"/>
                <w:shd w:val="clear" w:color="auto" w:fill="FFFFFF"/>
              </w:rPr>
              <w:id w:val="972714685"/>
              <w:citation/>
            </w:sdtPr>
            <w:sdtContent>
              <w:r w:rsidRPr="00D024F3">
                <w:rPr>
                  <w:rFonts w:cstheme="minorHAnsi"/>
                  <w:color w:val="111111"/>
                  <w:shd w:val="clear" w:color="auto" w:fill="FFFFFF"/>
                </w:rPr>
                <w:fldChar w:fldCharType="begin"/>
              </w:r>
              <w:r w:rsidRPr="00D024F3">
                <w:rPr>
                  <w:rFonts w:cstheme="minorHAnsi"/>
                  <w:color w:val="111111"/>
                  <w:shd w:val="clear" w:color="auto" w:fill="FFFFFF"/>
                </w:rPr>
                <w:instrText xml:space="preserve"> CITATION Min21 \l 2057 </w:instrText>
              </w:r>
              <w:r w:rsidRPr="00D024F3">
                <w:rPr>
                  <w:rFonts w:cstheme="minorHAnsi"/>
                  <w:color w:val="111111"/>
                  <w:shd w:val="clear" w:color="auto" w:fill="FFFFFF"/>
                </w:rPr>
                <w:fldChar w:fldCharType="separate"/>
              </w:r>
              <w:r w:rsidRPr="00D024F3">
                <w:rPr>
                  <w:rFonts w:cstheme="minorHAnsi"/>
                  <w:noProof/>
                  <w:color w:val="111111"/>
                  <w:shd w:val="clear" w:color="auto" w:fill="FFFFFF"/>
                </w:rPr>
                <w:t>(Justice, Multi-Agency Public Protection Arrangements (MAPPA) Annual Report 2020/21, 2021)</w:t>
              </w:r>
              <w:r w:rsidRPr="00D024F3">
                <w:rPr>
                  <w:rFonts w:cstheme="minorHAnsi"/>
                  <w:color w:val="111111"/>
                  <w:shd w:val="clear" w:color="auto" w:fill="FFFFFF"/>
                </w:rPr>
                <w:fldChar w:fldCharType="end"/>
              </w:r>
            </w:sdtContent>
          </w:sdt>
          <w:r w:rsidRPr="00D024F3">
            <w:rPr>
              <w:rFonts w:cstheme="minorHAnsi"/>
              <w:color w:val="111111"/>
              <w:shd w:val="clear" w:color="auto" w:fill="FFFFFF"/>
            </w:rPr>
            <w:t xml:space="preserve">. The figures show that the rate of offending is rising, and it poses the question of can MAPPA sustain this growth and still be effective? </w:t>
          </w:r>
        </w:p>
        <w:p w14:paraId="13574861" w14:textId="77777777" w:rsidR="00F16A01" w:rsidRPr="00D024F3" w:rsidRDefault="00F16A01" w:rsidP="00D973E9">
          <w:pPr>
            <w:spacing w:line="480" w:lineRule="auto"/>
            <w:rPr>
              <w:rFonts w:cstheme="minorHAnsi"/>
              <w:color w:val="111111"/>
              <w:shd w:val="clear" w:color="auto" w:fill="FFFFFF"/>
            </w:rPr>
          </w:pPr>
        </w:p>
        <w:p w14:paraId="2B48B6B9" w14:textId="77777777" w:rsidR="00D973E9" w:rsidRPr="00D024F3" w:rsidRDefault="00D973E9" w:rsidP="00D973E9">
          <w:pPr>
            <w:spacing w:line="480" w:lineRule="auto"/>
            <w:rPr>
              <w:rFonts w:cstheme="minorHAnsi"/>
              <w:color w:val="111111"/>
              <w:shd w:val="clear" w:color="auto" w:fill="FFFFFF"/>
            </w:rPr>
          </w:pPr>
          <w:r w:rsidRPr="00D024F3">
            <w:rPr>
              <w:rFonts w:cstheme="minorHAnsi"/>
              <w:color w:val="111111"/>
              <w:shd w:val="clear" w:color="auto" w:fill="FFFFFF"/>
            </w:rPr>
            <w:t>Concluding this essay and its findings, agencies have noted negativities and developed new ways of sharing information with one another to reduce demand on staff and simplify its processes. There can only be a positive in a multi-agency structure, working together and bringing strengths from resources across the Criminal Justice sector. Although there are arguments that there are many areas to work on, the main aim of MAPPA is to lower risk to the public. Within its findings, the Ministry of Justice conclude that reoffending rates have decreased. Their analysis showed both</w:t>
          </w:r>
          <w:r w:rsidRPr="00D024F3">
            <w:rPr>
              <w:rFonts w:cstheme="minorHAnsi"/>
            </w:rPr>
            <w:t xml:space="preserve"> Category 1 and Category 2 offenders between 2000-2004 decreased in reoffending also maintaining stable for a six-year period from 2004 to 2010. Furthermore, they found overall one year reoffending rate of new high risk assessed MAPPA offenders showed a decrease of 20% between 2000 and 2010 </w:t>
          </w:r>
          <w:sdt>
            <w:sdtPr>
              <w:rPr>
                <w:rFonts w:cstheme="minorHAnsi"/>
              </w:rPr>
              <w:id w:val="-1568875190"/>
              <w:citation/>
            </w:sdtPr>
            <w:sdtContent>
              <w:r w:rsidRPr="00D024F3">
                <w:rPr>
                  <w:rFonts w:cstheme="minorHAnsi"/>
                </w:rPr>
                <w:fldChar w:fldCharType="begin"/>
              </w:r>
              <w:r w:rsidRPr="00D024F3">
                <w:rPr>
                  <w:rFonts w:cstheme="minorHAnsi"/>
                </w:rPr>
                <w:instrText xml:space="preserve"> CITATION Ste15 \l 2057 </w:instrText>
              </w:r>
              <w:r w:rsidRPr="00D024F3">
                <w:rPr>
                  <w:rFonts w:cstheme="minorHAnsi"/>
                </w:rPr>
                <w:fldChar w:fldCharType="separate"/>
              </w:r>
              <w:r w:rsidRPr="00D024F3">
                <w:rPr>
                  <w:rFonts w:cstheme="minorHAnsi"/>
                  <w:noProof/>
                </w:rPr>
                <w:t>(Bryant, Peck, &amp; Lovbakke, 2015)</w:t>
              </w:r>
              <w:r w:rsidRPr="00D024F3">
                <w:rPr>
                  <w:rFonts w:cstheme="minorHAnsi"/>
                </w:rPr>
                <w:fldChar w:fldCharType="end"/>
              </w:r>
            </w:sdtContent>
          </w:sdt>
          <w:r w:rsidRPr="00D024F3">
            <w:rPr>
              <w:rFonts w:cstheme="minorHAnsi"/>
            </w:rPr>
            <w:t xml:space="preserve">. </w:t>
          </w:r>
          <w:r w:rsidRPr="00D024F3">
            <w:rPr>
              <w:rFonts w:cstheme="minorHAnsi"/>
              <w:color w:val="111111"/>
              <w:shd w:val="clear" w:color="auto" w:fill="FFFFFF"/>
            </w:rPr>
            <w:t>Examining the statistics,</w:t>
          </w:r>
          <w:r w:rsidRPr="00D024F3">
            <w:rPr>
              <w:rFonts w:cstheme="minorHAnsi"/>
            </w:rPr>
            <w:t xml:space="preserve"> reductions in reoffending for new MAPPA eligible offenders suggest that MAPPA may be making a positive contribution to managing offenders </w:t>
          </w:r>
          <w:r w:rsidRPr="00D024F3">
            <w:rPr>
              <w:rFonts w:cstheme="minorHAnsi"/>
            </w:rPr>
            <w:lastRenderedPageBreak/>
            <w:t xml:space="preserve">convicted of serious offences. Its effectiveness is obvious from the numbers it is producing, showing a positive affect from its establishment. </w:t>
          </w:r>
        </w:p>
        <w:p w14:paraId="64546F30" w14:textId="2F13E90F" w:rsidR="00D973E9" w:rsidRPr="00D024F3" w:rsidRDefault="00D973E9" w:rsidP="00D973E9">
          <w:pPr>
            <w:spacing w:line="480" w:lineRule="auto"/>
            <w:ind w:left="7200"/>
            <w:rPr>
              <w:rFonts w:cstheme="minorHAnsi"/>
            </w:rPr>
          </w:pPr>
          <w:r w:rsidRPr="00D024F3">
            <w:rPr>
              <w:rFonts w:cstheme="minorHAnsi"/>
            </w:rPr>
            <w:t xml:space="preserve">    Word Count: 971</w:t>
          </w:r>
        </w:p>
        <w:p w14:paraId="163A8265" w14:textId="77777777" w:rsidR="00D973E9" w:rsidRPr="00D024F3" w:rsidRDefault="00D973E9" w:rsidP="00D973E9">
          <w:pPr>
            <w:spacing w:line="480" w:lineRule="auto"/>
            <w:rPr>
              <w:rFonts w:cstheme="minorHAnsi"/>
            </w:rPr>
          </w:pPr>
        </w:p>
        <w:sdt>
          <w:sdtPr>
            <w:rPr>
              <w:rFonts w:asciiTheme="minorHAnsi" w:eastAsiaTheme="minorHAnsi" w:hAnsiTheme="minorHAnsi" w:cstheme="minorHAnsi"/>
              <w:color w:val="auto"/>
              <w:sz w:val="22"/>
              <w:szCs w:val="22"/>
              <w:lang w:val="en-GB"/>
            </w:rPr>
            <w:id w:val="31544068"/>
            <w:docPartObj>
              <w:docPartGallery w:val="Bibliographies"/>
              <w:docPartUnique/>
            </w:docPartObj>
          </w:sdtPr>
          <w:sdtContent>
            <w:p w14:paraId="5DA91D21" w14:textId="77777777" w:rsidR="00D973E9" w:rsidRPr="00D024F3" w:rsidRDefault="00D973E9"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References</w:t>
              </w:r>
            </w:p>
            <w:sdt>
              <w:sdtPr>
                <w:rPr>
                  <w:rFonts w:cstheme="minorHAnsi"/>
                </w:rPr>
                <w:id w:val="-491262016"/>
                <w:bibliography/>
              </w:sdtPr>
              <w:sdtContent>
                <w:p w14:paraId="3BCF5CEC"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Bryant, S., Peck, M., &amp; Lovbakke, J. (2015). </w:t>
                  </w:r>
                  <w:r w:rsidRPr="00D024F3">
                    <w:rPr>
                      <w:rFonts w:cstheme="minorHAnsi"/>
                      <w:i/>
                      <w:iCs/>
                      <w:noProof/>
                      <w:lang w:val="en-US"/>
                    </w:rPr>
                    <w:t>Reoffending Analysis of MAPPA Eligible Offenders.</w:t>
                  </w:r>
                  <w:r w:rsidRPr="00D024F3">
                    <w:rPr>
                      <w:rFonts w:cstheme="minorHAnsi"/>
                      <w:noProof/>
                      <w:lang w:val="en-US"/>
                    </w:rPr>
                    <w:t xml:space="preserve"> Retrieved from Minsitry of Justice: https://assets.publishing.service.gov.uk/government/uploads/system/uploads/attachment_data/file/407139/reoffending-analysis-of-mappa-eligible-offenders.pdf</w:t>
                  </w:r>
                </w:p>
                <w:p w14:paraId="1D2C8CB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Edwards, D. (2003, March 1st). </w:t>
                  </w:r>
                  <w:r w:rsidRPr="00D024F3">
                    <w:rPr>
                      <w:rFonts w:cstheme="minorHAnsi"/>
                      <w:i/>
                      <w:iCs/>
                      <w:noProof/>
                      <w:lang w:val="en-US"/>
                    </w:rPr>
                    <w:t>ViSOR - Violent and Sex Offender Register.</w:t>
                  </w:r>
                  <w:r w:rsidRPr="00D024F3">
                    <w:rPr>
                      <w:rFonts w:cstheme="minorHAnsi"/>
                      <w:noProof/>
                      <w:lang w:val="en-US"/>
                    </w:rPr>
                    <w:t xml:space="preserve"> Retrieved from Criminal Justice Matters: https://www.semanticscholar.org/paper/ViSOR-%E2%80%93-Violent-and-Sex-Offender-Register-Edwards/7931ce1e717ebae47518b2139cf0165a33652856</w:t>
                  </w:r>
                </w:p>
                <w:p w14:paraId="511F578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Edwrads, D. (n.d.).</w:t>
                  </w:r>
                </w:p>
                <w:p w14:paraId="3A6D59A4"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(2020, March 5th). </w:t>
                  </w:r>
                  <w:r w:rsidRPr="00D024F3">
                    <w:rPr>
                      <w:rFonts w:cstheme="minorHAnsi"/>
                      <w:i/>
                      <w:iCs/>
                      <w:noProof/>
                      <w:lang w:val="en-US"/>
                    </w:rPr>
                    <w:t>Probation Serious Further Offence Review in the case of JOSEPH McCANN.</w:t>
                  </w:r>
                  <w:r w:rsidRPr="00D024F3">
                    <w:rPr>
                      <w:rFonts w:cstheme="minorHAnsi"/>
                      <w:noProof/>
                      <w:lang w:val="en-US"/>
                    </w:rPr>
                    <w:t xml:space="preserve"> Retrieved from GOV.UK: https://www.gov.uk/government/publications/review-into-the-case-of-joseph-mccann</w:t>
                  </w:r>
                </w:p>
                <w:p w14:paraId="1014B7A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(2021, October 28th). </w:t>
                  </w:r>
                  <w:r w:rsidRPr="00D024F3">
                    <w:rPr>
                      <w:rFonts w:cstheme="minorHAnsi"/>
                      <w:i/>
                      <w:iCs/>
                      <w:noProof/>
                      <w:lang w:val="en-US"/>
                    </w:rPr>
                    <w:t>Multi-Agency Public Protection Arrangements (MAPPA) Annual Report 2020/21.</w:t>
                  </w:r>
                  <w:r w:rsidRPr="00D024F3">
                    <w:rPr>
                      <w:rFonts w:cstheme="minorHAnsi"/>
                      <w:noProof/>
                      <w:lang w:val="en-US"/>
                    </w:rPr>
                    <w:t xml:space="preserve"> Retrieved from GOV.UK: https://assets.publishing.service.gov.uk/government/uploads/system/uploads/attachment_data/file/1029349/MAPPA_Annual_Report_2020-21.pdf</w:t>
                  </w:r>
                </w:p>
                <w:p w14:paraId="05D5672B"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System, N. O., &amp; Service, H. P. (2014, March 21st). </w:t>
                  </w:r>
                  <w:r w:rsidRPr="00D024F3">
                    <w:rPr>
                      <w:rFonts w:cstheme="minorHAnsi"/>
                      <w:i/>
                      <w:iCs/>
                      <w:noProof/>
                      <w:lang w:val="en-US"/>
                    </w:rPr>
                    <w:t>Multi-agency public protection arrangements (MAPPA): Guidance.</w:t>
                  </w:r>
                  <w:r w:rsidRPr="00D024F3">
                    <w:rPr>
                      <w:rFonts w:cstheme="minorHAnsi"/>
                      <w:noProof/>
                      <w:lang w:val="en-US"/>
                    </w:rPr>
                    <w:t xml:space="preserve"> Retrieved from GOV.UK: </w:t>
                  </w:r>
                  <w:r w:rsidRPr="00D024F3">
                    <w:rPr>
                      <w:rFonts w:cstheme="minorHAnsi"/>
                      <w:noProof/>
                      <w:lang w:val="en-US"/>
                    </w:rPr>
                    <w:lastRenderedPageBreak/>
                    <w:t>https://www.gov.uk/government/publications/multi-agency-public-protection-arrangements-mappa-guidance</w:t>
                  </w:r>
                </w:p>
                <w:p w14:paraId="66E3A1A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Nash, M., &amp; Walker, L. (2009). Is Closer Collaboration Really the Key to Effectiveness? </w:t>
                  </w:r>
                  <w:r w:rsidRPr="00D024F3">
                    <w:rPr>
                      <w:rFonts w:cstheme="minorHAnsi"/>
                      <w:i/>
                      <w:iCs/>
                      <w:noProof/>
                      <w:lang w:val="en-US"/>
                    </w:rPr>
                    <w:t>Policing: A Journal of Policy and Practice, Volume 3, Issue 2</w:t>
                  </w:r>
                  <w:r w:rsidRPr="00D024F3">
                    <w:rPr>
                      <w:rFonts w:cstheme="minorHAnsi"/>
                      <w:noProof/>
                      <w:lang w:val="en-US"/>
                    </w:rPr>
                    <w:t>, 172-180.</w:t>
                  </w:r>
                </w:p>
                <w:p w14:paraId="45BC827E"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(2017, July 18th). </w:t>
                  </w:r>
                  <w:r w:rsidRPr="00D024F3">
                    <w:rPr>
                      <w:rFonts w:cstheme="minorHAnsi"/>
                      <w:i/>
                      <w:iCs/>
                      <w:noProof/>
                      <w:lang w:val="en-US"/>
                    </w:rPr>
                    <w:t>Multi-agency public protection arrangements (MAPPA)</w:t>
                  </w:r>
                  <w:r w:rsidRPr="00D024F3">
                    <w:rPr>
                      <w:rFonts w:cstheme="minorHAnsi"/>
                      <w:noProof/>
                      <w:lang w:val="en-US"/>
                    </w:rPr>
                    <w:t>. Retrieved from Managing sexual offenders and violent offenders: https://www.college.police.uk/app/major-investigation-and-public-protection/managing-sexual-offenders-and-violent-offenders/multi-agency-public-protection-arrangements-mappa</w:t>
                  </w:r>
                </w:p>
                <w:p w14:paraId="6BE6EFEA"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Stout, B., Williams, B., &amp; Yates, J. (2008). </w:t>
                  </w:r>
                  <w:r w:rsidRPr="00D024F3">
                    <w:rPr>
                      <w:rFonts w:cstheme="minorHAnsi"/>
                      <w:i/>
                      <w:iCs/>
                      <w:noProof/>
                      <w:lang w:val="en-US"/>
                    </w:rPr>
                    <w:t>Applied Criminology.</w:t>
                  </w:r>
                  <w:r w:rsidRPr="00D024F3">
                    <w:rPr>
                      <w:rFonts w:cstheme="minorHAnsi"/>
                      <w:noProof/>
                      <w:lang w:val="en-US"/>
                    </w:rPr>
                    <w:t xml:space="preserve"> London: Sage Publications. Retrieved from Applied Criminology: http://digital.casalini.it/9781446206232 - Casalini id: 4912365 </w:t>
                  </w:r>
                </w:p>
                <w:p w14:paraId="12158650" w14:textId="7FCFE3F6" w:rsidR="00D973E9" w:rsidRPr="00D024F3" w:rsidRDefault="00D973E9" w:rsidP="00D973E9">
                  <w:pPr>
                    <w:spacing w:line="480" w:lineRule="auto"/>
                    <w:rPr>
                      <w:rFonts w:cstheme="minorHAnsi"/>
                    </w:rPr>
                  </w:pPr>
                  <w:r w:rsidRPr="00D024F3">
                    <w:rPr>
                      <w:rFonts w:cstheme="minorHAnsi"/>
                      <w:b/>
                      <w:bCs/>
                      <w:noProof/>
                    </w:rPr>
                    <w:fldChar w:fldCharType="end"/>
                  </w:r>
                </w:p>
              </w:sdtContent>
            </w:sdt>
          </w:sdtContent>
        </w:sdt>
        <w:p w14:paraId="10DE8FD8" w14:textId="77777777" w:rsidR="00D973E9" w:rsidRPr="00D024F3" w:rsidRDefault="00D973E9" w:rsidP="00D973E9">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b/>
              <w:bCs/>
              <w:lang w:eastAsia="en-GB"/>
            </w:rPr>
            <w:t>Essay four:</w:t>
          </w:r>
          <w:r w:rsidRPr="00D024F3">
            <w:rPr>
              <w:rFonts w:eastAsia="Times New Roman" w:cstheme="minorHAnsi"/>
              <w:lang w:eastAsia="en-GB"/>
            </w:rPr>
            <w:t xml:space="preserve"> </w:t>
          </w:r>
        </w:p>
        <w:p w14:paraId="50EFFBD6" w14:textId="575271C4" w:rsidR="00D973E9" w:rsidRDefault="00D973E9"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r w:rsidRPr="00D024F3">
            <w:rPr>
              <w:rFonts w:eastAsia="Times New Roman" w:cstheme="minorHAnsi"/>
              <w:lang w:eastAsia="en-GB"/>
            </w:rPr>
            <w:t>Why is it necessary for independent bodies (</w:t>
          </w:r>
          <w:proofErr w:type="gramStart"/>
          <w:r w:rsidRPr="00D024F3">
            <w:rPr>
              <w:rFonts w:eastAsia="Times New Roman" w:cstheme="minorHAnsi"/>
              <w:lang w:eastAsia="en-GB"/>
            </w:rPr>
            <w:t>i.e.</w:t>
          </w:r>
          <w:proofErr w:type="gramEnd"/>
          <w:r w:rsidRPr="00D024F3">
            <w:rPr>
              <w:rFonts w:eastAsia="Times New Roman" w:cstheme="minorHAnsi"/>
              <w:lang w:eastAsia="en-GB"/>
            </w:rPr>
            <w:t xml:space="preserve"> IOPC) to hold police officers accountable?</w:t>
          </w:r>
        </w:p>
        <w:p w14:paraId="10E359D4" w14:textId="77777777" w:rsidR="00F16A01" w:rsidRPr="00F16A01" w:rsidRDefault="00F16A01" w:rsidP="00F16A01">
          <w:pPr>
            <w:overflowPunct w:val="0"/>
            <w:autoSpaceDE w:val="0"/>
            <w:autoSpaceDN w:val="0"/>
            <w:adjustRightInd w:val="0"/>
            <w:spacing w:after="0" w:line="480" w:lineRule="auto"/>
            <w:ind w:left="567" w:right="531"/>
            <w:textAlignment w:val="baseline"/>
            <w:rPr>
              <w:rFonts w:eastAsia="Times New Roman" w:cstheme="minorHAnsi"/>
              <w:lang w:eastAsia="en-GB"/>
            </w:rPr>
          </w:pPr>
        </w:p>
        <w:p w14:paraId="57E6F3DB" w14:textId="77777777" w:rsidR="00D973E9" w:rsidRPr="00D024F3" w:rsidRDefault="00D973E9" w:rsidP="00D973E9">
          <w:pPr>
            <w:spacing w:after="100" w:afterAutospacing="1" w:line="480" w:lineRule="auto"/>
            <w:rPr>
              <w:rFonts w:cstheme="minorHAnsi"/>
            </w:rPr>
          </w:pPr>
          <w:r w:rsidRPr="00D024F3">
            <w:rPr>
              <w:rFonts w:cstheme="minorHAnsi"/>
            </w:rPr>
            <w:t>Accountability is an integral component for any walk of life in society and even more important to hold enforcement agencies such as the Police on a higher pillar of this. When Police officers are sworn in, they are given and entrusted in using power and authority in containing law and order within their societies. “</w:t>
          </w:r>
          <w:r w:rsidRPr="00D024F3">
            <w:rPr>
              <w:rFonts w:cstheme="minorHAnsi"/>
              <w:color w:val="393939"/>
              <w:shd w:val="clear" w:color="auto" w:fill="FFFFFF"/>
            </w:rPr>
            <w:t xml:space="preserve">The Office of Constable grants them powers to detect, prevent and investigate crime” </w:t>
          </w:r>
          <w:sdt>
            <w:sdtPr>
              <w:rPr>
                <w:rFonts w:cstheme="minorHAnsi"/>
                <w:color w:val="393939"/>
                <w:shd w:val="clear" w:color="auto" w:fill="FFFFFF"/>
              </w:rPr>
              <w:id w:val="1724255869"/>
              <w:citation/>
            </w:sdtPr>
            <w:sdtContent>
              <w:r w:rsidRPr="00D024F3">
                <w:rPr>
                  <w:rFonts w:cstheme="minorHAnsi"/>
                  <w:color w:val="393939"/>
                  <w:shd w:val="clear" w:color="auto" w:fill="FFFFFF"/>
                </w:rPr>
                <w:fldChar w:fldCharType="begin"/>
              </w:r>
              <w:r w:rsidRPr="00D024F3">
                <w:rPr>
                  <w:rFonts w:cstheme="minorHAnsi"/>
                  <w:color w:val="393939"/>
                  <w:shd w:val="clear" w:color="auto" w:fill="FFFFFF"/>
                </w:rPr>
                <w:instrText xml:space="preserve"> CITATION Jen21 \l 2057 </w:instrText>
              </w:r>
              <w:r w:rsidRPr="00D024F3">
                <w:rPr>
                  <w:rFonts w:cstheme="minorHAnsi"/>
                  <w:color w:val="393939"/>
                  <w:shd w:val="clear" w:color="auto" w:fill="FFFFFF"/>
                </w:rPr>
                <w:fldChar w:fldCharType="separate"/>
              </w:r>
              <w:r w:rsidRPr="00D024F3">
                <w:rPr>
                  <w:rFonts w:cstheme="minorHAnsi"/>
                  <w:noProof/>
                  <w:color w:val="393939"/>
                  <w:shd w:val="clear" w:color="auto" w:fill="FFFFFF"/>
                </w:rPr>
                <w:t>(Brown, 2021)</w:t>
              </w:r>
              <w:r w:rsidRPr="00D024F3">
                <w:rPr>
                  <w:rFonts w:cstheme="minorHAnsi"/>
                  <w:color w:val="393939"/>
                  <w:shd w:val="clear" w:color="auto" w:fill="FFFFFF"/>
                </w:rPr>
                <w:fldChar w:fldCharType="end"/>
              </w:r>
            </w:sdtContent>
          </w:sdt>
          <w:r w:rsidRPr="00D024F3">
            <w:rPr>
              <w:rFonts w:cstheme="minorHAnsi"/>
              <w:color w:val="393939"/>
              <w:shd w:val="clear" w:color="auto" w:fill="FFFFFF"/>
            </w:rPr>
            <w:t xml:space="preserve">. </w:t>
          </w:r>
          <w:r w:rsidRPr="00D024F3">
            <w:rPr>
              <w:rFonts w:cstheme="minorHAnsi"/>
            </w:rPr>
            <w:t xml:space="preserve">Both power and authority are used solely for the protection of the public to ensure their safety amongst those who wish to commit acts against written law. Due to this warranted power, it is imperative that there is a system where accountability is recognised in Police officers, as a professional body, they are still human and not above the law. Therefore, police need </w:t>
          </w:r>
          <w:r w:rsidRPr="00D024F3">
            <w:rPr>
              <w:rFonts w:cstheme="minorHAnsi"/>
            </w:rPr>
            <w:lastRenderedPageBreak/>
            <w:t xml:space="preserve">to be held to those standards they expect from members of the public who consent to their existence in society. Academic Tom Tyler argues that the legitimacy of the police stems from the publics belief in that they act fairly and conduct themselves justly </w:t>
          </w:r>
          <w:sdt>
            <w:sdtPr>
              <w:rPr>
                <w:rFonts w:cstheme="minorHAnsi"/>
              </w:rPr>
              <w:id w:val="1797562416"/>
              <w:citation/>
            </w:sdtPr>
            <w:sdtContent>
              <w:r w:rsidRPr="00D024F3">
                <w:rPr>
                  <w:rFonts w:cstheme="minorHAnsi"/>
                </w:rPr>
                <w:fldChar w:fldCharType="begin"/>
              </w:r>
              <w:r w:rsidRPr="00D024F3">
                <w:rPr>
                  <w:rFonts w:cstheme="minorHAnsi"/>
                </w:rPr>
                <w:instrText xml:space="preserve">CITATION Tom90 \l 2057 </w:instrText>
              </w:r>
              <w:r w:rsidRPr="00D024F3">
                <w:rPr>
                  <w:rFonts w:cstheme="minorHAnsi"/>
                </w:rPr>
                <w:fldChar w:fldCharType="separate"/>
              </w:r>
              <w:r w:rsidRPr="00D024F3">
                <w:rPr>
                  <w:rFonts w:cstheme="minorHAnsi"/>
                  <w:noProof/>
                </w:rPr>
                <w:t>(Tyler, 1990)</w:t>
              </w:r>
              <w:r w:rsidRPr="00D024F3">
                <w:rPr>
                  <w:rFonts w:cstheme="minorHAnsi"/>
                </w:rPr>
                <w:fldChar w:fldCharType="end"/>
              </w:r>
            </w:sdtContent>
          </w:sdt>
          <w:r w:rsidRPr="00D024F3">
            <w:rPr>
              <w:rFonts w:cstheme="minorHAnsi"/>
            </w:rPr>
            <w:t>.</w:t>
          </w:r>
        </w:p>
        <w:p w14:paraId="5225EC67" w14:textId="77777777" w:rsidR="00D973E9" w:rsidRPr="00D024F3" w:rsidRDefault="00D973E9" w:rsidP="00D973E9">
          <w:pPr>
            <w:spacing w:after="100" w:afterAutospacing="1" w:line="480" w:lineRule="auto"/>
            <w:rPr>
              <w:rFonts w:cstheme="minorHAnsi"/>
            </w:rPr>
          </w:pPr>
          <w:r w:rsidRPr="00D024F3">
            <w:rPr>
              <w:rFonts w:cstheme="minorHAnsi"/>
            </w:rPr>
            <w:t xml:space="preserve">Some police forces will act upon complaints in house, essentially ‘policing their police’, and these are referred to as Professional Standards Departments (PSD). PSD endeavour to maintain standards within police forces by challenging behaviour, assessing conduct, and enforcing consequence </w:t>
          </w:r>
          <w:sdt>
            <w:sdtPr>
              <w:rPr>
                <w:rFonts w:cstheme="minorHAnsi"/>
              </w:rPr>
              <w:id w:val="42332069"/>
              <w:citation/>
            </w:sdtPr>
            <w:sdtContent>
              <w:r w:rsidRPr="00D024F3">
                <w:rPr>
                  <w:rFonts w:cstheme="minorHAnsi"/>
                </w:rPr>
                <w:fldChar w:fldCharType="begin"/>
              </w:r>
              <w:r w:rsidRPr="00D024F3">
                <w:rPr>
                  <w:rFonts w:cstheme="minorHAnsi"/>
                </w:rPr>
                <w:instrText xml:space="preserve"> CITATION Col15 \l 2057 </w:instrText>
              </w:r>
              <w:r w:rsidRPr="00D024F3">
                <w:rPr>
                  <w:rFonts w:cstheme="minorHAnsi"/>
                </w:rPr>
                <w:fldChar w:fldCharType="separate"/>
              </w:r>
              <w:r w:rsidRPr="00D024F3">
                <w:rPr>
                  <w:rFonts w:cstheme="minorHAnsi"/>
                  <w:noProof/>
                </w:rPr>
                <w:t>(Policing, 2015)</w:t>
              </w:r>
              <w:r w:rsidRPr="00D024F3">
                <w:rPr>
                  <w:rFonts w:cstheme="minorHAnsi"/>
                </w:rPr>
                <w:fldChar w:fldCharType="end"/>
              </w:r>
            </w:sdtContent>
          </w:sdt>
          <w:r w:rsidRPr="00D024F3">
            <w:rPr>
              <w:rFonts w:cstheme="minorHAnsi"/>
            </w:rPr>
            <w:t xml:space="preserve">. Like PSD, there are separate impartial bodies that exist outside the enforcement entity, which can be called in to investigate when the issue is too highly sensitive or severe in nature. The public body to investigate and hold Police accountable is called the Independent Office for Police Conduct (IOPC) and is overseen by the Home Office. In addition, it consists of non-police and non-government workers which assists with the impartiality of the process it undertakes. In some cases where a death has occurred following police contact the police force will offer itself to be investigated by the IOPC, but complaints can also be made by the public and police officers regarding colleagues conduct. When the oath is read and accepted by a police officer during their attestation, they commit to serving by the ten standards set out for them. Examining the final standard, it asks for compliance in  challenging and reporting behaviour that falls below all other standards set out </w:t>
          </w:r>
          <w:sdt>
            <w:sdtPr>
              <w:rPr>
                <w:rFonts w:cstheme="minorHAnsi"/>
              </w:rPr>
              <w:id w:val="1478109861"/>
              <w:citation/>
            </w:sdtPr>
            <w:sdtContent>
              <w:r w:rsidRPr="00D024F3">
                <w:rPr>
                  <w:rFonts w:cstheme="minorHAnsi"/>
                </w:rPr>
                <w:fldChar w:fldCharType="begin"/>
              </w:r>
              <w:r w:rsidRPr="00D024F3">
                <w:rPr>
                  <w:rFonts w:cstheme="minorHAnsi"/>
                </w:rPr>
                <w:instrText xml:space="preserve"> CITATION Rob21 \l 2057 </w:instrText>
              </w:r>
              <w:r w:rsidRPr="00D024F3">
                <w:rPr>
                  <w:rFonts w:cstheme="minorHAnsi"/>
                </w:rPr>
                <w:fldChar w:fldCharType="separate"/>
              </w:r>
              <w:r w:rsidRPr="00D024F3">
                <w:rPr>
                  <w:rFonts w:cstheme="minorHAnsi"/>
                  <w:noProof/>
                </w:rPr>
                <w:t>(Bryant, 2021)</w:t>
              </w:r>
              <w:r w:rsidRPr="00D024F3">
                <w:rPr>
                  <w:rFonts w:cstheme="minorHAnsi"/>
                </w:rPr>
                <w:fldChar w:fldCharType="end"/>
              </w:r>
            </w:sdtContent>
          </w:sdt>
          <w:r w:rsidRPr="00D024F3">
            <w:rPr>
              <w:rFonts w:cstheme="minorHAnsi"/>
            </w:rPr>
            <w:t>.</w:t>
          </w:r>
        </w:p>
        <w:p w14:paraId="3BAE15B5" w14:textId="77777777" w:rsidR="00D973E9" w:rsidRPr="00D024F3" w:rsidRDefault="00D973E9" w:rsidP="00D973E9">
          <w:pPr>
            <w:spacing w:after="100" w:afterAutospacing="1" w:line="480" w:lineRule="auto"/>
            <w:rPr>
              <w:rFonts w:cstheme="minorHAnsi"/>
            </w:rPr>
          </w:pPr>
          <w:r w:rsidRPr="00D024F3">
            <w:rPr>
              <w:rFonts w:cstheme="minorHAnsi"/>
            </w:rPr>
            <w:t xml:space="preserve">Why is it necessary for there to be an impartial body investigating? Unfortunately, there are some officers who tarnish their forces reputation and the gruelling work and hours that others have put into their jobs to maintain strong community relations. Police corruption is quite simply the shocking reality which dams the public’s perception and confidence. Subsequently, it is a requirement to sift the rot out. Explained quite simplistically by Dixon (1990) “Legal regulation is a mode of accountability”. If a third party is taking over the investigation, then the public are more likely to feel satisfied that it has been done with no corruption or cover ups. Furthermore, if there is more than one officer involved in a matter then the force can no longer be impartial and needs the </w:t>
          </w:r>
          <w:r w:rsidRPr="00D024F3">
            <w:rPr>
              <w:rFonts w:cstheme="minorHAnsi"/>
            </w:rPr>
            <w:lastRenderedPageBreak/>
            <w:t xml:space="preserve">investigation carried out by another force or the IPOC, dependant on the severity. Evidencing this is the case of the Metropolitan Police in June 2020 whereby two police constables were responsible for a cordon at a double murder scene. Whilst performing this duty, one of the officers took a photograph on his personal mobile device, with the bodies visible in the background, and sent it to three other officers. Despicably, the officers also used degrading and sexist remarks regarding the deceased females. The IPOC were called upon to investigate this appalling matter due to the magnitude of the situation and amount involved. Rightly so, the two officers taking pictures were served a custodial sentence </w:t>
          </w:r>
          <w:sdt>
            <w:sdtPr>
              <w:rPr>
                <w:rFonts w:cstheme="minorHAnsi"/>
              </w:rPr>
              <w:id w:val="-905215469"/>
              <w:citation/>
            </w:sdtPr>
            <w:sdtContent>
              <w:r w:rsidRPr="00D024F3">
                <w:rPr>
                  <w:rFonts w:cstheme="minorHAnsi"/>
                </w:rPr>
                <w:fldChar w:fldCharType="begin"/>
              </w:r>
              <w:r w:rsidRPr="00D024F3">
                <w:rPr>
                  <w:rFonts w:cstheme="minorHAnsi"/>
                </w:rPr>
                <w:instrText xml:space="preserve"> CITATION IPO21 \l 2057 </w:instrText>
              </w:r>
              <w:r w:rsidRPr="00D024F3">
                <w:rPr>
                  <w:rFonts w:cstheme="minorHAnsi"/>
                </w:rPr>
                <w:fldChar w:fldCharType="separate"/>
              </w:r>
              <w:r w:rsidRPr="00D024F3">
                <w:rPr>
                  <w:rFonts w:cstheme="minorHAnsi"/>
                  <w:noProof/>
                </w:rPr>
                <w:t>(IPOC, 2021)</w:t>
              </w:r>
              <w:r w:rsidRPr="00D024F3">
                <w:rPr>
                  <w:rFonts w:cstheme="minorHAnsi"/>
                </w:rPr>
                <w:fldChar w:fldCharType="end"/>
              </w:r>
            </w:sdtContent>
          </w:sdt>
          <w:r w:rsidRPr="00D024F3">
            <w:rPr>
              <w:rFonts w:cstheme="minorHAnsi"/>
            </w:rPr>
            <w:t xml:space="preserve">. Moreover, the three officers who had been recipients of the images were also investigated as they did not fulfil the tenth professional standard of reporting misconduct. This case is one of too many but encapsulates the need for impartiality and to hold those in power accountable for their actions or in this case lack of action also. </w:t>
          </w:r>
        </w:p>
        <w:p w14:paraId="7352F073" w14:textId="77777777" w:rsidR="00D973E9" w:rsidRPr="00D024F3" w:rsidRDefault="00D973E9" w:rsidP="00D973E9">
          <w:pPr>
            <w:spacing w:after="100" w:afterAutospacing="1" w:line="480" w:lineRule="auto"/>
            <w:rPr>
              <w:rFonts w:cstheme="minorHAnsi"/>
              <w:color w:val="000000"/>
              <w:shd w:val="clear" w:color="auto" w:fill="FFFFFF"/>
            </w:rPr>
          </w:pPr>
          <w:r w:rsidRPr="00D024F3">
            <w:rPr>
              <w:rFonts w:cstheme="minorHAnsi"/>
            </w:rPr>
            <w:t xml:space="preserve">Undisputedly, the IPOC is an absolute necessity, however, at what cost does it have on the mental health of those under investigation who are proven innocent? Currently there is a campaign ongoing by Police Federations titled ‘Time Limits’, which is asking for investigations to be conducted within a year of the allegation being flagged. Statistics created by Police Federation show that out of 31,097 complaints made in 2018/2019 ,of these 33 officers were dismissed, but all would have been subject to investigation. Furthermore, there is currently no time limit for these investigations. </w:t>
          </w:r>
          <w:sdt>
            <w:sdtPr>
              <w:rPr>
                <w:rFonts w:cstheme="minorHAnsi"/>
              </w:rPr>
              <w:id w:val="-796216346"/>
              <w:citation/>
            </w:sdtPr>
            <w:sdtContent>
              <w:r w:rsidRPr="00D024F3">
                <w:rPr>
                  <w:rFonts w:cstheme="minorHAnsi"/>
                </w:rPr>
                <w:fldChar w:fldCharType="begin"/>
              </w:r>
              <w:r w:rsidRPr="00D024F3">
                <w:rPr>
                  <w:rFonts w:cstheme="minorHAnsi"/>
                  <w:noProof/>
                </w:rPr>
                <w:instrText xml:space="preserve"> CITATION Pol \l 2057 </w:instrText>
              </w:r>
              <w:r w:rsidRPr="00D024F3">
                <w:rPr>
                  <w:rFonts w:cstheme="minorHAnsi"/>
                </w:rPr>
                <w:fldChar w:fldCharType="separate"/>
              </w:r>
              <w:r w:rsidRPr="00D024F3">
                <w:rPr>
                  <w:rFonts w:cstheme="minorHAnsi"/>
                  <w:noProof/>
                </w:rPr>
                <w:t>(Federation, Time Limits, n.d.)</w:t>
              </w:r>
              <w:r w:rsidRPr="00D024F3">
                <w:rPr>
                  <w:rFonts w:cstheme="minorHAnsi"/>
                </w:rPr>
                <w:fldChar w:fldCharType="end"/>
              </w:r>
            </w:sdtContent>
          </w:sdt>
          <w:r w:rsidRPr="00D024F3">
            <w:rPr>
              <w:rFonts w:cstheme="minorHAnsi"/>
              <w:noProof/>
            </w:rPr>
            <w:t xml:space="preserve">. </w:t>
          </w:r>
          <w:r w:rsidRPr="00D024F3">
            <w:rPr>
              <w:rFonts w:cstheme="minorHAnsi"/>
            </w:rPr>
            <w:t xml:space="preserve">Following a gruelling wait of between four and seven years to be investigated, six officers were represented by the Police Federation against further examples. The federations </w:t>
          </w:r>
          <w:r w:rsidRPr="00D024F3">
            <w:rPr>
              <w:rFonts w:cstheme="minorHAnsi"/>
              <w:color w:val="000000"/>
              <w:shd w:val="clear" w:color="auto" w:fill="FFFFFF"/>
            </w:rPr>
            <w:t xml:space="preserve">National Vice Chair, </w:t>
          </w:r>
          <w:proofErr w:type="spellStart"/>
          <w:r w:rsidRPr="00D024F3">
            <w:rPr>
              <w:rFonts w:cstheme="minorHAnsi"/>
              <w:color w:val="000000"/>
              <w:shd w:val="clear" w:color="auto" w:fill="FFFFFF"/>
            </w:rPr>
            <w:t>Ché</w:t>
          </w:r>
          <w:proofErr w:type="spellEnd"/>
          <w:r w:rsidRPr="00D024F3">
            <w:rPr>
              <w:rFonts w:cstheme="minorHAnsi"/>
              <w:color w:val="000000"/>
              <w:shd w:val="clear" w:color="auto" w:fill="FFFFFF"/>
            </w:rPr>
            <w:t xml:space="preserve"> Donald, announced: </w:t>
          </w:r>
        </w:p>
        <w:p w14:paraId="4FDF5CEB" w14:textId="77777777" w:rsidR="00D973E9" w:rsidRPr="00D024F3" w:rsidRDefault="00D973E9" w:rsidP="00D973E9">
          <w:pPr>
            <w:spacing w:after="100" w:afterAutospacing="1" w:line="480" w:lineRule="auto"/>
            <w:rPr>
              <w:rFonts w:cstheme="minorHAnsi"/>
              <w:color w:val="000000"/>
              <w:shd w:val="clear" w:color="auto" w:fill="FFFFFF"/>
            </w:rPr>
          </w:pPr>
          <w:r w:rsidRPr="00D024F3">
            <w:rPr>
              <w:rFonts w:cstheme="minorHAnsi"/>
            </w:rPr>
            <w:t xml:space="preserve"> </w:t>
          </w:r>
          <w:r w:rsidRPr="00D024F3">
            <w:rPr>
              <w:rFonts w:cstheme="minorHAnsi"/>
              <w:color w:val="000000"/>
              <w:shd w:val="clear" w:color="auto" w:fill="FFFFFF"/>
            </w:rPr>
            <w:t xml:space="preserve">“The simple fact is none of these officers needed to be put through a process which lasted </w:t>
          </w:r>
          <w:proofErr w:type="gramStart"/>
          <w:r w:rsidRPr="00D024F3">
            <w:rPr>
              <w:rFonts w:cstheme="minorHAnsi"/>
              <w:color w:val="000000"/>
              <w:shd w:val="clear" w:color="auto" w:fill="FFFFFF"/>
            </w:rPr>
            <w:t>a number of</w:t>
          </w:r>
          <w:proofErr w:type="gramEnd"/>
          <w:r w:rsidRPr="00D024F3">
            <w:rPr>
              <w:rFonts w:cstheme="minorHAnsi"/>
              <w:color w:val="000000"/>
              <w:shd w:val="clear" w:color="auto" w:fill="FFFFFF"/>
            </w:rPr>
            <w:t xml:space="preserve"> years, and this massively impacted on their mental and physical wellbeing, while leaving them in limbo. Although financial compensation is good, it won’t change the fact they had to go through hell.” </w:t>
          </w:r>
          <w:sdt>
            <w:sdtPr>
              <w:rPr>
                <w:rFonts w:cstheme="minorHAnsi"/>
                <w:color w:val="000000"/>
                <w:shd w:val="clear" w:color="auto" w:fill="FFFFFF"/>
              </w:rPr>
              <w:id w:val="1604379355"/>
              <w:citation/>
            </w:sdtPr>
            <w:sdtContent>
              <w:r w:rsidRPr="00D024F3">
                <w:rPr>
                  <w:rFonts w:cstheme="minorHAnsi"/>
                  <w:color w:val="000000"/>
                  <w:shd w:val="clear" w:color="auto" w:fill="FFFFFF"/>
                </w:rPr>
                <w:fldChar w:fldCharType="begin"/>
              </w:r>
              <w:r w:rsidRPr="00D024F3">
                <w:rPr>
                  <w:rFonts w:cstheme="minorHAnsi"/>
                  <w:color w:val="000000"/>
                  <w:shd w:val="clear" w:color="auto" w:fill="FFFFFF"/>
                </w:rPr>
                <w:instrText xml:space="preserve"> CITATION Pol22 \l 2057 </w:instrText>
              </w:r>
              <w:r w:rsidRPr="00D024F3">
                <w:rPr>
                  <w:rFonts w:cstheme="minorHAnsi"/>
                  <w:color w:val="000000"/>
                  <w:shd w:val="clear" w:color="auto" w:fill="FFFFFF"/>
                </w:rPr>
                <w:fldChar w:fldCharType="separate"/>
              </w:r>
              <w:r w:rsidRPr="00D024F3">
                <w:rPr>
                  <w:rFonts w:cstheme="minorHAnsi"/>
                  <w:noProof/>
                  <w:color w:val="000000"/>
                  <w:shd w:val="clear" w:color="auto" w:fill="FFFFFF"/>
                </w:rPr>
                <w:t>(Federation, Successful PFEW legal action holds IOPC to account, 2022)</w:t>
              </w:r>
              <w:r w:rsidRPr="00D024F3">
                <w:rPr>
                  <w:rFonts w:cstheme="minorHAnsi"/>
                  <w:color w:val="000000"/>
                  <w:shd w:val="clear" w:color="auto" w:fill="FFFFFF"/>
                </w:rPr>
                <w:fldChar w:fldCharType="end"/>
              </w:r>
            </w:sdtContent>
          </w:sdt>
        </w:p>
        <w:p w14:paraId="60FA3FAA" w14:textId="14CEDDA6" w:rsidR="00D973E9" w:rsidRPr="00D024F3" w:rsidRDefault="00D973E9" w:rsidP="00D973E9">
          <w:pPr>
            <w:spacing w:after="100" w:afterAutospacing="1" w:line="480" w:lineRule="auto"/>
            <w:rPr>
              <w:rFonts w:cstheme="minorHAnsi"/>
            </w:rPr>
          </w:pPr>
          <w:r w:rsidRPr="00D024F3">
            <w:rPr>
              <w:rFonts w:cstheme="minorHAnsi"/>
            </w:rPr>
            <w:lastRenderedPageBreak/>
            <w:t xml:space="preserve">On conclusion, it is clear the need for accountability for police officers who break their vow of public protection by disengaging from the professional standards, to withhold the trust of the public and maintain the integrity of the Police and officers who uphold their oath. There is no place for officers who feel they can abuse their power in any way. Creation of the IPOC was a significant move, nevertheless, there is still room for improvement when innocent officers are subjected to lengthy investigations. Officers when being investigated are restricted and at times suspended, which has a detrimental </w:t>
          </w:r>
          <w:r w:rsidR="00F16A01" w:rsidRPr="00D024F3">
            <w:rPr>
              <w:rFonts w:cstheme="minorHAnsi"/>
            </w:rPr>
            <w:t>effect</w:t>
          </w:r>
          <w:r w:rsidRPr="00D024F3">
            <w:rPr>
              <w:rFonts w:cstheme="minorHAnsi"/>
            </w:rPr>
            <w:t xml:space="preserve"> on their health, personal and professional livelihoods. Even when found not guilty, these officers must carry the burden of the affects and are then expected to continue as normal when potentially being out of their normal role for a long time. Subsequently, officers need retraining and forces must pay this price. Therefore, the fight for time restraints will be a celebration to all involved. </w:t>
          </w:r>
        </w:p>
        <w:p w14:paraId="10F138C4" w14:textId="5F19E76B" w:rsidR="00D973E9" w:rsidRPr="00D024F3" w:rsidRDefault="00D973E9" w:rsidP="00F16A01">
          <w:pPr>
            <w:spacing w:after="100" w:afterAutospacing="1" w:line="480" w:lineRule="auto"/>
            <w:ind w:left="6480" w:firstLine="720"/>
            <w:rPr>
              <w:rFonts w:cstheme="minorHAnsi"/>
            </w:rPr>
          </w:pPr>
          <w:r w:rsidRPr="00D024F3">
            <w:rPr>
              <w:rFonts w:cstheme="minorHAnsi"/>
            </w:rPr>
            <w:t xml:space="preserve">  Word Count: 1037</w:t>
          </w:r>
        </w:p>
        <w:p w14:paraId="111B61C4" w14:textId="77777777" w:rsidR="00D973E9" w:rsidRPr="00D024F3" w:rsidRDefault="00D973E9"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References</w:t>
          </w:r>
        </w:p>
        <w:sdt>
          <w:sdtPr>
            <w:rPr>
              <w:rFonts w:cstheme="minorHAnsi"/>
            </w:rPr>
            <w:id w:val="1385452776"/>
            <w:bibliography/>
          </w:sdtPr>
          <w:sdtContent>
            <w:p w14:paraId="6282564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Brown, J. (2021, September 29th). </w:t>
              </w:r>
              <w:r w:rsidRPr="00D024F3">
                <w:rPr>
                  <w:rFonts w:cstheme="minorHAnsi"/>
                  <w:i/>
                  <w:iCs/>
                  <w:noProof/>
                  <w:lang w:val="en-US"/>
                </w:rPr>
                <w:t>Policing in the UK.</w:t>
              </w:r>
              <w:r w:rsidRPr="00D024F3">
                <w:rPr>
                  <w:rFonts w:cstheme="minorHAnsi"/>
                  <w:noProof/>
                  <w:lang w:val="en-US"/>
                </w:rPr>
                <w:t xml:space="preserve"> Retrieved from UK Parliament: https://commonslibrary.parliament.uk/research-briefings/cbp-8582/</w:t>
              </w:r>
            </w:p>
            <w:p w14:paraId="3D348C81"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Bryant, R. B. (2021). </w:t>
              </w:r>
              <w:r w:rsidRPr="00D024F3">
                <w:rPr>
                  <w:rFonts w:cstheme="minorHAnsi"/>
                  <w:i/>
                  <w:iCs/>
                  <w:noProof/>
                  <w:lang w:val="en-US"/>
                </w:rPr>
                <w:t>Handbook for Policing Students.</w:t>
              </w:r>
              <w:r w:rsidRPr="00D024F3">
                <w:rPr>
                  <w:rFonts w:cstheme="minorHAnsi"/>
                  <w:noProof/>
                  <w:lang w:val="en-US"/>
                </w:rPr>
                <w:t xml:space="preserve"> Oxford: Blackstones.</w:t>
              </w:r>
            </w:p>
            <w:p w14:paraId="23FEF8DF"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D Dixon., C. C. (1990). Consent and the Legal Regulation of Policing. </w:t>
              </w:r>
              <w:r w:rsidRPr="00D024F3">
                <w:rPr>
                  <w:rFonts w:cstheme="minorHAnsi"/>
                  <w:i/>
                  <w:iCs/>
                  <w:noProof/>
                  <w:lang w:val="en-US"/>
                </w:rPr>
                <w:t>Journal of Law and Society 17(3)</w:t>
              </w:r>
              <w:r w:rsidRPr="00D024F3">
                <w:rPr>
                  <w:rFonts w:cstheme="minorHAnsi"/>
                  <w:noProof/>
                  <w:lang w:val="en-US"/>
                </w:rPr>
                <w:t>, 345-362.</w:t>
              </w:r>
            </w:p>
            <w:p w14:paraId="079E4BD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(2022, March 21st). </w:t>
              </w:r>
              <w:r w:rsidRPr="00D024F3">
                <w:rPr>
                  <w:rFonts w:cstheme="minorHAnsi"/>
                  <w:i/>
                  <w:iCs/>
                  <w:noProof/>
                  <w:lang w:val="en-US"/>
                </w:rPr>
                <w:t>Successful PFEW legal action holds IOPC to account</w:t>
              </w:r>
              <w:r w:rsidRPr="00D024F3">
                <w:rPr>
                  <w:rFonts w:cstheme="minorHAnsi"/>
                  <w:noProof/>
                  <w:lang w:val="en-US"/>
                </w:rPr>
                <w:t>. Retrieved from Latest News: https://www.polfed.org/news/latest-news/2022/successful-pfew-legal-action-holds-iopc-to-account/</w:t>
              </w:r>
            </w:p>
            <w:p w14:paraId="5ED06639"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(n.d.). </w:t>
              </w:r>
              <w:r w:rsidRPr="00D024F3">
                <w:rPr>
                  <w:rFonts w:cstheme="minorHAnsi"/>
                  <w:i/>
                  <w:iCs/>
                  <w:noProof/>
                  <w:lang w:val="en-US"/>
                </w:rPr>
                <w:t>Time Limits</w:t>
              </w:r>
              <w:r w:rsidRPr="00D024F3">
                <w:rPr>
                  <w:rFonts w:cstheme="minorHAnsi"/>
                  <w:noProof/>
                  <w:lang w:val="en-US"/>
                </w:rPr>
                <w:t>. Retrieved from Campagins: https://www.polfed.org/campaigns/time-limits/</w:t>
              </w:r>
            </w:p>
            <w:p w14:paraId="7BEE80DB"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IOPC. (2020). </w:t>
              </w:r>
              <w:r w:rsidRPr="00D024F3">
                <w:rPr>
                  <w:rFonts w:cstheme="minorHAnsi"/>
                  <w:i/>
                  <w:iCs/>
                  <w:noProof/>
                  <w:lang w:val="en-US"/>
                </w:rPr>
                <w:t>Accountability and Performance</w:t>
              </w:r>
              <w:r w:rsidRPr="00D024F3">
                <w:rPr>
                  <w:rFonts w:cstheme="minorHAnsi"/>
                  <w:noProof/>
                  <w:lang w:val="en-US"/>
                </w:rPr>
                <w:t>. Retrieved from Who we are: https://www.policeconduct.gov.uk/who-we-are</w:t>
              </w:r>
            </w:p>
            <w:p w14:paraId="07D23DD5"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IPOC. (2021, December 6th). </w:t>
              </w:r>
              <w:r w:rsidRPr="00D024F3">
                <w:rPr>
                  <w:rFonts w:cstheme="minorHAnsi"/>
                  <w:i/>
                  <w:iCs/>
                  <w:noProof/>
                  <w:lang w:val="en-US"/>
                </w:rPr>
                <w:t>Former Metropolitan Police Service officers jailed for taking photographs at crime scene</w:t>
              </w:r>
              <w:r w:rsidRPr="00D024F3">
                <w:rPr>
                  <w:rFonts w:cstheme="minorHAnsi"/>
                  <w:noProof/>
                  <w:lang w:val="en-US"/>
                </w:rPr>
                <w:t>. Retrieved from News: https://www.policeconduct.gov.uk/news/former-metropolitan-police-service-officers-jailed-taking-photographs-crime-scene</w:t>
              </w:r>
            </w:p>
            <w:p w14:paraId="279AD9FD"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(2015, July 28th). </w:t>
              </w:r>
              <w:r w:rsidRPr="00D024F3">
                <w:rPr>
                  <w:rFonts w:cstheme="minorHAnsi"/>
                  <w:i/>
                  <w:iCs/>
                  <w:noProof/>
                  <w:lang w:val="en-US"/>
                </w:rPr>
                <w:t>Complaints and Misconduct</w:t>
              </w:r>
              <w:r w:rsidRPr="00D024F3">
                <w:rPr>
                  <w:rFonts w:cstheme="minorHAnsi"/>
                  <w:noProof/>
                  <w:lang w:val="en-US"/>
                </w:rPr>
                <w:t>. Retrieved from Authorised Professional Practice: https://www.college.police.uk/app/professional-standards/complaints-and-misconduct</w:t>
              </w:r>
            </w:p>
            <w:p w14:paraId="7AA98EEE" w14:textId="77777777" w:rsidR="00D973E9" w:rsidRPr="00D024F3" w:rsidRDefault="00D973E9" w:rsidP="00D973E9">
              <w:pPr>
                <w:pStyle w:val="Bibliography"/>
                <w:spacing w:line="480" w:lineRule="auto"/>
                <w:ind w:left="720" w:hanging="720"/>
                <w:rPr>
                  <w:rFonts w:cstheme="minorHAnsi"/>
                  <w:noProof/>
                  <w:lang w:val="en-US"/>
                </w:rPr>
              </w:pPr>
              <w:r w:rsidRPr="00D024F3">
                <w:rPr>
                  <w:rFonts w:cstheme="minorHAnsi"/>
                  <w:noProof/>
                  <w:lang w:val="en-US"/>
                </w:rPr>
                <w:t xml:space="preserve">Tyler, T. R. (1990). The Consent of the Governed: A theoretical exploration of police legitimacy. </w:t>
              </w:r>
              <w:r w:rsidRPr="00D024F3">
                <w:rPr>
                  <w:rFonts w:cstheme="minorHAnsi"/>
                  <w:i/>
                  <w:iCs/>
                  <w:noProof/>
                  <w:lang w:val="en-US"/>
                </w:rPr>
                <w:t>Journal of Social Issues, 46(2)</w:t>
              </w:r>
              <w:r w:rsidRPr="00D024F3">
                <w:rPr>
                  <w:rFonts w:cstheme="minorHAnsi"/>
                  <w:noProof/>
                  <w:lang w:val="en-US"/>
                </w:rPr>
                <w:t>, 67-85.</w:t>
              </w:r>
            </w:p>
            <w:p w14:paraId="2187C985" w14:textId="55DD405D" w:rsidR="00D973E9" w:rsidRPr="00D024F3" w:rsidRDefault="00D973E9" w:rsidP="00D973E9">
              <w:pPr>
                <w:spacing w:line="480" w:lineRule="auto"/>
                <w:rPr>
                  <w:rFonts w:cstheme="minorHAnsi"/>
                </w:rPr>
              </w:pPr>
              <w:r w:rsidRPr="00D024F3">
                <w:rPr>
                  <w:rFonts w:cstheme="minorHAnsi"/>
                  <w:b/>
                  <w:bCs/>
                  <w:noProof/>
                </w:rPr>
                <w:fldChar w:fldCharType="end"/>
              </w:r>
            </w:p>
          </w:sdtContent>
        </w:sdt>
        <w:p w14:paraId="7C181BE1" w14:textId="61B73E26" w:rsidR="00B9770B" w:rsidRPr="00D024F3" w:rsidRDefault="00B9770B" w:rsidP="00D973E9">
          <w:pPr>
            <w:spacing w:line="480" w:lineRule="auto"/>
            <w:rPr>
              <w:rFonts w:cstheme="minorHAnsi"/>
            </w:rPr>
          </w:pPr>
        </w:p>
      </w:sdtContent>
    </w:sdt>
    <w:p w14:paraId="70F20599" w14:textId="77777777" w:rsidR="00B9770B" w:rsidRPr="00D024F3" w:rsidRDefault="00B9770B" w:rsidP="00D973E9">
      <w:pPr>
        <w:pStyle w:val="Heading1"/>
        <w:spacing w:line="480" w:lineRule="auto"/>
        <w:rPr>
          <w:rFonts w:asciiTheme="minorHAnsi" w:hAnsiTheme="minorHAnsi" w:cstheme="minorHAnsi"/>
          <w:sz w:val="22"/>
          <w:szCs w:val="22"/>
        </w:rPr>
      </w:pPr>
      <w:r w:rsidRPr="00D024F3">
        <w:rPr>
          <w:rFonts w:asciiTheme="minorHAnsi" w:hAnsiTheme="minorHAnsi" w:cstheme="minorHAnsi"/>
          <w:sz w:val="22"/>
          <w:szCs w:val="22"/>
        </w:rPr>
        <w:t>Bibliography</w:t>
      </w:r>
    </w:p>
    <w:sdt>
      <w:sdtPr>
        <w:rPr>
          <w:rFonts w:cstheme="minorHAnsi"/>
        </w:rPr>
        <w:id w:val="-2015064550"/>
        <w:bibliography/>
      </w:sdtPr>
      <w:sdtContent>
        <w:p w14:paraId="18457497"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rPr>
            <w:fldChar w:fldCharType="begin"/>
          </w:r>
          <w:r w:rsidRPr="00D024F3">
            <w:rPr>
              <w:rFonts w:cstheme="minorHAnsi"/>
            </w:rPr>
            <w:instrText xml:space="preserve"> BIBLIOGRAPHY </w:instrText>
          </w:r>
          <w:r w:rsidRPr="00D024F3">
            <w:rPr>
              <w:rFonts w:cstheme="minorHAnsi"/>
            </w:rPr>
            <w:fldChar w:fldCharType="separate"/>
          </w:r>
          <w:r w:rsidRPr="00D024F3">
            <w:rPr>
              <w:rFonts w:cstheme="minorHAnsi"/>
              <w:noProof/>
              <w:lang w:val="en-US"/>
            </w:rPr>
            <w:t xml:space="preserve">Bhugowandeen, B. (2013). Diversity in the British police : adapting to a multicultural society. </w:t>
          </w:r>
          <w:r w:rsidRPr="00D024F3">
            <w:rPr>
              <w:rFonts w:cstheme="minorHAnsi"/>
              <w:i/>
              <w:iCs/>
              <w:noProof/>
              <w:lang w:val="en-US"/>
            </w:rPr>
            <w:t>Colonial and postcolonial culture and decolonisation</w:t>
          </w:r>
          <w:r w:rsidRPr="00D024F3">
            <w:rPr>
              <w:rFonts w:cstheme="minorHAnsi"/>
              <w:noProof/>
              <w:lang w:val="en-US"/>
            </w:rPr>
            <w:t>, 10.</w:t>
          </w:r>
        </w:p>
        <w:p w14:paraId="3B968BF7"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Brendan M. O’Mahony, B. M. (2012). To Challenge, or not to Challenge? Best Practice when Interviewing Vulnerable Suspects. </w:t>
          </w:r>
          <w:r w:rsidRPr="00D024F3">
            <w:rPr>
              <w:rFonts w:cstheme="minorHAnsi"/>
              <w:i/>
              <w:iCs/>
              <w:noProof/>
              <w:lang w:val="en-US"/>
            </w:rPr>
            <w:t>Policing: A Journal of Policy and Practice 6(3)</w:t>
          </w:r>
          <w:r w:rsidRPr="00D024F3">
            <w:rPr>
              <w:rFonts w:cstheme="minorHAnsi"/>
              <w:noProof/>
              <w:lang w:val="en-US"/>
            </w:rPr>
            <w:t>, 301-313.</w:t>
          </w:r>
        </w:p>
        <w:p w14:paraId="198444A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Brown, J. (2021, September 29th). </w:t>
          </w:r>
          <w:r w:rsidRPr="00D024F3">
            <w:rPr>
              <w:rFonts w:cstheme="minorHAnsi"/>
              <w:i/>
              <w:iCs/>
              <w:noProof/>
              <w:lang w:val="en-US"/>
            </w:rPr>
            <w:t>Policing in the UK.</w:t>
          </w:r>
          <w:r w:rsidRPr="00D024F3">
            <w:rPr>
              <w:rFonts w:cstheme="minorHAnsi"/>
              <w:noProof/>
              <w:lang w:val="en-US"/>
            </w:rPr>
            <w:t xml:space="preserve"> Retrieved from UK Parliament: https://commonslibrary.parliament.uk/research-briefings/cbp-8582/</w:t>
          </w:r>
        </w:p>
        <w:p w14:paraId="024B27F8"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Bryant, R. B. (2021). </w:t>
          </w:r>
          <w:r w:rsidRPr="00D024F3">
            <w:rPr>
              <w:rFonts w:cstheme="minorHAnsi"/>
              <w:i/>
              <w:iCs/>
              <w:noProof/>
              <w:lang w:val="en-US"/>
            </w:rPr>
            <w:t>Handbook for Policing Students.</w:t>
          </w:r>
          <w:r w:rsidRPr="00D024F3">
            <w:rPr>
              <w:rFonts w:cstheme="minorHAnsi"/>
              <w:noProof/>
              <w:lang w:val="en-US"/>
            </w:rPr>
            <w:t xml:space="preserve"> Oxford: Blackstones.</w:t>
          </w:r>
        </w:p>
        <w:p w14:paraId="18491263"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Bryant, S., Peck, M., &amp; Lovbakke, J. (2015). </w:t>
          </w:r>
          <w:r w:rsidRPr="00D024F3">
            <w:rPr>
              <w:rFonts w:cstheme="minorHAnsi"/>
              <w:i/>
              <w:iCs/>
              <w:noProof/>
              <w:lang w:val="en-US"/>
            </w:rPr>
            <w:t>Reoffending Analysis of MAPPA Eligible Offenders.</w:t>
          </w:r>
          <w:r w:rsidRPr="00D024F3">
            <w:rPr>
              <w:rFonts w:cstheme="minorHAnsi"/>
              <w:noProof/>
              <w:lang w:val="en-US"/>
            </w:rPr>
            <w:t xml:space="preserve"> Retrieved from Minsitry of Justice: </w:t>
          </w:r>
          <w:r w:rsidRPr="00D024F3">
            <w:rPr>
              <w:rFonts w:cstheme="minorHAnsi"/>
              <w:noProof/>
              <w:lang w:val="en-US"/>
            </w:rPr>
            <w:lastRenderedPageBreak/>
            <w:t>https://assets.publishing.service.gov.uk/government/uploads/system/uploads/attachment_data/file/407139/reoffending-analysis-of-mappa-eligible-offenders.pdf</w:t>
          </w:r>
        </w:p>
        <w:p w14:paraId="465329C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D Dixon., C. C. (1990). Consent and the Legal Regulation of Policing. </w:t>
          </w:r>
          <w:r w:rsidRPr="00D024F3">
            <w:rPr>
              <w:rFonts w:cstheme="minorHAnsi"/>
              <w:i/>
              <w:iCs/>
              <w:noProof/>
              <w:lang w:val="en-US"/>
            </w:rPr>
            <w:t>Journal of Law and Society 17(3)</w:t>
          </w:r>
          <w:r w:rsidRPr="00D024F3">
            <w:rPr>
              <w:rFonts w:cstheme="minorHAnsi"/>
              <w:noProof/>
              <w:lang w:val="en-US"/>
            </w:rPr>
            <w:t>, 345-362.</w:t>
          </w:r>
        </w:p>
        <w:p w14:paraId="7F76582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Degges-White, S. (2018, May` 29th). </w:t>
          </w:r>
          <w:r w:rsidRPr="00D024F3">
            <w:rPr>
              <w:rFonts w:cstheme="minorHAnsi"/>
              <w:i/>
              <w:iCs/>
              <w:noProof/>
              <w:lang w:val="en-US"/>
            </w:rPr>
            <w:t>Friendology: The Science of Friendship</w:t>
          </w:r>
          <w:r w:rsidRPr="00D024F3">
            <w:rPr>
              <w:rFonts w:cstheme="minorHAnsi"/>
              <w:noProof/>
              <w:lang w:val="en-US"/>
            </w:rPr>
            <w:t>. Retrieved from Pyscology Today: https://www.psychologytoday.com/us/blog/lifetime-connections/201805/friendology-the-science-friendship</w:t>
          </w:r>
        </w:p>
        <w:p w14:paraId="7A21F94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Edwards, D. (2003, March 1st). </w:t>
          </w:r>
          <w:r w:rsidRPr="00D024F3">
            <w:rPr>
              <w:rFonts w:cstheme="minorHAnsi"/>
              <w:i/>
              <w:iCs/>
              <w:noProof/>
              <w:lang w:val="en-US"/>
            </w:rPr>
            <w:t>ViSOR - Violent and Sex Offender Register.</w:t>
          </w:r>
          <w:r w:rsidRPr="00D024F3">
            <w:rPr>
              <w:rFonts w:cstheme="minorHAnsi"/>
              <w:noProof/>
              <w:lang w:val="en-US"/>
            </w:rPr>
            <w:t xml:space="preserve"> Retrieved from Criminal Justice Matters: https://www.semanticscholar.org/paper/ViSOR-%E2%80%93-Violent-and-Sex-Offender-Register-Edwards/7931ce1e717ebae47518b2139cf0165a33652856</w:t>
          </w:r>
        </w:p>
        <w:p w14:paraId="04663DD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Edwrads, D. (n.d.).</w:t>
          </w:r>
        </w:p>
        <w:p w14:paraId="615E46FA"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(2022, March 21st). </w:t>
          </w:r>
          <w:r w:rsidRPr="00D024F3">
            <w:rPr>
              <w:rFonts w:cstheme="minorHAnsi"/>
              <w:i/>
              <w:iCs/>
              <w:noProof/>
              <w:lang w:val="en-US"/>
            </w:rPr>
            <w:t>Successful PFEW legal action holds IOPC to account</w:t>
          </w:r>
          <w:r w:rsidRPr="00D024F3">
            <w:rPr>
              <w:rFonts w:cstheme="minorHAnsi"/>
              <w:noProof/>
              <w:lang w:val="en-US"/>
            </w:rPr>
            <w:t>. Retrieved from Latest News: https://www.polfed.org/news/latest-news/2022/successful-pfew-legal-action-holds-iopc-to-account/</w:t>
          </w:r>
        </w:p>
        <w:p w14:paraId="78D5CCAB"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Federation, P. (n.d.). </w:t>
          </w:r>
          <w:r w:rsidRPr="00D024F3">
            <w:rPr>
              <w:rFonts w:cstheme="minorHAnsi"/>
              <w:i/>
              <w:iCs/>
              <w:noProof/>
              <w:lang w:val="en-US"/>
            </w:rPr>
            <w:t>Time Limits</w:t>
          </w:r>
          <w:r w:rsidRPr="00D024F3">
            <w:rPr>
              <w:rFonts w:cstheme="minorHAnsi"/>
              <w:noProof/>
              <w:lang w:val="en-US"/>
            </w:rPr>
            <w:t>. Retrieved from Campagins: https://www.polfed.org/campaigns/time-limits/</w:t>
          </w:r>
        </w:p>
        <w:p w14:paraId="3D19B2E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GOV.UK. (2022, May 27th). </w:t>
          </w:r>
          <w:r w:rsidRPr="00D024F3">
            <w:rPr>
              <w:rFonts w:cstheme="minorHAnsi"/>
              <w:i/>
              <w:iCs/>
              <w:noProof/>
              <w:lang w:val="en-US"/>
            </w:rPr>
            <w:t>Crime, Justice and the Law.</w:t>
          </w:r>
          <w:r w:rsidRPr="00D024F3">
            <w:rPr>
              <w:rFonts w:cstheme="minorHAnsi"/>
              <w:noProof/>
              <w:lang w:val="en-US"/>
            </w:rPr>
            <w:t xml:space="preserve"> Retrieved from Stop and Search: https://www.ethnicity-facts-figures.service.gov.uk/crime-justice-and-the-law/policing/stop-and-search/latest#by-ethnicity-over-time-to-2019</w:t>
          </w:r>
        </w:p>
        <w:p w14:paraId="1DF05E3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IOPC. (2020). </w:t>
          </w:r>
          <w:r w:rsidRPr="00D024F3">
            <w:rPr>
              <w:rFonts w:cstheme="minorHAnsi"/>
              <w:i/>
              <w:iCs/>
              <w:noProof/>
              <w:lang w:val="en-US"/>
            </w:rPr>
            <w:t>Accountability and Performance</w:t>
          </w:r>
          <w:r w:rsidRPr="00D024F3">
            <w:rPr>
              <w:rFonts w:cstheme="minorHAnsi"/>
              <w:noProof/>
              <w:lang w:val="en-US"/>
            </w:rPr>
            <w:t>. Retrieved from Who we are: https://www.policeconduct.gov.uk/who-we-are</w:t>
          </w:r>
        </w:p>
        <w:p w14:paraId="295A72B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IOPC. (2022, July). </w:t>
          </w:r>
          <w:r w:rsidRPr="00D024F3">
            <w:rPr>
              <w:rFonts w:cstheme="minorHAnsi"/>
              <w:i/>
              <w:iCs/>
              <w:noProof/>
              <w:lang w:val="en-US"/>
            </w:rPr>
            <w:t>Equality, Diversity and Inclusion (EDI) Strategy 2022-25.</w:t>
          </w:r>
          <w:r w:rsidRPr="00D024F3">
            <w:rPr>
              <w:rFonts w:cstheme="minorHAnsi"/>
              <w:noProof/>
              <w:lang w:val="en-US"/>
            </w:rPr>
            <w:t xml:space="preserve"> Retrieved from Equality and Diversity: https://www.policeconduct.gov.uk/sites/default/files/Documents/Who-we-are/EDI/EDI_strategy_FINAL.pdf</w:t>
          </w:r>
        </w:p>
        <w:p w14:paraId="0DEEB19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IPOC. (2021, December 6th). </w:t>
          </w:r>
          <w:r w:rsidRPr="00D024F3">
            <w:rPr>
              <w:rFonts w:cstheme="minorHAnsi"/>
              <w:i/>
              <w:iCs/>
              <w:noProof/>
              <w:lang w:val="en-US"/>
            </w:rPr>
            <w:t>Former Metropolitan Police Service officers jailed for taking photographs at crime scene</w:t>
          </w:r>
          <w:r w:rsidRPr="00D024F3">
            <w:rPr>
              <w:rFonts w:cstheme="minorHAnsi"/>
              <w:noProof/>
              <w:lang w:val="en-US"/>
            </w:rPr>
            <w:t>. Retrieved from News: https://www.policeconduct.gov.uk/news/former-metropolitan-police-service-officers-jailed-taking-photographs-crime-scene</w:t>
          </w:r>
        </w:p>
        <w:p w14:paraId="191EC32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Jennifer E. Cobbina-Dungy, D. J.-B. (2021). Too much policing: Why calls are being made to defund the police. </w:t>
          </w:r>
          <w:r w:rsidRPr="00D024F3">
            <w:rPr>
              <w:rFonts w:cstheme="minorHAnsi"/>
              <w:i/>
              <w:iCs/>
              <w:noProof/>
              <w:lang w:val="en-US"/>
            </w:rPr>
            <w:t>Punishment and Society</w:t>
          </w:r>
          <w:r w:rsidRPr="00D024F3">
            <w:rPr>
              <w:rFonts w:cstheme="minorHAnsi"/>
              <w:noProof/>
              <w:lang w:val="en-US"/>
            </w:rPr>
            <w:t>, 1-18.</w:t>
          </w:r>
        </w:p>
        <w:p w14:paraId="4C322B00"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(2020, March 5th). </w:t>
          </w:r>
          <w:r w:rsidRPr="00D024F3">
            <w:rPr>
              <w:rFonts w:cstheme="minorHAnsi"/>
              <w:i/>
              <w:iCs/>
              <w:noProof/>
              <w:lang w:val="en-US"/>
            </w:rPr>
            <w:t>Probation Serious Further Offence Review in the case of JOSEPH McCANN.</w:t>
          </w:r>
          <w:r w:rsidRPr="00D024F3">
            <w:rPr>
              <w:rFonts w:cstheme="minorHAnsi"/>
              <w:noProof/>
              <w:lang w:val="en-US"/>
            </w:rPr>
            <w:t xml:space="preserve"> Retrieved from GOV.UK: https://www.gov.uk/government/publications/review-into-the-case-of-joseph-mccann</w:t>
          </w:r>
        </w:p>
        <w:p w14:paraId="3BA88BC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(2021, October 28th). </w:t>
          </w:r>
          <w:r w:rsidRPr="00D024F3">
            <w:rPr>
              <w:rFonts w:cstheme="minorHAnsi"/>
              <w:i/>
              <w:iCs/>
              <w:noProof/>
              <w:lang w:val="en-US"/>
            </w:rPr>
            <w:t>Multi-Agency Public Protection Arrangements (MAPPA) Annual Report 2020/21.</w:t>
          </w:r>
          <w:r w:rsidRPr="00D024F3">
            <w:rPr>
              <w:rFonts w:cstheme="minorHAnsi"/>
              <w:noProof/>
              <w:lang w:val="en-US"/>
            </w:rPr>
            <w:t xml:space="preserve"> Retrieved from GOV.UK: https://assets.publishing.service.gov.uk/government/uploads/system/uploads/attachment_data/file/1029349/MAPPA_Annual_Report_2020-21.pdf</w:t>
          </w:r>
        </w:p>
        <w:p w14:paraId="4C07E10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Justice, M. o., System, N. O., &amp; Service, H. P. (2014, March 21st). </w:t>
          </w:r>
          <w:r w:rsidRPr="00D024F3">
            <w:rPr>
              <w:rFonts w:cstheme="minorHAnsi"/>
              <w:i/>
              <w:iCs/>
              <w:noProof/>
              <w:lang w:val="en-US"/>
            </w:rPr>
            <w:t>Multi-agency public protection arrangements (MAPPA): Guidance.</w:t>
          </w:r>
          <w:r w:rsidRPr="00D024F3">
            <w:rPr>
              <w:rFonts w:cstheme="minorHAnsi"/>
              <w:noProof/>
              <w:lang w:val="en-US"/>
            </w:rPr>
            <w:t xml:space="preserve"> Retrieved from GOV.UK: https://www.gov.uk/government/publications/multi-agency-public-protection-arrangements-mappa-guidance</w:t>
          </w:r>
        </w:p>
        <w:p w14:paraId="6551CF05"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Kevin T. Wolff, M. T. (2020). Adverse Childhood Experiences (ACEs) and Gang Involvement Among Juvenile Offenders: Assessing the Mediation Effects of Substance Use and Temperament Deficits. </w:t>
          </w:r>
          <w:r w:rsidRPr="00D024F3">
            <w:rPr>
              <w:rFonts w:cstheme="minorHAnsi"/>
              <w:i/>
              <w:iCs/>
              <w:noProof/>
              <w:lang w:val="en-US"/>
            </w:rPr>
            <w:t>Youth Violence and Juvenile Justice 18(1)</w:t>
          </w:r>
          <w:r w:rsidRPr="00D024F3">
            <w:rPr>
              <w:rFonts w:cstheme="minorHAnsi"/>
              <w:noProof/>
              <w:lang w:val="en-US"/>
            </w:rPr>
            <w:t>, 24-53.</w:t>
          </w:r>
        </w:p>
        <w:p w14:paraId="0E7FD31A"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McVie, L. M. (2015, November 27th). </w:t>
          </w:r>
          <w:r w:rsidRPr="00D024F3">
            <w:rPr>
              <w:rFonts w:cstheme="minorHAnsi"/>
              <w:i/>
              <w:iCs/>
              <w:noProof/>
              <w:lang w:val="en-US"/>
            </w:rPr>
            <w:t>An uncomfortable truth - the strong link between poverty and crime</w:t>
          </w:r>
          <w:r w:rsidRPr="00D024F3">
            <w:rPr>
              <w:rFonts w:cstheme="minorHAnsi"/>
              <w:noProof/>
              <w:lang w:val="en-US"/>
            </w:rPr>
            <w:t>. Retrieved from Transform Justice: https://www.transformjustice.org.uk/an-uncomfortable-truth-the-strong-link-between-poverty-and-crime/</w:t>
          </w:r>
        </w:p>
        <w:p w14:paraId="58D24F94"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MP, H. O. (2015, June 8th). </w:t>
          </w:r>
          <w:r w:rsidRPr="00D024F3">
            <w:rPr>
              <w:rFonts w:cstheme="minorHAnsi"/>
              <w:i/>
              <w:iCs/>
              <w:noProof/>
              <w:lang w:val="en-US"/>
            </w:rPr>
            <w:t>Knife, gun and gang crime</w:t>
          </w:r>
          <w:r w:rsidRPr="00D024F3">
            <w:rPr>
              <w:rFonts w:cstheme="minorHAnsi"/>
              <w:noProof/>
              <w:lang w:val="en-US"/>
            </w:rPr>
            <w:t>. Retrieved from GOV.UK: https://www.gov.uk/government/news/changes-in-legislation-reflected-in-new-gang-definition</w:t>
          </w:r>
        </w:p>
        <w:p w14:paraId="1743D761"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Nash, M., &amp; Walker, L. (2009). Is Closer Collaboration Really the Key to Effectiveness? </w:t>
          </w:r>
          <w:r w:rsidRPr="00D024F3">
            <w:rPr>
              <w:rFonts w:cstheme="minorHAnsi"/>
              <w:i/>
              <w:iCs/>
              <w:noProof/>
              <w:lang w:val="en-US"/>
            </w:rPr>
            <w:t>Policing: A Journal of Policy and Practice, Volume 3, Issue 2</w:t>
          </w:r>
          <w:r w:rsidRPr="00D024F3">
            <w:rPr>
              <w:rFonts w:cstheme="minorHAnsi"/>
              <w:noProof/>
              <w:lang w:val="en-US"/>
            </w:rPr>
            <w:t>, 172-180.</w:t>
          </w:r>
        </w:p>
        <w:p w14:paraId="20AA6C5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Peel, R. (1829). </w:t>
          </w:r>
          <w:r w:rsidRPr="00D024F3">
            <w:rPr>
              <w:rFonts w:cstheme="minorHAnsi"/>
              <w:i/>
              <w:iCs/>
              <w:noProof/>
              <w:lang w:val="en-US"/>
            </w:rPr>
            <w:t>The Nine Principles of Robert Peel</w:t>
          </w:r>
          <w:r w:rsidRPr="00D024F3">
            <w:rPr>
              <w:rFonts w:cstheme="minorHAnsi"/>
              <w:noProof/>
              <w:lang w:val="en-US"/>
            </w:rPr>
            <w:t>. Retrieved from CrimJ 408: Police Administration: https://courses.worldcampus.psu.edu/welcome/crimj408/history_04.html</w:t>
          </w:r>
        </w:p>
        <w:p w14:paraId="450A559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Phillips, B. B. (2007). Disproportionate and Discriminatory: Reviewing the Evidence on Police Stop and Search. </w:t>
          </w:r>
          <w:r w:rsidRPr="00D024F3">
            <w:rPr>
              <w:rFonts w:cstheme="minorHAnsi"/>
              <w:i/>
              <w:iCs/>
              <w:noProof/>
              <w:lang w:val="en-US"/>
            </w:rPr>
            <w:t>The Modern Law Review 70(6)</w:t>
          </w:r>
          <w:r w:rsidRPr="00D024F3">
            <w:rPr>
              <w:rFonts w:cstheme="minorHAnsi"/>
              <w:noProof/>
              <w:lang w:val="en-US"/>
            </w:rPr>
            <w:t>, 936-961.</w:t>
          </w:r>
        </w:p>
        <w:p w14:paraId="3882467E"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Police, M. (2023). </w:t>
          </w:r>
          <w:r w:rsidRPr="00D024F3">
            <w:rPr>
              <w:rFonts w:cstheme="minorHAnsi"/>
              <w:i/>
              <w:iCs/>
              <w:noProof/>
              <w:lang w:val="en-US"/>
            </w:rPr>
            <w:t>County Lines</w:t>
          </w:r>
          <w:r w:rsidRPr="00D024F3">
            <w:rPr>
              <w:rFonts w:cstheme="minorHAnsi"/>
              <w:noProof/>
              <w:lang w:val="en-US"/>
            </w:rPr>
            <w:t>. Retrieved from Metropolitan Police: https://www.met.police.uk/advice/advice-and-information/cl/county-lines/</w:t>
          </w:r>
        </w:p>
        <w:p w14:paraId="78D711EF"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(2015, July 28th). </w:t>
          </w:r>
          <w:r w:rsidRPr="00D024F3">
            <w:rPr>
              <w:rFonts w:cstheme="minorHAnsi"/>
              <w:i/>
              <w:iCs/>
              <w:noProof/>
              <w:lang w:val="en-US"/>
            </w:rPr>
            <w:t>Complaints and Misconduct</w:t>
          </w:r>
          <w:r w:rsidRPr="00D024F3">
            <w:rPr>
              <w:rFonts w:cstheme="minorHAnsi"/>
              <w:noProof/>
              <w:lang w:val="en-US"/>
            </w:rPr>
            <w:t>. Retrieved from Authorised Professional Practice: https://www.college.police.uk/app/professional-standards/complaints-and-misconduct</w:t>
          </w:r>
        </w:p>
        <w:p w14:paraId="6DD7E692"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Policing, C. o. (2017, July 18th). </w:t>
          </w:r>
          <w:r w:rsidRPr="00D024F3">
            <w:rPr>
              <w:rFonts w:cstheme="minorHAnsi"/>
              <w:i/>
              <w:iCs/>
              <w:noProof/>
              <w:lang w:val="en-US"/>
            </w:rPr>
            <w:t>Multi-agency public protection arrangements (MAPPA)</w:t>
          </w:r>
          <w:r w:rsidRPr="00D024F3">
            <w:rPr>
              <w:rFonts w:cstheme="minorHAnsi"/>
              <w:noProof/>
              <w:lang w:val="en-US"/>
            </w:rPr>
            <w:t>. Retrieved from Managing sexual offenders and violent offenders: https://www.college.police.uk/app/major-investigation-and-public-protection/managing-sexual-offenders-and-violent-offenders/multi-agency-public-protection-arrangements-mappa</w:t>
          </w:r>
        </w:p>
        <w:p w14:paraId="0EB56CD9"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lastRenderedPageBreak/>
            <w:t xml:space="preserve">Ross Coomer, L. M. (2018). The Changing Shape of Street-Level Heroin and Crack Supply in England: Commuting, Holidaying and Cuckooing Drug Dealers across 'County Lines'. </w:t>
          </w:r>
          <w:r w:rsidRPr="00D024F3">
            <w:rPr>
              <w:rFonts w:cstheme="minorHAnsi"/>
              <w:i/>
              <w:iCs/>
              <w:noProof/>
              <w:lang w:val="en-US"/>
            </w:rPr>
            <w:t>The British Journal of Criminology</w:t>
          </w:r>
          <w:r w:rsidRPr="00D024F3">
            <w:rPr>
              <w:rFonts w:cstheme="minorHAnsi"/>
              <w:noProof/>
              <w:lang w:val="en-US"/>
            </w:rPr>
            <w:t>, 1323-1342.</w:t>
          </w:r>
        </w:p>
        <w:p w14:paraId="611D7368"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Sekar, S. (2011, December 1). </w:t>
          </w:r>
          <w:r w:rsidRPr="00D024F3">
            <w:rPr>
              <w:rFonts w:cstheme="minorHAnsi"/>
              <w:i/>
              <w:iCs/>
              <w:noProof/>
              <w:lang w:val="en-US"/>
            </w:rPr>
            <w:t>Still no justice for the Cardiff Three</w:t>
          </w:r>
          <w:r w:rsidRPr="00D024F3">
            <w:rPr>
              <w:rFonts w:cstheme="minorHAnsi"/>
              <w:noProof/>
              <w:lang w:val="en-US"/>
            </w:rPr>
            <w:t>. Retrieved from The Guardian: https://www.theguardian.com/commentisfree/2011/dec/01/no-justice-for-cardiff-3</w:t>
          </w:r>
        </w:p>
        <w:p w14:paraId="41E14DEC"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i/>
              <w:iCs/>
              <w:noProof/>
              <w:lang w:val="en-US"/>
            </w:rPr>
            <w:t>Sir Robert Peel and the new Metropolitan Police</w:t>
          </w:r>
          <w:r w:rsidRPr="00D024F3">
            <w:rPr>
              <w:rFonts w:cstheme="minorHAnsi"/>
              <w:noProof/>
              <w:lang w:val="en-US"/>
            </w:rPr>
            <w:t>. (n.d.). Retrieved 1 12, 2023, from The National Archives: http://www.nationalarchives.gov.uk/education/candp/prevention/g08/g08cs2.htm</w:t>
          </w:r>
        </w:p>
        <w:p w14:paraId="7B773B3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Souhami, A. (2013). Understanding Institutional Racism: the Stephen Lawrence Inquiry and the police service reaction. In M. Rowe, </w:t>
          </w:r>
          <w:r w:rsidRPr="00D024F3">
            <w:rPr>
              <w:rFonts w:cstheme="minorHAnsi"/>
              <w:i/>
              <w:iCs/>
              <w:noProof/>
              <w:lang w:val="en-US"/>
            </w:rPr>
            <w:t>Beyond Macpherson: Issues in policing, race and society</w:t>
          </w:r>
          <w:r w:rsidRPr="00D024F3">
            <w:rPr>
              <w:rFonts w:cstheme="minorHAnsi"/>
              <w:noProof/>
              <w:lang w:val="en-US"/>
            </w:rPr>
            <w:t xml:space="preserve"> (pp. 66-87). London: Willan Publisher.</w:t>
          </w:r>
        </w:p>
        <w:p w14:paraId="282776B6"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Stout, B., Williams, B., &amp; Yates, J. (2008). </w:t>
          </w:r>
          <w:r w:rsidRPr="00D024F3">
            <w:rPr>
              <w:rFonts w:cstheme="minorHAnsi"/>
              <w:i/>
              <w:iCs/>
              <w:noProof/>
              <w:lang w:val="en-US"/>
            </w:rPr>
            <w:t>Applied Criminology.</w:t>
          </w:r>
          <w:r w:rsidRPr="00D024F3">
            <w:rPr>
              <w:rFonts w:cstheme="minorHAnsi"/>
              <w:noProof/>
              <w:lang w:val="en-US"/>
            </w:rPr>
            <w:t xml:space="preserve"> London: Sage Publications. Retrieved from Applied Criminology: http://digital.casalini.it/9781446206232 - Casalini id: 4912365 </w:t>
          </w:r>
        </w:p>
        <w:p w14:paraId="0D01F3C5" w14:textId="77777777" w:rsidR="00B9770B" w:rsidRPr="00D024F3" w:rsidRDefault="00B9770B" w:rsidP="00D973E9">
          <w:pPr>
            <w:pStyle w:val="Bibliography"/>
            <w:spacing w:line="480" w:lineRule="auto"/>
            <w:ind w:left="720" w:hanging="720"/>
            <w:rPr>
              <w:rFonts w:cstheme="minorHAnsi"/>
              <w:noProof/>
              <w:lang w:val="en-US"/>
            </w:rPr>
          </w:pPr>
          <w:r w:rsidRPr="00D024F3">
            <w:rPr>
              <w:rFonts w:cstheme="minorHAnsi"/>
              <w:noProof/>
              <w:lang w:val="en-US"/>
            </w:rPr>
            <w:t xml:space="preserve">Tyler, T. R. (1990). The Consent of the Governed: A theoretical exploration of police legitimacy. </w:t>
          </w:r>
          <w:r w:rsidRPr="00D024F3">
            <w:rPr>
              <w:rFonts w:cstheme="minorHAnsi"/>
              <w:i/>
              <w:iCs/>
              <w:noProof/>
              <w:lang w:val="en-US"/>
            </w:rPr>
            <w:t>Journal of Social Issues, 46(2)</w:t>
          </w:r>
          <w:r w:rsidRPr="00D024F3">
            <w:rPr>
              <w:rFonts w:cstheme="minorHAnsi"/>
              <w:noProof/>
              <w:lang w:val="en-US"/>
            </w:rPr>
            <w:t>, 67-85.</w:t>
          </w:r>
        </w:p>
        <w:p w14:paraId="0FCDBDBD" w14:textId="3245921C" w:rsidR="00B9770B" w:rsidRDefault="00B9770B" w:rsidP="00D973E9">
          <w:pPr>
            <w:spacing w:line="480" w:lineRule="auto"/>
          </w:pPr>
          <w:r w:rsidRPr="00D024F3">
            <w:rPr>
              <w:rFonts w:cstheme="minorHAnsi"/>
              <w:b/>
              <w:bCs/>
              <w:noProof/>
            </w:rPr>
            <w:fldChar w:fldCharType="end"/>
          </w:r>
        </w:p>
      </w:sdtContent>
    </w:sdt>
    <w:p w14:paraId="341A7F1B" w14:textId="5A9AB4D4" w:rsidR="00B9770B" w:rsidRDefault="00B9770B" w:rsidP="00B9770B"/>
    <w:p w14:paraId="5388C394" w14:textId="60BC2189" w:rsidR="007105E8" w:rsidRPr="00CC6C14" w:rsidRDefault="007105E8" w:rsidP="00CC6C14"/>
    <w:sectPr w:rsidR="007105E8" w:rsidRPr="00CC6C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1495E" w14:textId="77777777" w:rsidR="00B9770B" w:rsidRDefault="00B9770B" w:rsidP="00B9770B">
      <w:pPr>
        <w:spacing w:after="0" w:line="240" w:lineRule="auto"/>
      </w:pPr>
      <w:r>
        <w:separator/>
      </w:r>
    </w:p>
  </w:endnote>
  <w:endnote w:type="continuationSeparator" w:id="0">
    <w:p w14:paraId="0B1EB3AE" w14:textId="77777777" w:rsidR="00B9770B" w:rsidRDefault="00B9770B" w:rsidP="00B97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FDE95" w14:textId="77777777" w:rsidR="00B9770B" w:rsidRDefault="00B9770B" w:rsidP="00B9770B">
      <w:pPr>
        <w:spacing w:after="0" w:line="240" w:lineRule="auto"/>
      </w:pPr>
      <w:r>
        <w:separator/>
      </w:r>
    </w:p>
  </w:footnote>
  <w:footnote w:type="continuationSeparator" w:id="0">
    <w:p w14:paraId="28636AD2" w14:textId="77777777" w:rsidR="00B9770B" w:rsidRDefault="00B9770B" w:rsidP="00B97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6F88"/>
    <w:multiLevelType w:val="multilevel"/>
    <w:tmpl w:val="FF921A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D066B"/>
    <w:multiLevelType w:val="hybridMultilevel"/>
    <w:tmpl w:val="50BC8BD6"/>
    <w:lvl w:ilvl="0" w:tplc="9FE8EF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974730">
    <w:abstractNumId w:val="0"/>
  </w:num>
  <w:num w:numId="2" w16cid:durableId="2082482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C14"/>
    <w:rsid w:val="00182F46"/>
    <w:rsid w:val="007105E8"/>
    <w:rsid w:val="007615BC"/>
    <w:rsid w:val="007870C6"/>
    <w:rsid w:val="00B9770B"/>
    <w:rsid w:val="00CC6C14"/>
    <w:rsid w:val="00D024F3"/>
    <w:rsid w:val="00D973E9"/>
    <w:rsid w:val="00DF744C"/>
    <w:rsid w:val="00E77D64"/>
    <w:rsid w:val="00F16A01"/>
    <w:rsid w:val="00F91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2BC66"/>
  <w15:docId w15:val="{67B31D1A-2B39-48A9-A7F3-0589BC6FC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70B"/>
  </w:style>
  <w:style w:type="paragraph" w:styleId="Heading1">
    <w:name w:val="heading 1"/>
    <w:basedOn w:val="Normal"/>
    <w:next w:val="Normal"/>
    <w:link w:val="Heading1Char"/>
    <w:uiPriority w:val="9"/>
    <w:qFormat/>
    <w:rsid w:val="00B977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C14"/>
    <w:pPr>
      <w:ind w:left="720"/>
      <w:contextualSpacing/>
    </w:pPr>
  </w:style>
  <w:style w:type="paragraph" w:styleId="Bibliography">
    <w:name w:val="Bibliography"/>
    <w:basedOn w:val="Normal"/>
    <w:next w:val="Normal"/>
    <w:uiPriority w:val="37"/>
    <w:unhideWhenUsed/>
    <w:rsid w:val="00B9770B"/>
  </w:style>
  <w:style w:type="character" w:styleId="Hyperlink">
    <w:name w:val="Hyperlink"/>
    <w:basedOn w:val="DefaultParagraphFont"/>
    <w:uiPriority w:val="99"/>
    <w:unhideWhenUsed/>
    <w:rsid w:val="00B9770B"/>
    <w:rPr>
      <w:color w:val="0563C1" w:themeColor="hyperlink"/>
      <w:u w:val="single"/>
    </w:rPr>
  </w:style>
  <w:style w:type="character" w:styleId="UnresolvedMention">
    <w:name w:val="Unresolved Mention"/>
    <w:basedOn w:val="DefaultParagraphFont"/>
    <w:uiPriority w:val="99"/>
    <w:semiHidden/>
    <w:unhideWhenUsed/>
    <w:rsid w:val="00B9770B"/>
    <w:rPr>
      <w:color w:val="605E5C"/>
      <w:shd w:val="clear" w:color="auto" w:fill="E1DFDD"/>
    </w:rPr>
  </w:style>
  <w:style w:type="character" w:customStyle="1" w:styleId="Heading1Char">
    <w:name w:val="Heading 1 Char"/>
    <w:basedOn w:val="DefaultParagraphFont"/>
    <w:link w:val="Heading1"/>
    <w:uiPriority w:val="9"/>
    <w:rsid w:val="00B9770B"/>
    <w:rPr>
      <w:rFonts w:asciiTheme="majorHAnsi" w:eastAsiaTheme="majorEastAsia" w:hAnsiTheme="majorHAnsi" w:cstheme="majorBidi"/>
      <w:color w:val="2F5496" w:themeColor="accent1" w:themeShade="BF"/>
      <w:sz w:val="32"/>
      <w:szCs w:val="32"/>
      <w:lang w:val="en-US"/>
    </w:rPr>
  </w:style>
  <w:style w:type="character" w:styleId="Strong">
    <w:name w:val="Strong"/>
    <w:basedOn w:val="DefaultParagraphFont"/>
    <w:uiPriority w:val="22"/>
    <w:qFormat/>
    <w:rsid w:val="00D97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6625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Pee29</b:Tag>
    <b:SourceType>InternetSite</b:SourceType>
    <b:Guid>{B637E684-E382-4B68-8B2E-CDC25C8182B1}</b:Guid>
    <b:Title>The Nine Principles of Robert Peel</b:Title>
    <b:Year>1829</b:Year>
    <b:Author>
      <b:Author>
        <b:NameList>
          <b:Person>
            <b:Last>Peel</b:Last>
            <b:First>Robert</b:First>
          </b:Person>
        </b:NameList>
      </b:Author>
    </b:Author>
    <b:InternetSiteTitle>CrimJ 408: Police Administration</b:InternetSiteTitle>
    <b:URL>https://courses.worldcampus.psu.edu/welcome/crimj408/history_04.html</b:URL>
    <b:RefOrder>1</b:RefOrder>
  </b:Source>
  <b:Source>
    <b:Tag>Sir23</b:Tag>
    <b:SourceType>InternetSite</b:SourceType>
    <b:Guid>{27DB74C9-2D2C-4083-853D-6570329E9B79}</b:Guid>
    <b:Title>Sir Robert Peel and the new Metropolitan Police</b:Title>
    <b:InternetSiteTitle>The National Archives</b:InternetSiteTitle>
    <b:ProductionCompany/>
    <b:Year/>
    <b:Month/>
    <b:Day/>
    <b:YearAccessed>2023</b:YearAccessed>
    <b:MonthAccessed>1</b:MonthAccessed>
    <b:DayAccessed>12</b:DayAccessed>
    <b:URL>http://www.nationalarchives.gov.uk/education/candp/prevention/g08/g08cs2.htm</b:URL>
    <b:Version/>
    <b:ShortTitle/>
    <b:StandardNumber/>
    <b:Comments/>
    <b:Medium/>
    <b:DOI/>
    <b:RefOrder>2</b:RefOrder>
  </b:Source>
  <b:Source>
    <b:Tag>Sek11</b:Tag>
    <b:SourceType>InternetSite</b:SourceType>
    <b:Guid>{100E14DF-104C-4496-8AB3-CC36AB569CA1}</b:Guid>
    <b:Author>
      <b:Author>
        <b:NameList>
          <b:Person>
            <b:Last>Sekar</b:Last>
            <b:First>Satish</b:First>
          </b:Person>
        </b:NameList>
      </b:Author>
    </b:Author>
    <b:Title>Still no justice for the Cardiff Three</b:Title>
    <b:InternetSiteTitle>The Guardian</b:InternetSiteTitle>
    <b:Year>2011</b:Year>
    <b:Month>December</b:Month>
    <b:Day>1</b:Day>
    <b:URL>https://www.theguardian.com/commentisfree/2011/dec/01/no-justice-for-cardiff-3</b:URL>
    <b:RefOrder>3</b:RefOrder>
  </b:Source>
  <b:Source>
    <b:Tag>Bre12</b:Tag>
    <b:SourceType>JournalArticle</b:SourceType>
    <b:Guid>{78F63A69-76EB-48D8-84D6-4B42701ABB4C}</b:Guid>
    <b:Title>To Challenge, or not to Challenge? Best Practice when Interviewing Vulnerable Suspects</b:Title>
    <b:Year>2012</b:Year>
    <b:Author>
      <b:Author>
        <b:NameList>
          <b:Person>
            <b:Last>Brendan M. O’Mahony</b:Last>
            <b:First>Becky</b:First>
            <b:Middle>Milne, Tim Grant</b:Middle>
          </b:Person>
        </b:NameList>
      </b:Author>
    </b:Author>
    <b:JournalName>Policing: A Journal of Policy and Practice 6(3)</b:JournalName>
    <b:Pages>301-313</b:Pages>
    <b:RefOrder>4</b:RefOrder>
  </b:Source>
  <b:Source>
    <b:Tag>Sou13</b:Tag>
    <b:SourceType>BookSection</b:SourceType>
    <b:Guid>{EC618AD2-5A97-4C50-8D57-BBFBEF4C84EB}</b:Guid>
    <b:Title>Understanding Institutional Racism: the Stephen Lawrence Inquiry and the police service reaction</b:Title>
    <b:Year>2013</b:Year>
    <b:Pages>66-87</b:Pages>
    <b:Author>
      <b:Author>
        <b:NameList>
          <b:Person>
            <b:Last>Souhami</b:Last>
            <b:First>Anna</b:First>
          </b:Person>
        </b:NameList>
      </b:Author>
      <b:BookAuthor>
        <b:NameList>
          <b:Person>
            <b:Last>Rowe</b:Last>
            <b:First>Mike</b:First>
          </b:Person>
        </b:NameList>
      </b:BookAuthor>
    </b:Author>
    <b:City>London</b:City>
    <b:Publisher>Willan Publisher</b:Publisher>
    <b:BookTitle>Beyond Macpherson: Issues in policing, race and society</b:BookTitle>
    <b:RefOrder>5</b:RefOrder>
  </b:Source>
  <b:Source>
    <b:Tag>Jen211</b:Tag>
    <b:SourceType>JournalArticle</b:SourceType>
    <b:Guid>{27B33653-8C44-44F4-B2E7-DAF849FB664B}</b:Guid>
    <b:Title>Too much policing: Why calls are being made to defund the police</b:Title>
    <b:Year>2021</b:Year>
    <b:Pages>1-18</b:Pages>
    <b:Author>
      <b:Author>
        <b:NameList>
          <b:Person>
            <b:Last>Jennifer E. Cobbina-Dungy</b:Last>
            <b:First>Delores</b:First>
            <b:Middle>Jones-Brown</b:Middle>
          </b:Person>
        </b:NameList>
      </b:Author>
    </b:Author>
    <b:JournalName>Punishment and Society</b:JournalName>
    <b:RefOrder>6</b:RefOrder>
  </b:Source>
  <b:Source>
    <b:Tag>Ben07</b:Tag>
    <b:SourceType>JournalArticle</b:SourceType>
    <b:Guid>{519772DE-571C-4F13-82A5-BE93EA298A72}</b:Guid>
    <b:Author>
      <b:Author>
        <b:NameList>
          <b:Person>
            <b:Last>Phillips</b:Last>
            <b:First>Ben</b:First>
            <b:Middle>Bowling and Coretta</b:Middle>
          </b:Person>
        </b:NameList>
      </b:Author>
    </b:Author>
    <b:Title>Disproportionate and Discriminatory: Reviewing the Evidence on Police Stop and Search</b:Title>
    <b:JournalName>The Modern Law Review 70(6)</b:JournalName>
    <b:Year>2007</b:Year>
    <b:Pages>936-961</b:Pages>
    <b:RefOrder>7</b:RefOrder>
  </b:Source>
  <b:Source>
    <b:Tag>GOV22</b:Tag>
    <b:SourceType>DocumentFromInternetSite</b:SourceType>
    <b:Guid>{94EEA55E-66C4-47AA-9FD4-A8BF5B82CFD9}</b:Guid>
    <b:Author>
      <b:Author>
        <b:NameList>
          <b:Person>
            <b:Last>GOV.UK</b:Last>
          </b:Person>
        </b:NameList>
      </b:Author>
    </b:Author>
    <b:Title>Crime, Justice and the Law</b:Title>
    <b:InternetSiteTitle>Stop and Search</b:InternetSiteTitle>
    <b:Year>2022</b:Year>
    <b:Month>May</b:Month>
    <b:Day>27th</b:Day>
    <b:URL>https://www.ethnicity-facts-figures.service.gov.uk/crime-justice-and-the-law/policing/stop-and-search/latest#by-ethnicity-over-time-to-2019</b:URL>
    <b:RefOrder>8</b:RefOrder>
  </b:Source>
  <b:Source>
    <b:Tag>Bel13</b:Tag>
    <b:SourceType>JournalArticle</b:SourceType>
    <b:Guid>{40903AB8-0CFE-4E9E-A96B-32EBB7AFC589}</b:Guid>
    <b:Title>Diversity in the British police : adapting to a multicultural society</b:Title>
    <b:Year>2013</b:Year>
    <b:Author>
      <b:Author>
        <b:NameList>
          <b:Person>
            <b:Last>Bhugowandeen</b:Last>
            <b:First>Bela</b:First>
          </b:Person>
        </b:NameList>
      </b:Author>
    </b:Author>
    <b:JournalName>Colonial and postcolonial culture and decolonisation</b:JournalName>
    <b:Pages>10</b:Pages>
    <b:RefOrder>9</b:RefOrder>
  </b:Source>
  <b:Source>
    <b:Tag>IOP22</b:Tag>
    <b:SourceType>DocumentFromInternetSite</b:SourceType>
    <b:Guid>{1621C757-3C50-43F6-8A73-DDBB917346EC}</b:Guid>
    <b:Title>Equality, Diversity and Inclusion (EDI) Strategy 2022-25</b:Title>
    <b:Year>2022</b:Year>
    <b:Author>
      <b:Author>
        <b:NameList>
          <b:Person>
            <b:Last>IOPC</b:Last>
          </b:Person>
        </b:NameList>
      </b:Author>
    </b:Author>
    <b:InternetSiteTitle>Equality and Diversity</b:InternetSiteTitle>
    <b:Month>July</b:Month>
    <b:URL>https://www.policeconduct.gov.uk/sites/default/files/Documents/Who-we-are/EDI/EDI_strategy_FINAL.pdf</b:URL>
    <b:RefOrder>10</b:RefOrder>
  </b:Source>
  <b:Source>
    <b:Tag>Hom15</b:Tag>
    <b:SourceType>InternetSite</b:SourceType>
    <b:Guid>{21945A90-995B-4701-AA30-EFD9918C487B}</b:Guid>
    <b:Author>
      <b:Author>
        <b:NameList>
          <b:Person>
            <b:Last>MP</b:Last>
            <b:First>Home</b:First>
            <b:Middle>Office and The RT Hon Karen Bradley</b:Middle>
          </b:Person>
        </b:NameList>
      </b:Author>
    </b:Author>
    <b:Title>Knife, gun and gang crime</b:Title>
    <b:InternetSiteTitle>GOV.UK</b:InternetSiteTitle>
    <b:Year>2015</b:Year>
    <b:Month>June</b:Month>
    <b:Day>8th</b:Day>
    <b:URL>https://www.gov.uk/government/news/changes-in-legislation-reflected-in-new-gang-definition</b:URL>
    <b:RefOrder>11</b:RefOrder>
  </b:Source>
  <b:Source>
    <b:Tag>Pro18</b:Tag>
    <b:SourceType>InternetSite</b:SourceType>
    <b:Guid>{F1FAA0D8-97C0-417E-9B74-50F5263024B4}</b:Guid>
    <b:Title>Friendology: The Science of Friendship</b:Title>
    <b:InternetSiteTitle>Pyscology Today</b:InternetSiteTitle>
    <b:Year>2018</b:Year>
    <b:Month>May`</b:Month>
    <b:Day>29th</b:Day>
    <b:URL>https://www.psychologytoday.com/us/blog/lifetime-connections/201805/friendology-the-science-friendship</b:URL>
    <b:Author>
      <b:Author>
        <b:NameList>
          <b:Person>
            <b:Last>Degges-White</b:Last>
            <b:First>Suzanne</b:First>
          </b:Person>
        </b:NameList>
      </b:Author>
    </b:Author>
    <b:RefOrder>12</b:RefOrder>
  </b:Source>
  <b:Source>
    <b:Tag>Les15</b:Tag>
    <b:SourceType>InternetSite</b:SourceType>
    <b:Guid>{D1D4C87A-A6F5-4199-95F6-222A2096B6AA}</b:Guid>
    <b:Author>
      <b:Author>
        <b:NameList>
          <b:Person>
            <b:Last>McVie</b:Last>
            <b:First>Lesley</b:First>
            <b:Middle>McAra and Susan</b:Middle>
          </b:Person>
        </b:NameList>
      </b:Author>
    </b:Author>
    <b:Title>An uncomfortable truth - the strong link between poverty and crime</b:Title>
    <b:InternetSiteTitle>Transform Justice</b:InternetSiteTitle>
    <b:Year>2015</b:Year>
    <b:Month>November</b:Month>
    <b:Day>27th</b:Day>
    <b:URL>https://www.transformjustice.org.uk/an-uncomfortable-truth-the-strong-link-between-poverty-and-crime/</b:URL>
    <b:RefOrder>13</b:RefOrder>
  </b:Source>
  <b:Source>
    <b:Tag>Met23</b:Tag>
    <b:SourceType>InternetSite</b:SourceType>
    <b:Guid>{D3CBBE63-586D-4029-80AD-9CE7F50A4998}</b:Guid>
    <b:Author>
      <b:Author>
        <b:NameList>
          <b:Person>
            <b:Last>Police</b:Last>
            <b:First>Metropolitan</b:First>
          </b:Person>
        </b:NameList>
      </b:Author>
    </b:Author>
    <b:Title>County Lines</b:Title>
    <b:InternetSiteTitle>Metropolitan Police</b:InternetSiteTitle>
    <b:Year>2023</b:Year>
    <b:URL>https://www.met.police.uk/advice/advice-and-information/cl/county-lines/</b:URL>
    <b:RefOrder>14</b:RefOrder>
  </b:Source>
  <b:Source>
    <b:Tag>Ros18</b:Tag>
    <b:SourceType>JournalArticle</b:SourceType>
    <b:Guid>{8B2E9144-F231-43A7-B09D-12D8CF845129}</b:Guid>
    <b:Title>The Changing Shape of Street-Level Heroin and Crack Supply in England: Commuting, Holidaying and Cuckooing Drug Dealers across 'County Lines'</b:Title>
    <b:Year>2018</b:Year>
    <b:Author>
      <b:Author>
        <b:NameList>
          <b:Person>
            <b:Last>Ross Coomer</b:Last>
            <b:First>Leah</b:First>
            <b:Middle>Moyle</b:Middle>
          </b:Person>
        </b:NameList>
      </b:Author>
    </b:Author>
    <b:JournalName>The British Journal of Criminology</b:JournalName>
    <b:Pages>1323-1342</b:Pages>
    <b:RefOrder>15</b:RefOrder>
  </b:Source>
  <b:Source>
    <b:Tag>Kev</b:Tag>
    <b:SourceType>JournalArticle</b:SourceType>
    <b:Guid>{EF80E3CD-ABAE-48AB-8B44-52F2FCF18F8C}</b:Guid>
    <b:Author>
      <b:Author>
        <b:NameList>
          <b:Person>
            <b:Last>Kevin T. Wolff</b:Last>
            <b:First>Michael</b:First>
            <b:Middle>T. Baglivio, Hannah J. Klein, Alex R. Piquero, Matt DeLisi and James C. Howell</b:Middle>
          </b:Person>
        </b:NameList>
      </b:Author>
    </b:Author>
    <b:Title>Adverse Childhood Experiences (ACEs) and Gang Involvement Among Juvenile Offenders: Assessing the Mediation Effects of Substance Use and Temperament Deficits</b:Title>
    <b:JournalName>Youth Violence and Juvenile Justice 18(1)</b:JournalName>
    <b:Year>2020</b:Year>
    <b:Pages>24-53</b:Pages>
    <b:RefOrder>16</b:RefOrder>
  </b:Source>
  <b:Source>
    <b:Tag>Sto08</b:Tag>
    <b:SourceType>Book</b:SourceType>
    <b:Guid>{826047F5-ADA1-4FC1-97A3-141436320D2E}</b:Guid>
    <b:Title>Applied Criminology</b:Title>
    <b:Year>2008</b:Year>
    <b:City>London</b:City>
    <b:Publisher>Sage Publications</b:Publisher>
    <b:Author>
      <b:Author>
        <b:NameList>
          <b:Person>
            <b:Last>Stout</b:Last>
            <b:First>Brian</b:First>
          </b:Person>
          <b:Person>
            <b:Last>Williams</b:Last>
            <b:First>Brian</b:First>
          </b:Person>
          <b:Person>
            <b:Last>Yates</b:Last>
            <b:First>Joe.</b:First>
          </b:Person>
        </b:NameList>
      </b:Author>
    </b:Author>
    <b:InternetSiteTitle>Applied Criminology</b:InternetSiteTitle>
    <b:URL>http://digital.casalini.it/9781446206232 - Casalini id: 4912365 </b:URL>
    <b:RefOrder>17</b:RefOrder>
  </b:Source>
  <b:Source>
    <b:Tag>Min14</b:Tag>
    <b:SourceType>DocumentFromInternetSite</b:SourceType>
    <b:Guid>{6B456043-E46E-4EF1-B43E-71A37DAB6466}</b:Guid>
    <b:Title>Multi-agency public protection arrangements (MAPPA): Guidance</b:Title>
    <b:Year>2014</b:Year>
    <b:Month>March</b:Month>
    <b:Day>21st</b:Day>
    <b:Author>
      <b:Author>
        <b:NameList>
          <b:Person>
            <b:Last>Justice</b:Last>
            <b:First>Ministry</b:First>
            <b:Middle>of</b:Middle>
          </b:Person>
          <b:Person>
            <b:Last>System</b:Last>
            <b:First>National</b:First>
            <b:Middle>Offender Management</b:Middle>
          </b:Person>
          <b:Person>
            <b:Last>Service</b:Last>
            <b:First>HM</b:First>
            <b:Middle>Prison</b:Middle>
          </b:Person>
        </b:NameList>
      </b:Author>
    </b:Author>
    <b:InternetSiteTitle>GOV.UK</b:InternetSiteTitle>
    <b:URL>https://www.gov.uk/government/publications/multi-agency-public-protection-arrangements-mappa-guidance</b:URL>
    <b:RefOrder>18</b:RefOrder>
  </b:Source>
  <b:Source>
    <b:Tag>Col17</b:Tag>
    <b:SourceType>InternetSite</b:SourceType>
    <b:Guid>{E50DBBBE-F22A-4B70-9E52-230934062F9D}</b:Guid>
    <b:Title>Multi-agency public protection arrangements (MAPPA)</b:Title>
    <b:InternetSiteTitle>Managing sexual offenders and violent offenders</b:InternetSiteTitle>
    <b:Year>2017</b:Year>
    <b:Month>July</b:Month>
    <b:Day>18th</b:Day>
    <b:URL>https://www.college.police.uk/app/major-investigation-and-public-protection/managing-sexual-offenders-and-violent-offenders/multi-agency-public-protection-arrangements-mappa</b:URL>
    <b:Author>
      <b:Author>
        <b:NameList>
          <b:Person>
            <b:Last>Policing</b:Last>
            <b:First>College</b:First>
            <b:Middle>of</b:Middle>
          </b:Person>
        </b:NameList>
      </b:Author>
    </b:Author>
    <b:RefOrder>19</b:RefOrder>
  </b:Source>
  <b:Source>
    <b:Tag>Min21</b:Tag>
    <b:SourceType>DocumentFromInternetSite</b:SourceType>
    <b:Guid>{9C43AC95-4E69-4A77-A0B6-AD050ED60E5C}</b:Guid>
    <b:Title>Multi-Agency Public Protection Arrangements (MAPPA) Annual Report 2020/21</b:Title>
    <b:InternetSiteTitle>GOV.UK</b:InternetSiteTitle>
    <b:Year>2021</b:Year>
    <b:Month>October</b:Month>
    <b:Day>28th</b:Day>
    <b:URL>https://assets.publishing.service.gov.uk/government/uploads/system/uploads/attachment_data/file/1029349/MAPPA_Annual_Report_2020-21.pdf</b:URL>
    <b:Author>
      <b:Author>
        <b:NameList>
          <b:Person>
            <b:Last>Justice</b:Last>
            <b:First>Ministry</b:First>
            <b:Middle>of</b:Middle>
          </b:Person>
        </b:NameList>
      </b:Author>
    </b:Author>
    <b:RefOrder>20</b:RefOrder>
  </b:Source>
  <b:Source>
    <b:Tag>Mik09</b:Tag>
    <b:SourceType>JournalArticle</b:SourceType>
    <b:Guid>{7CBD6540-4D16-46F1-94AA-E78E0322B23B}</b:Guid>
    <b:Title>Is Closer Collaboration Really the Key to Effectiveness?</b:Title>
    <b:Year>2009</b:Year>
    <b:Author>
      <b:Author>
        <b:NameList>
          <b:Person>
            <b:Last>Nash</b:Last>
            <b:First>Mike</b:First>
          </b:Person>
          <b:Person>
            <b:Last>Walker</b:Last>
            <b:First>Laura</b:First>
          </b:Person>
        </b:NameList>
      </b:Author>
    </b:Author>
    <b:JournalName>Policing: A Journal of Policy and Practice, Volume 3, Issue 2</b:JournalName>
    <b:Pages>172-180</b:Pages>
    <b:RefOrder>21</b:RefOrder>
  </b:Source>
  <b:Source>
    <b:Tag>Min20</b:Tag>
    <b:SourceType>DocumentFromInternetSite</b:SourceType>
    <b:Guid>{92BE16EB-7B76-4813-80EF-67ED3665AEC3}</b:Guid>
    <b:Title>Probation Serious Further Offence Review in the case of JOSEPH McCANN</b:Title>
    <b:Year>2020</b:Year>
    <b:Author>
      <b:Author>
        <b:NameList>
          <b:Person>
            <b:Last>Justice</b:Last>
            <b:First>Ministry</b:First>
            <b:Middle>of</b:Middle>
          </b:Person>
        </b:NameList>
      </b:Author>
    </b:Author>
    <b:InternetSiteTitle>GOV.UK</b:InternetSiteTitle>
    <b:Month>March</b:Month>
    <b:Day>5th</b:Day>
    <b:URL>https://www.gov.uk/government/publications/review-into-the-case-of-joseph-mccann</b:URL>
    <b:RefOrder>22</b:RefOrder>
  </b:Source>
  <b:Source>
    <b:Tag>Dav</b:Tag>
    <b:SourceType>DocumentFromInternetSite</b:SourceType>
    <b:Guid>{FE0E0935-69BD-46DD-B111-063D45784CFD}</b:Guid>
    <b:Author>
      <b:Author>
        <b:NameList>
          <b:Person>
            <b:Last>Edwrads</b:Last>
            <b:First>David</b:First>
          </b:Person>
        </b:NameList>
      </b:Author>
    </b:Author>
    <b:RefOrder>23</b:RefOrder>
  </b:Source>
  <b:Source>
    <b:Tag>Dav03</b:Tag>
    <b:SourceType>DocumentFromInternetSite</b:SourceType>
    <b:Guid>{70D6CE56-8739-4540-923A-4C28E853E3E7}</b:Guid>
    <b:Author>
      <b:Author>
        <b:NameList>
          <b:Person>
            <b:Last>Edwards</b:Last>
            <b:First>David</b:First>
          </b:Person>
        </b:NameList>
      </b:Author>
    </b:Author>
    <b:Title>ViSOR - Violent and Sex Offender Register</b:Title>
    <b:InternetSiteTitle>Criminal Justice Matters</b:InternetSiteTitle>
    <b:Year>2003</b:Year>
    <b:Month>March</b:Month>
    <b:Day>1st</b:Day>
    <b:URL>https://www.semanticscholar.org/paper/ViSOR-%E2%80%93-Violent-and-Sex-Offender-Register-Edwards/7931ce1e717ebae47518b2139cf0165a33652856</b:URL>
    <b:RefOrder>24</b:RefOrder>
  </b:Source>
  <b:Source>
    <b:Tag>Ste15</b:Tag>
    <b:SourceType>DocumentFromInternetSite</b:SourceType>
    <b:Guid>{D28DE955-434E-4099-A1BA-2305FE877A9D}</b:Guid>
    <b:Author>
      <b:Author>
        <b:NameList>
          <b:Person>
            <b:Last>Bryant</b:Last>
            <b:First>Stephanie</b:First>
          </b:Person>
          <b:Person>
            <b:Last>Peck</b:Last>
            <b:First>Mark</b:First>
          </b:Person>
          <b:Person>
            <b:Last>Lovbakke</b:Last>
            <b:First>Jorgen</b:First>
          </b:Person>
        </b:NameList>
      </b:Author>
    </b:Author>
    <b:Title>Reoffending Analysis of MAPPA Eligible Offenders</b:Title>
    <b:InternetSiteTitle>Minsitry of Justice</b:InternetSiteTitle>
    <b:Year>2015</b:Year>
    <b:URL>https://assets.publishing.service.gov.uk/government/uploads/system/uploads/attachment_data/file/407139/reoffending-analysis-of-mappa-eligible-offenders.pdf</b:URL>
    <b:RefOrder>25</b:RefOrder>
  </b:Source>
  <b:Source>
    <b:Tag>Jen21</b:Tag>
    <b:SourceType>DocumentFromInternetSite</b:SourceType>
    <b:Guid>{A9699856-A056-40D9-BAE1-4EE6C4872CBE}</b:Guid>
    <b:Author>
      <b:Author>
        <b:NameList>
          <b:Person>
            <b:Last>Brown</b:Last>
            <b:First>Jennifer</b:First>
          </b:Person>
        </b:NameList>
      </b:Author>
    </b:Author>
    <b:Title>Policing in the UK</b:Title>
    <b:InternetSiteTitle>UK Parliament</b:InternetSiteTitle>
    <b:Year>2021</b:Year>
    <b:Month>September</b:Month>
    <b:Day>29th</b:Day>
    <b:URL>https://commonslibrary.parliament.uk/research-briefings/cbp-8582/</b:URL>
    <b:RefOrder>26</b:RefOrder>
  </b:Source>
  <b:Source>
    <b:Tag>Col15</b:Tag>
    <b:SourceType>InternetSite</b:SourceType>
    <b:Guid>{C3B22000-2B33-4742-A909-5E0B25015C0E}</b:Guid>
    <b:Title>Complaints and Misconduct</b:Title>
    <b:InternetSiteTitle>Authorised Professional Practice</b:InternetSiteTitle>
    <b:Year>2015</b:Year>
    <b:Month>July</b:Month>
    <b:Day>28th</b:Day>
    <b:URL>https://www.college.police.uk/app/professional-standards/complaints-and-misconduct</b:URL>
    <b:Author>
      <b:Author>
        <b:NameList>
          <b:Person>
            <b:Last>Policing</b:Last>
            <b:First>College</b:First>
            <b:Middle>of</b:Middle>
          </b:Person>
        </b:NameList>
      </b:Author>
    </b:Author>
    <b:RefOrder>27</b:RefOrder>
  </b:Source>
  <b:Source>
    <b:Tag>Tom90</b:Tag>
    <b:SourceType>JournalArticle</b:SourceType>
    <b:Guid>{D7A76C84-5AD7-428E-AF95-81011E344653}</b:Guid>
    <b:Title>The Consent of the Governed: A theoretical exploration of police legitimacy</b:Title>
    <b:Year>1990</b:Year>
    <b:Author>
      <b:Author>
        <b:NameList>
          <b:Person>
            <b:Last>Tyler</b:Last>
            <b:First>Tom</b:First>
            <b:Middle>R</b:Middle>
          </b:Person>
        </b:NameList>
      </b:Author>
    </b:Author>
    <b:JournalName>Journal of Social Issues, 46(2)</b:JournalName>
    <b:Pages>67-85</b:Pages>
    <b:RefOrder>28</b:RefOrder>
  </b:Source>
  <b:Source>
    <b:Tag>Rob21</b:Tag>
    <b:SourceType>Book</b:SourceType>
    <b:Guid>{9B4AB637-A918-438B-9326-4F2B67B96484}</b:Guid>
    <b:Title>Handbook for Policing Students</b:Title>
    <b:Year>2021</b:Year>
    <b:Author>
      <b:Author>
        <b:NameList>
          <b:Person>
            <b:Last>Bryant</b:Last>
            <b:First>Robin</b:First>
            <b:Middle>Bryant and Sarah</b:Middle>
          </b:Person>
        </b:NameList>
      </b:Author>
    </b:Author>
    <b:City>Oxford</b:City>
    <b:Publisher>Blackstones</b:Publisher>
    <b:RefOrder>29</b:RefOrder>
  </b:Source>
  <b:Source>
    <b:Tag>DDi90</b:Tag>
    <b:SourceType>JournalArticle</b:SourceType>
    <b:Guid>{B609276B-9606-4FDE-80DD-DEB5FF0B290A}</b:Guid>
    <b:Title>Consent and the Legal Regulation of Policing</b:Title>
    <b:Year>1990</b:Year>
    <b:Author>
      <b:Author>
        <b:NameList>
          <b:Person>
            <b:Last>D Dixon.</b:Last>
            <b:First>C</b:First>
            <b:Middle>Coleman., K Bottomley</b:Middle>
          </b:Person>
        </b:NameList>
      </b:Author>
    </b:Author>
    <b:JournalName>Journal of Law and Society 17(3)</b:JournalName>
    <b:Pages>345-362</b:Pages>
    <b:RefOrder>30</b:RefOrder>
  </b:Source>
  <b:Source>
    <b:Tag>IOP20</b:Tag>
    <b:SourceType>InternetSite</b:SourceType>
    <b:Guid>{DF520423-9ED0-4E2B-A526-F245BCC57E61}</b:Guid>
    <b:Title>Accountability and Performance</b:Title>
    <b:Year>2020</b:Year>
    <b:InternetSiteTitle>Who we are</b:InternetSiteTitle>
    <b:URL>https://www.policeconduct.gov.uk/who-we-are</b:URL>
    <b:Author>
      <b:Author>
        <b:NameList>
          <b:Person>
            <b:Last>IOPC</b:Last>
          </b:Person>
        </b:NameList>
      </b:Author>
    </b:Author>
    <b:RefOrder>31</b:RefOrder>
  </b:Source>
  <b:Source>
    <b:Tag>IPO21</b:Tag>
    <b:SourceType>InternetSite</b:SourceType>
    <b:Guid>{7096A9B3-91A0-496C-99A7-91F437FB327B}</b:Guid>
    <b:Author>
      <b:Author>
        <b:NameList>
          <b:Person>
            <b:Last>IPOC</b:Last>
          </b:Person>
        </b:NameList>
      </b:Author>
    </b:Author>
    <b:Title>Former Metropolitan Police Service officers jailed for taking photographs at crime scene</b:Title>
    <b:InternetSiteTitle>News</b:InternetSiteTitle>
    <b:Year>2021</b:Year>
    <b:Month>December</b:Month>
    <b:Day>6th</b:Day>
    <b:URL>https://www.policeconduct.gov.uk/news/former-metropolitan-police-service-officers-jailed-taking-photographs-crime-scene</b:URL>
    <b:RefOrder>32</b:RefOrder>
  </b:Source>
  <b:Source>
    <b:Tag>Pol22</b:Tag>
    <b:SourceType>InternetSite</b:SourceType>
    <b:Guid>{186B7FF5-CDD4-4BDB-A6DD-994F72FBBD7F}</b:Guid>
    <b:Author>
      <b:Author>
        <b:NameList>
          <b:Person>
            <b:Last>Federation</b:Last>
            <b:First>Police</b:First>
          </b:Person>
        </b:NameList>
      </b:Author>
    </b:Author>
    <b:Title>Successful PFEW legal action holds IOPC to account</b:Title>
    <b:InternetSiteTitle>Latest News</b:InternetSiteTitle>
    <b:Year>2022</b:Year>
    <b:Month>March</b:Month>
    <b:Day>21st</b:Day>
    <b:URL>https://www.polfed.org/news/latest-news/2022/successful-pfew-legal-action-holds-iopc-to-account/</b:URL>
    <b:RefOrder>33</b:RefOrder>
  </b:Source>
  <b:Source>
    <b:Tag>Pol</b:Tag>
    <b:SourceType>InternetSite</b:SourceType>
    <b:Guid>{1600677F-84D3-4055-A58B-59C037D4973C}</b:Guid>
    <b:Author>
      <b:Author>
        <b:NameList>
          <b:Person>
            <b:Last>Federation</b:Last>
            <b:First>Police</b:First>
          </b:Person>
        </b:NameList>
      </b:Author>
    </b:Author>
    <b:Title>Time Limits</b:Title>
    <b:InternetSiteTitle>Campagins</b:InternetSiteTitle>
    <b:Day>2020</b:Day>
    <b:URL>https://www.polfed.org/campaigns/time-limits/</b:URL>
    <b:RefOrder>34</b:RefOrder>
  </b:Source>
</b:Sources>
</file>

<file path=customXml/itemProps1.xml><?xml version="1.0" encoding="utf-8"?>
<ds:datastoreItem xmlns:ds="http://schemas.openxmlformats.org/officeDocument/2006/customXml" ds:itemID="{51C0B87B-B471-4859-915F-FB7DBDA2B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5896</Words>
  <Characters>33609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Saunders,Naomi swp8096</dc:creator>
  <cp:keywords/>
  <dc:description/>
  <cp:lastModifiedBy>Naomi Saunders</cp:lastModifiedBy>
  <cp:revision>2</cp:revision>
  <dcterms:created xsi:type="dcterms:W3CDTF">2023-02-05T01:30:00Z</dcterms:created>
  <dcterms:modified xsi:type="dcterms:W3CDTF">2023-02-05T01:30:00Z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2023-02-04T23:06:44Z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1b66948f-be81-420d-b1ae-5487b1d01757</vt:lpwstr>
  </property>
  <property fmtid="{D5CDD505-2E9C-101B-9397-08002B2CF9AE}" pid="8" name="MSIP_Label_66cf8fe5-b7b7-4df7-b38d-1c61ac2f6639_ContentBits">
    <vt:lpwstr>0</vt:lpwstr>
  </property>
</Properties>
</file>