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493BE" w14:textId="77777777" w:rsidR="005959D0" w:rsidRPr="005959D0" w:rsidRDefault="005959D0" w:rsidP="005959D0">
      <w:pPr>
        <w:rPr>
          <w:rFonts w:ascii="Arial" w:hAnsi="Arial" w:cs="Arial"/>
          <w:b/>
          <w:bCs/>
        </w:rPr>
      </w:pPr>
      <w:r w:rsidRPr="005959D0">
        <w:rPr>
          <w:rFonts w:ascii="Arial" w:hAnsi="Arial" w:cs="Arial"/>
          <w:b/>
          <w:bCs/>
        </w:rPr>
        <w:t>Leading and Implementing Change</w:t>
      </w:r>
    </w:p>
    <w:p w14:paraId="6571B943" w14:textId="16B2C12B" w:rsidR="005959D0" w:rsidRPr="00FD45E7" w:rsidRDefault="005959D0" w:rsidP="009611A2">
      <w:pPr>
        <w:rPr>
          <w:rFonts w:ascii="Arial" w:hAnsi="Arial" w:cs="Arial"/>
        </w:rPr>
      </w:pPr>
      <w:r w:rsidRPr="00FD45E7">
        <w:rPr>
          <w:rFonts w:ascii="Arial" w:hAnsi="Arial" w:cs="Arial"/>
        </w:rPr>
        <w:t>Name: Kiril Kolchev</w:t>
      </w:r>
    </w:p>
    <w:p w14:paraId="16B7B873" w14:textId="479E0775" w:rsidR="005959D0" w:rsidRPr="00FD45E7" w:rsidRDefault="005959D0" w:rsidP="009611A2">
      <w:pPr>
        <w:rPr>
          <w:rFonts w:ascii="Arial" w:hAnsi="Arial" w:cs="Arial"/>
        </w:rPr>
      </w:pPr>
      <w:r w:rsidRPr="00FD45E7">
        <w:rPr>
          <w:rFonts w:ascii="Arial" w:hAnsi="Arial" w:cs="Arial"/>
        </w:rPr>
        <w:t>Student Number: 2239636</w:t>
      </w:r>
      <w:r w:rsidRPr="00FD45E7">
        <w:rPr>
          <w:rFonts w:ascii="Arial" w:hAnsi="Arial" w:cs="Arial"/>
        </w:rPr>
        <w:tab/>
      </w:r>
    </w:p>
    <w:p w14:paraId="45778DF9" w14:textId="030156F5" w:rsidR="00DA58B3" w:rsidRPr="00FD45E7" w:rsidRDefault="00DA58B3" w:rsidP="009611A2">
      <w:pPr>
        <w:rPr>
          <w:rFonts w:ascii="Arial" w:hAnsi="Arial" w:cs="Arial"/>
        </w:rPr>
      </w:pPr>
      <w:r w:rsidRPr="00FD45E7">
        <w:rPr>
          <w:rFonts w:ascii="Arial" w:hAnsi="Arial" w:cs="Arial"/>
        </w:rPr>
        <w:t xml:space="preserve">Lecturer: Ivan Rodriguez Hernandez </w:t>
      </w:r>
    </w:p>
    <w:p w14:paraId="620386C8" w14:textId="16C8F8C6" w:rsidR="00DA58B3" w:rsidRPr="00FD45E7" w:rsidRDefault="00DA58B3" w:rsidP="009611A2">
      <w:pPr>
        <w:rPr>
          <w:rFonts w:ascii="Arial" w:hAnsi="Arial" w:cs="Arial"/>
        </w:rPr>
      </w:pPr>
      <w:r w:rsidRPr="00FD45E7">
        <w:rPr>
          <w:rFonts w:ascii="Arial" w:hAnsi="Arial" w:cs="Arial"/>
        </w:rPr>
        <w:t>Module LCLM6003</w:t>
      </w:r>
    </w:p>
    <w:p w14:paraId="1E331D61" w14:textId="77777777" w:rsidR="006910BC" w:rsidRPr="00FD45E7" w:rsidRDefault="006910BC" w:rsidP="009611A2">
      <w:pPr>
        <w:rPr>
          <w:rFonts w:ascii="Arial" w:hAnsi="Arial" w:cs="Arial"/>
        </w:rPr>
      </w:pPr>
    </w:p>
    <w:p w14:paraId="600CC965" w14:textId="77777777" w:rsidR="00EB6D54" w:rsidRPr="00FD45E7" w:rsidRDefault="00EB6D54" w:rsidP="009611A2">
      <w:pPr>
        <w:rPr>
          <w:rFonts w:ascii="Arial" w:hAnsi="Arial" w:cs="Arial"/>
          <w:b/>
          <w:bCs/>
        </w:rPr>
      </w:pPr>
    </w:p>
    <w:p w14:paraId="717AFE07" w14:textId="77777777" w:rsidR="00EB6D54" w:rsidRPr="00FD45E7" w:rsidRDefault="00EB6D54" w:rsidP="009611A2">
      <w:pPr>
        <w:rPr>
          <w:rFonts w:ascii="Arial" w:hAnsi="Arial" w:cs="Arial"/>
          <w:b/>
          <w:bCs/>
        </w:rPr>
      </w:pPr>
    </w:p>
    <w:p w14:paraId="12A717B6" w14:textId="77777777" w:rsidR="00807B89" w:rsidRPr="00807B89" w:rsidRDefault="00807B89" w:rsidP="00807B89">
      <w:pPr>
        <w:rPr>
          <w:rFonts w:ascii="Arial" w:hAnsi="Arial" w:cs="Arial"/>
        </w:rPr>
      </w:pPr>
      <w:r w:rsidRPr="00807B89">
        <w:rPr>
          <w:rFonts w:ascii="Arial" w:hAnsi="Arial" w:cs="Arial"/>
          <w:b/>
          <w:bCs/>
          <w:color w:val="EE0000"/>
        </w:rPr>
        <w:t>1. Introduction</w:t>
      </w:r>
      <w:r w:rsidRPr="00807B89">
        <w:rPr>
          <w:rFonts w:ascii="Arial" w:hAnsi="Arial" w:cs="Arial"/>
        </w:rPr>
        <w:br/>
        <w:t>Change has become a fundamental and ongoing part of business life. In today’s fast-paced and highly competitive global economy, companies face continuous pressure to adapt to new technologies, evolving customer expectations, regulatory shifts, and international competition. These pressures are particularly pronounced in the logistics and supply chain sector, where efficiency, speed, and technological innovation are critical to meeting the demands of e-commerce, retail, and manufacturing clients. Automation, artificial intelligence (AI), real-time data analytics, and digital systems are transforming how goods are stored, moved, and delivered, requiring companies to continuously innovate and restructure their operations.</w:t>
      </w:r>
    </w:p>
    <w:p w14:paraId="2F455EC9" w14:textId="77777777" w:rsidR="00807B89" w:rsidRPr="00807B89" w:rsidRDefault="00807B89" w:rsidP="00807B89">
      <w:pPr>
        <w:rPr>
          <w:rFonts w:ascii="Arial" w:hAnsi="Arial" w:cs="Arial"/>
        </w:rPr>
      </w:pPr>
      <w:r w:rsidRPr="00807B89">
        <w:rPr>
          <w:rFonts w:ascii="Arial" w:hAnsi="Arial" w:cs="Arial"/>
        </w:rPr>
        <w:t>A major example of such transformative change in the logistics industry is the acquisition of Wincanton plc by GXO Logistics in 2024. This takeover is not simply a financial transaction; it represents a strategic and operational transformation for both companies. For Wincanton, the acquisition introduces new technologies, global best practices, and access to a larger international network. For GXO, it strengthens its presence in the UK and Irish markets and expands its capacity to serve a diverse range of clients. Importantly, the acquisition has significant implications for employees, management structures, warehouse operations, and company culture, highlighting the human dimension of large-scale organisational change.</w:t>
      </w:r>
    </w:p>
    <w:p w14:paraId="13520B4E" w14:textId="77777777" w:rsidR="00807B89" w:rsidRPr="00807B89" w:rsidRDefault="00807B89" w:rsidP="00807B89">
      <w:pPr>
        <w:rPr>
          <w:rFonts w:ascii="Arial" w:hAnsi="Arial" w:cs="Arial"/>
        </w:rPr>
      </w:pPr>
      <w:r w:rsidRPr="00807B89">
        <w:rPr>
          <w:rFonts w:ascii="Arial" w:hAnsi="Arial" w:cs="Arial"/>
        </w:rPr>
        <w:t xml:space="preserve">This report explores the drivers behind the acquisition and examines its impact on staff, operations, pay, benefits, and organisational culture. It identifies both the challenges and opportunities that arise when integrating two large logistics </w:t>
      </w:r>
      <w:proofErr w:type="gramStart"/>
      <w:r w:rsidRPr="00807B89">
        <w:rPr>
          <w:rFonts w:ascii="Arial" w:hAnsi="Arial" w:cs="Arial"/>
        </w:rPr>
        <w:t>companies, and</w:t>
      </w:r>
      <w:proofErr w:type="gramEnd"/>
      <w:r w:rsidRPr="00807B89">
        <w:rPr>
          <w:rFonts w:ascii="Arial" w:hAnsi="Arial" w:cs="Arial"/>
        </w:rPr>
        <w:t xml:space="preserve"> evaluates how effective change management can facilitate a smooth transition. To provide a structured analysis, the report applies established change management frameworks, including Lewin’s Three-Step Model, Kotter’s Eight-Step Model, and the McKinsey 7S Framework, demonstrating how GXO can navigate this complex change process strategically.</w:t>
      </w:r>
    </w:p>
    <w:p w14:paraId="4D887159" w14:textId="77777777" w:rsidR="00807B89" w:rsidRPr="00807B89" w:rsidRDefault="00807B89" w:rsidP="00807B89">
      <w:pPr>
        <w:rPr>
          <w:rFonts w:ascii="Arial" w:hAnsi="Arial" w:cs="Arial"/>
        </w:rPr>
      </w:pPr>
      <w:r w:rsidRPr="00807B89">
        <w:rPr>
          <w:rFonts w:ascii="Arial" w:hAnsi="Arial" w:cs="Arial"/>
        </w:rPr>
        <w:t xml:space="preserve">Finally, the report presents a Change Management Plan designed to guide the integration process, focusing on clear communication, leadership development, financial planning, workforce engagement, and employee well-being. By examining </w:t>
      </w:r>
      <w:r w:rsidRPr="00807B89">
        <w:rPr>
          <w:rFonts w:ascii="Arial" w:hAnsi="Arial" w:cs="Arial"/>
        </w:rPr>
        <w:lastRenderedPageBreak/>
        <w:t>both operational and human factors, this report aims to provide a comprehensive understanding of how GXO can achieve a successful merger while maintaining employee trust and operational excellence.</w:t>
      </w:r>
    </w:p>
    <w:p w14:paraId="19A82778" w14:textId="69932569" w:rsidR="009611A2" w:rsidRPr="00FD45E7" w:rsidRDefault="009611A2" w:rsidP="009611A2">
      <w:pPr>
        <w:rPr>
          <w:rFonts w:ascii="Arial" w:hAnsi="Arial" w:cs="Arial"/>
        </w:rPr>
      </w:pPr>
    </w:p>
    <w:p w14:paraId="62FEDD5D" w14:textId="77777777" w:rsidR="009611A2" w:rsidRPr="00FD45E7" w:rsidRDefault="009611A2" w:rsidP="009611A2">
      <w:pPr>
        <w:rPr>
          <w:rFonts w:ascii="Arial" w:hAnsi="Arial" w:cs="Arial"/>
          <w:b/>
          <w:bCs/>
          <w:color w:val="C00000"/>
        </w:rPr>
      </w:pPr>
      <w:r w:rsidRPr="00FD45E7">
        <w:rPr>
          <w:rFonts w:ascii="Arial" w:hAnsi="Arial" w:cs="Arial"/>
          <w:b/>
          <w:bCs/>
          <w:color w:val="C00000"/>
        </w:rPr>
        <w:t>2. Company Overview and Background</w:t>
      </w:r>
    </w:p>
    <w:p w14:paraId="667F3085" w14:textId="77777777" w:rsidR="009611A2" w:rsidRPr="00FD45E7" w:rsidRDefault="009611A2" w:rsidP="009611A2">
      <w:pPr>
        <w:rPr>
          <w:rFonts w:ascii="Arial" w:hAnsi="Arial" w:cs="Arial"/>
          <w:b/>
          <w:bCs/>
        </w:rPr>
      </w:pPr>
      <w:r w:rsidRPr="00FD45E7">
        <w:rPr>
          <w:rFonts w:ascii="Arial" w:hAnsi="Arial" w:cs="Arial"/>
          <w:b/>
          <w:bCs/>
        </w:rPr>
        <w:t>2.1 About GXO Logistics</w:t>
      </w:r>
    </w:p>
    <w:p w14:paraId="38754232" w14:textId="77777777" w:rsidR="009611A2" w:rsidRPr="00FD45E7" w:rsidRDefault="009611A2" w:rsidP="009611A2">
      <w:pPr>
        <w:rPr>
          <w:rFonts w:ascii="Arial" w:hAnsi="Arial" w:cs="Arial"/>
        </w:rPr>
      </w:pPr>
      <w:r w:rsidRPr="00FD45E7">
        <w:rPr>
          <w:rFonts w:ascii="Arial" w:hAnsi="Arial" w:cs="Arial"/>
          <w:b/>
          <w:bCs/>
        </w:rPr>
        <w:t>GXO Logistics</w:t>
      </w:r>
      <w:r w:rsidRPr="00FD45E7">
        <w:rPr>
          <w:rFonts w:ascii="Arial" w:hAnsi="Arial" w:cs="Arial"/>
        </w:rPr>
        <w:t xml:space="preserve"> is one of the largest contract logistics providers in the world. Headquartered in Connecticut, USA, the company operates in over 25 countries with more than 130,000 employees (GXO, 2024). GXO was created in 2021 after separating from XPO Logistics, allowing it to focus purely on warehousing, automation, and supply chain management.</w:t>
      </w:r>
    </w:p>
    <w:p w14:paraId="057956E1" w14:textId="77777777" w:rsidR="009611A2" w:rsidRPr="00FD45E7" w:rsidRDefault="009611A2" w:rsidP="009611A2">
      <w:pPr>
        <w:rPr>
          <w:rFonts w:ascii="Arial" w:hAnsi="Arial" w:cs="Arial"/>
        </w:rPr>
      </w:pPr>
      <w:r w:rsidRPr="00FD45E7">
        <w:rPr>
          <w:rFonts w:ascii="Arial" w:hAnsi="Arial" w:cs="Arial"/>
        </w:rPr>
        <w:t xml:space="preserve">GXO is known for its strong focus on </w:t>
      </w:r>
      <w:r w:rsidRPr="00FD45E7">
        <w:rPr>
          <w:rFonts w:ascii="Arial" w:hAnsi="Arial" w:cs="Arial"/>
          <w:b/>
          <w:bCs/>
        </w:rPr>
        <w:t>technology and innovation</w:t>
      </w:r>
      <w:r w:rsidRPr="00FD45E7">
        <w:rPr>
          <w:rFonts w:ascii="Arial" w:hAnsi="Arial" w:cs="Arial"/>
        </w:rPr>
        <w:t xml:space="preserve">. The company uses advanced systems such as </w:t>
      </w:r>
      <w:r w:rsidRPr="00FD45E7">
        <w:rPr>
          <w:rFonts w:ascii="Arial" w:hAnsi="Arial" w:cs="Arial"/>
          <w:b/>
          <w:bCs/>
        </w:rPr>
        <w:t>warehouse robots</w:t>
      </w:r>
      <w:r w:rsidRPr="00FD45E7">
        <w:rPr>
          <w:rFonts w:ascii="Arial" w:hAnsi="Arial" w:cs="Arial"/>
        </w:rPr>
        <w:t xml:space="preserve">, </w:t>
      </w:r>
      <w:r w:rsidRPr="00FD45E7">
        <w:rPr>
          <w:rFonts w:ascii="Arial" w:hAnsi="Arial" w:cs="Arial"/>
          <w:b/>
          <w:bCs/>
        </w:rPr>
        <w:t>automated picking</w:t>
      </w:r>
      <w:r w:rsidRPr="00FD45E7">
        <w:rPr>
          <w:rFonts w:ascii="Arial" w:hAnsi="Arial" w:cs="Arial"/>
        </w:rPr>
        <w:t xml:space="preserve">, </w:t>
      </w:r>
      <w:r w:rsidRPr="00FD45E7">
        <w:rPr>
          <w:rFonts w:ascii="Arial" w:hAnsi="Arial" w:cs="Arial"/>
          <w:b/>
          <w:bCs/>
        </w:rPr>
        <w:t>AI forecasting</w:t>
      </w:r>
      <w:r w:rsidRPr="00FD45E7">
        <w:rPr>
          <w:rFonts w:ascii="Arial" w:hAnsi="Arial" w:cs="Arial"/>
        </w:rPr>
        <w:t xml:space="preserve">, and </w:t>
      </w:r>
      <w:r w:rsidRPr="00FD45E7">
        <w:rPr>
          <w:rFonts w:ascii="Arial" w:hAnsi="Arial" w:cs="Arial"/>
          <w:b/>
          <w:bCs/>
        </w:rPr>
        <w:t>data analytics</w:t>
      </w:r>
      <w:r w:rsidRPr="00FD45E7">
        <w:rPr>
          <w:rFonts w:ascii="Arial" w:hAnsi="Arial" w:cs="Arial"/>
        </w:rPr>
        <w:t xml:space="preserve"> to improve accuracy and efficiency. Many of its warehouses are “smart warehouses” that use digital tools to optimise space and speed up delivery times.</w:t>
      </w:r>
    </w:p>
    <w:p w14:paraId="1B0699A2" w14:textId="77777777" w:rsidR="009611A2" w:rsidRPr="00FD45E7" w:rsidRDefault="009611A2" w:rsidP="009611A2">
      <w:pPr>
        <w:rPr>
          <w:rFonts w:ascii="Arial" w:hAnsi="Arial" w:cs="Arial"/>
        </w:rPr>
      </w:pPr>
      <w:r w:rsidRPr="00FD45E7">
        <w:rPr>
          <w:rFonts w:ascii="Arial" w:hAnsi="Arial" w:cs="Arial"/>
        </w:rPr>
        <w:t>The company works with major global brands in retail, fashion, technology, food and beverage, and e-commerce. GXO’s strategy is to keep expanding globally by acquiring companies that give it access to new markets or special expertise — like Wincanton in the UK.</w:t>
      </w:r>
    </w:p>
    <w:p w14:paraId="67408F8D" w14:textId="77777777" w:rsidR="009611A2" w:rsidRPr="00FD45E7" w:rsidRDefault="009611A2" w:rsidP="009611A2">
      <w:pPr>
        <w:rPr>
          <w:rFonts w:ascii="Arial" w:hAnsi="Arial" w:cs="Arial"/>
          <w:b/>
          <w:bCs/>
        </w:rPr>
      </w:pPr>
      <w:r w:rsidRPr="00FD45E7">
        <w:rPr>
          <w:rFonts w:ascii="Arial" w:hAnsi="Arial" w:cs="Arial"/>
          <w:b/>
          <w:bCs/>
        </w:rPr>
        <w:t>2.2 About Wincanton plc</w:t>
      </w:r>
    </w:p>
    <w:p w14:paraId="32CFFACD" w14:textId="77777777" w:rsidR="009611A2" w:rsidRPr="00FD45E7" w:rsidRDefault="009611A2" w:rsidP="009611A2">
      <w:pPr>
        <w:rPr>
          <w:rFonts w:ascii="Arial" w:hAnsi="Arial" w:cs="Arial"/>
        </w:rPr>
      </w:pPr>
      <w:r w:rsidRPr="00FD45E7">
        <w:rPr>
          <w:rFonts w:ascii="Arial" w:hAnsi="Arial" w:cs="Arial"/>
          <w:b/>
          <w:bCs/>
        </w:rPr>
        <w:t>Wincanton plc</w:t>
      </w:r>
      <w:r w:rsidRPr="00FD45E7">
        <w:rPr>
          <w:rFonts w:ascii="Arial" w:hAnsi="Arial" w:cs="Arial"/>
        </w:rPr>
        <w:t xml:space="preserve"> is one of the UK’s most established logistics companies. It was founded in 1925 and has been a trusted name in the transport and storage sector for nearly 100 years. Before the acquisition, Wincanton employed around </w:t>
      </w:r>
      <w:r w:rsidRPr="00FD45E7">
        <w:rPr>
          <w:rFonts w:ascii="Arial" w:hAnsi="Arial" w:cs="Arial"/>
          <w:b/>
          <w:bCs/>
        </w:rPr>
        <w:t>20,000 people</w:t>
      </w:r>
      <w:r w:rsidRPr="00FD45E7">
        <w:rPr>
          <w:rFonts w:ascii="Arial" w:hAnsi="Arial" w:cs="Arial"/>
        </w:rPr>
        <w:t xml:space="preserve"> and managed over </w:t>
      </w:r>
      <w:r w:rsidRPr="00FD45E7">
        <w:rPr>
          <w:rFonts w:ascii="Arial" w:hAnsi="Arial" w:cs="Arial"/>
          <w:b/>
          <w:bCs/>
        </w:rPr>
        <w:t>170 warehouse and transport sites</w:t>
      </w:r>
      <w:r w:rsidRPr="00FD45E7">
        <w:rPr>
          <w:rFonts w:ascii="Arial" w:hAnsi="Arial" w:cs="Arial"/>
        </w:rPr>
        <w:t xml:space="preserve"> across the UK and Ireland (Wincanton, 2023).</w:t>
      </w:r>
    </w:p>
    <w:p w14:paraId="6FD5577F" w14:textId="77777777" w:rsidR="009611A2" w:rsidRPr="00FD45E7" w:rsidRDefault="009611A2" w:rsidP="009611A2">
      <w:pPr>
        <w:rPr>
          <w:rFonts w:ascii="Arial" w:hAnsi="Arial" w:cs="Arial"/>
        </w:rPr>
      </w:pPr>
      <w:r w:rsidRPr="00FD45E7">
        <w:rPr>
          <w:rFonts w:ascii="Arial" w:hAnsi="Arial" w:cs="Arial"/>
        </w:rPr>
        <w:t xml:space="preserve">The company provides logistics and supply chain services to a variety of sectors — retail, grocery, construction, and defence. Some of its biggest customers include </w:t>
      </w:r>
      <w:r w:rsidRPr="00FD45E7">
        <w:rPr>
          <w:rFonts w:ascii="Arial" w:hAnsi="Arial" w:cs="Arial"/>
          <w:b/>
          <w:bCs/>
        </w:rPr>
        <w:t>Waitrose, B&amp;Q, Co-op, and the UK Ministry of Defence</w:t>
      </w:r>
      <w:r w:rsidRPr="00FD45E7">
        <w:rPr>
          <w:rFonts w:ascii="Arial" w:hAnsi="Arial" w:cs="Arial"/>
        </w:rPr>
        <w:t>.</w:t>
      </w:r>
    </w:p>
    <w:p w14:paraId="668A98D9" w14:textId="77777777" w:rsidR="009611A2" w:rsidRPr="00FD45E7" w:rsidRDefault="009611A2" w:rsidP="009611A2">
      <w:pPr>
        <w:rPr>
          <w:rFonts w:ascii="Arial" w:hAnsi="Arial" w:cs="Arial"/>
        </w:rPr>
      </w:pPr>
      <w:r w:rsidRPr="00FD45E7">
        <w:rPr>
          <w:rFonts w:ascii="Arial" w:hAnsi="Arial" w:cs="Arial"/>
        </w:rPr>
        <w:t>Although Wincanton was profitable and well-respected, it faced growing challenges. The company struggled to compete with international logistics giants that had more advanced technology and automation. Its systems were often older, and some of its pay and benefits structures varied between locations.</w:t>
      </w:r>
    </w:p>
    <w:p w14:paraId="6E16A475" w14:textId="77777777" w:rsidR="009611A2" w:rsidRPr="00FD45E7" w:rsidRDefault="009611A2" w:rsidP="009611A2">
      <w:pPr>
        <w:rPr>
          <w:rFonts w:ascii="Arial" w:hAnsi="Arial" w:cs="Arial"/>
        </w:rPr>
      </w:pPr>
      <w:r w:rsidRPr="00FD45E7">
        <w:rPr>
          <w:rFonts w:ascii="Arial" w:hAnsi="Arial" w:cs="Arial"/>
        </w:rPr>
        <w:t>By joining forces with GXO, Wincanton hoped to gain access to modern technology, global best practices, and new career opportunities for its workforce.</w:t>
      </w:r>
    </w:p>
    <w:p w14:paraId="75AFFE5B" w14:textId="77777777" w:rsidR="009611A2" w:rsidRPr="00FD45E7" w:rsidRDefault="009611A2" w:rsidP="009611A2">
      <w:pPr>
        <w:rPr>
          <w:rFonts w:ascii="Arial" w:hAnsi="Arial" w:cs="Arial"/>
          <w:b/>
          <w:bCs/>
        </w:rPr>
      </w:pPr>
      <w:r w:rsidRPr="00FD45E7">
        <w:rPr>
          <w:rFonts w:ascii="Arial" w:hAnsi="Arial" w:cs="Arial"/>
          <w:b/>
          <w:bCs/>
        </w:rPr>
        <w:t>2.3 The Acquisition</w:t>
      </w:r>
    </w:p>
    <w:p w14:paraId="7BBDF1F3" w14:textId="77777777" w:rsidR="009611A2" w:rsidRPr="00FD45E7" w:rsidRDefault="009611A2" w:rsidP="009611A2">
      <w:pPr>
        <w:rPr>
          <w:rFonts w:ascii="Arial" w:hAnsi="Arial" w:cs="Arial"/>
        </w:rPr>
      </w:pPr>
      <w:r w:rsidRPr="00FD45E7">
        <w:rPr>
          <w:rFonts w:ascii="Arial" w:hAnsi="Arial" w:cs="Arial"/>
        </w:rPr>
        <w:lastRenderedPageBreak/>
        <w:t xml:space="preserve">In </w:t>
      </w:r>
      <w:r w:rsidRPr="00FD45E7">
        <w:rPr>
          <w:rFonts w:ascii="Arial" w:hAnsi="Arial" w:cs="Arial"/>
          <w:b/>
          <w:bCs/>
        </w:rPr>
        <w:t>February 2024</w:t>
      </w:r>
      <w:r w:rsidRPr="00FD45E7">
        <w:rPr>
          <w:rFonts w:ascii="Arial" w:hAnsi="Arial" w:cs="Arial"/>
        </w:rPr>
        <w:t xml:space="preserve">, GXO Logistics announced an offer to buy Wincanton for </w:t>
      </w:r>
      <w:r w:rsidRPr="00FD45E7">
        <w:rPr>
          <w:rFonts w:ascii="Arial" w:hAnsi="Arial" w:cs="Arial"/>
          <w:b/>
          <w:bCs/>
        </w:rPr>
        <w:t>605 pence per share</w:t>
      </w:r>
      <w:r w:rsidRPr="00FD45E7">
        <w:rPr>
          <w:rFonts w:ascii="Arial" w:hAnsi="Arial" w:cs="Arial"/>
        </w:rPr>
        <w:t xml:space="preserve">, valuing the company at around </w:t>
      </w:r>
      <w:r w:rsidRPr="00FD45E7">
        <w:rPr>
          <w:rFonts w:ascii="Arial" w:hAnsi="Arial" w:cs="Arial"/>
          <w:b/>
          <w:bCs/>
        </w:rPr>
        <w:t>£762 million</w:t>
      </w:r>
      <w:r w:rsidRPr="00FD45E7">
        <w:rPr>
          <w:rFonts w:ascii="Arial" w:hAnsi="Arial" w:cs="Arial"/>
        </w:rPr>
        <w:t xml:space="preserve"> (GXO, 2024a). The deal was approved in </w:t>
      </w:r>
      <w:r w:rsidRPr="00FD45E7">
        <w:rPr>
          <w:rFonts w:ascii="Arial" w:hAnsi="Arial" w:cs="Arial"/>
          <w:b/>
          <w:bCs/>
        </w:rPr>
        <w:t>April 2024</w:t>
      </w:r>
      <w:r w:rsidRPr="00FD45E7">
        <w:rPr>
          <w:rFonts w:ascii="Arial" w:hAnsi="Arial" w:cs="Arial"/>
        </w:rPr>
        <w:t xml:space="preserve"> after review by the UK Competition and Markets Authority.</w:t>
      </w:r>
    </w:p>
    <w:p w14:paraId="40F7F216" w14:textId="77777777" w:rsidR="009611A2" w:rsidRPr="00FD45E7" w:rsidRDefault="009611A2" w:rsidP="009611A2">
      <w:pPr>
        <w:rPr>
          <w:rFonts w:ascii="Arial" w:hAnsi="Arial" w:cs="Arial"/>
        </w:rPr>
      </w:pPr>
      <w:r w:rsidRPr="00FD45E7">
        <w:rPr>
          <w:rFonts w:ascii="Arial" w:hAnsi="Arial" w:cs="Arial"/>
        </w:rPr>
        <w:t>For GXO, the purchase helped it expand its presence in the UK and Irish markets. For Wincanton, the deal offered financial stability and access to global technology and systems. However, as with all mergers, the integration created uncertainty for employees and management.</w:t>
      </w:r>
    </w:p>
    <w:p w14:paraId="030F04BF" w14:textId="77777777" w:rsidR="009611A2" w:rsidRPr="00FD45E7" w:rsidRDefault="009611A2" w:rsidP="009611A2">
      <w:pPr>
        <w:rPr>
          <w:rFonts w:ascii="Arial" w:hAnsi="Arial" w:cs="Arial"/>
        </w:rPr>
      </w:pPr>
      <w:r w:rsidRPr="00FD45E7">
        <w:rPr>
          <w:rFonts w:ascii="Arial" w:hAnsi="Arial" w:cs="Arial"/>
        </w:rPr>
        <w:t xml:space="preserve">Many staff were concerned about how this change would affect their </w:t>
      </w:r>
      <w:r w:rsidRPr="00FD45E7">
        <w:rPr>
          <w:rFonts w:ascii="Arial" w:hAnsi="Arial" w:cs="Arial"/>
          <w:b/>
          <w:bCs/>
        </w:rPr>
        <w:t>jobs, wages, and working conditions</w:t>
      </w:r>
      <w:r w:rsidRPr="00FD45E7">
        <w:rPr>
          <w:rFonts w:ascii="Arial" w:hAnsi="Arial" w:cs="Arial"/>
        </w:rPr>
        <w:t>. Warehouse workers</w:t>
      </w:r>
      <w:proofErr w:type="gramStart"/>
      <w:r w:rsidRPr="00FD45E7">
        <w:rPr>
          <w:rFonts w:ascii="Arial" w:hAnsi="Arial" w:cs="Arial"/>
        </w:rPr>
        <w:t>, in particular, worried</w:t>
      </w:r>
      <w:proofErr w:type="gramEnd"/>
      <w:r w:rsidRPr="00FD45E7">
        <w:rPr>
          <w:rFonts w:ascii="Arial" w:hAnsi="Arial" w:cs="Arial"/>
        </w:rPr>
        <w:t xml:space="preserve"> about automation and possible job losses, while managers feared duplication of roles and cultural change.</w:t>
      </w:r>
    </w:p>
    <w:p w14:paraId="7235C330" w14:textId="19F866F9" w:rsidR="009611A2" w:rsidRPr="00FD45E7" w:rsidRDefault="009611A2" w:rsidP="009611A2">
      <w:pPr>
        <w:rPr>
          <w:rFonts w:ascii="Arial" w:hAnsi="Arial" w:cs="Arial"/>
        </w:rPr>
      </w:pPr>
    </w:p>
    <w:p w14:paraId="138E044D" w14:textId="77777777" w:rsidR="009611A2" w:rsidRPr="00FD45E7" w:rsidRDefault="009611A2" w:rsidP="009611A2">
      <w:pPr>
        <w:rPr>
          <w:rFonts w:ascii="Arial" w:hAnsi="Arial" w:cs="Arial"/>
          <w:b/>
          <w:bCs/>
          <w:color w:val="C00000"/>
        </w:rPr>
      </w:pPr>
      <w:r w:rsidRPr="00FD45E7">
        <w:rPr>
          <w:rFonts w:ascii="Arial" w:hAnsi="Arial" w:cs="Arial"/>
          <w:b/>
          <w:bCs/>
          <w:color w:val="C00000"/>
        </w:rPr>
        <w:t>3. Why Change Was Necessary: Triggers and Environmental Factors</w:t>
      </w:r>
    </w:p>
    <w:p w14:paraId="4A47ABC1" w14:textId="77777777" w:rsidR="009611A2" w:rsidRPr="00FD45E7" w:rsidRDefault="009611A2" w:rsidP="009611A2">
      <w:pPr>
        <w:rPr>
          <w:rFonts w:ascii="Arial" w:hAnsi="Arial" w:cs="Arial"/>
          <w:b/>
          <w:bCs/>
        </w:rPr>
      </w:pPr>
      <w:r w:rsidRPr="00FD45E7">
        <w:rPr>
          <w:rFonts w:ascii="Arial" w:hAnsi="Arial" w:cs="Arial"/>
          <w:b/>
          <w:bCs/>
        </w:rPr>
        <w:t>3.1 External Factors Affecting the Logistics Industry</w:t>
      </w:r>
    </w:p>
    <w:p w14:paraId="3A94E447" w14:textId="77777777" w:rsidR="009611A2" w:rsidRPr="00FD45E7" w:rsidRDefault="009611A2" w:rsidP="009611A2">
      <w:pPr>
        <w:rPr>
          <w:rFonts w:ascii="Arial" w:hAnsi="Arial" w:cs="Arial"/>
        </w:rPr>
      </w:pPr>
      <w:r w:rsidRPr="00FD45E7">
        <w:rPr>
          <w:rFonts w:ascii="Arial" w:hAnsi="Arial" w:cs="Arial"/>
        </w:rPr>
        <w:t>Several external factors influenced GXO’s decision to acquire Wincanton:</w:t>
      </w:r>
    </w:p>
    <w:p w14:paraId="7D065779" w14:textId="77777777" w:rsidR="009611A2" w:rsidRPr="00FD45E7" w:rsidRDefault="009611A2" w:rsidP="009611A2">
      <w:pPr>
        <w:rPr>
          <w:rFonts w:ascii="Arial" w:hAnsi="Arial" w:cs="Arial"/>
          <w:b/>
          <w:bCs/>
        </w:rPr>
      </w:pPr>
      <w:r w:rsidRPr="00FD45E7">
        <w:rPr>
          <w:rFonts w:ascii="Arial" w:hAnsi="Arial" w:cs="Arial"/>
          <w:b/>
          <w:bCs/>
        </w:rPr>
        <w:t>a) Digital Transformation</w:t>
      </w:r>
    </w:p>
    <w:p w14:paraId="7756BB6F" w14:textId="77777777" w:rsidR="009611A2" w:rsidRPr="00FD45E7" w:rsidRDefault="009611A2" w:rsidP="009611A2">
      <w:pPr>
        <w:rPr>
          <w:rFonts w:ascii="Arial" w:hAnsi="Arial" w:cs="Arial"/>
        </w:rPr>
      </w:pPr>
      <w:r w:rsidRPr="00FD45E7">
        <w:rPr>
          <w:rFonts w:ascii="Arial" w:hAnsi="Arial" w:cs="Arial"/>
        </w:rPr>
        <w:t>Technology is rapidly changing the logistics sector. Automation, robotics, and AI are reducing the need for manual labour while improving speed and accuracy. Companies that fail to invest in digital systems risk falling behind. GXO’s takeover enables Wincanton to modernise quickly by using GXO’s proven technology.</w:t>
      </w:r>
    </w:p>
    <w:p w14:paraId="5561828A" w14:textId="77777777" w:rsidR="009611A2" w:rsidRPr="00FD45E7" w:rsidRDefault="009611A2" w:rsidP="009611A2">
      <w:pPr>
        <w:rPr>
          <w:rFonts w:ascii="Arial" w:hAnsi="Arial" w:cs="Arial"/>
          <w:b/>
          <w:bCs/>
        </w:rPr>
      </w:pPr>
      <w:r w:rsidRPr="00FD45E7">
        <w:rPr>
          <w:rFonts w:ascii="Arial" w:hAnsi="Arial" w:cs="Arial"/>
          <w:b/>
          <w:bCs/>
        </w:rPr>
        <w:t>b) Growth of Online Shopping</w:t>
      </w:r>
    </w:p>
    <w:p w14:paraId="18D9D3A8" w14:textId="77777777" w:rsidR="009611A2" w:rsidRPr="00FD45E7" w:rsidRDefault="009611A2" w:rsidP="009611A2">
      <w:pPr>
        <w:rPr>
          <w:rFonts w:ascii="Arial" w:hAnsi="Arial" w:cs="Arial"/>
        </w:rPr>
      </w:pPr>
      <w:r w:rsidRPr="00FD45E7">
        <w:rPr>
          <w:rFonts w:ascii="Arial" w:hAnsi="Arial" w:cs="Arial"/>
        </w:rPr>
        <w:t>The boom in e-commerce has transformed customer expectations. Consumers now demand next-day or even same-day delivery, which requires highly efficient and flexible logistics operations. The acquisition allows GXO to handle more online retail customers across the UK.</w:t>
      </w:r>
    </w:p>
    <w:p w14:paraId="7799A09B" w14:textId="77777777" w:rsidR="009611A2" w:rsidRPr="00FD45E7" w:rsidRDefault="009611A2" w:rsidP="009611A2">
      <w:pPr>
        <w:rPr>
          <w:rFonts w:ascii="Arial" w:hAnsi="Arial" w:cs="Arial"/>
          <w:b/>
          <w:bCs/>
        </w:rPr>
      </w:pPr>
      <w:r w:rsidRPr="00FD45E7">
        <w:rPr>
          <w:rFonts w:ascii="Arial" w:hAnsi="Arial" w:cs="Arial"/>
          <w:b/>
          <w:bCs/>
        </w:rPr>
        <w:t>c) Labour Shortages and Pay Pressure</w:t>
      </w:r>
    </w:p>
    <w:p w14:paraId="5BB34C93" w14:textId="77777777" w:rsidR="009611A2" w:rsidRPr="00FD45E7" w:rsidRDefault="009611A2" w:rsidP="009611A2">
      <w:pPr>
        <w:rPr>
          <w:rFonts w:ascii="Arial" w:hAnsi="Arial" w:cs="Arial"/>
        </w:rPr>
      </w:pPr>
      <w:r w:rsidRPr="00FD45E7">
        <w:rPr>
          <w:rFonts w:ascii="Arial" w:hAnsi="Arial" w:cs="Arial"/>
        </w:rPr>
        <w:t>The logistics industry in the UK has been struggling with driver shortages and rising wages (Logistics UK, 2024). Companies are under pressure to improve pay, working conditions, and training to attract and retain staff.</w:t>
      </w:r>
    </w:p>
    <w:p w14:paraId="088D7D65" w14:textId="77777777" w:rsidR="009611A2" w:rsidRPr="00FD45E7" w:rsidRDefault="009611A2" w:rsidP="009611A2">
      <w:pPr>
        <w:rPr>
          <w:rFonts w:ascii="Arial" w:hAnsi="Arial" w:cs="Arial"/>
          <w:b/>
          <w:bCs/>
        </w:rPr>
      </w:pPr>
      <w:r w:rsidRPr="00FD45E7">
        <w:rPr>
          <w:rFonts w:ascii="Arial" w:hAnsi="Arial" w:cs="Arial"/>
          <w:b/>
          <w:bCs/>
        </w:rPr>
        <w:t>d) Environmental Regulations</w:t>
      </w:r>
    </w:p>
    <w:p w14:paraId="371044F0" w14:textId="77777777" w:rsidR="009611A2" w:rsidRPr="00FD45E7" w:rsidRDefault="009611A2" w:rsidP="009611A2">
      <w:pPr>
        <w:rPr>
          <w:rFonts w:ascii="Arial" w:hAnsi="Arial" w:cs="Arial"/>
        </w:rPr>
      </w:pPr>
      <w:r w:rsidRPr="00FD45E7">
        <w:rPr>
          <w:rFonts w:ascii="Arial" w:hAnsi="Arial" w:cs="Arial"/>
        </w:rPr>
        <w:t>The UK government and the EU have introduced new rules aimed at cutting carbon emissions. This pushes logistics companies to invest in greener technologies, such as electric vehicles and energy-efficient warehouses.</w:t>
      </w:r>
    </w:p>
    <w:p w14:paraId="06317C57" w14:textId="77777777" w:rsidR="009611A2" w:rsidRPr="00FD45E7" w:rsidRDefault="009611A2" w:rsidP="009611A2">
      <w:pPr>
        <w:rPr>
          <w:rFonts w:ascii="Arial" w:hAnsi="Arial" w:cs="Arial"/>
          <w:b/>
          <w:bCs/>
        </w:rPr>
      </w:pPr>
      <w:r w:rsidRPr="00FD45E7">
        <w:rPr>
          <w:rFonts w:ascii="Arial" w:hAnsi="Arial" w:cs="Arial"/>
          <w:b/>
          <w:bCs/>
        </w:rPr>
        <w:t>e) Intense Competition</w:t>
      </w:r>
    </w:p>
    <w:p w14:paraId="337BBE38" w14:textId="77777777" w:rsidR="009611A2" w:rsidRPr="00FD45E7" w:rsidRDefault="009611A2" w:rsidP="009611A2">
      <w:pPr>
        <w:rPr>
          <w:rFonts w:ascii="Arial" w:hAnsi="Arial" w:cs="Arial"/>
        </w:rPr>
      </w:pPr>
      <w:r w:rsidRPr="00FD45E7">
        <w:rPr>
          <w:rFonts w:ascii="Arial" w:hAnsi="Arial" w:cs="Arial"/>
        </w:rPr>
        <w:lastRenderedPageBreak/>
        <w:t>Competitors such as DHL, Kuehne + Nagel, and Amazon Logistics have vast resources and global networks. To stay competitive, Wincanton needed to join a global leader like GXO.</w:t>
      </w:r>
    </w:p>
    <w:p w14:paraId="2D3D2F0E" w14:textId="77777777" w:rsidR="009611A2" w:rsidRPr="00FD45E7" w:rsidRDefault="009611A2" w:rsidP="009611A2">
      <w:pPr>
        <w:rPr>
          <w:rFonts w:ascii="Arial" w:hAnsi="Arial" w:cs="Arial"/>
          <w:b/>
          <w:bCs/>
        </w:rPr>
      </w:pPr>
      <w:r w:rsidRPr="00FD45E7">
        <w:rPr>
          <w:rFonts w:ascii="Arial" w:hAnsi="Arial" w:cs="Arial"/>
          <w:b/>
          <w:bCs/>
        </w:rPr>
        <w:t>3.2 Internal Triggers for Change</w:t>
      </w:r>
    </w:p>
    <w:p w14:paraId="1F42F538" w14:textId="77777777" w:rsidR="009611A2" w:rsidRPr="00FD45E7" w:rsidRDefault="009611A2" w:rsidP="009611A2">
      <w:pPr>
        <w:rPr>
          <w:rFonts w:ascii="Arial" w:hAnsi="Arial" w:cs="Arial"/>
        </w:rPr>
      </w:pPr>
      <w:r w:rsidRPr="00FD45E7">
        <w:rPr>
          <w:rFonts w:ascii="Arial" w:hAnsi="Arial" w:cs="Arial"/>
        </w:rPr>
        <w:t>Inside Wincanton, several issues made the acquisition necessary:</w:t>
      </w:r>
    </w:p>
    <w:p w14:paraId="66C6239B" w14:textId="77777777" w:rsidR="009611A2" w:rsidRPr="00FD45E7" w:rsidRDefault="009611A2" w:rsidP="009611A2">
      <w:pPr>
        <w:numPr>
          <w:ilvl w:val="0"/>
          <w:numId w:val="10"/>
        </w:numPr>
        <w:rPr>
          <w:rFonts w:ascii="Arial" w:hAnsi="Arial" w:cs="Arial"/>
        </w:rPr>
      </w:pPr>
      <w:r w:rsidRPr="00FD45E7">
        <w:rPr>
          <w:rFonts w:ascii="Arial" w:hAnsi="Arial" w:cs="Arial"/>
          <w:b/>
          <w:bCs/>
        </w:rPr>
        <w:t>Old IT systems</w:t>
      </w:r>
      <w:r w:rsidRPr="00FD45E7">
        <w:rPr>
          <w:rFonts w:ascii="Arial" w:hAnsi="Arial" w:cs="Arial"/>
        </w:rPr>
        <w:t xml:space="preserve"> and lack of automation</w:t>
      </w:r>
    </w:p>
    <w:p w14:paraId="5A50EF56" w14:textId="77777777" w:rsidR="009611A2" w:rsidRPr="00FD45E7" w:rsidRDefault="009611A2" w:rsidP="009611A2">
      <w:pPr>
        <w:numPr>
          <w:ilvl w:val="0"/>
          <w:numId w:val="10"/>
        </w:numPr>
        <w:rPr>
          <w:rFonts w:ascii="Arial" w:hAnsi="Arial" w:cs="Arial"/>
        </w:rPr>
      </w:pPr>
      <w:r w:rsidRPr="00FD45E7">
        <w:rPr>
          <w:rFonts w:ascii="Arial" w:hAnsi="Arial" w:cs="Arial"/>
          <w:b/>
          <w:bCs/>
        </w:rPr>
        <w:t>Inconsistent pay structures</w:t>
      </w:r>
      <w:r w:rsidRPr="00FD45E7">
        <w:rPr>
          <w:rFonts w:ascii="Arial" w:hAnsi="Arial" w:cs="Arial"/>
        </w:rPr>
        <w:t xml:space="preserve"> across regions</w:t>
      </w:r>
    </w:p>
    <w:p w14:paraId="6DFAA402" w14:textId="77777777" w:rsidR="009611A2" w:rsidRPr="00FD45E7" w:rsidRDefault="009611A2" w:rsidP="009611A2">
      <w:pPr>
        <w:numPr>
          <w:ilvl w:val="0"/>
          <w:numId w:val="10"/>
        </w:numPr>
        <w:rPr>
          <w:rFonts w:ascii="Arial" w:hAnsi="Arial" w:cs="Arial"/>
        </w:rPr>
      </w:pPr>
      <w:r w:rsidRPr="00FD45E7">
        <w:rPr>
          <w:rFonts w:ascii="Arial" w:hAnsi="Arial" w:cs="Arial"/>
          <w:b/>
          <w:bCs/>
        </w:rPr>
        <w:t>Limited access to global contracts</w:t>
      </w:r>
    </w:p>
    <w:p w14:paraId="4372E4E6" w14:textId="77777777" w:rsidR="009611A2" w:rsidRPr="00FD45E7" w:rsidRDefault="009611A2" w:rsidP="009611A2">
      <w:pPr>
        <w:numPr>
          <w:ilvl w:val="0"/>
          <w:numId w:val="10"/>
        </w:numPr>
        <w:rPr>
          <w:rFonts w:ascii="Arial" w:hAnsi="Arial" w:cs="Arial"/>
        </w:rPr>
      </w:pPr>
      <w:r w:rsidRPr="00FD45E7">
        <w:rPr>
          <w:rFonts w:ascii="Arial" w:hAnsi="Arial" w:cs="Arial"/>
          <w:b/>
          <w:bCs/>
        </w:rPr>
        <w:t>Rising operating costs</w:t>
      </w:r>
    </w:p>
    <w:p w14:paraId="29C43548" w14:textId="77777777" w:rsidR="009611A2" w:rsidRPr="00FD45E7" w:rsidRDefault="009611A2" w:rsidP="009611A2">
      <w:pPr>
        <w:numPr>
          <w:ilvl w:val="0"/>
          <w:numId w:val="10"/>
        </w:numPr>
        <w:rPr>
          <w:rFonts w:ascii="Arial" w:hAnsi="Arial" w:cs="Arial"/>
        </w:rPr>
      </w:pPr>
      <w:r w:rsidRPr="00FD45E7">
        <w:rPr>
          <w:rFonts w:ascii="Arial" w:hAnsi="Arial" w:cs="Arial"/>
          <w:b/>
          <w:bCs/>
        </w:rPr>
        <w:t>Need for large-scale investment</w:t>
      </w:r>
      <w:r w:rsidRPr="00FD45E7">
        <w:rPr>
          <w:rFonts w:ascii="Arial" w:hAnsi="Arial" w:cs="Arial"/>
        </w:rPr>
        <w:t xml:space="preserve"> that Wincanton could not afford alone</w:t>
      </w:r>
    </w:p>
    <w:p w14:paraId="673CC9F2" w14:textId="77777777" w:rsidR="009611A2" w:rsidRPr="00FD45E7" w:rsidRDefault="009611A2" w:rsidP="009611A2">
      <w:pPr>
        <w:rPr>
          <w:rFonts w:ascii="Arial" w:hAnsi="Arial" w:cs="Arial"/>
        </w:rPr>
      </w:pPr>
      <w:r w:rsidRPr="00FD45E7">
        <w:rPr>
          <w:rFonts w:ascii="Arial" w:hAnsi="Arial" w:cs="Arial"/>
        </w:rPr>
        <w:t>By merging with GXO, Wincanton could overcome these weaknesses through shared investment, advanced technology, and stronger global connections.</w:t>
      </w:r>
    </w:p>
    <w:p w14:paraId="221C2AFF" w14:textId="77777777" w:rsidR="009611A2" w:rsidRPr="00FD45E7" w:rsidRDefault="00000000" w:rsidP="009611A2">
      <w:pPr>
        <w:rPr>
          <w:rFonts w:ascii="Arial" w:hAnsi="Arial" w:cs="Arial"/>
        </w:rPr>
      </w:pPr>
      <w:r>
        <w:rPr>
          <w:rFonts w:ascii="Arial" w:hAnsi="Arial" w:cs="Arial"/>
        </w:rPr>
        <w:pict w14:anchorId="661E08CB">
          <v:rect id="_x0000_i1025" style="width:0;height:1.5pt" o:hralign="center" o:hrstd="t" o:hr="t" fillcolor="#a0a0a0" stroked="f"/>
        </w:pict>
      </w:r>
    </w:p>
    <w:p w14:paraId="7F9ECD02" w14:textId="77777777" w:rsidR="00B47685" w:rsidRPr="00B47685" w:rsidRDefault="00B47685" w:rsidP="00B47685">
      <w:pPr>
        <w:rPr>
          <w:rFonts w:ascii="Arial" w:hAnsi="Arial" w:cs="Arial"/>
        </w:rPr>
      </w:pPr>
      <w:r w:rsidRPr="00B47685">
        <w:rPr>
          <w:rFonts w:ascii="Arial" w:hAnsi="Arial" w:cs="Arial"/>
          <w:b/>
          <w:bCs/>
        </w:rPr>
        <w:t>4. How the Acquisition Affects the Organisation</w:t>
      </w:r>
    </w:p>
    <w:p w14:paraId="0A2BB560" w14:textId="77777777" w:rsidR="00B47685" w:rsidRPr="00B47685" w:rsidRDefault="00B47685" w:rsidP="00B47685">
      <w:pPr>
        <w:rPr>
          <w:rFonts w:ascii="Arial" w:hAnsi="Arial" w:cs="Arial"/>
        </w:rPr>
      </w:pPr>
      <w:r w:rsidRPr="00B47685">
        <w:rPr>
          <w:rFonts w:ascii="Arial" w:hAnsi="Arial" w:cs="Arial"/>
          <w:b/>
          <w:bCs/>
        </w:rPr>
        <w:t>4.1 Warehouses and Operations</w:t>
      </w:r>
      <w:r w:rsidRPr="00B47685">
        <w:rPr>
          <w:rFonts w:ascii="Arial" w:hAnsi="Arial" w:cs="Arial"/>
        </w:rPr>
        <w:br/>
        <w:t>One of the most significant changes will occur in Wincanton’s warehousing operations. GXO plans to introduce advanced automation and robotics across key sites, which will transform the nature of many roles. Manual jobs, such as picking and packing goods by hand, may either disappear or be redefined, with employees transitioning to managing, monitoring, and maintaining automated systems. Some warehouses may also be consolidated to reduce duplication and increase efficiency, while other sites may undergo layout or workflow redesigns to accommodate new technology.</w:t>
      </w:r>
    </w:p>
    <w:p w14:paraId="49D9C9DD" w14:textId="77777777" w:rsidR="00B47685" w:rsidRPr="00B47685" w:rsidRDefault="00B47685" w:rsidP="00B47685">
      <w:pPr>
        <w:rPr>
          <w:rFonts w:ascii="Arial" w:hAnsi="Arial" w:cs="Arial"/>
        </w:rPr>
      </w:pPr>
      <w:r w:rsidRPr="00B47685">
        <w:rPr>
          <w:rFonts w:ascii="Arial" w:hAnsi="Arial" w:cs="Arial"/>
        </w:rPr>
        <w:t>To support this transition, GXO will implement comprehensive training programs that provide employees with the skills needed to operate new machinery, use data-driven warehouse management systems, and adapt to digital workflows. While these upgrades are expected to improve productivity, reduce errors, and enhance operational speed, they may also generate anxiety among employees concerned about job security, change in responsibilities, and learning new technical skills. Clear communication and supportive leadership will therefore be critical in easing these concerns and maintaining morale during the transition period.</w:t>
      </w:r>
    </w:p>
    <w:p w14:paraId="432200A5" w14:textId="77777777" w:rsidR="00B47685" w:rsidRPr="00B47685" w:rsidRDefault="00B47685" w:rsidP="00B47685">
      <w:pPr>
        <w:rPr>
          <w:rFonts w:ascii="Arial" w:hAnsi="Arial" w:cs="Arial"/>
        </w:rPr>
      </w:pPr>
      <w:r w:rsidRPr="00B47685">
        <w:rPr>
          <w:rFonts w:ascii="Arial" w:hAnsi="Arial" w:cs="Arial"/>
          <w:b/>
          <w:bCs/>
        </w:rPr>
        <w:t>4.2 Management Structure</w:t>
      </w:r>
      <w:r w:rsidRPr="00B47685">
        <w:rPr>
          <w:rFonts w:ascii="Arial" w:hAnsi="Arial" w:cs="Arial"/>
        </w:rPr>
        <w:br/>
        <w:t>The acquisition will result in the integration of Wincanton’s management structure with GXO’s global framework. This restructuring may lead to redundancies in administrative and support roles where responsibilities overlap, but it will also create new leadership positions within the UK arm of GXO, offering opportunities for career progression. Managers will need to adapt to a more data-driven and performance-</w:t>
      </w:r>
      <w:r w:rsidRPr="00B47685">
        <w:rPr>
          <w:rFonts w:ascii="Arial" w:hAnsi="Arial" w:cs="Arial"/>
        </w:rPr>
        <w:lastRenderedPageBreak/>
        <w:t>focused environment, where decisions rely heavily on analytics, reporting systems, and measurable outcomes rather than solely on experience or intuition.</w:t>
      </w:r>
    </w:p>
    <w:p w14:paraId="0A7FA039" w14:textId="77777777" w:rsidR="00B47685" w:rsidRPr="00B47685" w:rsidRDefault="00B47685" w:rsidP="00B47685">
      <w:pPr>
        <w:rPr>
          <w:rFonts w:ascii="Arial" w:hAnsi="Arial" w:cs="Arial"/>
        </w:rPr>
      </w:pPr>
      <w:r w:rsidRPr="00B47685">
        <w:rPr>
          <w:rFonts w:ascii="Arial" w:hAnsi="Arial" w:cs="Arial"/>
        </w:rPr>
        <w:t>Additionally, managers will play a crucial role as change leaders, acting as a bridge between top management and front-line employees. They will need to guide teams through operational changes, implement new performance metrics, and ensure that communication flows effectively both up and down the hierarchy. This adaptation may require management training in areas such as digital leadership, change management, and team motivation to ensure smooth integration and sustained productivity.</w:t>
      </w:r>
    </w:p>
    <w:p w14:paraId="5D325BDC" w14:textId="77777777" w:rsidR="00B47685" w:rsidRPr="00B47685" w:rsidRDefault="00B47685" w:rsidP="00B47685">
      <w:pPr>
        <w:rPr>
          <w:rFonts w:ascii="Arial" w:hAnsi="Arial" w:cs="Arial"/>
        </w:rPr>
      </w:pPr>
      <w:r w:rsidRPr="00B47685">
        <w:rPr>
          <w:rFonts w:ascii="Arial" w:hAnsi="Arial" w:cs="Arial"/>
          <w:b/>
          <w:bCs/>
        </w:rPr>
        <w:t>4.3 Employees, Pay, and Benefits</w:t>
      </w:r>
      <w:r w:rsidRPr="00B47685">
        <w:rPr>
          <w:rFonts w:ascii="Arial" w:hAnsi="Arial" w:cs="Arial"/>
        </w:rPr>
        <w:br/>
        <w:t>GXO expects to realize approximately £45 million in cost savings over three years through the integration of Wincanton (GXO, 2024b). To achieve this, the company will review and standardize pay structures and employee benefits across all sites. While some employees may gain access to improved healthcare, pension plans, or global career development opportunities, others might lose certain local advantages or allowances previously offered at Wincanton sites.</w:t>
      </w:r>
    </w:p>
    <w:p w14:paraId="6FFAE6C1" w14:textId="77777777" w:rsidR="00B47685" w:rsidRPr="00B47685" w:rsidRDefault="00B47685" w:rsidP="00B47685">
      <w:pPr>
        <w:rPr>
          <w:rFonts w:ascii="Arial" w:hAnsi="Arial" w:cs="Arial"/>
        </w:rPr>
      </w:pPr>
      <w:r w:rsidRPr="00B47685">
        <w:rPr>
          <w:rFonts w:ascii="Arial" w:hAnsi="Arial" w:cs="Arial"/>
        </w:rPr>
        <w:t>Maintaining trust during this period is essential. Transparent and consistent communication regarding changes to pay, benefits, and job expectations will be critical in preventing misunderstandings and resentment. Employee feedback channels, consultation meetings, and clear documentation of policies will help staff feel informed, involved, and valued throughout the transition.</w:t>
      </w:r>
    </w:p>
    <w:p w14:paraId="0773602B" w14:textId="77777777" w:rsidR="00B47685" w:rsidRPr="00B47685" w:rsidRDefault="00B47685" w:rsidP="00B47685">
      <w:pPr>
        <w:rPr>
          <w:rFonts w:ascii="Arial" w:hAnsi="Arial" w:cs="Arial"/>
        </w:rPr>
      </w:pPr>
      <w:r w:rsidRPr="00B47685">
        <w:rPr>
          <w:rFonts w:ascii="Arial" w:hAnsi="Arial" w:cs="Arial"/>
          <w:b/>
          <w:bCs/>
        </w:rPr>
        <w:t>4.4 Organisational Culture</w:t>
      </w:r>
      <w:r w:rsidRPr="00B47685">
        <w:rPr>
          <w:rFonts w:ascii="Arial" w:hAnsi="Arial" w:cs="Arial"/>
        </w:rPr>
        <w:br/>
        <w:t>Perhaps the most complex challenge of the acquisition lies in integrating the organisational cultures of the two companies. Wincanton’s culture has historically been local, people-focused, and built on long-term employee relationships and loyalty. In contrast, GXO operates with a global mindset, prioritizing technology, innovation, and performance-driven metrics.</w:t>
      </w:r>
    </w:p>
    <w:p w14:paraId="703D1461" w14:textId="77777777" w:rsidR="00B47685" w:rsidRPr="00B47685" w:rsidRDefault="00B47685" w:rsidP="00B47685">
      <w:pPr>
        <w:rPr>
          <w:rFonts w:ascii="Arial" w:hAnsi="Arial" w:cs="Arial"/>
        </w:rPr>
      </w:pPr>
      <w:r w:rsidRPr="00B47685">
        <w:rPr>
          <w:rFonts w:ascii="Arial" w:hAnsi="Arial" w:cs="Arial"/>
        </w:rPr>
        <w:t>Merging these cultural approaches will require patience, deliberate effort, and clear communication. GXO will need to foster mutual respect between teams, promote collaboration, and identify shared values to create a blended culture that retains Wincanton’s human-</w:t>
      </w:r>
      <w:proofErr w:type="spellStart"/>
      <w:r w:rsidRPr="00B47685">
        <w:rPr>
          <w:rFonts w:ascii="Arial" w:hAnsi="Arial" w:cs="Arial"/>
        </w:rPr>
        <w:t>centered</w:t>
      </w:r>
      <w:proofErr w:type="spellEnd"/>
      <w:r w:rsidRPr="00B47685">
        <w:rPr>
          <w:rFonts w:ascii="Arial" w:hAnsi="Arial" w:cs="Arial"/>
        </w:rPr>
        <w:t xml:space="preserve"> strengths while embracing GXO’s technological and performance-oriented practices. Initiatives such as joint workshops, team-building events, mentorship programs, and clear statements of shared purpose can help facilitate this cultural integration, reduce friction, and support long-term employee engagement.</w:t>
      </w:r>
    </w:p>
    <w:p w14:paraId="54931CDE" w14:textId="7664F42D" w:rsidR="009611A2" w:rsidRPr="00FD45E7" w:rsidRDefault="009611A2" w:rsidP="009611A2">
      <w:pPr>
        <w:rPr>
          <w:rFonts w:ascii="Arial" w:hAnsi="Arial" w:cs="Arial"/>
        </w:rPr>
      </w:pPr>
    </w:p>
    <w:p w14:paraId="2AC74731" w14:textId="77777777" w:rsidR="009611A2" w:rsidRPr="00FD45E7" w:rsidRDefault="009611A2" w:rsidP="009611A2">
      <w:pPr>
        <w:rPr>
          <w:rFonts w:ascii="Arial" w:hAnsi="Arial" w:cs="Arial"/>
          <w:b/>
          <w:bCs/>
          <w:color w:val="C00000"/>
        </w:rPr>
      </w:pPr>
      <w:r w:rsidRPr="00FD45E7">
        <w:rPr>
          <w:rFonts w:ascii="Arial" w:hAnsi="Arial" w:cs="Arial"/>
          <w:b/>
          <w:bCs/>
          <w:color w:val="C00000"/>
        </w:rPr>
        <w:t>5. Using Change Management Models to Understand the Process</w:t>
      </w:r>
    </w:p>
    <w:p w14:paraId="3A02F4C6" w14:textId="77777777" w:rsidR="009611A2" w:rsidRPr="00FD45E7" w:rsidRDefault="009611A2" w:rsidP="009611A2">
      <w:pPr>
        <w:rPr>
          <w:rFonts w:ascii="Arial" w:hAnsi="Arial" w:cs="Arial"/>
          <w:b/>
          <w:bCs/>
        </w:rPr>
      </w:pPr>
      <w:r w:rsidRPr="00FD45E7">
        <w:rPr>
          <w:rFonts w:ascii="Arial" w:hAnsi="Arial" w:cs="Arial"/>
          <w:b/>
          <w:bCs/>
        </w:rPr>
        <w:t>5.1 Lewin’s Three-Step Model</w:t>
      </w:r>
    </w:p>
    <w:p w14:paraId="1E751ED5" w14:textId="77777777" w:rsidR="009611A2" w:rsidRPr="00FD45E7" w:rsidRDefault="009611A2" w:rsidP="009611A2">
      <w:pPr>
        <w:rPr>
          <w:rFonts w:ascii="Arial" w:hAnsi="Arial" w:cs="Arial"/>
        </w:rPr>
      </w:pPr>
      <w:r w:rsidRPr="00FD45E7">
        <w:rPr>
          <w:rFonts w:ascii="Arial" w:hAnsi="Arial" w:cs="Arial"/>
        </w:rPr>
        <w:t>Kurt Lewin’s model (1951) describes three stages:</w:t>
      </w:r>
    </w:p>
    <w:p w14:paraId="0E2C8F20" w14:textId="77777777" w:rsidR="009611A2" w:rsidRPr="00FD45E7" w:rsidRDefault="009611A2" w:rsidP="009611A2">
      <w:pPr>
        <w:numPr>
          <w:ilvl w:val="0"/>
          <w:numId w:val="12"/>
        </w:numPr>
        <w:rPr>
          <w:rFonts w:ascii="Arial" w:hAnsi="Arial" w:cs="Arial"/>
        </w:rPr>
      </w:pPr>
      <w:r w:rsidRPr="00FD45E7">
        <w:rPr>
          <w:rFonts w:ascii="Arial" w:hAnsi="Arial" w:cs="Arial"/>
          <w:b/>
          <w:bCs/>
        </w:rPr>
        <w:lastRenderedPageBreak/>
        <w:t>Unfreeze</w:t>
      </w:r>
      <w:r w:rsidRPr="00FD45E7">
        <w:rPr>
          <w:rFonts w:ascii="Arial" w:hAnsi="Arial" w:cs="Arial"/>
        </w:rPr>
        <w:t xml:space="preserve"> – Prepare people for change. GXO needs to clearly explain why change is happening and how it benefits employees.</w:t>
      </w:r>
    </w:p>
    <w:p w14:paraId="5E7B6583" w14:textId="77777777" w:rsidR="009611A2" w:rsidRPr="00FD45E7" w:rsidRDefault="009611A2" w:rsidP="009611A2">
      <w:pPr>
        <w:numPr>
          <w:ilvl w:val="0"/>
          <w:numId w:val="12"/>
        </w:numPr>
        <w:rPr>
          <w:rFonts w:ascii="Arial" w:hAnsi="Arial" w:cs="Arial"/>
        </w:rPr>
      </w:pPr>
      <w:r w:rsidRPr="00FD45E7">
        <w:rPr>
          <w:rFonts w:ascii="Arial" w:hAnsi="Arial" w:cs="Arial"/>
          <w:b/>
          <w:bCs/>
        </w:rPr>
        <w:t>Change</w:t>
      </w:r>
      <w:r w:rsidRPr="00FD45E7">
        <w:rPr>
          <w:rFonts w:ascii="Arial" w:hAnsi="Arial" w:cs="Arial"/>
        </w:rPr>
        <w:t xml:space="preserve"> – Introduce new systems, structures, and processes. Provide training and support during transition.</w:t>
      </w:r>
    </w:p>
    <w:p w14:paraId="3EF236D8" w14:textId="77777777" w:rsidR="009611A2" w:rsidRPr="00FD45E7" w:rsidRDefault="009611A2" w:rsidP="009611A2">
      <w:pPr>
        <w:numPr>
          <w:ilvl w:val="0"/>
          <w:numId w:val="12"/>
        </w:numPr>
        <w:rPr>
          <w:rFonts w:ascii="Arial" w:hAnsi="Arial" w:cs="Arial"/>
        </w:rPr>
      </w:pPr>
      <w:r w:rsidRPr="00FD45E7">
        <w:rPr>
          <w:rFonts w:ascii="Arial" w:hAnsi="Arial" w:cs="Arial"/>
          <w:b/>
          <w:bCs/>
        </w:rPr>
        <w:t>Refreeze</w:t>
      </w:r>
      <w:r w:rsidRPr="00FD45E7">
        <w:rPr>
          <w:rFonts w:ascii="Arial" w:hAnsi="Arial" w:cs="Arial"/>
        </w:rPr>
        <w:t xml:space="preserve"> – Stabilise the new organisation once the changes are in place. Celebrate successes and reinforce new habits.</w:t>
      </w:r>
    </w:p>
    <w:p w14:paraId="6D2ED7A7" w14:textId="77777777" w:rsidR="009611A2" w:rsidRPr="00FD45E7" w:rsidRDefault="009611A2" w:rsidP="009611A2">
      <w:pPr>
        <w:rPr>
          <w:rFonts w:ascii="Arial" w:hAnsi="Arial" w:cs="Arial"/>
        </w:rPr>
      </w:pPr>
      <w:r w:rsidRPr="00FD45E7">
        <w:rPr>
          <w:rFonts w:ascii="Arial" w:hAnsi="Arial" w:cs="Arial"/>
        </w:rPr>
        <w:t>For GXO, the “unfreeze” stage means acknowledging staff concerns and building trust. The “change” stage involves the introduction of automation and new management systems. Finally, the “refreeze” stage means embedding new behaviours and ensuring long-term stability.</w:t>
      </w:r>
    </w:p>
    <w:p w14:paraId="3914240B" w14:textId="77777777" w:rsidR="009611A2" w:rsidRPr="00FD45E7" w:rsidRDefault="009611A2" w:rsidP="009611A2">
      <w:pPr>
        <w:rPr>
          <w:rFonts w:ascii="Arial" w:hAnsi="Arial" w:cs="Arial"/>
          <w:b/>
          <w:bCs/>
        </w:rPr>
      </w:pPr>
      <w:r w:rsidRPr="00FD45E7">
        <w:rPr>
          <w:rFonts w:ascii="Arial" w:hAnsi="Arial" w:cs="Arial"/>
          <w:b/>
          <w:bCs/>
        </w:rPr>
        <w:t>5.2 Kotter’s Eight-Step Model</w:t>
      </w:r>
    </w:p>
    <w:p w14:paraId="54B795EF" w14:textId="77777777" w:rsidR="009611A2" w:rsidRPr="00FD45E7" w:rsidRDefault="009611A2" w:rsidP="009611A2">
      <w:pPr>
        <w:rPr>
          <w:rFonts w:ascii="Arial" w:hAnsi="Arial" w:cs="Arial"/>
        </w:rPr>
      </w:pPr>
      <w:r w:rsidRPr="00FD45E7">
        <w:rPr>
          <w:rFonts w:ascii="Arial" w:hAnsi="Arial" w:cs="Arial"/>
        </w:rPr>
        <w:t>John Kotter (1996) expands this approach into eight detailed steps for leading change:</w:t>
      </w:r>
    </w:p>
    <w:p w14:paraId="21FFC6CC" w14:textId="77777777" w:rsidR="009611A2" w:rsidRPr="00FD45E7" w:rsidRDefault="009611A2" w:rsidP="009611A2">
      <w:pPr>
        <w:numPr>
          <w:ilvl w:val="0"/>
          <w:numId w:val="13"/>
        </w:numPr>
        <w:rPr>
          <w:rFonts w:ascii="Arial" w:hAnsi="Arial" w:cs="Arial"/>
        </w:rPr>
      </w:pPr>
      <w:r w:rsidRPr="00FD45E7">
        <w:rPr>
          <w:rFonts w:ascii="Arial" w:hAnsi="Arial" w:cs="Arial"/>
          <w:b/>
          <w:bCs/>
        </w:rPr>
        <w:t>Create Urgency</w:t>
      </w:r>
      <w:r w:rsidRPr="00FD45E7">
        <w:rPr>
          <w:rFonts w:ascii="Arial" w:hAnsi="Arial" w:cs="Arial"/>
        </w:rPr>
        <w:t xml:space="preserve"> – Explain the reasons behind the acquisition.</w:t>
      </w:r>
    </w:p>
    <w:p w14:paraId="6C7A32D5" w14:textId="77777777" w:rsidR="009611A2" w:rsidRPr="00FD45E7" w:rsidRDefault="009611A2" w:rsidP="009611A2">
      <w:pPr>
        <w:numPr>
          <w:ilvl w:val="0"/>
          <w:numId w:val="13"/>
        </w:numPr>
        <w:rPr>
          <w:rFonts w:ascii="Arial" w:hAnsi="Arial" w:cs="Arial"/>
        </w:rPr>
      </w:pPr>
      <w:r w:rsidRPr="00FD45E7">
        <w:rPr>
          <w:rFonts w:ascii="Arial" w:hAnsi="Arial" w:cs="Arial"/>
          <w:b/>
          <w:bCs/>
        </w:rPr>
        <w:t>Form a Powerful Coalition</w:t>
      </w:r>
      <w:r w:rsidRPr="00FD45E7">
        <w:rPr>
          <w:rFonts w:ascii="Arial" w:hAnsi="Arial" w:cs="Arial"/>
        </w:rPr>
        <w:t xml:space="preserve"> – Bring leaders from both GXO and Wincanton together.</w:t>
      </w:r>
    </w:p>
    <w:p w14:paraId="26FD1476" w14:textId="77777777" w:rsidR="009611A2" w:rsidRPr="00FD45E7" w:rsidRDefault="009611A2" w:rsidP="009611A2">
      <w:pPr>
        <w:numPr>
          <w:ilvl w:val="0"/>
          <w:numId w:val="13"/>
        </w:numPr>
        <w:rPr>
          <w:rFonts w:ascii="Arial" w:hAnsi="Arial" w:cs="Arial"/>
        </w:rPr>
      </w:pPr>
      <w:r w:rsidRPr="00FD45E7">
        <w:rPr>
          <w:rFonts w:ascii="Arial" w:hAnsi="Arial" w:cs="Arial"/>
          <w:b/>
          <w:bCs/>
        </w:rPr>
        <w:t>Develop a Vision for Change</w:t>
      </w:r>
      <w:r w:rsidRPr="00FD45E7">
        <w:rPr>
          <w:rFonts w:ascii="Arial" w:hAnsi="Arial" w:cs="Arial"/>
        </w:rPr>
        <w:t xml:space="preserve"> – Create a shared mission focused on innovation and people.</w:t>
      </w:r>
    </w:p>
    <w:p w14:paraId="5606A8BD" w14:textId="77777777" w:rsidR="009611A2" w:rsidRPr="00FD45E7" w:rsidRDefault="009611A2" w:rsidP="009611A2">
      <w:pPr>
        <w:numPr>
          <w:ilvl w:val="0"/>
          <w:numId w:val="13"/>
        </w:numPr>
        <w:rPr>
          <w:rFonts w:ascii="Arial" w:hAnsi="Arial" w:cs="Arial"/>
        </w:rPr>
      </w:pPr>
      <w:r w:rsidRPr="00FD45E7">
        <w:rPr>
          <w:rFonts w:ascii="Arial" w:hAnsi="Arial" w:cs="Arial"/>
          <w:b/>
          <w:bCs/>
        </w:rPr>
        <w:t>Communicate the Vision</w:t>
      </w:r>
      <w:r w:rsidRPr="00FD45E7">
        <w:rPr>
          <w:rFonts w:ascii="Arial" w:hAnsi="Arial" w:cs="Arial"/>
        </w:rPr>
        <w:t xml:space="preserve"> – Keep all employees informed through regular updates.</w:t>
      </w:r>
    </w:p>
    <w:p w14:paraId="58844B80" w14:textId="77777777" w:rsidR="009611A2" w:rsidRPr="00FD45E7" w:rsidRDefault="009611A2" w:rsidP="009611A2">
      <w:pPr>
        <w:numPr>
          <w:ilvl w:val="0"/>
          <w:numId w:val="13"/>
        </w:numPr>
        <w:rPr>
          <w:rFonts w:ascii="Arial" w:hAnsi="Arial" w:cs="Arial"/>
        </w:rPr>
      </w:pPr>
      <w:r w:rsidRPr="00FD45E7">
        <w:rPr>
          <w:rFonts w:ascii="Arial" w:hAnsi="Arial" w:cs="Arial"/>
          <w:b/>
          <w:bCs/>
        </w:rPr>
        <w:t>Empower Employees</w:t>
      </w:r>
      <w:r w:rsidRPr="00FD45E7">
        <w:rPr>
          <w:rFonts w:ascii="Arial" w:hAnsi="Arial" w:cs="Arial"/>
        </w:rPr>
        <w:t xml:space="preserve"> – Provide training and resources to help them adapt.</w:t>
      </w:r>
    </w:p>
    <w:p w14:paraId="66515C77" w14:textId="77777777" w:rsidR="009611A2" w:rsidRPr="00FD45E7" w:rsidRDefault="009611A2" w:rsidP="009611A2">
      <w:pPr>
        <w:numPr>
          <w:ilvl w:val="0"/>
          <w:numId w:val="13"/>
        </w:numPr>
        <w:rPr>
          <w:rFonts w:ascii="Arial" w:hAnsi="Arial" w:cs="Arial"/>
        </w:rPr>
      </w:pPr>
      <w:r w:rsidRPr="00FD45E7">
        <w:rPr>
          <w:rFonts w:ascii="Arial" w:hAnsi="Arial" w:cs="Arial"/>
          <w:b/>
          <w:bCs/>
        </w:rPr>
        <w:t>Create Short-Term Wins</w:t>
      </w:r>
      <w:r w:rsidRPr="00FD45E7">
        <w:rPr>
          <w:rFonts w:ascii="Arial" w:hAnsi="Arial" w:cs="Arial"/>
        </w:rPr>
        <w:t xml:space="preserve"> – Highlight early successes, like improved warehouse efficiency.</w:t>
      </w:r>
    </w:p>
    <w:p w14:paraId="5A5541CE" w14:textId="77777777" w:rsidR="009611A2" w:rsidRPr="00FD45E7" w:rsidRDefault="009611A2" w:rsidP="009611A2">
      <w:pPr>
        <w:numPr>
          <w:ilvl w:val="0"/>
          <w:numId w:val="13"/>
        </w:numPr>
        <w:rPr>
          <w:rFonts w:ascii="Arial" w:hAnsi="Arial" w:cs="Arial"/>
        </w:rPr>
      </w:pPr>
      <w:r w:rsidRPr="00FD45E7">
        <w:rPr>
          <w:rFonts w:ascii="Arial" w:hAnsi="Arial" w:cs="Arial"/>
          <w:b/>
          <w:bCs/>
        </w:rPr>
        <w:t>Consolidate Improvements</w:t>
      </w:r>
      <w:r w:rsidRPr="00FD45E7">
        <w:rPr>
          <w:rFonts w:ascii="Arial" w:hAnsi="Arial" w:cs="Arial"/>
        </w:rPr>
        <w:t xml:space="preserve"> – Use small wins to build momentum.</w:t>
      </w:r>
    </w:p>
    <w:p w14:paraId="13CA705A" w14:textId="77777777" w:rsidR="009611A2" w:rsidRPr="00FD45E7" w:rsidRDefault="009611A2" w:rsidP="009611A2">
      <w:pPr>
        <w:numPr>
          <w:ilvl w:val="0"/>
          <w:numId w:val="13"/>
        </w:numPr>
        <w:rPr>
          <w:rFonts w:ascii="Arial" w:hAnsi="Arial" w:cs="Arial"/>
        </w:rPr>
      </w:pPr>
      <w:r w:rsidRPr="00FD45E7">
        <w:rPr>
          <w:rFonts w:ascii="Arial" w:hAnsi="Arial" w:cs="Arial"/>
          <w:b/>
          <w:bCs/>
        </w:rPr>
        <w:t>Anchor New Approaches in Culture</w:t>
      </w:r>
      <w:r w:rsidRPr="00FD45E7">
        <w:rPr>
          <w:rFonts w:ascii="Arial" w:hAnsi="Arial" w:cs="Arial"/>
        </w:rPr>
        <w:t xml:space="preserve"> – Make sure new systems and behaviours become permanent.</w:t>
      </w:r>
    </w:p>
    <w:p w14:paraId="5844F17A" w14:textId="77777777" w:rsidR="009611A2" w:rsidRPr="00FD45E7" w:rsidRDefault="009611A2" w:rsidP="009611A2">
      <w:pPr>
        <w:rPr>
          <w:rFonts w:ascii="Arial" w:hAnsi="Arial" w:cs="Arial"/>
        </w:rPr>
      </w:pPr>
      <w:r w:rsidRPr="00FD45E7">
        <w:rPr>
          <w:rFonts w:ascii="Arial" w:hAnsi="Arial" w:cs="Arial"/>
        </w:rPr>
        <w:t>Applying Kotter’s steps helps GXO create a clear, step-by-step integration plan and prevent confusion among employees.</w:t>
      </w:r>
    </w:p>
    <w:p w14:paraId="67F0CBC8" w14:textId="77777777" w:rsidR="009611A2" w:rsidRPr="00FD45E7" w:rsidRDefault="009611A2" w:rsidP="009611A2">
      <w:pPr>
        <w:rPr>
          <w:rFonts w:ascii="Arial" w:hAnsi="Arial" w:cs="Arial"/>
          <w:b/>
          <w:bCs/>
        </w:rPr>
      </w:pPr>
      <w:r w:rsidRPr="00FD45E7">
        <w:rPr>
          <w:rFonts w:ascii="Arial" w:hAnsi="Arial" w:cs="Arial"/>
          <w:b/>
          <w:bCs/>
        </w:rPr>
        <w:t>5.3 McKinsey 7S Framework</w:t>
      </w:r>
    </w:p>
    <w:p w14:paraId="1BC6982B" w14:textId="77777777" w:rsidR="009611A2" w:rsidRPr="00FD45E7" w:rsidRDefault="009611A2" w:rsidP="009611A2">
      <w:pPr>
        <w:rPr>
          <w:rFonts w:ascii="Arial" w:hAnsi="Arial" w:cs="Arial"/>
        </w:rPr>
      </w:pPr>
      <w:r w:rsidRPr="00FD45E7">
        <w:rPr>
          <w:rFonts w:ascii="Arial" w:hAnsi="Arial" w:cs="Arial"/>
        </w:rPr>
        <w:t>The McKinsey 7S model (Waterman et al., 1980) shows that successful change depends on seven connected factors:</w:t>
      </w:r>
    </w:p>
    <w:p w14:paraId="2CC85B4D" w14:textId="77777777" w:rsidR="009611A2" w:rsidRPr="00FD45E7" w:rsidRDefault="009611A2" w:rsidP="009611A2">
      <w:pPr>
        <w:numPr>
          <w:ilvl w:val="0"/>
          <w:numId w:val="14"/>
        </w:numPr>
        <w:rPr>
          <w:rFonts w:ascii="Arial" w:hAnsi="Arial" w:cs="Arial"/>
        </w:rPr>
      </w:pPr>
      <w:r w:rsidRPr="00FD45E7">
        <w:rPr>
          <w:rFonts w:ascii="Arial" w:hAnsi="Arial" w:cs="Arial"/>
          <w:b/>
          <w:bCs/>
        </w:rPr>
        <w:t>Strategy</w:t>
      </w:r>
      <w:r w:rsidRPr="00FD45E7">
        <w:rPr>
          <w:rFonts w:ascii="Arial" w:hAnsi="Arial" w:cs="Arial"/>
        </w:rPr>
        <w:t xml:space="preserve"> – Expanding UK operations with automation and digitalisation.</w:t>
      </w:r>
    </w:p>
    <w:p w14:paraId="1D635CDC" w14:textId="77777777" w:rsidR="009611A2" w:rsidRPr="00FD45E7" w:rsidRDefault="009611A2" w:rsidP="009611A2">
      <w:pPr>
        <w:ind w:left="720"/>
        <w:rPr>
          <w:rFonts w:ascii="Arial" w:hAnsi="Arial" w:cs="Arial"/>
        </w:rPr>
      </w:pPr>
      <w:r w:rsidRPr="00FD45E7">
        <w:rPr>
          <w:rFonts w:ascii="Arial" w:hAnsi="Arial" w:cs="Arial"/>
          <w:b/>
          <w:bCs/>
        </w:rPr>
        <w:t>Structure</w:t>
      </w:r>
      <w:r w:rsidRPr="00FD45E7">
        <w:rPr>
          <w:rFonts w:ascii="Arial" w:hAnsi="Arial" w:cs="Arial"/>
        </w:rPr>
        <w:t xml:space="preserve"> – Reorganising management to fit GXO’s model.</w:t>
      </w:r>
    </w:p>
    <w:p w14:paraId="07EE2D21" w14:textId="77777777" w:rsidR="009611A2" w:rsidRPr="00FD45E7" w:rsidRDefault="009611A2" w:rsidP="009611A2">
      <w:pPr>
        <w:ind w:left="720"/>
        <w:rPr>
          <w:rFonts w:ascii="Arial" w:hAnsi="Arial" w:cs="Arial"/>
        </w:rPr>
      </w:pPr>
      <w:r w:rsidRPr="00FD45E7">
        <w:rPr>
          <w:rFonts w:ascii="Arial" w:hAnsi="Arial" w:cs="Arial"/>
          <w:b/>
          <w:bCs/>
        </w:rPr>
        <w:t>Systems</w:t>
      </w:r>
      <w:r w:rsidRPr="00FD45E7">
        <w:rPr>
          <w:rFonts w:ascii="Arial" w:hAnsi="Arial" w:cs="Arial"/>
        </w:rPr>
        <w:t xml:space="preserve"> – Integrating HR, payroll, and IT systems.</w:t>
      </w:r>
    </w:p>
    <w:p w14:paraId="57461039" w14:textId="77777777" w:rsidR="009611A2" w:rsidRPr="00FD45E7" w:rsidRDefault="009611A2" w:rsidP="009611A2">
      <w:pPr>
        <w:ind w:left="720"/>
        <w:rPr>
          <w:rFonts w:ascii="Arial" w:hAnsi="Arial" w:cs="Arial"/>
        </w:rPr>
      </w:pPr>
      <w:r w:rsidRPr="00FD45E7">
        <w:rPr>
          <w:rFonts w:ascii="Arial" w:hAnsi="Arial" w:cs="Arial"/>
          <w:b/>
          <w:bCs/>
        </w:rPr>
        <w:lastRenderedPageBreak/>
        <w:t>Shared Values</w:t>
      </w:r>
      <w:r w:rsidRPr="00FD45E7">
        <w:rPr>
          <w:rFonts w:ascii="Arial" w:hAnsi="Arial" w:cs="Arial"/>
        </w:rPr>
        <w:t xml:space="preserve"> – Combining Wincanton’s people focus with GXO’s innovation mindset.</w:t>
      </w:r>
    </w:p>
    <w:p w14:paraId="35E92E41" w14:textId="77777777" w:rsidR="009611A2" w:rsidRPr="00FD45E7" w:rsidRDefault="009611A2" w:rsidP="009611A2">
      <w:pPr>
        <w:ind w:left="720"/>
        <w:rPr>
          <w:rFonts w:ascii="Arial" w:hAnsi="Arial" w:cs="Arial"/>
        </w:rPr>
      </w:pPr>
      <w:r w:rsidRPr="00FD45E7">
        <w:rPr>
          <w:rFonts w:ascii="Arial" w:hAnsi="Arial" w:cs="Arial"/>
          <w:b/>
          <w:bCs/>
        </w:rPr>
        <w:t>Style</w:t>
      </w:r>
      <w:r w:rsidRPr="00FD45E7">
        <w:rPr>
          <w:rFonts w:ascii="Arial" w:hAnsi="Arial" w:cs="Arial"/>
        </w:rPr>
        <w:t xml:space="preserve"> – Adjusting leadership to be both data-driven and empathetic.</w:t>
      </w:r>
    </w:p>
    <w:p w14:paraId="4DA03B65" w14:textId="77777777" w:rsidR="009611A2" w:rsidRPr="00FD45E7" w:rsidRDefault="009611A2" w:rsidP="009611A2">
      <w:pPr>
        <w:ind w:left="720"/>
        <w:rPr>
          <w:rFonts w:ascii="Arial" w:hAnsi="Arial" w:cs="Arial"/>
        </w:rPr>
      </w:pPr>
      <w:r w:rsidRPr="00FD45E7">
        <w:rPr>
          <w:rFonts w:ascii="Arial" w:hAnsi="Arial" w:cs="Arial"/>
          <w:b/>
          <w:bCs/>
        </w:rPr>
        <w:t>Staff</w:t>
      </w:r>
      <w:r w:rsidRPr="00FD45E7">
        <w:rPr>
          <w:rFonts w:ascii="Arial" w:hAnsi="Arial" w:cs="Arial"/>
        </w:rPr>
        <w:t xml:space="preserve"> – Reskilling employees to meet new technical demands.</w:t>
      </w:r>
    </w:p>
    <w:p w14:paraId="17136BFC" w14:textId="77777777" w:rsidR="009611A2" w:rsidRPr="00FD45E7" w:rsidRDefault="009611A2" w:rsidP="009611A2">
      <w:pPr>
        <w:ind w:left="720"/>
        <w:rPr>
          <w:rFonts w:ascii="Arial" w:hAnsi="Arial" w:cs="Arial"/>
        </w:rPr>
      </w:pPr>
      <w:r w:rsidRPr="00FD45E7">
        <w:rPr>
          <w:rFonts w:ascii="Arial" w:hAnsi="Arial" w:cs="Arial"/>
          <w:b/>
          <w:bCs/>
        </w:rPr>
        <w:t>Skills</w:t>
      </w:r>
      <w:r w:rsidRPr="00FD45E7">
        <w:rPr>
          <w:rFonts w:ascii="Arial" w:hAnsi="Arial" w:cs="Arial"/>
        </w:rPr>
        <w:t xml:space="preserve"> – Building new abilities in automation, robotics, and data analysis.</w:t>
      </w:r>
    </w:p>
    <w:p w14:paraId="5F22514D" w14:textId="77777777" w:rsidR="009611A2" w:rsidRPr="00FD45E7" w:rsidRDefault="009611A2" w:rsidP="009611A2">
      <w:pPr>
        <w:rPr>
          <w:rFonts w:ascii="Arial" w:hAnsi="Arial" w:cs="Arial"/>
        </w:rPr>
      </w:pPr>
      <w:r w:rsidRPr="00FD45E7">
        <w:rPr>
          <w:rFonts w:ascii="Arial" w:hAnsi="Arial" w:cs="Arial"/>
        </w:rPr>
        <w:t>This model reminds leaders that every aspect of the business must work together for change to succeed.</w:t>
      </w:r>
    </w:p>
    <w:p w14:paraId="4295DE00" w14:textId="4F348091" w:rsidR="009611A2" w:rsidRPr="00FD45E7" w:rsidRDefault="009611A2" w:rsidP="009611A2">
      <w:pPr>
        <w:rPr>
          <w:rFonts w:ascii="Arial" w:hAnsi="Arial" w:cs="Arial"/>
        </w:rPr>
      </w:pPr>
    </w:p>
    <w:p w14:paraId="0A72767A" w14:textId="77777777" w:rsidR="009611A2" w:rsidRPr="00FD45E7" w:rsidRDefault="009611A2" w:rsidP="009611A2">
      <w:pPr>
        <w:rPr>
          <w:rFonts w:ascii="Arial" w:hAnsi="Arial" w:cs="Arial"/>
          <w:b/>
          <w:bCs/>
          <w:color w:val="C00000"/>
        </w:rPr>
      </w:pPr>
      <w:r w:rsidRPr="00FD45E7">
        <w:rPr>
          <w:rFonts w:ascii="Arial" w:hAnsi="Arial" w:cs="Arial"/>
          <w:b/>
          <w:bCs/>
          <w:color w:val="C00000"/>
        </w:rPr>
        <w:t>6. Leadership and Culture During Change</w:t>
      </w:r>
    </w:p>
    <w:p w14:paraId="6437DCF1" w14:textId="77777777" w:rsidR="009611A2" w:rsidRPr="00FD45E7" w:rsidRDefault="009611A2" w:rsidP="009611A2">
      <w:pPr>
        <w:rPr>
          <w:rFonts w:ascii="Arial" w:hAnsi="Arial" w:cs="Arial"/>
        </w:rPr>
      </w:pPr>
      <w:r w:rsidRPr="00FD45E7">
        <w:rPr>
          <w:rFonts w:ascii="Arial" w:hAnsi="Arial" w:cs="Arial"/>
        </w:rPr>
        <w:t xml:space="preserve">Strong leadership is critical during a merger. The leaders at GXO and Wincanton must show </w:t>
      </w:r>
      <w:r w:rsidRPr="00FD45E7">
        <w:rPr>
          <w:rFonts w:ascii="Arial" w:hAnsi="Arial" w:cs="Arial"/>
          <w:b/>
          <w:bCs/>
        </w:rPr>
        <w:t>confidence, empathy, and communication skills</w:t>
      </w:r>
      <w:r w:rsidRPr="00FD45E7">
        <w:rPr>
          <w:rFonts w:ascii="Arial" w:hAnsi="Arial" w:cs="Arial"/>
        </w:rPr>
        <w:t>.</w:t>
      </w:r>
    </w:p>
    <w:p w14:paraId="4E23F359" w14:textId="77777777" w:rsidR="009611A2" w:rsidRPr="00FD45E7" w:rsidRDefault="009611A2" w:rsidP="009611A2">
      <w:pPr>
        <w:rPr>
          <w:rFonts w:ascii="Arial" w:hAnsi="Arial" w:cs="Arial"/>
        </w:rPr>
      </w:pPr>
      <w:r w:rsidRPr="00FD45E7">
        <w:rPr>
          <w:rFonts w:ascii="Arial" w:hAnsi="Arial" w:cs="Arial"/>
        </w:rPr>
        <w:t xml:space="preserve">A </w:t>
      </w:r>
      <w:r w:rsidRPr="00FD45E7">
        <w:rPr>
          <w:rFonts w:ascii="Arial" w:hAnsi="Arial" w:cs="Arial"/>
          <w:b/>
          <w:bCs/>
        </w:rPr>
        <w:t>transformational leadership style</w:t>
      </w:r>
      <w:r w:rsidRPr="00FD45E7">
        <w:rPr>
          <w:rFonts w:ascii="Arial" w:hAnsi="Arial" w:cs="Arial"/>
        </w:rPr>
        <w:t xml:space="preserve"> — where leaders inspire and motivate rather than command — is most effective (Bass &amp; Riggio, 2006).</w:t>
      </w:r>
    </w:p>
    <w:p w14:paraId="543B8974" w14:textId="77777777" w:rsidR="009611A2" w:rsidRPr="00FD45E7" w:rsidRDefault="009611A2" w:rsidP="009611A2">
      <w:pPr>
        <w:rPr>
          <w:rFonts w:ascii="Arial" w:hAnsi="Arial" w:cs="Arial"/>
        </w:rPr>
      </w:pPr>
      <w:r w:rsidRPr="00FD45E7">
        <w:rPr>
          <w:rFonts w:ascii="Arial" w:hAnsi="Arial" w:cs="Arial"/>
        </w:rPr>
        <w:t xml:space="preserve">GXO’s CEO, </w:t>
      </w:r>
      <w:r w:rsidRPr="00FD45E7">
        <w:rPr>
          <w:rFonts w:ascii="Arial" w:hAnsi="Arial" w:cs="Arial"/>
          <w:b/>
          <w:bCs/>
        </w:rPr>
        <w:t>Malcolm Wilson</w:t>
      </w:r>
      <w:r w:rsidRPr="00FD45E7">
        <w:rPr>
          <w:rFonts w:ascii="Arial" w:hAnsi="Arial" w:cs="Arial"/>
        </w:rPr>
        <w:t>, has stated that the company will respect Wincanton’s legacy and workforce while moving forward with innovation (GXO, 2024b). This balanced approach helps employees feel valued even as the company changes.</w:t>
      </w:r>
    </w:p>
    <w:p w14:paraId="0B15051B" w14:textId="77777777" w:rsidR="009611A2" w:rsidRPr="00FD45E7" w:rsidRDefault="009611A2" w:rsidP="009611A2">
      <w:pPr>
        <w:rPr>
          <w:rFonts w:ascii="Arial" w:hAnsi="Arial" w:cs="Arial"/>
        </w:rPr>
      </w:pPr>
      <w:r w:rsidRPr="00FD45E7">
        <w:rPr>
          <w:rFonts w:ascii="Arial" w:hAnsi="Arial" w:cs="Arial"/>
        </w:rPr>
        <w:t>Middle managers and warehouse supervisors also play key roles as “change champions.” They are the bridge between top management and front-line staff, helping explain the changes and calm fears.</w:t>
      </w:r>
    </w:p>
    <w:p w14:paraId="407187BE" w14:textId="77777777" w:rsidR="009611A2" w:rsidRPr="00FD45E7" w:rsidRDefault="009611A2" w:rsidP="009611A2">
      <w:pPr>
        <w:rPr>
          <w:rFonts w:ascii="Arial" w:hAnsi="Arial" w:cs="Arial"/>
        </w:rPr>
      </w:pPr>
      <w:r w:rsidRPr="00FD45E7">
        <w:rPr>
          <w:rFonts w:ascii="Arial" w:hAnsi="Arial" w:cs="Arial"/>
        </w:rPr>
        <w:t xml:space="preserve">Cultural integration is another leadership challenge. Instead of forcing one culture onto another, GXO should aim for a </w:t>
      </w:r>
      <w:r w:rsidRPr="00FD45E7">
        <w:rPr>
          <w:rFonts w:ascii="Arial" w:hAnsi="Arial" w:cs="Arial"/>
          <w:b/>
          <w:bCs/>
        </w:rPr>
        <w:t>blended culture</w:t>
      </w:r>
      <w:r w:rsidRPr="00FD45E7">
        <w:rPr>
          <w:rFonts w:ascii="Arial" w:hAnsi="Arial" w:cs="Arial"/>
        </w:rPr>
        <w:t xml:space="preserve"> — combining Wincanton’s local relationships with GXO’s technological edge.</w:t>
      </w:r>
    </w:p>
    <w:p w14:paraId="5E7160EF" w14:textId="77777777" w:rsidR="009611A2" w:rsidRPr="00FD45E7" w:rsidRDefault="009611A2" w:rsidP="009611A2">
      <w:pPr>
        <w:rPr>
          <w:rFonts w:ascii="Arial" w:hAnsi="Arial" w:cs="Arial"/>
        </w:rPr>
      </w:pPr>
      <w:r w:rsidRPr="00FD45E7">
        <w:rPr>
          <w:rFonts w:ascii="Arial" w:hAnsi="Arial" w:cs="Arial"/>
        </w:rPr>
        <w:t>Workshops, joint team-building events, and shared value statements can help achieve this.</w:t>
      </w:r>
    </w:p>
    <w:p w14:paraId="3EA093A8" w14:textId="2C3523F4" w:rsidR="009611A2" w:rsidRPr="00FD45E7" w:rsidRDefault="009611A2" w:rsidP="009611A2">
      <w:pPr>
        <w:rPr>
          <w:rFonts w:ascii="Arial" w:hAnsi="Arial" w:cs="Arial"/>
        </w:rPr>
      </w:pPr>
    </w:p>
    <w:p w14:paraId="314D5DE9" w14:textId="77777777" w:rsidR="009611A2" w:rsidRPr="00FD45E7" w:rsidRDefault="009611A2" w:rsidP="009611A2">
      <w:pPr>
        <w:rPr>
          <w:rFonts w:ascii="Arial" w:hAnsi="Arial" w:cs="Arial"/>
          <w:b/>
          <w:bCs/>
          <w:color w:val="C00000"/>
        </w:rPr>
      </w:pPr>
      <w:r w:rsidRPr="00FD45E7">
        <w:rPr>
          <w:rFonts w:ascii="Arial" w:hAnsi="Arial" w:cs="Arial"/>
          <w:b/>
          <w:bCs/>
          <w:color w:val="C00000"/>
        </w:rPr>
        <w:t>7. Proposed Change Management Plan</w:t>
      </w:r>
    </w:p>
    <w:p w14:paraId="0018913C" w14:textId="77777777" w:rsidR="009611A2" w:rsidRPr="00FD45E7" w:rsidRDefault="009611A2" w:rsidP="009611A2">
      <w:pPr>
        <w:rPr>
          <w:rFonts w:ascii="Arial" w:hAnsi="Arial" w:cs="Arial"/>
          <w:b/>
          <w:bCs/>
        </w:rPr>
      </w:pPr>
      <w:r w:rsidRPr="00FD45E7">
        <w:rPr>
          <w:rFonts w:ascii="Arial" w:hAnsi="Arial" w:cs="Arial"/>
          <w:b/>
          <w:bCs/>
        </w:rPr>
        <w:t>7.1 Objectives</w:t>
      </w:r>
    </w:p>
    <w:p w14:paraId="49885941" w14:textId="77777777" w:rsidR="009611A2" w:rsidRPr="00FD45E7" w:rsidRDefault="009611A2" w:rsidP="009611A2">
      <w:pPr>
        <w:numPr>
          <w:ilvl w:val="0"/>
          <w:numId w:val="15"/>
        </w:numPr>
        <w:rPr>
          <w:rFonts w:ascii="Arial" w:hAnsi="Arial" w:cs="Arial"/>
        </w:rPr>
      </w:pPr>
      <w:r w:rsidRPr="00FD45E7">
        <w:rPr>
          <w:rFonts w:ascii="Arial" w:hAnsi="Arial" w:cs="Arial"/>
        </w:rPr>
        <w:t>Fully integrate Wincanton operations into GXO within 24 months.</w:t>
      </w:r>
    </w:p>
    <w:p w14:paraId="0ED4DDC5" w14:textId="77777777" w:rsidR="009611A2" w:rsidRPr="00FD45E7" w:rsidRDefault="009611A2" w:rsidP="009611A2">
      <w:pPr>
        <w:numPr>
          <w:ilvl w:val="0"/>
          <w:numId w:val="15"/>
        </w:numPr>
        <w:rPr>
          <w:rFonts w:ascii="Arial" w:hAnsi="Arial" w:cs="Arial"/>
        </w:rPr>
      </w:pPr>
      <w:r w:rsidRPr="00FD45E7">
        <w:rPr>
          <w:rFonts w:ascii="Arial" w:hAnsi="Arial" w:cs="Arial"/>
        </w:rPr>
        <w:t>Retain at least 90% of key warehouse staff during integration.</w:t>
      </w:r>
    </w:p>
    <w:p w14:paraId="174C96CD" w14:textId="77777777" w:rsidR="009611A2" w:rsidRPr="00FD45E7" w:rsidRDefault="009611A2" w:rsidP="009611A2">
      <w:pPr>
        <w:numPr>
          <w:ilvl w:val="0"/>
          <w:numId w:val="15"/>
        </w:numPr>
        <w:rPr>
          <w:rFonts w:ascii="Arial" w:hAnsi="Arial" w:cs="Arial"/>
        </w:rPr>
      </w:pPr>
      <w:r w:rsidRPr="00FD45E7">
        <w:rPr>
          <w:rFonts w:ascii="Arial" w:hAnsi="Arial" w:cs="Arial"/>
        </w:rPr>
        <w:t>Standardise pay and benefits fairly across all sites.</w:t>
      </w:r>
    </w:p>
    <w:p w14:paraId="7041EDD8" w14:textId="77777777" w:rsidR="009611A2" w:rsidRPr="00FD45E7" w:rsidRDefault="009611A2" w:rsidP="009611A2">
      <w:pPr>
        <w:numPr>
          <w:ilvl w:val="0"/>
          <w:numId w:val="15"/>
        </w:numPr>
        <w:rPr>
          <w:rFonts w:ascii="Arial" w:hAnsi="Arial" w:cs="Arial"/>
        </w:rPr>
      </w:pPr>
      <w:r w:rsidRPr="00FD45E7">
        <w:rPr>
          <w:rFonts w:ascii="Arial" w:hAnsi="Arial" w:cs="Arial"/>
        </w:rPr>
        <w:t>Introduce automation in 10 key warehouses within two years.</w:t>
      </w:r>
    </w:p>
    <w:p w14:paraId="2C4E5A3A" w14:textId="77777777" w:rsidR="009611A2" w:rsidRPr="00FD45E7" w:rsidRDefault="009611A2" w:rsidP="009611A2">
      <w:pPr>
        <w:numPr>
          <w:ilvl w:val="0"/>
          <w:numId w:val="15"/>
        </w:numPr>
        <w:rPr>
          <w:rFonts w:ascii="Arial" w:hAnsi="Arial" w:cs="Arial"/>
        </w:rPr>
      </w:pPr>
      <w:r w:rsidRPr="00FD45E7">
        <w:rPr>
          <w:rFonts w:ascii="Arial" w:hAnsi="Arial" w:cs="Arial"/>
        </w:rPr>
        <w:t>Improve employee engagement scores by at least 10%.</w:t>
      </w:r>
    </w:p>
    <w:p w14:paraId="54E82621" w14:textId="77777777" w:rsidR="009611A2" w:rsidRPr="00FD45E7" w:rsidRDefault="009611A2" w:rsidP="009611A2">
      <w:pPr>
        <w:numPr>
          <w:ilvl w:val="0"/>
          <w:numId w:val="15"/>
        </w:numPr>
        <w:rPr>
          <w:rFonts w:ascii="Arial" w:hAnsi="Arial" w:cs="Arial"/>
        </w:rPr>
      </w:pPr>
      <w:r w:rsidRPr="00FD45E7">
        <w:rPr>
          <w:rFonts w:ascii="Arial" w:hAnsi="Arial" w:cs="Arial"/>
        </w:rPr>
        <w:t>Deliver £45 million in annual cost savings by year three.</w:t>
      </w:r>
    </w:p>
    <w:p w14:paraId="690BAFA1" w14:textId="77777777" w:rsidR="009611A2" w:rsidRPr="00FD45E7" w:rsidRDefault="009611A2" w:rsidP="009611A2">
      <w:pPr>
        <w:rPr>
          <w:rFonts w:ascii="Arial" w:hAnsi="Arial" w:cs="Arial"/>
          <w:b/>
          <w:bCs/>
        </w:rPr>
      </w:pPr>
      <w:r w:rsidRPr="00FD45E7">
        <w:rPr>
          <w:rFonts w:ascii="Arial" w:hAnsi="Arial" w:cs="Arial"/>
          <w:b/>
          <w:bCs/>
        </w:rPr>
        <w:lastRenderedPageBreak/>
        <w:t>7.2 Financial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18"/>
        <w:gridCol w:w="3023"/>
      </w:tblGrid>
      <w:tr w:rsidR="009611A2" w:rsidRPr="00FD45E7" w14:paraId="6D1007BF" w14:textId="77777777">
        <w:trPr>
          <w:tblHeader/>
          <w:tblCellSpacing w:w="15" w:type="dxa"/>
        </w:trPr>
        <w:tc>
          <w:tcPr>
            <w:tcW w:w="0" w:type="auto"/>
            <w:vAlign w:val="center"/>
            <w:hideMark/>
          </w:tcPr>
          <w:p w14:paraId="005DA60F" w14:textId="77777777" w:rsidR="009611A2" w:rsidRPr="00FD45E7" w:rsidRDefault="009611A2" w:rsidP="009611A2">
            <w:pPr>
              <w:rPr>
                <w:rFonts w:ascii="Arial" w:hAnsi="Arial" w:cs="Arial"/>
                <w:b/>
                <w:bCs/>
              </w:rPr>
            </w:pPr>
            <w:r w:rsidRPr="00FD45E7">
              <w:rPr>
                <w:rFonts w:ascii="Arial" w:hAnsi="Arial" w:cs="Arial"/>
                <w:b/>
                <w:bCs/>
              </w:rPr>
              <w:t>Category</w:t>
            </w:r>
          </w:p>
        </w:tc>
        <w:tc>
          <w:tcPr>
            <w:tcW w:w="0" w:type="auto"/>
            <w:vAlign w:val="center"/>
            <w:hideMark/>
          </w:tcPr>
          <w:p w14:paraId="23B83683" w14:textId="77777777" w:rsidR="009611A2" w:rsidRPr="00FD45E7" w:rsidRDefault="009611A2" w:rsidP="009611A2">
            <w:pPr>
              <w:rPr>
                <w:rFonts w:ascii="Arial" w:hAnsi="Arial" w:cs="Arial"/>
                <w:b/>
                <w:bCs/>
              </w:rPr>
            </w:pPr>
            <w:r w:rsidRPr="00FD45E7">
              <w:rPr>
                <w:rFonts w:ascii="Arial" w:hAnsi="Arial" w:cs="Arial"/>
                <w:b/>
                <w:bCs/>
              </w:rPr>
              <w:t>Estimated Cost (£ million)</w:t>
            </w:r>
          </w:p>
        </w:tc>
      </w:tr>
      <w:tr w:rsidR="009611A2" w:rsidRPr="00FD45E7" w14:paraId="5380E5A5" w14:textId="77777777">
        <w:trPr>
          <w:tblCellSpacing w:w="15" w:type="dxa"/>
        </w:trPr>
        <w:tc>
          <w:tcPr>
            <w:tcW w:w="0" w:type="auto"/>
            <w:vAlign w:val="center"/>
            <w:hideMark/>
          </w:tcPr>
          <w:p w14:paraId="1B060F8B" w14:textId="77777777" w:rsidR="009611A2" w:rsidRPr="00FD45E7" w:rsidRDefault="009611A2" w:rsidP="009611A2">
            <w:pPr>
              <w:rPr>
                <w:rFonts w:ascii="Arial" w:hAnsi="Arial" w:cs="Arial"/>
              </w:rPr>
            </w:pPr>
            <w:r w:rsidRPr="00FD45E7">
              <w:rPr>
                <w:rFonts w:ascii="Arial" w:hAnsi="Arial" w:cs="Arial"/>
              </w:rPr>
              <w:t>Systems and IT integration</w:t>
            </w:r>
          </w:p>
        </w:tc>
        <w:tc>
          <w:tcPr>
            <w:tcW w:w="0" w:type="auto"/>
            <w:vAlign w:val="center"/>
            <w:hideMark/>
          </w:tcPr>
          <w:p w14:paraId="528F035D" w14:textId="77777777" w:rsidR="009611A2" w:rsidRPr="00FD45E7" w:rsidRDefault="009611A2" w:rsidP="009611A2">
            <w:pPr>
              <w:rPr>
                <w:rFonts w:ascii="Arial" w:hAnsi="Arial" w:cs="Arial"/>
              </w:rPr>
            </w:pPr>
            <w:r w:rsidRPr="00FD45E7">
              <w:rPr>
                <w:rFonts w:ascii="Arial" w:hAnsi="Arial" w:cs="Arial"/>
              </w:rPr>
              <w:t>25</w:t>
            </w:r>
          </w:p>
        </w:tc>
      </w:tr>
      <w:tr w:rsidR="009611A2" w:rsidRPr="00FD45E7" w14:paraId="28079C50" w14:textId="77777777">
        <w:trPr>
          <w:tblCellSpacing w:w="15" w:type="dxa"/>
        </w:trPr>
        <w:tc>
          <w:tcPr>
            <w:tcW w:w="0" w:type="auto"/>
            <w:vAlign w:val="center"/>
            <w:hideMark/>
          </w:tcPr>
          <w:p w14:paraId="12F6C323" w14:textId="77777777" w:rsidR="009611A2" w:rsidRPr="00FD45E7" w:rsidRDefault="009611A2" w:rsidP="009611A2">
            <w:pPr>
              <w:rPr>
                <w:rFonts w:ascii="Arial" w:hAnsi="Arial" w:cs="Arial"/>
              </w:rPr>
            </w:pPr>
            <w:r w:rsidRPr="00FD45E7">
              <w:rPr>
                <w:rFonts w:ascii="Arial" w:hAnsi="Arial" w:cs="Arial"/>
              </w:rPr>
              <w:t>Workforce training</w:t>
            </w:r>
          </w:p>
        </w:tc>
        <w:tc>
          <w:tcPr>
            <w:tcW w:w="0" w:type="auto"/>
            <w:vAlign w:val="center"/>
            <w:hideMark/>
          </w:tcPr>
          <w:p w14:paraId="1FA8C12D" w14:textId="77777777" w:rsidR="009611A2" w:rsidRPr="00FD45E7" w:rsidRDefault="009611A2" w:rsidP="009611A2">
            <w:pPr>
              <w:rPr>
                <w:rFonts w:ascii="Arial" w:hAnsi="Arial" w:cs="Arial"/>
              </w:rPr>
            </w:pPr>
            <w:r w:rsidRPr="00FD45E7">
              <w:rPr>
                <w:rFonts w:ascii="Arial" w:hAnsi="Arial" w:cs="Arial"/>
              </w:rPr>
              <w:t>10</w:t>
            </w:r>
          </w:p>
        </w:tc>
      </w:tr>
      <w:tr w:rsidR="009611A2" w:rsidRPr="00FD45E7" w14:paraId="73794237" w14:textId="77777777">
        <w:trPr>
          <w:tblCellSpacing w:w="15" w:type="dxa"/>
        </w:trPr>
        <w:tc>
          <w:tcPr>
            <w:tcW w:w="0" w:type="auto"/>
            <w:vAlign w:val="center"/>
            <w:hideMark/>
          </w:tcPr>
          <w:p w14:paraId="47046F0C" w14:textId="77777777" w:rsidR="009611A2" w:rsidRPr="00FD45E7" w:rsidRDefault="009611A2" w:rsidP="009611A2">
            <w:pPr>
              <w:rPr>
                <w:rFonts w:ascii="Arial" w:hAnsi="Arial" w:cs="Arial"/>
              </w:rPr>
            </w:pPr>
            <w:r w:rsidRPr="00FD45E7">
              <w:rPr>
                <w:rFonts w:ascii="Arial" w:hAnsi="Arial" w:cs="Arial"/>
              </w:rPr>
              <w:t>Communication and engagement</w:t>
            </w:r>
          </w:p>
        </w:tc>
        <w:tc>
          <w:tcPr>
            <w:tcW w:w="0" w:type="auto"/>
            <w:vAlign w:val="center"/>
            <w:hideMark/>
          </w:tcPr>
          <w:p w14:paraId="1024EBDD" w14:textId="77777777" w:rsidR="009611A2" w:rsidRPr="00FD45E7" w:rsidRDefault="009611A2" w:rsidP="009611A2">
            <w:pPr>
              <w:rPr>
                <w:rFonts w:ascii="Arial" w:hAnsi="Arial" w:cs="Arial"/>
              </w:rPr>
            </w:pPr>
            <w:r w:rsidRPr="00FD45E7">
              <w:rPr>
                <w:rFonts w:ascii="Arial" w:hAnsi="Arial" w:cs="Arial"/>
              </w:rPr>
              <w:t>5</w:t>
            </w:r>
          </w:p>
        </w:tc>
      </w:tr>
      <w:tr w:rsidR="009611A2" w:rsidRPr="00FD45E7" w14:paraId="1AD46687" w14:textId="77777777">
        <w:trPr>
          <w:tblCellSpacing w:w="15" w:type="dxa"/>
        </w:trPr>
        <w:tc>
          <w:tcPr>
            <w:tcW w:w="0" w:type="auto"/>
            <w:vAlign w:val="center"/>
            <w:hideMark/>
          </w:tcPr>
          <w:p w14:paraId="0DEE3C62" w14:textId="77777777" w:rsidR="009611A2" w:rsidRPr="00FD45E7" w:rsidRDefault="009611A2" w:rsidP="009611A2">
            <w:pPr>
              <w:rPr>
                <w:rFonts w:ascii="Arial" w:hAnsi="Arial" w:cs="Arial"/>
              </w:rPr>
            </w:pPr>
            <w:r w:rsidRPr="00FD45E7">
              <w:rPr>
                <w:rFonts w:ascii="Arial" w:hAnsi="Arial" w:cs="Arial"/>
              </w:rPr>
              <w:t>Redundancy and restructuring</w:t>
            </w:r>
          </w:p>
        </w:tc>
        <w:tc>
          <w:tcPr>
            <w:tcW w:w="0" w:type="auto"/>
            <w:vAlign w:val="center"/>
            <w:hideMark/>
          </w:tcPr>
          <w:p w14:paraId="078F2D95" w14:textId="77777777" w:rsidR="009611A2" w:rsidRPr="00FD45E7" w:rsidRDefault="009611A2" w:rsidP="009611A2">
            <w:pPr>
              <w:rPr>
                <w:rFonts w:ascii="Arial" w:hAnsi="Arial" w:cs="Arial"/>
              </w:rPr>
            </w:pPr>
            <w:r w:rsidRPr="00FD45E7">
              <w:rPr>
                <w:rFonts w:ascii="Arial" w:hAnsi="Arial" w:cs="Arial"/>
              </w:rPr>
              <w:t>8</w:t>
            </w:r>
          </w:p>
        </w:tc>
      </w:tr>
      <w:tr w:rsidR="009611A2" w:rsidRPr="00FD45E7" w14:paraId="3019F6A6" w14:textId="77777777">
        <w:trPr>
          <w:tblCellSpacing w:w="15" w:type="dxa"/>
        </w:trPr>
        <w:tc>
          <w:tcPr>
            <w:tcW w:w="0" w:type="auto"/>
            <w:vAlign w:val="center"/>
            <w:hideMark/>
          </w:tcPr>
          <w:p w14:paraId="616E01C3" w14:textId="77777777" w:rsidR="009611A2" w:rsidRPr="00FD45E7" w:rsidRDefault="009611A2" w:rsidP="009611A2">
            <w:pPr>
              <w:rPr>
                <w:rFonts w:ascii="Arial" w:hAnsi="Arial" w:cs="Arial"/>
              </w:rPr>
            </w:pPr>
            <w:r w:rsidRPr="00FD45E7">
              <w:rPr>
                <w:rFonts w:ascii="Arial" w:hAnsi="Arial" w:cs="Arial"/>
              </w:rPr>
              <w:t>Change management consultancy</w:t>
            </w:r>
          </w:p>
        </w:tc>
        <w:tc>
          <w:tcPr>
            <w:tcW w:w="0" w:type="auto"/>
            <w:vAlign w:val="center"/>
            <w:hideMark/>
          </w:tcPr>
          <w:p w14:paraId="544682EF" w14:textId="77777777" w:rsidR="009611A2" w:rsidRPr="00FD45E7" w:rsidRDefault="009611A2" w:rsidP="009611A2">
            <w:pPr>
              <w:rPr>
                <w:rFonts w:ascii="Arial" w:hAnsi="Arial" w:cs="Arial"/>
              </w:rPr>
            </w:pPr>
            <w:r w:rsidRPr="00FD45E7">
              <w:rPr>
                <w:rFonts w:ascii="Arial" w:hAnsi="Arial" w:cs="Arial"/>
              </w:rPr>
              <w:t>7</w:t>
            </w:r>
          </w:p>
        </w:tc>
      </w:tr>
      <w:tr w:rsidR="009611A2" w:rsidRPr="00FD45E7" w14:paraId="08FCB3AA" w14:textId="77777777">
        <w:trPr>
          <w:tblCellSpacing w:w="15" w:type="dxa"/>
        </w:trPr>
        <w:tc>
          <w:tcPr>
            <w:tcW w:w="0" w:type="auto"/>
            <w:vAlign w:val="center"/>
            <w:hideMark/>
          </w:tcPr>
          <w:p w14:paraId="6F180064" w14:textId="77777777" w:rsidR="009611A2" w:rsidRPr="00FD45E7" w:rsidRDefault="009611A2" w:rsidP="009611A2">
            <w:pPr>
              <w:rPr>
                <w:rFonts w:ascii="Arial" w:hAnsi="Arial" w:cs="Arial"/>
              </w:rPr>
            </w:pPr>
            <w:r w:rsidRPr="00FD45E7">
              <w:rPr>
                <w:rFonts w:ascii="Arial" w:hAnsi="Arial" w:cs="Arial"/>
                <w:b/>
                <w:bCs/>
              </w:rPr>
              <w:t>Total Investment</w:t>
            </w:r>
          </w:p>
        </w:tc>
        <w:tc>
          <w:tcPr>
            <w:tcW w:w="0" w:type="auto"/>
            <w:vAlign w:val="center"/>
            <w:hideMark/>
          </w:tcPr>
          <w:p w14:paraId="06D3DE1D" w14:textId="77777777" w:rsidR="009611A2" w:rsidRPr="00FD45E7" w:rsidRDefault="009611A2" w:rsidP="009611A2">
            <w:pPr>
              <w:rPr>
                <w:rFonts w:ascii="Arial" w:hAnsi="Arial" w:cs="Arial"/>
              </w:rPr>
            </w:pPr>
            <w:r w:rsidRPr="00FD45E7">
              <w:rPr>
                <w:rFonts w:ascii="Arial" w:hAnsi="Arial" w:cs="Arial"/>
                <w:b/>
                <w:bCs/>
              </w:rPr>
              <w:t>55</w:t>
            </w:r>
          </w:p>
        </w:tc>
      </w:tr>
    </w:tbl>
    <w:p w14:paraId="61852BEA" w14:textId="77777777" w:rsidR="009611A2" w:rsidRPr="00FD45E7" w:rsidRDefault="009611A2" w:rsidP="009611A2">
      <w:pPr>
        <w:rPr>
          <w:rFonts w:ascii="Arial" w:hAnsi="Arial" w:cs="Arial"/>
        </w:rPr>
      </w:pPr>
      <w:r w:rsidRPr="00FD45E7">
        <w:rPr>
          <w:rFonts w:ascii="Arial" w:hAnsi="Arial" w:cs="Arial"/>
        </w:rPr>
        <w:t>Savings will come from improved efficiency, reduced duplication, and automation. GXO expects to recover the costs within three years.</w:t>
      </w:r>
    </w:p>
    <w:p w14:paraId="4CF2A1D3" w14:textId="77777777" w:rsidR="009611A2" w:rsidRPr="00F75D8D" w:rsidRDefault="009611A2" w:rsidP="009611A2">
      <w:pPr>
        <w:rPr>
          <w:rFonts w:ascii="Arial" w:hAnsi="Arial" w:cs="Arial"/>
          <w:b/>
          <w:bCs/>
        </w:rPr>
      </w:pPr>
      <w:r w:rsidRPr="00FD45E7">
        <w:rPr>
          <w:rFonts w:ascii="Arial" w:hAnsi="Arial" w:cs="Arial"/>
          <w:b/>
          <w:bCs/>
        </w:rPr>
        <w:t xml:space="preserve">7.3 </w:t>
      </w:r>
      <w:r w:rsidRPr="00F75D8D">
        <w:rPr>
          <w:rFonts w:ascii="Arial" w:hAnsi="Arial" w:cs="Arial"/>
          <w:b/>
          <w:bCs/>
        </w:rPr>
        <w:t>Communication Plan</w:t>
      </w:r>
    </w:p>
    <w:p w14:paraId="04B8A165" w14:textId="3FC2C7FB" w:rsidR="00F75D8D" w:rsidRPr="00F75D8D" w:rsidRDefault="00F75D8D" w:rsidP="00F75D8D">
      <w:pPr>
        <w:ind w:left="720"/>
        <w:rPr>
          <w:rFonts w:ascii="Arial" w:hAnsi="Arial" w:cs="Arial"/>
        </w:rPr>
      </w:pPr>
      <w:r w:rsidRPr="00F75D8D">
        <w:rPr>
          <w:rFonts w:ascii="Arial" w:hAnsi="Arial" w:cs="Arial"/>
          <w:b/>
          <w:bCs/>
        </w:rPr>
        <w:t>How Meetings and Discussions Will Be Carried Out:</w:t>
      </w:r>
      <w:r w:rsidRPr="00F75D8D">
        <w:rPr>
          <w:rFonts w:ascii="Arial" w:hAnsi="Arial" w:cs="Arial"/>
        </w:rPr>
        <w:br/>
        <w:t>In addition to these communication channels, GXO and Wincanton will hold regular team meetings to discuss updates and upcoming changes. These meetings will take place in dedicated spaces such as conference rooms, training areas, or quiet office spaces where staff can focus without interruptions. During these sessions, managers will explain any new processes, policy changes, or operational updates in a clear and structured way. Employees will be encouraged to ask questions, share concerns, and provide feedback so that everyone understands how the changes will affect their daily work. Visual aids such as presentations, printed guides, or demonstrations may be used to make the information easier to understand. These meetings help ensure transparency, build trust, and give employees a sense of involvement in the change process.</w:t>
      </w:r>
    </w:p>
    <w:p w14:paraId="761FD791" w14:textId="77777777" w:rsidR="00F75D8D" w:rsidRDefault="00F75D8D" w:rsidP="00717F27">
      <w:pPr>
        <w:rPr>
          <w:rFonts w:ascii="Arial" w:hAnsi="Arial" w:cs="Arial"/>
        </w:rPr>
      </w:pPr>
    </w:p>
    <w:p w14:paraId="1DA86D79" w14:textId="77777777" w:rsidR="00717F27" w:rsidRPr="00F75D8D" w:rsidRDefault="00717F27" w:rsidP="00717F27">
      <w:pPr>
        <w:rPr>
          <w:rFonts w:ascii="Arial" w:hAnsi="Arial" w:cs="Arial"/>
        </w:rPr>
      </w:pPr>
    </w:p>
    <w:p w14:paraId="1336F21F" w14:textId="189DBB1C" w:rsidR="009611A2" w:rsidRPr="00FD45E7" w:rsidRDefault="009611A2" w:rsidP="009611A2">
      <w:pPr>
        <w:numPr>
          <w:ilvl w:val="0"/>
          <w:numId w:val="16"/>
        </w:numPr>
        <w:rPr>
          <w:rFonts w:ascii="Arial" w:hAnsi="Arial" w:cs="Arial"/>
        </w:rPr>
      </w:pPr>
      <w:r w:rsidRPr="00FD45E7">
        <w:rPr>
          <w:rFonts w:ascii="Arial" w:hAnsi="Arial" w:cs="Arial"/>
          <w:b/>
          <w:bCs/>
        </w:rPr>
        <w:t>Goals:</w:t>
      </w:r>
      <w:r w:rsidRPr="00FD45E7">
        <w:rPr>
          <w:rFonts w:ascii="Arial" w:hAnsi="Arial" w:cs="Arial"/>
        </w:rPr>
        <w:t xml:space="preserve"> Keep employees informed, reduce anxiety, and promote engagement.</w:t>
      </w:r>
    </w:p>
    <w:p w14:paraId="3DF35A44" w14:textId="77777777" w:rsidR="009611A2" w:rsidRPr="00FD45E7" w:rsidRDefault="009611A2" w:rsidP="009611A2">
      <w:pPr>
        <w:numPr>
          <w:ilvl w:val="0"/>
          <w:numId w:val="16"/>
        </w:numPr>
        <w:rPr>
          <w:rFonts w:ascii="Arial" w:hAnsi="Arial" w:cs="Arial"/>
        </w:rPr>
      </w:pPr>
      <w:r w:rsidRPr="00FD45E7">
        <w:rPr>
          <w:rFonts w:ascii="Arial" w:hAnsi="Arial" w:cs="Arial"/>
          <w:b/>
          <w:bCs/>
        </w:rPr>
        <w:t>Key Messages:</w:t>
      </w:r>
    </w:p>
    <w:p w14:paraId="3BDAB5B9" w14:textId="77777777" w:rsidR="009611A2" w:rsidRPr="00FD45E7" w:rsidRDefault="009611A2" w:rsidP="009611A2">
      <w:pPr>
        <w:ind w:left="1440"/>
        <w:rPr>
          <w:rFonts w:ascii="Arial" w:hAnsi="Arial" w:cs="Arial"/>
        </w:rPr>
      </w:pPr>
      <w:r w:rsidRPr="00FD45E7">
        <w:rPr>
          <w:rFonts w:ascii="Arial" w:hAnsi="Arial" w:cs="Arial"/>
        </w:rPr>
        <w:t>“We are investing in people and technology.”</w:t>
      </w:r>
    </w:p>
    <w:p w14:paraId="507A5DF0" w14:textId="77777777" w:rsidR="009611A2" w:rsidRPr="00FD45E7" w:rsidRDefault="009611A2" w:rsidP="009611A2">
      <w:pPr>
        <w:ind w:left="1440"/>
        <w:rPr>
          <w:rFonts w:ascii="Arial" w:hAnsi="Arial" w:cs="Arial"/>
        </w:rPr>
      </w:pPr>
      <w:r w:rsidRPr="00FD45E7">
        <w:rPr>
          <w:rFonts w:ascii="Arial" w:hAnsi="Arial" w:cs="Arial"/>
        </w:rPr>
        <w:t>“Your roles are valued, and training will be provided.”</w:t>
      </w:r>
    </w:p>
    <w:p w14:paraId="017290F7" w14:textId="77777777" w:rsidR="009611A2" w:rsidRPr="00FD45E7" w:rsidRDefault="009611A2" w:rsidP="009611A2">
      <w:pPr>
        <w:ind w:left="1440"/>
        <w:rPr>
          <w:rFonts w:ascii="Arial" w:hAnsi="Arial" w:cs="Arial"/>
        </w:rPr>
      </w:pPr>
      <w:r w:rsidRPr="00FD45E7">
        <w:rPr>
          <w:rFonts w:ascii="Arial" w:hAnsi="Arial" w:cs="Arial"/>
        </w:rPr>
        <w:t>“Standardised pay ensures fairness.”</w:t>
      </w:r>
    </w:p>
    <w:p w14:paraId="232FFFDE" w14:textId="77777777" w:rsidR="009611A2" w:rsidRPr="00FD45E7" w:rsidRDefault="009611A2" w:rsidP="009611A2">
      <w:pPr>
        <w:numPr>
          <w:ilvl w:val="0"/>
          <w:numId w:val="16"/>
        </w:numPr>
        <w:rPr>
          <w:rFonts w:ascii="Arial" w:hAnsi="Arial" w:cs="Arial"/>
        </w:rPr>
      </w:pPr>
      <w:r w:rsidRPr="00FD45E7">
        <w:rPr>
          <w:rFonts w:ascii="Arial" w:hAnsi="Arial" w:cs="Arial"/>
          <w:b/>
          <w:bCs/>
        </w:rPr>
        <w:t>Channels:</w:t>
      </w:r>
      <w:r w:rsidRPr="00FD45E7">
        <w:rPr>
          <w:rFonts w:ascii="Arial" w:hAnsi="Arial" w:cs="Arial"/>
        </w:rPr>
        <w:t xml:space="preserve"> Emails, newsletters, intranet updates, town halls, and union meetings.</w:t>
      </w:r>
    </w:p>
    <w:p w14:paraId="03779A9B" w14:textId="77777777" w:rsidR="009611A2" w:rsidRPr="00FD45E7" w:rsidRDefault="009611A2" w:rsidP="009611A2">
      <w:pPr>
        <w:numPr>
          <w:ilvl w:val="0"/>
          <w:numId w:val="16"/>
        </w:numPr>
        <w:rPr>
          <w:rFonts w:ascii="Arial" w:hAnsi="Arial" w:cs="Arial"/>
        </w:rPr>
      </w:pPr>
      <w:r w:rsidRPr="00FD45E7">
        <w:rPr>
          <w:rFonts w:ascii="Arial" w:hAnsi="Arial" w:cs="Arial"/>
          <w:b/>
          <w:bCs/>
        </w:rPr>
        <w:lastRenderedPageBreak/>
        <w:t>Feedback:</w:t>
      </w:r>
      <w:r w:rsidRPr="00FD45E7">
        <w:rPr>
          <w:rFonts w:ascii="Arial" w:hAnsi="Arial" w:cs="Arial"/>
        </w:rPr>
        <w:t xml:space="preserve"> Anonymous surveys and “You said, we did” updates to show progress.</w:t>
      </w:r>
    </w:p>
    <w:p w14:paraId="1E72D8B5" w14:textId="77777777" w:rsidR="009611A2" w:rsidRPr="00FD45E7" w:rsidRDefault="009611A2" w:rsidP="009611A2">
      <w:pPr>
        <w:rPr>
          <w:rFonts w:ascii="Arial" w:hAnsi="Arial" w:cs="Arial"/>
          <w:b/>
          <w:bCs/>
        </w:rPr>
      </w:pPr>
      <w:r w:rsidRPr="00FD45E7">
        <w:rPr>
          <w:rFonts w:ascii="Arial" w:hAnsi="Arial" w:cs="Arial"/>
          <w:b/>
          <w:bCs/>
        </w:rPr>
        <w:t>7.4 Implementation Timeline</w:t>
      </w:r>
    </w:p>
    <w:p w14:paraId="36F04FEA" w14:textId="77777777" w:rsidR="009611A2" w:rsidRPr="00FD45E7" w:rsidRDefault="009611A2" w:rsidP="009611A2">
      <w:pPr>
        <w:numPr>
          <w:ilvl w:val="0"/>
          <w:numId w:val="17"/>
        </w:numPr>
        <w:rPr>
          <w:rFonts w:ascii="Arial" w:hAnsi="Arial" w:cs="Arial"/>
        </w:rPr>
      </w:pPr>
      <w:r w:rsidRPr="00FD45E7">
        <w:rPr>
          <w:rFonts w:ascii="Arial" w:hAnsi="Arial" w:cs="Arial"/>
          <w:b/>
          <w:bCs/>
        </w:rPr>
        <w:t>Months 0–3:</w:t>
      </w:r>
      <w:r w:rsidRPr="00FD45E7">
        <w:rPr>
          <w:rFonts w:ascii="Arial" w:hAnsi="Arial" w:cs="Arial"/>
        </w:rPr>
        <w:t xml:space="preserve"> Announce vision, form integration team, communicate frequently.</w:t>
      </w:r>
    </w:p>
    <w:p w14:paraId="3C369006" w14:textId="77777777" w:rsidR="009611A2" w:rsidRPr="00FD45E7" w:rsidRDefault="009611A2" w:rsidP="009611A2">
      <w:pPr>
        <w:numPr>
          <w:ilvl w:val="0"/>
          <w:numId w:val="17"/>
        </w:numPr>
        <w:rPr>
          <w:rFonts w:ascii="Arial" w:hAnsi="Arial" w:cs="Arial"/>
        </w:rPr>
      </w:pPr>
      <w:r w:rsidRPr="00FD45E7">
        <w:rPr>
          <w:rFonts w:ascii="Arial" w:hAnsi="Arial" w:cs="Arial"/>
          <w:b/>
          <w:bCs/>
        </w:rPr>
        <w:t>Months 3–6:</w:t>
      </w:r>
      <w:r w:rsidRPr="00FD45E7">
        <w:rPr>
          <w:rFonts w:ascii="Arial" w:hAnsi="Arial" w:cs="Arial"/>
        </w:rPr>
        <w:t xml:space="preserve"> Review HR systems, map pay and benefits, assess warehouse technology.</w:t>
      </w:r>
    </w:p>
    <w:p w14:paraId="14400768" w14:textId="77777777" w:rsidR="009611A2" w:rsidRPr="00FD45E7" w:rsidRDefault="009611A2" w:rsidP="009611A2">
      <w:pPr>
        <w:numPr>
          <w:ilvl w:val="0"/>
          <w:numId w:val="17"/>
        </w:numPr>
        <w:rPr>
          <w:rFonts w:ascii="Arial" w:hAnsi="Arial" w:cs="Arial"/>
        </w:rPr>
      </w:pPr>
      <w:r w:rsidRPr="00FD45E7">
        <w:rPr>
          <w:rFonts w:ascii="Arial" w:hAnsi="Arial" w:cs="Arial"/>
          <w:b/>
          <w:bCs/>
        </w:rPr>
        <w:t>Months 6–18:</w:t>
      </w:r>
      <w:r w:rsidRPr="00FD45E7">
        <w:rPr>
          <w:rFonts w:ascii="Arial" w:hAnsi="Arial" w:cs="Arial"/>
        </w:rPr>
        <w:t xml:space="preserve"> Implement new systems, restructure management, roll out training.</w:t>
      </w:r>
    </w:p>
    <w:p w14:paraId="7768D05C" w14:textId="77777777" w:rsidR="009611A2" w:rsidRPr="00FD45E7" w:rsidRDefault="009611A2" w:rsidP="009611A2">
      <w:pPr>
        <w:numPr>
          <w:ilvl w:val="0"/>
          <w:numId w:val="17"/>
        </w:numPr>
        <w:rPr>
          <w:rFonts w:ascii="Arial" w:hAnsi="Arial" w:cs="Arial"/>
        </w:rPr>
      </w:pPr>
      <w:r w:rsidRPr="00FD45E7">
        <w:rPr>
          <w:rFonts w:ascii="Arial" w:hAnsi="Arial" w:cs="Arial"/>
          <w:b/>
          <w:bCs/>
        </w:rPr>
        <w:t>Months 18–30:</w:t>
      </w:r>
      <w:r w:rsidRPr="00FD45E7">
        <w:rPr>
          <w:rFonts w:ascii="Arial" w:hAnsi="Arial" w:cs="Arial"/>
        </w:rPr>
        <w:t xml:space="preserve"> Evaluate progress, celebrate successes, embed new practices.</w:t>
      </w:r>
    </w:p>
    <w:p w14:paraId="0B0E4060" w14:textId="77777777" w:rsidR="009611A2" w:rsidRPr="00FD45E7" w:rsidRDefault="009611A2" w:rsidP="009611A2">
      <w:pPr>
        <w:rPr>
          <w:rFonts w:ascii="Arial" w:hAnsi="Arial" w:cs="Arial"/>
          <w:b/>
          <w:bCs/>
        </w:rPr>
      </w:pPr>
      <w:r w:rsidRPr="00FD45E7">
        <w:rPr>
          <w:rFonts w:ascii="Arial" w:hAnsi="Arial" w:cs="Arial"/>
          <w:b/>
          <w:bCs/>
        </w:rPr>
        <w:t>7.5 Evaluation Plan</w:t>
      </w:r>
    </w:p>
    <w:p w14:paraId="3CC86C88" w14:textId="77777777" w:rsidR="009611A2" w:rsidRPr="00FD45E7" w:rsidRDefault="009611A2" w:rsidP="009611A2">
      <w:pPr>
        <w:rPr>
          <w:rFonts w:ascii="Arial" w:hAnsi="Arial" w:cs="Arial"/>
        </w:rPr>
      </w:pPr>
      <w:r w:rsidRPr="00FD45E7">
        <w:rPr>
          <w:rFonts w:ascii="Arial" w:hAnsi="Arial" w:cs="Arial"/>
        </w:rPr>
        <w:t>Success will be measured using:</w:t>
      </w:r>
    </w:p>
    <w:p w14:paraId="6FF86616" w14:textId="77777777" w:rsidR="009611A2" w:rsidRPr="00FD45E7" w:rsidRDefault="009611A2" w:rsidP="009611A2">
      <w:pPr>
        <w:ind w:left="720"/>
        <w:rPr>
          <w:rFonts w:ascii="Arial" w:hAnsi="Arial" w:cs="Arial"/>
        </w:rPr>
      </w:pPr>
      <w:r w:rsidRPr="00FD45E7">
        <w:rPr>
          <w:rFonts w:ascii="Arial" w:hAnsi="Arial" w:cs="Arial"/>
        </w:rPr>
        <w:t>Employee retention rate</w:t>
      </w:r>
    </w:p>
    <w:p w14:paraId="27713B2D" w14:textId="77777777" w:rsidR="009611A2" w:rsidRPr="00FD45E7" w:rsidRDefault="009611A2" w:rsidP="009611A2">
      <w:pPr>
        <w:ind w:left="720"/>
        <w:rPr>
          <w:rFonts w:ascii="Arial" w:hAnsi="Arial" w:cs="Arial"/>
        </w:rPr>
      </w:pPr>
      <w:r w:rsidRPr="00FD45E7">
        <w:rPr>
          <w:rFonts w:ascii="Arial" w:hAnsi="Arial" w:cs="Arial"/>
        </w:rPr>
        <w:t>Cost savings achieved</w:t>
      </w:r>
    </w:p>
    <w:p w14:paraId="3DF7F774" w14:textId="77777777" w:rsidR="009611A2" w:rsidRPr="00FD45E7" w:rsidRDefault="009611A2" w:rsidP="009611A2">
      <w:pPr>
        <w:ind w:left="720"/>
        <w:rPr>
          <w:rFonts w:ascii="Arial" w:hAnsi="Arial" w:cs="Arial"/>
        </w:rPr>
      </w:pPr>
      <w:r w:rsidRPr="00FD45E7">
        <w:rPr>
          <w:rFonts w:ascii="Arial" w:hAnsi="Arial" w:cs="Arial"/>
        </w:rPr>
        <w:t>Productivity levels</w:t>
      </w:r>
    </w:p>
    <w:p w14:paraId="6CDCE944" w14:textId="77777777" w:rsidR="009611A2" w:rsidRPr="00FD45E7" w:rsidRDefault="009611A2" w:rsidP="009611A2">
      <w:pPr>
        <w:ind w:left="720"/>
        <w:rPr>
          <w:rFonts w:ascii="Arial" w:hAnsi="Arial" w:cs="Arial"/>
        </w:rPr>
      </w:pPr>
      <w:r w:rsidRPr="00FD45E7">
        <w:rPr>
          <w:rFonts w:ascii="Arial" w:hAnsi="Arial" w:cs="Arial"/>
        </w:rPr>
        <w:t>Employee engagement surveys</w:t>
      </w:r>
    </w:p>
    <w:p w14:paraId="71EDC485" w14:textId="77777777" w:rsidR="009611A2" w:rsidRPr="00FD45E7" w:rsidRDefault="009611A2" w:rsidP="009611A2">
      <w:pPr>
        <w:ind w:left="720"/>
        <w:rPr>
          <w:rFonts w:ascii="Arial" w:hAnsi="Arial" w:cs="Arial"/>
        </w:rPr>
      </w:pPr>
      <w:r w:rsidRPr="00FD45E7">
        <w:rPr>
          <w:rFonts w:ascii="Arial" w:hAnsi="Arial" w:cs="Arial"/>
        </w:rPr>
        <w:t>Pay and equality data</w:t>
      </w:r>
    </w:p>
    <w:p w14:paraId="49991508" w14:textId="77777777" w:rsidR="009611A2" w:rsidRPr="00FD45E7" w:rsidRDefault="009611A2" w:rsidP="009611A2">
      <w:pPr>
        <w:ind w:left="720"/>
        <w:rPr>
          <w:rFonts w:ascii="Arial" w:hAnsi="Arial" w:cs="Arial"/>
        </w:rPr>
      </w:pPr>
      <w:r w:rsidRPr="00FD45E7">
        <w:rPr>
          <w:rFonts w:ascii="Arial" w:hAnsi="Arial" w:cs="Arial"/>
        </w:rPr>
        <w:t>Customer satisfaction</w:t>
      </w:r>
    </w:p>
    <w:p w14:paraId="10C8B158" w14:textId="77777777" w:rsidR="009611A2" w:rsidRPr="00FD45E7" w:rsidRDefault="009611A2" w:rsidP="009611A2">
      <w:pPr>
        <w:rPr>
          <w:rFonts w:ascii="Arial" w:hAnsi="Arial" w:cs="Arial"/>
        </w:rPr>
      </w:pPr>
      <w:r w:rsidRPr="00FD45E7">
        <w:rPr>
          <w:rFonts w:ascii="Arial" w:hAnsi="Arial" w:cs="Arial"/>
        </w:rPr>
        <w:t>Regular reviews every quarter will ensure the company stays on track and can adjust if needed.</w:t>
      </w:r>
    </w:p>
    <w:p w14:paraId="7E4843D9" w14:textId="77777777" w:rsidR="009611A2" w:rsidRPr="00FD45E7" w:rsidRDefault="00000000" w:rsidP="009611A2">
      <w:pPr>
        <w:rPr>
          <w:rFonts w:ascii="Arial" w:hAnsi="Arial" w:cs="Arial"/>
        </w:rPr>
      </w:pPr>
      <w:r>
        <w:rPr>
          <w:rFonts w:ascii="Arial" w:hAnsi="Arial" w:cs="Arial"/>
        </w:rPr>
        <w:pict w14:anchorId="699F3DB9">
          <v:rect id="_x0000_i1026" style="width:0;height:1.5pt" o:hralign="center" o:hrstd="t" o:hr="t" fillcolor="#a0a0a0" stroked="f"/>
        </w:pict>
      </w:r>
    </w:p>
    <w:p w14:paraId="355FD597" w14:textId="77777777" w:rsidR="009611A2" w:rsidRPr="00FD45E7" w:rsidRDefault="009611A2" w:rsidP="009611A2">
      <w:pPr>
        <w:rPr>
          <w:rFonts w:ascii="Arial" w:hAnsi="Arial" w:cs="Arial"/>
          <w:b/>
          <w:bCs/>
          <w:color w:val="C00000"/>
        </w:rPr>
      </w:pPr>
      <w:r w:rsidRPr="00FD45E7">
        <w:rPr>
          <w:rFonts w:ascii="Arial" w:hAnsi="Arial" w:cs="Arial"/>
          <w:b/>
          <w:bCs/>
          <w:color w:val="C00000"/>
        </w:rPr>
        <w:t>8. Workforce Implications</w:t>
      </w:r>
    </w:p>
    <w:p w14:paraId="3891E224" w14:textId="77777777" w:rsidR="009611A2" w:rsidRPr="00FD45E7" w:rsidRDefault="009611A2" w:rsidP="009611A2">
      <w:pPr>
        <w:rPr>
          <w:rFonts w:ascii="Arial" w:hAnsi="Arial" w:cs="Arial"/>
          <w:b/>
          <w:bCs/>
        </w:rPr>
      </w:pPr>
      <w:r w:rsidRPr="00FD45E7">
        <w:rPr>
          <w:rFonts w:ascii="Arial" w:hAnsi="Arial" w:cs="Arial"/>
          <w:b/>
          <w:bCs/>
        </w:rPr>
        <w:t>8.1 Pay and Benefits</w:t>
      </w:r>
    </w:p>
    <w:p w14:paraId="4F9D4237" w14:textId="77777777" w:rsidR="009611A2" w:rsidRPr="00FD45E7" w:rsidRDefault="009611A2" w:rsidP="009611A2">
      <w:pPr>
        <w:rPr>
          <w:rFonts w:ascii="Arial" w:hAnsi="Arial" w:cs="Arial"/>
        </w:rPr>
      </w:pPr>
      <w:r w:rsidRPr="00FD45E7">
        <w:rPr>
          <w:rFonts w:ascii="Arial" w:hAnsi="Arial" w:cs="Arial"/>
        </w:rPr>
        <w:t>After integration, pay rates will be reviewed to align with GXO’s global standards. Some employees may benefit from higher salaries or better health coverage, while others might see fewer local allowances. Transparency and fairness will be key to avoid resentment.</w:t>
      </w:r>
    </w:p>
    <w:p w14:paraId="5F02083A" w14:textId="77777777" w:rsidR="009611A2" w:rsidRPr="00FD45E7" w:rsidRDefault="009611A2" w:rsidP="009611A2">
      <w:pPr>
        <w:rPr>
          <w:rFonts w:ascii="Arial" w:hAnsi="Arial" w:cs="Arial"/>
          <w:b/>
          <w:bCs/>
        </w:rPr>
      </w:pPr>
      <w:r w:rsidRPr="00FD45E7">
        <w:rPr>
          <w:rFonts w:ascii="Arial" w:hAnsi="Arial" w:cs="Arial"/>
          <w:b/>
          <w:bCs/>
        </w:rPr>
        <w:t>8.2 Job Security and Training</w:t>
      </w:r>
    </w:p>
    <w:p w14:paraId="6C028783" w14:textId="77777777" w:rsidR="009611A2" w:rsidRPr="00FD45E7" w:rsidRDefault="009611A2" w:rsidP="009611A2">
      <w:pPr>
        <w:rPr>
          <w:rFonts w:ascii="Arial" w:hAnsi="Arial" w:cs="Arial"/>
        </w:rPr>
      </w:pPr>
      <w:r w:rsidRPr="00FD45E7">
        <w:rPr>
          <w:rFonts w:ascii="Arial" w:hAnsi="Arial" w:cs="Arial"/>
        </w:rPr>
        <w:t xml:space="preserve">While automation could reduce certain manual roles, it also creates </w:t>
      </w:r>
      <w:r w:rsidRPr="00FD45E7">
        <w:rPr>
          <w:rFonts w:ascii="Arial" w:hAnsi="Arial" w:cs="Arial"/>
          <w:b/>
          <w:bCs/>
        </w:rPr>
        <w:t>new technical jobs</w:t>
      </w:r>
      <w:r w:rsidRPr="00FD45E7">
        <w:rPr>
          <w:rFonts w:ascii="Arial" w:hAnsi="Arial" w:cs="Arial"/>
        </w:rPr>
        <w:t xml:space="preserve"> — such as robot maintenance, IT system support, and data analysis. Retraining programs should give existing staff first access to these roles.</w:t>
      </w:r>
    </w:p>
    <w:p w14:paraId="3815A2C1" w14:textId="77777777" w:rsidR="009611A2" w:rsidRPr="00FD45E7" w:rsidRDefault="009611A2" w:rsidP="009611A2">
      <w:pPr>
        <w:rPr>
          <w:rFonts w:ascii="Arial" w:hAnsi="Arial" w:cs="Arial"/>
          <w:b/>
          <w:bCs/>
        </w:rPr>
      </w:pPr>
      <w:r w:rsidRPr="00FD45E7">
        <w:rPr>
          <w:rFonts w:ascii="Arial" w:hAnsi="Arial" w:cs="Arial"/>
          <w:b/>
          <w:bCs/>
        </w:rPr>
        <w:t>8.3 Working Conditions and Well-being</w:t>
      </w:r>
    </w:p>
    <w:p w14:paraId="31118AD3" w14:textId="77777777" w:rsidR="009611A2" w:rsidRPr="00FD45E7" w:rsidRDefault="009611A2" w:rsidP="009611A2">
      <w:pPr>
        <w:rPr>
          <w:rFonts w:ascii="Arial" w:hAnsi="Arial" w:cs="Arial"/>
        </w:rPr>
      </w:pPr>
      <w:r w:rsidRPr="00FD45E7">
        <w:rPr>
          <w:rFonts w:ascii="Arial" w:hAnsi="Arial" w:cs="Arial"/>
        </w:rPr>
        <w:lastRenderedPageBreak/>
        <w:t>GXO’s strong safety and well-being culture will likely improve working conditions. However, adapting to new systems can create stress, so GXO should offer counselling, stress management, and open dialogue.</w:t>
      </w:r>
    </w:p>
    <w:p w14:paraId="090789C9" w14:textId="77777777" w:rsidR="009611A2" w:rsidRPr="00FD45E7" w:rsidRDefault="009611A2" w:rsidP="009611A2">
      <w:pPr>
        <w:rPr>
          <w:rFonts w:ascii="Arial" w:hAnsi="Arial" w:cs="Arial"/>
          <w:b/>
          <w:bCs/>
        </w:rPr>
      </w:pPr>
      <w:r w:rsidRPr="00FD45E7">
        <w:rPr>
          <w:rFonts w:ascii="Arial" w:hAnsi="Arial" w:cs="Arial"/>
          <w:b/>
          <w:bCs/>
        </w:rPr>
        <w:t>8.4 Employee Voice</w:t>
      </w:r>
    </w:p>
    <w:p w14:paraId="013DA24A" w14:textId="77777777" w:rsidR="009611A2" w:rsidRPr="00FD45E7" w:rsidRDefault="009611A2" w:rsidP="009611A2">
      <w:pPr>
        <w:rPr>
          <w:rFonts w:ascii="Arial" w:hAnsi="Arial" w:cs="Arial"/>
        </w:rPr>
      </w:pPr>
      <w:r w:rsidRPr="00FD45E7">
        <w:rPr>
          <w:rFonts w:ascii="Arial" w:hAnsi="Arial" w:cs="Arial"/>
        </w:rPr>
        <w:t xml:space="preserve">Formal consultation with </w:t>
      </w:r>
      <w:r w:rsidRPr="00FD45E7">
        <w:rPr>
          <w:rFonts w:ascii="Arial" w:hAnsi="Arial" w:cs="Arial"/>
          <w:b/>
          <w:bCs/>
        </w:rPr>
        <w:t>unions</w:t>
      </w:r>
      <w:r w:rsidRPr="00FD45E7">
        <w:rPr>
          <w:rFonts w:ascii="Arial" w:hAnsi="Arial" w:cs="Arial"/>
        </w:rPr>
        <w:t xml:space="preserve"> and </w:t>
      </w:r>
      <w:r w:rsidRPr="00FD45E7">
        <w:rPr>
          <w:rFonts w:ascii="Arial" w:hAnsi="Arial" w:cs="Arial"/>
          <w:b/>
          <w:bCs/>
        </w:rPr>
        <w:t>employee representatives</w:t>
      </w:r>
      <w:r w:rsidRPr="00FD45E7">
        <w:rPr>
          <w:rFonts w:ascii="Arial" w:hAnsi="Arial" w:cs="Arial"/>
        </w:rPr>
        <w:t xml:space="preserve"> is essential. Staff should be encouraged to share concerns and suggestions. A feeling of inclusion helps reduce resistance.</w:t>
      </w:r>
    </w:p>
    <w:p w14:paraId="3487A230" w14:textId="77777777" w:rsidR="009611A2" w:rsidRPr="00FD45E7" w:rsidRDefault="00000000" w:rsidP="009611A2">
      <w:pPr>
        <w:rPr>
          <w:rFonts w:ascii="Arial" w:hAnsi="Arial" w:cs="Arial"/>
        </w:rPr>
      </w:pPr>
      <w:r>
        <w:rPr>
          <w:rFonts w:ascii="Arial" w:hAnsi="Arial" w:cs="Arial"/>
        </w:rPr>
        <w:pict w14:anchorId="1D0FC3FE">
          <v:rect id="_x0000_i1027" style="width:0;height:1.5pt" o:hralign="center" o:hrstd="t" o:hr="t" fillcolor="#a0a0a0" stroked="f"/>
        </w:pict>
      </w:r>
    </w:p>
    <w:p w14:paraId="5265D2D8" w14:textId="77777777" w:rsidR="009611A2" w:rsidRPr="00FD45E7" w:rsidRDefault="009611A2" w:rsidP="009611A2">
      <w:pPr>
        <w:rPr>
          <w:rFonts w:ascii="Arial" w:hAnsi="Arial" w:cs="Arial"/>
          <w:b/>
          <w:bCs/>
          <w:color w:val="C00000"/>
        </w:rPr>
      </w:pPr>
      <w:r w:rsidRPr="00FD45E7">
        <w:rPr>
          <w:rFonts w:ascii="Arial" w:hAnsi="Arial" w:cs="Arial"/>
          <w:b/>
          <w:bCs/>
          <w:color w:val="C00000"/>
        </w:rPr>
        <w:t>9. Risks and Mitigation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9"/>
        <w:gridCol w:w="2559"/>
        <w:gridCol w:w="4188"/>
      </w:tblGrid>
      <w:tr w:rsidR="009611A2" w:rsidRPr="00FD45E7" w14:paraId="7DB3FC11" w14:textId="77777777">
        <w:trPr>
          <w:tblHeader/>
          <w:tblCellSpacing w:w="15" w:type="dxa"/>
        </w:trPr>
        <w:tc>
          <w:tcPr>
            <w:tcW w:w="0" w:type="auto"/>
            <w:vAlign w:val="center"/>
            <w:hideMark/>
          </w:tcPr>
          <w:p w14:paraId="275691C8" w14:textId="77777777" w:rsidR="009611A2" w:rsidRPr="00FD45E7" w:rsidRDefault="009611A2" w:rsidP="009611A2">
            <w:pPr>
              <w:rPr>
                <w:rFonts w:ascii="Arial" w:hAnsi="Arial" w:cs="Arial"/>
                <w:b/>
                <w:bCs/>
              </w:rPr>
            </w:pPr>
            <w:r w:rsidRPr="00FD45E7">
              <w:rPr>
                <w:rFonts w:ascii="Arial" w:hAnsi="Arial" w:cs="Arial"/>
                <w:b/>
                <w:bCs/>
              </w:rPr>
              <w:t>Risk</w:t>
            </w:r>
          </w:p>
        </w:tc>
        <w:tc>
          <w:tcPr>
            <w:tcW w:w="0" w:type="auto"/>
            <w:vAlign w:val="center"/>
            <w:hideMark/>
          </w:tcPr>
          <w:p w14:paraId="3F2377A1" w14:textId="77777777" w:rsidR="009611A2" w:rsidRPr="00FD45E7" w:rsidRDefault="009611A2" w:rsidP="009611A2">
            <w:pPr>
              <w:rPr>
                <w:rFonts w:ascii="Arial" w:hAnsi="Arial" w:cs="Arial"/>
                <w:b/>
                <w:bCs/>
              </w:rPr>
            </w:pPr>
            <w:r w:rsidRPr="00FD45E7">
              <w:rPr>
                <w:rFonts w:ascii="Arial" w:hAnsi="Arial" w:cs="Arial"/>
                <w:b/>
                <w:bCs/>
              </w:rPr>
              <w:t>Impact</w:t>
            </w:r>
          </w:p>
        </w:tc>
        <w:tc>
          <w:tcPr>
            <w:tcW w:w="0" w:type="auto"/>
            <w:vAlign w:val="center"/>
            <w:hideMark/>
          </w:tcPr>
          <w:p w14:paraId="4EB12A63" w14:textId="77777777" w:rsidR="009611A2" w:rsidRPr="00FD45E7" w:rsidRDefault="009611A2" w:rsidP="009611A2">
            <w:pPr>
              <w:rPr>
                <w:rFonts w:ascii="Arial" w:hAnsi="Arial" w:cs="Arial"/>
                <w:b/>
                <w:bCs/>
              </w:rPr>
            </w:pPr>
            <w:r w:rsidRPr="00FD45E7">
              <w:rPr>
                <w:rFonts w:ascii="Arial" w:hAnsi="Arial" w:cs="Arial"/>
                <w:b/>
                <w:bCs/>
              </w:rPr>
              <w:t>Mitigation Strategy</w:t>
            </w:r>
          </w:p>
        </w:tc>
      </w:tr>
      <w:tr w:rsidR="009611A2" w:rsidRPr="00FD45E7" w14:paraId="11A32532" w14:textId="77777777">
        <w:trPr>
          <w:tblCellSpacing w:w="15" w:type="dxa"/>
        </w:trPr>
        <w:tc>
          <w:tcPr>
            <w:tcW w:w="0" w:type="auto"/>
            <w:vAlign w:val="center"/>
            <w:hideMark/>
          </w:tcPr>
          <w:p w14:paraId="7CDA0BC9" w14:textId="77777777" w:rsidR="009611A2" w:rsidRPr="00FD45E7" w:rsidRDefault="009611A2" w:rsidP="009611A2">
            <w:pPr>
              <w:rPr>
                <w:rFonts w:ascii="Arial" w:hAnsi="Arial" w:cs="Arial"/>
              </w:rPr>
            </w:pPr>
            <w:r w:rsidRPr="00FD45E7">
              <w:rPr>
                <w:rFonts w:ascii="Arial" w:hAnsi="Arial" w:cs="Arial"/>
              </w:rPr>
              <w:t>Workforce resistance</w:t>
            </w:r>
          </w:p>
        </w:tc>
        <w:tc>
          <w:tcPr>
            <w:tcW w:w="0" w:type="auto"/>
            <w:vAlign w:val="center"/>
            <w:hideMark/>
          </w:tcPr>
          <w:p w14:paraId="540328B6" w14:textId="77777777" w:rsidR="009611A2" w:rsidRPr="00FD45E7" w:rsidRDefault="009611A2" w:rsidP="009611A2">
            <w:pPr>
              <w:rPr>
                <w:rFonts w:ascii="Arial" w:hAnsi="Arial" w:cs="Arial"/>
              </w:rPr>
            </w:pPr>
            <w:r w:rsidRPr="00FD45E7">
              <w:rPr>
                <w:rFonts w:ascii="Arial" w:hAnsi="Arial" w:cs="Arial"/>
              </w:rPr>
              <w:t>Delays or low morale</w:t>
            </w:r>
          </w:p>
        </w:tc>
        <w:tc>
          <w:tcPr>
            <w:tcW w:w="0" w:type="auto"/>
            <w:vAlign w:val="center"/>
            <w:hideMark/>
          </w:tcPr>
          <w:p w14:paraId="183DB05A" w14:textId="77777777" w:rsidR="009611A2" w:rsidRPr="00FD45E7" w:rsidRDefault="009611A2" w:rsidP="009611A2">
            <w:pPr>
              <w:rPr>
                <w:rFonts w:ascii="Arial" w:hAnsi="Arial" w:cs="Arial"/>
              </w:rPr>
            </w:pPr>
            <w:r w:rsidRPr="00FD45E7">
              <w:rPr>
                <w:rFonts w:ascii="Arial" w:hAnsi="Arial" w:cs="Arial"/>
              </w:rPr>
              <w:t>Early communication and reassurance</w:t>
            </w:r>
          </w:p>
        </w:tc>
      </w:tr>
      <w:tr w:rsidR="009611A2" w:rsidRPr="00FD45E7" w14:paraId="200BA458" w14:textId="77777777">
        <w:trPr>
          <w:tblCellSpacing w:w="15" w:type="dxa"/>
        </w:trPr>
        <w:tc>
          <w:tcPr>
            <w:tcW w:w="0" w:type="auto"/>
            <w:vAlign w:val="center"/>
            <w:hideMark/>
          </w:tcPr>
          <w:p w14:paraId="3AD6A0FE" w14:textId="77777777" w:rsidR="009611A2" w:rsidRPr="00FD45E7" w:rsidRDefault="009611A2" w:rsidP="009611A2">
            <w:pPr>
              <w:rPr>
                <w:rFonts w:ascii="Arial" w:hAnsi="Arial" w:cs="Arial"/>
              </w:rPr>
            </w:pPr>
            <w:r w:rsidRPr="00FD45E7">
              <w:rPr>
                <w:rFonts w:ascii="Arial" w:hAnsi="Arial" w:cs="Arial"/>
              </w:rPr>
              <w:t>Cultural differences</w:t>
            </w:r>
          </w:p>
        </w:tc>
        <w:tc>
          <w:tcPr>
            <w:tcW w:w="0" w:type="auto"/>
            <w:vAlign w:val="center"/>
            <w:hideMark/>
          </w:tcPr>
          <w:p w14:paraId="56EB0218" w14:textId="77777777" w:rsidR="009611A2" w:rsidRPr="00FD45E7" w:rsidRDefault="009611A2" w:rsidP="009611A2">
            <w:pPr>
              <w:rPr>
                <w:rFonts w:ascii="Arial" w:hAnsi="Arial" w:cs="Arial"/>
              </w:rPr>
            </w:pPr>
            <w:r w:rsidRPr="00FD45E7">
              <w:rPr>
                <w:rFonts w:ascii="Arial" w:hAnsi="Arial" w:cs="Arial"/>
              </w:rPr>
              <w:t>Misunderstanding, conflict</w:t>
            </w:r>
          </w:p>
        </w:tc>
        <w:tc>
          <w:tcPr>
            <w:tcW w:w="0" w:type="auto"/>
            <w:vAlign w:val="center"/>
            <w:hideMark/>
          </w:tcPr>
          <w:p w14:paraId="10BC3A0C" w14:textId="77777777" w:rsidR="009611A2" w:rsidRPr="00FD45E7" w:rsidRDefault="009611A2" w:rsidP="009611A2">
            <w:pPr>
              <w:rPr>
                <w:rFonts w:ascii="Arial" w:hAnsi="Arial" w:cs="Arial"/>
              </w:rPr>
            </w:pPr>
            <w:r w:rsidRPr="00FD45E7">
              <w:rPr>
                <w:rFonts w:ascii="Arial" w:hAnsi="Arial" w:cs="Arial"/>
              </w:rPr>
              <w:t>Cultural workshops and mixed teams</w:t>
            </w:r>
          </w:p>
        </w:tc>
      </w:tr>
      <w:tr w:rsidR="009611A2" w:rsidRPr="00FD45E7" w14:paraId="0C6344A1" w14:textId="77777777">
        <w:trPr>
          <w:tblCellSpacing w:w="15" w:type="dxa"/>
        </w:trPr>
        <w:tc>
          <w:tcPr>
            <w:tcW w:w="0" w:type="auto"/>
            <w:vAlign w:val="center"/>
            <w:hideMark/>
          </w:tcPr>
          <w:p w14:paraId="79AC9078" w14:textId="77777777" w:rsidR="009611A2" w:rsidRPr="00FD45E7" w:rsidRDefault="009611A2" w:rsidP="009611A2">
            <w:pPr>
              <w:rPr>
                <w:rFonts w:ascii="Arial" w:hAnsi="Arial" w:cs="Arial"/>
              </w:rPr>
            </w:pPr>
            <w:r w:rsidRPr="00FD45E7">
              <w:rPr>
                <w:rFonts w:ascii="Arial" w:hAnsi="Arial" w:cs="Arial"/>
              </w:rPr>
              <w:t>System integration issues</w:t>
            </w:r>
          </w:p>
        </w:tc>
        <w:tc>
          <w:tcPr>
            <w:tcW w:w="0" w:type="auto"/>
            <w:vAlign w:val="center"/>
            <w:hideMark/>
          </w:tcPr>
          <w:p w14:paraId="6C2F36E4" w14:textId="77777777" w:rsidR="009611A2" w:rsidRPr="00FD45E7" w:rsidRDefault="009611A2" w:rsidP="009611A2">
            <w:pPr>
              <w:rPr>
                <w:rFonts w:ascii="Arial" w:hAnsi="Arial" w:cs="Arial"/>
              </w:rPr>
            </w:pPr>
            <w:r w:rsidRPr="00FD45E7">
              <w:rPr>
                <w:rFonts w:ascii="Arial" w:hAnsi="Arial" w:cs="Arial"/>
              </w:rPr>
              <w:t>Operational downtime</w:t>
            </w:r>
          </w:p>
        </w:tc>
        <w:tc>
          <w:tcPr>
            <w:tcW w:w="0" w:type="auto"/>
            <w:vAlign w:val="center"/>
            <w:hideMark/>
          </w:tcPr>
          <w:p w14:paraId="6A59A6DC" w14:textId="77777777" w:rsidR="009611A2" w:rsidRPr="00FD45E7" w:rsidRDefault="009611A2" w:rsidP="009611A2">
            <w:pPr>
              <w:rPr>
                <w:rFonts w:ascii="Arial" w:hAnsi="Arial" w:cs="Arial"/>
              </w:rPr>
            </w:pPr>
            <w:r w:rsidRPr="00FD45E7">
              <w:rPr>
                <w:rFonts w:ascii="Arial" w:hAnsi="Arial" w:cs="Arial"/>
              </w:rPr>
              <w:t>Phased rollout and testing</w:t>
            </w:r>
          </w:p>
        </w:tc>
      </w:tr>
      <w:tr w:rsidR="009611A2" w:rsidRPr="00FD45E7" w14:paraId="7E069B70" w14:textId="77777777">
        <w:trPr>
          <w:tblCellSpacing w:w="15" w:type="dxa"/>
        </w:trPr>
        <w:tc>
          <w:tcPr>
            <w:tcW w:w="0" w:type="auto"/>
            <w:vAlign w:val="center"/>
            <w:hideMark/>
          </w:tcPr>
          <w:p w14:paraId="574C8DE2" w14:textId="77777777" w:rsidR="009611A2" w:rsidRPr="00FD45E7" w:rsidRDefault="009611A2" w:rsidP="009611A2">
            <w:pPr>
              <w:rPr>
                <w:rFonts w:ascii="Arial" w:hAnsi="Arial" w:cs="Arial"/>
              </w:rPr>
            </w:pPr>
            <w:r w:rsidRPr="00FD45E7">
              <w:rPr>
                <w:rFonts w:ascii="Arial" w:hAnsi="Arial" w:cs="Arial"/>
              </w:rPr>
              <w:t>Loss of key staff</w:t>
            </w:r>
          </w:p>
        </w:tc>
        <w:tc>
          <w:tcPr>
            <w:tcW w:w="0" w:type="auto"/>
            <w:vAlign w:val="center"/>
            <w:hideMark/>
          </w:tcPr>
          <w:p w14:paraId="2EEBF630" w14:textId="77777777" w:rsidR="009611A2" w:rsidRPr="00FD45E7" w:rsidRDefault="009611A2" w:rsidP="009611A2">
            <w:pPr>
              <w:rPr>
                <w:rFonts w:ascii="Arial" w:hAnsi="Arial" w:cs="Arial"/>
              </w:rPr>
            </w:pPr>
            <w:r w:rsidRPr="00FD45E7">
              <w:rPr>
                <w:rFonts w:ascii="Arial" w:hAnsi="Arial" w:cs="Arial"/>
              </w:rPr>
              <w:t>Reduced performance</w:t>
            </w:r>
          </w:p>
        </w:tc>
        <w:tc>
          <w:tcPr>
            <w:tcW w:w="0" w:type="auto"/>
            <w:vAlign w:val="center"/>
            <w:hideMark/>
          </w:tcPr>
          <w:p w14:paraId="2D50562C" w14:textId="77777777" w:rsidR="009611A2" w:rsidRPr="00FD45E7" w:rsidRDefault="009611A2" w:rsidP="009611A2">
            <w:pPr>
              <w:rPr>
                <w:rFonts w:ascii="Arial" w:hAnsi="Arial" w:cs="Arial"/>
              </w:rPr>
            </w:pPr>
            <w:r w:rsidRPr="00FD45E7">
              <w:rPr>
                <w:rFonts w:ascii="Arial" w:hAnsi="Arial" w:cs="Arial"/>
              </w:rPr>
              <w:t>Retention bonuses and career development</w:t>
            </w:r>
          </w:p>
        </w:tc>
      </w:tr>
      <w:tr w:rsidR="009611A2" w:rsidRPr="00FD45E7" w14:paraId="320FBE60" w14:textId="77777777">
        <w:trPr>
          <w:tblCellSpacing w:w="15" w:type="dxa"/>
        </w:trPr>
        <w:tc>
          <w:tcPr>
            <w:tcW w:w="0" w:type="auto"/>
            <w:vAlign w:val="center"/>
            <w:hideMark/>
          </w:tcPr>
          <w:p w14:paraId="5E862680" w14:textId="77777777" w:rsidR="009611A2" w:rsidRPr="00FD45E7" w:rsidRDefault="009611A2" w:rsidP="009611A2">
            <w:pPr>
              <w:rPr>
                <w:rFonts w:ascii="Arial" w:hAnsi="Arial" w:cs="Arial"/>
              </w:rPr>
            </w:pPr>
            <w:r w:rsidRPr="00FD45E7">
              <w:rPr>
                <w:rFonts w:ascii="Arial" w:hAnsi="Arial" w:cs="Arial"/>
              </w:rPr>
              <w:t>Negative media coverage</w:t>
            </w:r>
          </w:p>
        </w:tc>
        <w:tc>
          <w:tcPr>
            <w:tcW w:w="0" w:type="auto"/>
            <w:vAlign w:val="center"/>
            <w:hideMark/>
          </w:tcPr>
          <w:p w14:paraId="5B7FDE6E" w14:textId="77777777" w:rsidR="009611A2" w:rsidRPr="00FD45E7" w:rsidRDefault="009611A2" w:rsidP="009611A2">
            <w:pPr>
              <w:rPr>
                <w:rFonts w:ascii="Arial" w:hAnsi="Arial" w:cs="Arial"/>
              </w:rPr>
            </w:pPr>
            <w:r w:rsidRPr="00FD45E7">
              <w:rPr>
                <w:rFonts w:ascii="Arial" w:hAnsi="Arial" w:cs="Arial"/>
              </w:rPr>
              <w:t>Damage to reputation</w:t>
            </w:r>
          </w:p>
        </w:tc>
        <w:tc>
          <w:tcPr>
            <w:tcW w:w="0" w:type="auto"/>
            <w:vAlign w:val="center"/>
            <w:hideMark/>
          </w:tcPr>
          <w:p w14:paraId="53850B4F" w14:textId="77777777" w:rsidR="009611A2" w:rsidRPr="00FD45E7" w:rsidRDefault="009611A2" w:rsidP="009611A2">
            <w:pPr>
              <w:rPr>
                <w:rFonts w:ascii="Arial" w:hAnsi="Arial" w:cs="Arial"/>
              </w:rPr>
            </w:pPr>
            <w:r w:rsidRPr="00FD45E7">
              <w:rPr>
                <w:rFonts w:ascii="Arial" w:hAnsi="Arial" w:cs="Arial"/>
              </w:rPr>
              <w:t>Transparent communication with public and unions</w:t>
            </w:r>
          </w:p>
        </w:tc>
      </w:tr>
    </w:tbl>
    <w:p w14:paraId="21073933" w14:textId="77777777" w:rsidR="009611A2" w:rsidRPr="00FD45E7" w:rsidRDefault="00000000" w:rsidP="009611A2">
      <w:pPr>
        <w:rPr>
          <w:rFonts w:ascii="Arial" w:hAnsi="Arial" w:cs="Arial"/>
        </w:rPr>
      </w:pPr>
      <w:r>
        <w:rPr>
          <w:rFonts w:ascii="Arial" w:hAnsi="Arial" w:cs="Arial"/>
        </w:rPr>
        <w:pict w14:anchorId="00DE9C54">
          <v:rect id="_x0000_i1028" style="width:0;height:1.5pt" o:hralign="center" o:hrstd="t" o:hr="t" fillcolor="#a0a0a0" stroked="f"/>
        </w:pict>
      </w:r>
    </w:p>
    <w:p w14:paraId="4708E94D" w14:textId="77777777" w:rsidR="000A65F5" w:rsidRDefault="000A65F5" w:rsidP="000A65F5">
      <w:pPr>
        <w:rPr>
          <w:rFonts w:ascii="Arial" w:hAnsi="Arial" w:cs="Arial"/>
          <w:b/>
          <w:bCs/>
        </w:rPr>
      </w:pPr>
    </w:p>
    <w:p w14:paraId="450E0A98" w14:textId="77777777" w:rsidR="000A65F5" w:rsidRDefault="000A65F5" w:rsidP="000A65F5">
      <w:pPr>
        <w:rPr>
          <w:rFonts w:ascii="Arial" w:hAnsi="Arial" w:cs="Arial"/>
          <w:b/>
          <w:bCs/>
        </w:rPr>
      </w:pPr>
    </w:p>
    <w:p w14:paraId="0E657993" w14:textId="77777777" w:rsidR="000A65F5" w:rsidRDefault="000A65F5" w:rsidP="000A65F5">
      <w:pPr>
        <w:rPr>
          <w:rFonts w:ascii="Arial" w:hAnsi="Arial" w:cs="Arial"/>
          <w:b/>
          <w:bCs/>
        </w:rPr>
      </w:pPr>
    </w:p>
    <w:p w14:paraId="37F27913" w14:textId="348C88B6" w:rsidR="000A65F5" w:rsidRPr="000A65F5" w:rsidRDefault="000A65F5" w:rsidP="000A65F5">
      <w:pPr>
        <w:rPr>
          <w:rFonts w:ascii="Arial" w:hAnsi="Arial" w:cs="Arial"/>
          <w:b/>
          <w:bCs/>
        </w:rPr>
      </w:pPr>
      <w:r w:rsidRPr="000A65F5">
        <w:rPr>
          <w:rFonts w:ascii="Arial" w:hAnsi="Arial" w:cs="Arial"/>
          <w:b/>
          <w:bCs/>
        </w:rPr>
        <w:t>Potential Timeline &amp; Steps for Full Integration</w:t>
      </w:r>
    </w:p>
    <w:p w14:paraId="6C1BA0D8" w14:textId="77777777" w:rsidR="000A65F5" w:rsidRPr="000A65F5" w:rsidRDefault="000A65F5" w:rsidP="000A65F5">
      <w:pPr>
        <w:numPr>
          <w:ilvl w:val="0"/>
          <w:numId w:val="19"/>
        </w:numPr>
        <w:rPr>
          <w:rFonts w:ascii="Arial" w:hAnsi="Arial" w:cs="Arial"/>
        </w:rPr>
      </w:pPr>
      <w:r w:rsidRPr="000A65F5">
        <w:rPr>
          <w:rFonts w:ascii="Arial" w:hAnsi="Arial" w:cs="Arial"/>
          <w:b/>
          <w:bCs/>
        </w:rPr>
        <w:t>Pre-Integration Planning (Before / Immediately After Acquisition) — ~3–6 months</w:t>
      </w:r>
    </w:p>
    <w:p w14:paraId="7AF68197" w14:textId="77777777" w:rsidR="000A65F5" w:rsidRPr="000A65F5" w:rsidRDefault="000A65F5" w:rsidP="000A65F5">
      <w:pPr>
        <w:numPr>
          <w:ilvl w:val="1"/>
          <w:numId w:val="19"/>
        </w:numPr>
        <w:rPr>
          <w:rFonts w:ascii="Arial" w:hAnsi="Arial" w:cs="Arial"/>
        </w:rPr>
      </w:pPr>
      <w:r w:rsidRPr="000A65F5">
        <w:rPr>
          <w:rFonts w:ascii="Arial" w:hAnsi="Arial" w:cs="Arial"/>
        </w:rPr>
        <w:t xml:space="preserve">Set up an </w:t>
      </w:r>
      <w:r w:rsidRPr="000A65F5">
        <w:rPr>
          <w:rFonts w:ascii="Arial" w:hAnsi="Arial" w:cs="Arial"/>
          <w:b/>
          <w:bCs/>
        </w:rPr>
        <w:t>Integration Management Office (IMO)</w:t>
      </w:r>
      <w:r w:rsidRPr="000A65F5">
        <w:rPr>
          <w:rFonts w:ascii="Arial" w:hAnsi="Arial" w:cs="Arial"/>
        </w:rPr>
        <w:t xml:space="preserve"> / team responsible for coordination. </w:t>
      </w:r>
      <w:hyperlink r:id="rId5" w:tgtFrame="_blank" w:history="1">
        <w:r w:rsidRPr="000A65F5">
          <w:rPr>
            <w:rStyle w:val="Hyperlink"/>
            <w:rFonts w:ascii="Arial" w:hAnsi="Arial" w:cs="Arial"/>
          </w:rPr>
          <w:t>datarooms+2Forrest Advisors+2</w:t>
        </w:r>
      </w:hyperlink>
    </w:p>
    <w:p w14:paraId="5DD67943" w14:textId="77777777" w:rsidR="000A65F5" w:rsidRPr="000A65F5" w:rsidRDefault="000A65F5" w:rsidP="000A65F5">
      <w:pPr>
        <w:numPr>
          <w:ilvl w:val="1"/>
          <w:numId w:val="19"/>
        </w:numPr>
        <w:rPr>
          <w:rFonts w:ascii="Arial" w:hAnsi="Arial" w:cs="Arial"/>
        </w:rPr>
      </w:pPr>
      <w:r w:rsidRPr="000A65F5">
        <w:rPr>
          <w:rFonts w:ascii="Arial" w:hAnsi="Arial" w:cs="Arial"/>
        </w:rPr>
        <w:t xml:space="preserve">Define governance, roles, and responsibilities. </w:t>
      </w:r>
      <w:hyperlink r:id="rId6" w:tgtFrame="_blank" w:history="1">
        <w:proofErr w:type="spellStart"/>
        <w:r w:rsidRPr="000A65F5">
          <w:rPr>
            <w:rStyle w:val="Hyperlink"/>
            <w:rFonts w:ascii="Arial" w:hAnsi="Arial" w:cs="Arial"/>
          </w:rPr>
          <w:t>datarooms</w:t>
        </w:r>
        <w:proofErr w:type="spellEnd"/>
      </w:hyperlink>
    </w:p>
    <w:p w14:paraId="07F6DF7A" w14:textId="77777777" w:rsidR="000A65F5" w:rsidRPr="000A65F5" w:rsidRDefault="000A65F5" w:rsidP="000A65F5">
      <w:pPr>
        <w:numPr>
          <w:ilvl w:val="1"/>
          <w:numId w:val="19"/>
        </w:numPr>
        <w:rPr>
          <w:rFonts w:ascii="Arial" w:hAnsi="Arial" w:cs="Arial"/>
        </w:rPr>
      </w:pPr>
      <w:r w:rsidRPr="000A65F5">
        <w:rPr>
          <w:rFonts w:ascii="Arial" w:hAnsi="Arial" w:cs="Arial"/>
        </w:rPr>
        <w:t xml:space="preserve">Draw up a detailed </w:t>
      </w:r>
      <w:r w:rsidRPr="000A65F5">
        <w:rPr>
          <w:rFonts w:ascii="Arial" w:hAnsi="Arial" w:cs="Arial"/>
          <w:b/>
          <w:bCs/>
        </w:rPr>
        <w:t>integration plan</w:t>
      </w:r>
      <w:r w:rsidRPr="000A65F5">
        <w:rPr>
          <w:rFonts w:ascii="Arial" w:hAnsi="Arial" w:cs="Arial"/>
        </w:rPr>
        <w:t xml:space="preserve">: tasks, milestones, dependencies, KPIs. </w:t>
      </w:r>
      <w:hyperlink r:id="rId7" w:tgtFrame="_blank" w:history="1">
        <w:r w:rsidRPr="000A65F5">
          <w:rPr>
            <w:rStyle w:val="Hyperlink"/>
            <w:rFonts w:ascii="Arial" w:hAnsi="Arial" w:cs="Arial"/>
          </w:rPr>
          <w:t>Forrest Advisors+1</w:t>
        </w:r>
      </w:hyperlink>
    </w:p>
    <w:p w14:paraId="24E80085" w14:textId="77777777" w:rsidR="000A65F5" w:rsidRPr="000A65F5" w:rsidRDefault="000A65F5" w:rsidP="000A65F5">
      <w:pPr>
        <w:numPr>
          <w:ilvl w:val="1"/>
          <w:numId w:val="19"/>
        </w:numPr>
        <w:rPr>
          <w:rFonts w:ascii="Arial" w:hAnsi="Arial" w:cs="Arial"/>
        </w:rPr>
      </w:pPr>
      <w:r w:rsidRPr="000A65F5">
        <w:rPr>
          <w:rFonts w:ascii="Arial" w:hAnsi="Arial" w:cs="Arial"/>
        </w:rPr>
        <w:lastRenderedPageBreak/>
        <w:t>Begin “Day-1 readiness” planning (how to operate on the first day after legal close).</w:t>
      </w:r>
    </w:p>
    <w:p w14:paraId="7368C6CE" w14:textId="77777777" w:rsidR="000A65F5" w:rsidRPr="000A65F5" w:rsidRDefault="000A65F5" w:rsidP="000A65F5">
      <w:pPr>
        <w:numPr>
          <w:ilvl w:val="0"/>
          <w:numId w:val="19"/>
        </w:numPr>
        <w:rPr>
          <w:rFonts w:ascii="Arial" w:hAnsi="Arial" w:cs="Arial"/>
        </w:rPr>
      </w:pPr>
      <w:r w:rsidRPr="000A65F5">
        <w:rPr>
          <w:rFonts w:ascii="Arial" w:hAnsi="Arial" w:cs="Arial"/>
          <w:b/>
          <w:bCs/>
        </w:rPr>
        <w:t>Regulatory / Legal Phase — Variable (already partly done)</w:t>
      </w:r>
    </w:p>
    <w:p w14:paraId="159FBA89" w14:textId="77777777" w:rsidR="000A65F5" w:rsidRPr="000A65F5" w:rsidRDefault="000A65F5" w:rsidP="000A65F5">
      <w:pPr>
        <w:numPr>
          <w:ilvl w:val="1"/>
          <w:numId w:val="19"/>
        </w:numPr>
        <w:rPr>
          <w:rFonts w:ascii="Arial" w:hAnsi="Arial" w:cs="Arial"/>
        </w:rPr>
      </w:pPr>
      <w:r w:rsidRPr="000A65F5">
        <w:rPr>
          <w:rFonts w:ascii="Arial" w:hAnsi="Arial" w:cs="Arial"/>
        </w:rPr>
        <w:t xml:space="preserve">In GXO-Wincanton’s case, regulatory review was significant: CMA investigation, hearings, remedy proposals. </w:t>
      </w:r>
      <w:hyperlink r:id="rId8" w:tgtFrame="_blank" w:history="1">
        <w:r w:rsidRPr="000A65F5">
          <w:rPr>
            <w:rStyle w:val="Hyperlink"/>
            <w:rFonts w:ascii="Arial" w:hAnsi="Arial" w:cs="Arial"/>
          </w:rPr>
          <w:t>GOV.UK+2GOV.UK+2</w:t>
        </w:r>
      </w:hyperlink>
    </w:p>
    <w:p w14:paraId="2BC3CA40" w14:textId="77777777" w:rsidR="000A65F5" w:rsidRPr="000A65F5" w:rsidRDefault="000A65F5" w:rsidP="000A65F5">
      <w:pPr>
        <w:numPr>
          <w:ilvl w:val="1"/>
          <w:numId w:val="19"/>
        </w:numPr>
        <w:rPr>
          <w:rFonts w:ascii="Arial" w:hAnsi="Arial" w:cs="Arial"/>
        </w:rPr>
      </w:pPr>
      <w:r w:rsidRPr="000A65F5">
        <w:rPr>
          <w:rFonts w:ascii="Arial" w:hAnsi="Arial" w:cs="Arial"/>
        </w:rPr>
        <w:t xml:space="preserve">Once approval is given, finalise legal and financial closing steps. (For them, the CMA clearance came with conditions.) </w:t>
      </w:r>
      <w:hyperlink r:id="rId9" w:tgtFrame="_blank" w:history="1">
        <w:r w:rsidRPr="000A65F5">
          <w:rPr>
            <w:rStyle w:val="Hyperlink"/>
            <w:rFonts w:ascii="Arial" w:hAnsi="Arial" w:cs="Arial"/>
          </w:rPr>
          <w:t>gxo.com</w:t>
        </w:r>
      </w:hyperlink>
    </w:p>
    <w:p w14:paraId="1132C0BC" w14:textId="77777777" w:rsidR="000A65F5" w:rsidRPr="000A65F5" w:rsidRDefault="000A65F5" w:rsidP="000A65F5">
      <w:pPr>
        <w:numPr>
          <w:ilvl w:val="0"/>
          <w:numId w:val="19"/>
        </w:numPr>
        <w:rPr>
          <w:rFonts w:ascii="Arial" w:hAnsi="Arial" w:cs="Arial"/>
        </w:rPr>
      </w:pPr>
      <w:r w:rsidRPr="000A65F5">
        <w:rPr>
          <w:rFonts w:ascii="Arial" w:hAnsi="Arial" w:cs="Arial"/>
          <w:b/>
          <w:bCs/>
        </w:rPr>
        <w:t>Initial Integration Execution — First 6–12 Months After Close</w:t>
      </w:r>
    </w:p>
    <w:p w14:paraId="6318AAB6" w14:textId="77777777" w:rsidR="000A65F5" w:rsidRPr="000A65F5" w:rsidRDefault="000A65F5" w:rsidP="000A65F5">
      <w:pPr>
        <w:numPr>
          <w:ilvl w:val="1"/>
          <w:numId w:val="19"/>
        </w:numPr>
        <w:rPr>
          <w:rFonts w:ascii="Arial" w:hAnsi="Arial" w:cs="Arial"/>
        </w:rPr>
      </w:pPr>
      <w:r w:rsidRPr="000A65F5">
        <w:rPr>
          <w:rFonts w:ascii="Arial" w:hAnsi="Arial" w:cs="Arial"/>
        </w:rPr>
        <w:t xml:space="preserve">Integrate </w:t>
      </w:r>
      <w:r w:rsidRPr="000A65F5">
        <w:rPr>
          <w:rFonts w:ascii="Arial" w:hAnsi="Arial" w:cs="Arial"/>
          <w:b/>
          <w:bCs/>
        </w:rPr>
        <w:t>finance, HR, and support functions</w:t>
      </w:r>
      <w:r w:rsidRPr="000A65F5">
        <w:rPr>
          <w:rFonts w:ascii="Arial" w:hAnsi="Arial" w:cs="Arial"/>
        </w:rPr>
        <w:t xml:space="preserve"> first. According to PwC, many companies complete these within a year. </w:t>
      </w:r>
      <w:hyperlink r:id="rId10" w:tgtFrame="_blank" w:history="1">
        <w:r w:rsidRPr="000A65F5">
          <w:rPr>
            <w:rStyle w:val="Hyperlink"/>
            <w:rFonts w:ascii="Arial" w:hAnsi="Arial" w:cs="Arial"/>
          </w:rPr>
          <w:t>PwC</w:t>
        </w:r>
      </w:hyperlink>
    </w:p>
    <w:p w14:paraId="4459EDB8" w14:textId="77777777" w:rsidR="000A65F5" w:rsidRPr="000A65F5" w:rsidRDefault="000A65F5" w:rsidP="000A65F5">
      <w:pPr>
        <w:numPr>
          <w:ilvl w:val="1"/>
          <w:numId w:val="19"/>
        </w:numPr>
        <w:rPr>
          <w:rFonts w:ascii="Arial" w:hAnsi="Arial" w:cs="Arial"/>
        </w:rPr>
      </w:pPr>
      <w:r w:rsidRPr="000A65F5">
        <w:rPr>
          <w:rFonts w:ascii="Arial" w:hAnsi="Arial" w:cs="Arial"/>
        </w:rPr>
        <w:t>Migrate or align financial reporting, payroll, and HR systems.</w:t>
      </w:r>
    </w:p>
    <w:p w14:paraId="4901915F" w14:textId="77777777" w:rsidR="000A65F5" w:rsidRPr="000A65F5" w:rsidRDefault="000A65F5" w:rsidP="000A65F5">
      <w:pPr>
        <w:numPr>
          <w:ilvl w:val="1"/>
          <w:numId w:val="19"/>
        </w:numPr>
        <w:rPr>
          <w:rFonts w:ascii="Arial" w:hAnsi="Arial" w:cs="Arial"/>
        </w:rPr>
      </w:pPr>
      <w:r w:rsidRPr="000A65F5">
        <w:rPr>
          <w:rFonts w:ascii="Arial" w:hAnsi="Arial" w:cs="Arial"/>
        </w:rPr>
        <w:t>Start combining key operational processes (e.g., warehouse management, procurement, IT) in a phased way.</w:t>
      </w:r>
    </w:p>
    <w:p w14:paraId="5C32C812" w14:textId="77777777" w:rsidR="000A65F5" w:rsidRPr="000A65F5" w:rsidRDefault="000A65F5" w:rsidP="000A65F5">
      <w:pPr>
        <w:numPr>
          <w:ilvl w:val="1"/>
          <w:numId w:val="19"/>
        </w:numPr>
        <w:rPr>
          <w:rFonts w:ascii="Arial" w:hAnsi="Arial" w:cs="Arial"/>
        </w:rPr>
      </w:pPr>
      <w:r w:rsidRPr="000A65F5">
        <w:rPr>
          <w:rFonts w:ascii="Arial" w:hAnsi="Arial" w:cs="Arial"/>
        </w:rPr>
        <w:t>Communicate strongly: launch change-management programs, hold town halls, start training.</w:t>
      </w:r>
    </w:p>
    <w:p w14:paraId="23323D39" w14:textId="77777777" w:rsidR="000A65F5" w:rsidRPr="000A65F5" w:rsidRDefault="000A65F5" w:rsidP="000A65F5">
      <w:pPr>
        <w:numPr>
          <w:ilvl w:val="0"/>
          <w:numId w:val="19"/>
        </w:numPr>
        <w:rPr>
          <w:rFonts w:ascii="Arial" w:hAnsi="Arial" w:cs="Arial"/>
        </w:rPr>
      </w:pPr>
      <w:r w:rsidRPr="000A65F5">
        <w:rPr>
          <w:rFonts w:ascii="Arial" w:hAnsi="Arial" w:cs="Arial"/>
          <w:b/>
          <w:bCs/>
        </w:rPr>
        <w:t>Mid-Term Integration — 12 to 24 Months</w:t>
      </w:r>
    </w:p>
    <w:p w14:paraId="59636FA6" w14:textId="77777777" w:rsidR="000A65F5" w:rsidRPr="000A65F5" w:rsidRDefault="000A65F5" w:rsidP="000A65F5">
      <w:pPr>
        <w:numPr>
          <w:ilvl w:val="1"/>
          <w:numId w:val="19"/>
        </w:numPr>
        <w:rPr>
          <w:rFonts w:ascii="Arial" w:hAnsi="Arial" w:cs="Arial"/>
        </w:rPr>
      </w:pPr>
      <w:r w:rsidRPr="000A65F5">
        <w:rPr>
          <w:rFonts w:ascii="Arial" w:hAnsi="Arial" w:cs="Arial"/>
        </w:rPr>
        <w:t xml:space="preserve">Cultural integration: run workshops, </w:t>
      </w:r>
      <w:proofErr w:type="gramStart"/>
      <w:r w:rsidRPr="000A65F5">
        <w:rPr>
          <w:rFonts w:ascii="Arial" w:hAnsi="Arial" w:cs="Arial"/>
        </w:rPr>
        <w:t>team-building</w:t>
      </w:r>
      <w:proofErr w:type="gramEnd"/>
      <w:r w:rsidRPr="000A65F5">
        <w:rPr>
          <w:rFonts w:ascii="Arial" w:hAnsi="Arial" w:cs="Arial"/>
        </w:rPr>
        <w:t>, address differences in management style and values.</w:t>
      </w:r>
    </w:p>
    <w:p w14:paraId="56BF1922" w14:textId="77777777" w:rsidR="000A65F5" w:rsidRPr="000A65F5" w:rsidRDefault="000A65F5" w:rsidP="000A65F5">
      <w:pPr>
        <w:numPr>
          <w:ilvl w:val="1"/>
          <w:numId w:val="19"/>
        </w:numPr>
        <w:rPr>
          <w:rFonts w:ascii="Arial" w:hAnsi="Arial" w:cs="Arial"/>
        </w:rPr>
      </w:pPr>
      <w:r w:rsidRPr="000A65F5">
        <w:rPr>
          <w:rFonts w:ascii="Arial" w:hAnsi="Arial" w:cs="Arial"/>
        </w:rPr>
        <w:t>Deep operational integration: merge IT systems (ERP, warehouse management), fully roll out shared processes.</w:t>
      </w:r>
    </w:p>
    <w:p w14:paraId="7C34016B" w14:textId="77777777" w:rsidR="000A65F5" w:rsidRPr="000A65F5" w:rsidRDefault="000A65F5" w:rsidP="000A65F5">
      <w:pPr>
        <w:numPr>
          <w:ilvl w:val="1"/>
          <w:numId w:val="19"/>
        </w:numPr>
        <w:rPr>
          <w:rFonts w:ascii="Arial" w:hAnsi="Arial" w:cs="Arial"/>
        </w:rPr>
      </w:pPr>
      <w:r w:rsidRPr="000A65F5">
        <w:rPr>
          <w:rFonts w:ascii="Arial" w:hAnsi="Arial" w:cs="Arial"/>
        </w:rPr>
        <w:t>Roll out training programmes so staff become skilled in new systems (robotics, automation, data analytics).</w:t>
      </w:r>
    </w:p>
    <w:p w14:paraId="72275E6E" w14:textId="77777777" w:rsidR="000A65F5" w:rsidRPr="000A65F5" w:rsidRDefault="000A65F5" w:rsidP="000A65F5">
      <w:pPr>
        <w:numPr>
          <w:ilvl w:val="1"/>
          <w:numId w:val="19"/>
        </w:numPr>
        <w:rPr>
          <w:rFonts w:ascii="Arial" w:hAnsi="Arial" w:cs="Arial"/>
        </w:rPr>
      </w:pPr>
      <w:r w:rsidRPr="000A65F5">
        <w:rPr>
          <w:rFonts w:ascii="Arial" w:hAnsi="Arial" w:cs="Arial"/>
        </w:rPr>
        <w:t xml:space="preserve">Begin capturing cost synergies: GXO forecasts full annual cost synergies by the </w:t>
      </w:r>
      <w:r w:rsidRPr="000A65F5">
        <w:rPr>
          <w:rFonts w:ascii="Arial" w:hAnsi="Arial" w:cs="Arial"/>
          <w:b/>
          <w:bCs/>
        </w:rPr>
        <w:t>third year</w:t>
      </w:r>
      <w:r w:rsidRPr="000A65F5">
        <w:rPr>
          <w:rFonts w:ascii="Arial" w:hAnsi="Arial" w:cs="Arial"/>
        </w:rPr>
        <w:t xml:space="preserve">. </w:t>
      </w:r>
      <w:hyperlink r:id="rId11" w:tgtFrame="_blank" w:history="1">
        <w:r w:rsidRPr="000A65F5">
          <w:rPr>
            <w:rStyle w:val="Hyperlink"/>
            <w:rFonts w:ascii="Arial" w:hAnsi="Arial" w:cs="Arial"/>
          </w:rPr>
          <w:t>gxo.com</w:t>
        </w:r>
      </w:hyperlink>
    </w:p>
    <w:p w14:paraId="6B5E85D7" w14:textId="77777777" w:rsidR="000A65F5" w:rsidRPr="000A65F5" w:rsidRDefault="000A65F5" w:rsidP="000A65F5">
      <w:pPr>
        <w:numPr>
          <w:ilvl w:val="0"/>
          <w:numId w:val="19"/>
        </w:numPr>
        <w:rPr>
          <w:rFonts w:ascii="Arial" w:hAnsi="Arial" w:cs="Arial"/>
        </w:rPr>
      </w:pPr>
      <w:r w:rsidRPr="000A65F5">
        <w:rPr>
          <w:rFonts w:ascii="Arial" w:hAnsi="Arial" w:cs="Arial"/>
          <w:b/>
          <w:bCs/>
        </w:rPr>
        <w:t>Synergy Realisation and Stabilisation — 24 to ~36 Months (or more)</w:t>
      </w:r>
    </w:p>
    <w:p w14:paraId="244167E4" w14:textId="77777777" w:rsidR="000A65F5" w:rsidRPr="000A65F5" w:rsidRDefault="000A65F5" w:rsidP="000A65F5">
      <w:pPr>
        <w:numPr>
          <w:ilvl w:val="1"/>
          <w:numId w:val="19"/>
        </w:numPr>
        <w:rPr>
          <w:rFonts w:ascii="Arial" w:hAnsi="Arial" w:cs="Arial"/>
        </w:rPr>
      </w:pPr>
      <w:r w:rsidRPr="000A65F5">
        <w:rPr>
          <w:rFonts w:ascii="Arial" w:hAnsi="Arial" w:cs="Arial"/>
        </w:rPr>
        <w:t xml:space="preserve">Continue to realise the £45m run-rate synergies GXO expects over three years. </w:t>
      </w:r>
      <w:hyperlink r:id="rId12" w:tgtFrame="_blank" w:history="1">
        <w:r w:rsidRPr="000A65F5">
          <w:rPr>
            <w:rStyle w:val="Hyperlink"/>
            <w:rFonts w:ascii="Arial" w:hAnsi="Arial" w:cs="Arial"/>
          </w:rPr>
          <w:t>gxo.com+1</w:t>
        </w:r>
      </w:hyperlink>
    </w:p>
    <w:p w14:paraId="7C3B671F" w14:textId="77777777" w:rsidR="000A65F5" w:rsidRPr="000A65F5" w:rsidRDefault="000A65F5" w:rsidP="000A65F5">
      <w:pPr>
        <w:numPr>
          <w:ilvl w:val="1"/>
          <w:numId w:val="19"/>
        </w:numPr>
        <w:rPr>
          <w:rFonts w:ascii="Arial" w:hAnsi="Arial" w:cs="Arial"/>
        </w:rPr>
      </w:pPr>
      <w:r w:rsidRPr="000A65F5">
        <w:rPr>
          <w:rFonts w:ascii="Arial" w:hAnsi="Arial" w:cs="Arial"/>
        </w:rPr>
        <w:t>Monitor KPIs: cost savings, employee retention, productivity, engagement.</w:t>
      </w:r>
    </w:p>
    <w:p w14:paraId="0DF0138A" w14:textId="77777777" w:rsidR="000A65F5" w:rsidRPr="000A65F5" w:rsidRDefault="000A65F5" w:rsidP="000A65F5">
      <w:pPr>
        <w:numPr>
          <w:ilvl w:val="1"/>
          <w:numId w:val="19"/>
        </w:numPr>
        <w:rPr>
          <w:rFonts w:ascii="Arial" w:hAnsi="Arial" w:cs="Arial"/>
        </w:rPr>
      </w:pPr>
      <w:r w:rsidRPr="000A65F5">
        <w:rPr>
          <w:rFonts w:ascii="Arial" w:hAnsi="Arial" w:cs="Arial"/>
        </w:rPr>
        <w:t>Reinforce “new way of working”: embed new processes into business-as-usual (refreeze).</w:t>
      </w:r>
    </w:p>
    <w:p w14:paraId="4E2A5199" w14:textId="77777777" w:rsidR="000A65F5" w:rsidRPr="000A65F5" w:rsidRDefault="000A65F5" w:rsidP="000A65F5">
      <w:pPr>
        <w:numPr>
          <w:ilvl w:val="1"/>
          <w:numId w:val="19"/>
        </w:numPr>
        <w:rPr>
          <w:rFonts w:ascii="Arial" w:hAnsi="Arial" w:cs="Arial"/>
        </w:rPr>
      </w:pPr>
      <w:r w:rsidRPr="000A65F5">
        <w:rPr>
          <w:rFonts w:ascii="Arial" w:hAnsi="Arial" w:cs="Arial"/>
        </w:rPr>
        <w:t xml:space="preserve">Close out integration </w:t>
      </w:r>
      <w:proofErr w:type="gramStart"/>
      <w:r w:rsidRPr="000A65F5">
        <w:rPr>
          <w:rFonts w:ascii="Arial" w:hAnsi="Arial" w:cs="Arial"/>
        </w:rPr>
        <w:t>projects, and</w:t>
      </w:r>
      <w:proofErr w:type="gramEnd"/>
      <w:r w:rsidRPr="000A65F5">
        <w:rPr>
          <w:rFonts w:ascii="Arial" w:hAnsi="Arial" w:cs="Arial"/>
        </w:rPr>
        <w:t xml:space="preserve"> transition from “integration mode” to “stable operation mode.”</w:t>
      </w:r>
    </w:p>
    <w:p w14:paraId="48894AD3" w14:textId="77777777" w:rsidR="000A65F5" w:rsidRPr="000A65F5" w:rsidRDefault="000A65F5" w:rsidP="000A65F5">
      <w:pPr>
        <w:numPr>
          <w:ilvl w:val="0"/>
          <w:numId w:val="19"/>
        </w:numPr>
        <w:rPr>
          <w:rFonts w:ascii="Arial" w:hAnsi="Arial" w:cs="Arial"/>
        </w:rPr>
      </w:pPr>
      <w:r w:rsidRPr="000A65F5">
        <w:rPr>
          <w:rFonts w:ascii="Arial" w:hAnsi="Arial" w:cs="Arial"/>
          <w:b/>
          <w:bCs/>
        </w:rPr>
        <w:t>Long-Term Review and Cultural Embedding — 3+ Years</w:t>
      </w:r>
    </w:p>
    <w:p w14:paraId="56085E3D" w14:textId="77777777" w:rsidR="000A65F5" w:rsidRPr="000A65F5" w:rsidRDefault="000A65F5" w:rsidP="000A65F5">
      <w:pPr>
        <w:numPr>
          <w:ilvl w:val="1"/>
          <w:numId w:val="19"/>
        </w:numPr>
        <w:rPr>
          <w:rFonts w:ascii="Arial" w:hAnsi="Arial" w:cs="Arial"/>
        </w:rPr>
      </w:pPr>
      <w:r w:rsidRPr="000A65F5">
        <w:rPr>
          <w:rFonts w:ascii="Arial" w:hAnsi="Arial" w:cs="Arial"/>
        </w:rPr>
        <w:lastRenderedPageBreak/>
        <w:t>Evaluate what has worked and what hasn’t.</w:t>
      </w:r>
    </w:p>
    <w:p w14:paraId="1A141EFB" w14:textId="77777777" w:rsidR="000A65F5" w:rsidRPr="000A65F5" w:rsidRDefault="000A65F5" w:rsidP="000A65F5">
      <w:pPr>
        <w:numPr>
          <w:ilvl w:val="1"/>
          <w:numId w:val="19"/>
        </w:numPr>
        <w:rPr>
          <w:rFonts w:ascii="Arial" w:hAnsi="Arial" w:cs="Arial"/>
        </w:rPr>
      </w:pPr>
      <w:r w:rsidRPr="000A65F5">
        <w:rPr>
          <w:rFonts w:ascii="Arial" w:hAnsi="Arial" w:cs="Arial"/>
        </w:rPr>
        <w:t>Continue refining systems, especially IT, culture, and leadership alignment.</w:t>
      </w:r>
    </w:p>
    <w:p w14:paraId="10F54E57" w14:textId="77777777" w:rsidR="000A65F5" w:rsidRPr="000A65F5" w:rsidRDefault="000A65F5" w:rsidP="000A65F5">
      <w:pPr>
        <w:numPr>
          <w:ilvl w:val="1"/>
          <w:numId w:val="19"/>
        </w:numPr>
        <w:rPr>
          <w:rFonts w:ascii="Arial" w:hAnsi="Arial" w:cs="Arial"/>
        </w:rPr>
      </w:pPr>
      <w:r w:rsidRPr="000A65F5">
        <w:rPr>
          <w:rFonts w:ascii="Arial" w:hAnsi="Arial" w:cs="Arial"/>
        </w:rPr>
        <w:t>Consolidate lessons learned; update policies; solidify shared identity.</w:t>
      </w:r>
    </w:p>
    <w:p w14:paraId="2DCB1A33" w14:textId="77777777" w:rsidR="000A65F5" w:rsidRPr="000A65F5" w:rsidRDefault="000A65F5" w:rsidP="000A65F5">
      <w:pPr>
        <w:numPr>
          <w:ilvl w:val="1"/>
          <w:numId w:val="19"/>
        </w:numPr>
        <w:rPr>
          <w:rFonts w:ascii="Arial" w:hAnsi="Arial" w:cs="Arial"/>
        </w:rPr>
      </w:pPr>
      <w:r w:rsidRPr="000A65F5">
        <w:rPr>
          <w:rFonts w:ascii="Arial" w:hAnsi="Arial" w:cs="Arial"/>
        </w:rPr>
        <w:t>Possibly run further integration/optimisation projects (e.g., further automation, scaling up joint operations).</w:t>
      </w:r>
    </w:p>
    <w:p w14:paraId="63B8F203" w14:textId="77777777" w:rsidR="000A65F5" w:rsidRPr="000A65F5" w:rsidRDefault="00000000" w:rsidP="000A65F5">
      <w:pPr>
        <w:rPr>
          <w:rFonts w:ascii="Arial" w:hAnsi="Arial" w:cs="Arial"/>
        </w:rPr>
      </w:pPr>
      <w:r>
        <w:rPr>
          <w:rFonts w:ascii="Arial" w:hAnsi="Arial" w:cs="Arial"/>
        </w:rPr>
        <w:pict w14:anchorId="18917834">
          <v:rect id="_x0000_i1029" style="width:0;height:1.5pt" o:hralign="center" o:hrstd="t" o:hr="t" fillcolor="#a0a0a0" stroked="f"/>
        </w:pict>
      </w:r>
    </w:p>
    <w:p w14:paraId="492954FA" w14:textId="77777777" w:rsidR="000A65F5" w:rsidRPr="000A65F5" w:rsidRDefault="000A65F5" w:rsidP="000A65F5">
      <w:pPr>
        <w:rPr>
          <w:rFonts w:ascii="Arial" w:hAnsi="Arial" w:cs="Arial"/>
          <w:b/>
          <w:bCs/>
        </w:rPr>
      </w:pPr>
      <w:r w:rsidRPr="000A65F5">
        <w:rPr>
          <w:rFonts w:ascii="Arial" w:hAnsi="Arial" w:cs="Arial"/>
          <w:b/>
          <w:bCs/>
        </w:rPr>
        <w:t>Why It Could Take This Long</w:t>
      </w:r>
    </w:p>
    <w:p w14:paraId="51ADC646" w14:textId="77777777" w:rsidR="000A65F5" w:rsidRPr="000A65F5" w:rsidRDefault="000A65F5" w:rsidP="000A65F5">
      <w:pPr>
        <w:numPr>
          <w:ilvl w:val="0"/>
          <w:numId w:val="20"/>
        </w:numPr>
        <w:rPr>
          <w:rFonts w:ascii="Arial" w:hAnsi="Arial" w:cs="Arial"/>
        </w:rPr>
      </w:pPr>
      <w:r w:rsidRPr="000A65F5">
        <w:rPr>
          <w:rFonts w:ascii="Arial" w:hAnsi="Arial" w:cs="Arial"/>
          <w:b/>
          <w:bCs/>
        </w:rPr>
        <w:t>Complexity &amp; Scale</w:t>
      </w:r>
      <w:r w:rsidRPr="000A65F5">
        <w:rPr>
          <w:rFonts w:ascii="Arial" w:hAnsi="Arial" w:cs="Arial"/>
        </w:rPr>
        <w:t>: Merging two large logistics firms (with many warehouses, staff, IT systems) is complicated.</w:t>
      </w:r>
    </w:p>
    <w:p w14:paraId="129C41E6" w14:textId="77777777" w:rsidR="000A65F5" w:rsidRPr="000A65F5" w:rsidRDefault="000A65F5" w:rsidP="000A65F5">
      <w:pPr>
        <w:numPr>
          <w:ilvl w:val="0"/>
          <w:numId w:val="20"/>
        </w:numPr>
        <w:rPr>
          <w:rFonts w:ascii="Arial" w:hAnsi="Arial" w:cs="Arial"/>
        </w:rPr>
      </w:pPr>
      <w:r w:rsidRPr="000A65F5">
        <w:rPr>
          <w:rFonts w:ascii="Arial" w:hAnsi="Arial" w:cs="Arial"/>
          <w:b/>
          <w:bCs/>
        </w:rPr>
        <w:t>Technology Integration</w:t>
      </w:r>
      <w:r w:rsidRPr="000A65F5">
        <w:rPr>
          <w:rFonts w:ascii="Arial" w:hAnsi="Arial" w:cs="Arial"/>
        </w:rPr>
        <w:t>: Aligning different systems, especially in logistics (warehouse management, robotics, data), takes time.</w:t>
      </w:r>
    </w:p>
    <w:p w14:paraId="0F98DF90" w14:textId="77777777" w:rsidR="000A65F5" w:rsidRPr="000A65F5" w:rsidRDefault="000A65F5" w:rsidP="000A65F5">
      <w:pPr>
        <w:numPr>
          <w:ilvl w:val="0"/>
          <w:numId w:val="20"/>
        </w:numPr>
        <w:rPr>
          <w:rFonts w:ascii="Arial" w:hAnsi="Arial" w:cs="Arial"/>
        </w:rPr>
      </w:pPr>
      <w:r w:rsidRPr="000A65F5">
        <w:rPr>
          <w:rFonts w:ascii="Arial" w:hAnsi="Arial" w:cs="Arial"/>
          <w:b/>
          <w:bCs/>
        </w:rPr>
        <w:t>Cultural Differences</w:t>
      </w:r>
      <w:r w:rsidRPr="000A65F5">
        <w:rPr>
          <w:rFonts w:ascii="Arial" w:hAnsi="Arial" w:cs="Arial"/>
        </w:rPr>
        <w:t>: Integrating Wincanton’s “people-</w:t>
      </w:r>
      <w:proofErr w:type="spellStart"/>
      <w:r w:rsidRPr="000A65F5">
        <w:rPr>
          <w:rFonts w:ascii="Arial" w:hAnsi="Arial" w:cs="Arial"/>
        </w:rPr>
        <w:t>centered</w:t>
      </w:r>
      <w:proofErr w:type="spellEnd"/>
      <w:r w:rsidRPr="000A65F5">
        <w:rPr>
          <w:rFonts w:ascii="Arial" w:hAnsi="Arial" w:cs="Arial"/>
        </w:rPr>
        <w:t>” culture with GXO’s high-performance, tech-driven culture requires gradual change.</w:t>
      </w:r>
    </w:p>
    <w:p w14:paraId="76C543F7" w14:textId="77777777" w:rsidR="000A65F5" w:rsidRPr="000A65F5" w:rsidRDefault="000A65F5" w:rsidP="000A65F5">
      <w:pPr>
        <w:numPr>
          <w:ilvl w:val="0"/>
          <w:numId w:val="20"/>
        </w:numPr>
        <w:rPr>
          <w:rFonts w:ascii="Arial" w:hAnsi="Arial" w:cs="Arial"/>
        </w:rPr>
      </w:pPr>
      <w:r w:rsidRPr="000A65F5">
        <w:rPr>
          <w:rFonts w:ascii="Arial" w:hAnsi="Arial" w:cs="Arial"/>
          <w:b/>
          <w:bCs/>
        </w:rPr>
        <w:t>Regulatory Constraints</w:t>
      </w:r>
      <w:r w:rsidRPr="000A65F5">
        <w:rPr>
          <w:rFonts w:ascii="Arial" w:hAnsi="Arial" w:cs="Arial"/>
        </w:rPr>
        <w:t xml:space="preserve">: As shown in the GXO-Wincanton deal, regulatory approval added complexity and delay. </w:t>
      </w:r>
      <w:hyperlink r:id="rId13" w:tgtFrame="_blank" w:history="1">
        <w:r w:rsidRPr="000A65F5">
          <w:rPr>
            <w:rStyle w:val="Hyperlink"/>
            <w:rFonts w:ascii="Arial" w:hAnsi="Arial" w:cs="Arial"/>
          </w:rPr>
          <w:t>GOV.UK</w:t>
        </w:r>
      </w:hyperlink>
    </w:p>
    <w:p w14:paraId="08CD64D4" w14:textId="77777777" w:rsidR="000A65F5" w:rsidRPr="000A65F5" w:rsidRDefault="000A65F5" w:rsidP="000A65F5">
      <w:pPr>
        <w:numPr>
          <w:ilvl w:val="0"/>
          <w:numId w:val="20"/>
        </w:numPr>
        <w:rPr>
          <w:rFonts w:ascii="Arial" w:hAnsi="Arial" w:cs="Arial"/>
        </w:rPr>
      </w:pPr>
      <w:r w:rsidRPr="000A65F5">
        <w:rPr>
          <w:rFonts w:ascii="Arial" w:hAnsi="Arial" w:cs="Arial"/>
          <w:b/>
          <w:bCs/>
        </w:rPr>
        <w:t>Synergies Phased Over Time</w:t>
      </w:r>
      <w:r w:rsidRPr="000A65F5">
        <w:rPr>
          <w:rFonts w:ascii="Arial" w:hAnsi="Arial" w:cs="Arial"/>
        </w:rPr>
        <w:t xml:space="preserve">: The cost savings (synergies) are expected to accumulate over several years, not immediately. </w:t>
      </w:r>
      <w:hyperlink r:id="rId14" w:tgtFrame="_blank" w:history="1">
        <w:r w:rsidRPr="000A65F5">
          <w:rPr>
            <w:rStyle w:val="Hyperlink"/>
            <w:rFonts w:ascii="Arial" w:hAnsi="Arial" w:cs="Arial"/>
          </w:rPr>
          <w:t>gxo.com+1</w:t>
        </w:r>
      </w:hyperlink>
    </w:p>
    <w:p w14:paraId="4AA1C380" w14:textId="77777777" w:rsidR="000A65F5" w:rsidRPr="000A65F5" w:rsidRDefault="000A65F5" w:rsidP="000A65F5">
      <w:pPr>
        <w:numPr>
          <w:ilvl w:val="0"/>
          <w:numId w:val="20"/>
        </w:numPr>
        <w:rPr>
          <w:rFonts w:ascii="Arial" w:hAnsi="Arial" w:cs="Arial"/>
        </w:rPr>
      </w:pPr>
      <w:r w:rsidRPr="000A65F5">
        <w:rPr>
          <w:rFonts w:ascii="Arial" w:hAnsi="Arial" w:cs="Arial"/>
          <w:b/>
          <w:bCs/>
        </w:rPr>
        <w:t>Change Management Risk</w:t>
      </w:r>
      <w:r w:rsidRPr="000A65F5">
        <w:rPr>
          <w:rFonts w:ascii="Arial" w:hAnsi="Arial" w:cs="Arial"/>
        </w:rPr>
        <w:t xml:space="preserve">: Rushing integration can backfire (e.g., unhappy employees, failed IT projects), so a balance of speed and quality is needed. </w:t>
      </w:r>
      <w:hyperlink r:id="rId15" w:tgtFrame="_blank" w:history="1">
        <w:r w:rsidRPr="000A65F5">
          <w:rPr>
            <w:rStyle w:val="Hyperlink"/>
            <w:rFonts w:ascii="Arial" w:hAnsi="Arial" w:cs="Arial"/>
          </w:rPr>
          <w:t>PwC+1</w:t>
        </w:r>
      </w:hyperlink>
    </w:p>
    <w:p w14:paraId="3AD5DEF7" w14:textId="77777777" w:rsidR="000A65F5" w:rsidRPr="000A65F5" w:rsidRDefault="00000000" w:rsidP="000A65F5">
      <w:pPr>
        <w:rPr>
          <w:rFonts w:ascii="Arial" w:hAnsi="Arial" w:cs="Arial"/>
        </w:rPr>
      </w:pPr>
      <w:r>
        <w:rPr>
          <w:rFonts w:ascii="Arial" w:hAnsi="Arial" w:cs="Arial"/>
        </w:rPr>
        <w:pict w14:anchorId="1FBD304B">
          <v:rect id="_x0000_i1030" style="width:0;height:1.5pt" o:hralign="center" o:hrstd="t" o:hr="t" fillcolor="#a0a0a0" stroked="f"/>
        </w:pict>
      </w:r>
    </w:p>
    <w:p w14:paraId="1B2D11BB" w14:textId="242D0699" w:rsidR="000A65F5" w:rsidRPr="000A65F5" w:rsidRDefault="000A65F5" w:rsidP="004D0C0C">
      <w:pPr>
        <w:rPr>
          <w:rFonts w:ascii="Arial" w:hAnsi="Arial" w:cs="Arial"/>
        </w:rPr>
      </w:pPr>
      <w:proofErr w:type="gramStart"/>
      <w:r w:rsidRPr="000A65F5">
        <w:rPr>
          <w:rFonts w:ascii="Arial" w:hAnsi="Arial" w:cs="Arial"/>
          <w:b/>
          <w:bCs/>
        </w:rPr>
        <w:t xml:space="preserve">Summary </w:t>
      </w:r>
      <w:r w:rsidR="004D0C0C">
        <w:rPr>
          <w:rFonts w:ascii="Arial" w:hAnsi="Arial" w:cs="Arial"/>
          <w:b/>
          <w:bCs/>
        </w:rPr>
        <w:t>,</w:t>
      </w:r>
      <w:r w:rsidRPr="000A65F5">
        <w:rPr>
          <w:rFonts w:ascii="Arial" w:hAnsi="Arial" w:cs="Arial"/>
          <w:b/>
          <w:bCs/>
        </w:rPr>
        <w:t>Short</w:t>
      </w:r>
      <w:proofErr w:type="gramEnd"/>
      <w:r w:rsidRPr="000A65F5">
        <w:rPr>
          <w:rFonts w:ascii="Arial" w:hAnsi="Arial" w:cs="Arial"/>
          <w:b/>
          <w:bCs/>
        </w:rPr>
        <w:t>-term (0–12 months)</w:t>
      </w:r>
      <w:r w:rsidRPr="000A65F5">
        <w:rPr>
          <w:rFonts w:ascii="Arial" w:hAnsi="Arial" w:cs="Arial"/>
        </w:rPr>
        <w:t>: integration office set up, early functions merged, regulatory tasks, launch communication &amp; training.</w:t>
      </w:r>
    </w:p>
    <w:p w14:paraId="2B0DFF4A" w14:textId="77777777" w:rsidR="000A65F5" w:rsidRPr="000A65F5" w:rsidRDefault="000A65F5" w:rsidP="000A65F5">
      <w:pPr>
        <w:numPr>
          <w:ilvl w:val="0"/>
          <w:numId w:val="21"/>
        </w:numPr>
        <w:rPr>
          <w:rFonts w:ascii="Arial" w:hAnsi="Arial" w:cs="Arial"/>
        </w:rPr>
      </w:pPr>
      <w:r w:rsidRPr="000A65F5">
        <w:rPr>
          <w:rFonts w:ascii="Arial" w:hAnsi="Arial" w:cs="Arial"/>
          <w:b/>
          <w:bCs/>
        </w:rPr>
        <w:t>Mid-term (12–24 months)</w:t>
      </w:r>
      <w:r w:rsidRPr="000A65F5">
        <w:rPr>
          <w:rFonts w:ascii="Arial" w:hAnsi="Arial" w:cs="Arial"/>
        </w:rPr>
        <w:t>: deeper system and process integration, culture blending, start realizing cost synergies.</w:t>
      </w:r>
    </w:p>
    <w:p w14:paraId="530770E1" w14:textId="77777777" w:rsidR="000A65F5" w:rsidRDefault="000A65F5" w:rsidP="000A65F5">
      <w:pPr>
        <w:numPr>
          <w:ilvl w:val="0"/>
          <w:numId w:val="21"/>
        </w:numPr>
        <w:rPr>
          <w:rFonts w:ascii="Arial" w:hAnsi="Arial" w:cs="Arial"/>
        </w:rPr>
      </w:pPr>
      <w:r w:rsidRPr="000A65F5">
        <w:rPr>
          <w:rFonts w:ascii="Arial" w:hAnsi="Arial" w:cs="Arial"/>
          <w:b/>
          <w:bCs/>
        </w:rPr>
        <w:t>Long-term (24–36+ months)</w:t>
      </w:r>
      <w:r w:rsidRPr="000A65F5">
        <w:rPr>
          <w:rFonts w:ascii="Arial" w:hAnsi="Arial" w:cs="Arial"/>
        </w:rPr>
        <w:t>: fully embed new operations, achieve most synergies, stabilise business, evaluate success.</w:t>
      </w:r>
    </w:p>
    <w:p w14:paraId="2AACA6EF" w14:textId="77777777" w:rsidR="00C006CD" w:rsidRDefault="00C006CD" w:rsidP="00C006CD">
      <w:pPr>
        <w:rPr>
          <w:rFonts w:ascii="Arial" w:hAnsi="Arial" w:cs="Arial"/>
        </w:rPr>
      </w:pPr>
    </w:p>
    <w:p w14:paraId="27173D21" w14:textId="77777777" w:rsidR="000B04E3" w:rsidRPr="000B04E3" w:rsidRDefault="000B04E3" w:rsidP="000B04E3">
      <w:pPr>
        <w:rPr>
          <w:rFonts w:ascii="Arial" w:hAnsi="Arial" w:cs="Arial"/>
        </w:rPr>
      </w:pPr>
      <w:r w:rsidRPr="000B04E3">
        <w:rPr>
          <w:rFonts w:ascii="Arial" w:hAnsi="Arial" w:cs="Arial"/>
          <w:b/>
          <w:bCs/>
          <w:color w:val="EE0000"/>
        </w:rPr>
        <w:t>10. Conclusion</w:t>
      </w:r>
      <w:r w:rsidRPr="000B04E3">
        <w:rPr>
          <w:rFonts w:ascii="Arial" w:hAnsi="Arial" w:cs="Arial"/>
        </w:rPr>
        <w:br/>
        <w:t xml:space="preserve">The takeover of Wincanton by GXO Logistics is a major event in the UK logistics industry. It is driven by the need for technology, scale, and efficiency, but it also affects thousands of people and their livelihoods. Managing this change successfully will depend on how well GXO balances business goals with human needs. Using models such as Lewin’s, Kotter’s, and McKinsey’s 7S, GXO can structure its change </w:t>
      </w:r>
      <w:r w:rsidRPr="000B04E3">
        <w:rPr>
          <w:rFonts w:ascii="Arial" w:hAnsi="Arial" w:cs="Arial"/>
        </w:rPr>
        <w:lastRenderedPageBreak/>
        <w:t>process effectively. Strong, transformational leadership — supported by clear communication and genuine care for employees — will determine whether this merger becomes a success story or a source of disruption. If GXO invests in people, provides honest communication, and respects Wincanton’s legacy, the combined organisation can emerge stronger, more innovative, and ready for the future of logistics.</w:t>
      </w:r>
    </w:p>
    <w:p w14:paraId="4190F3C7" w14:textId="77777777" w:rsidR="000B04E3" w:rsidRPr="000B04E3" w:rsidRDefault="000B04E3" w:rsidP="000B04E3">
      <w:pPr>
        <w:rPr>
          <w:rFonts w:ascii="Arial" w:hAnsi="Arial" w:cs="Arial"/>
        </w:rPr>
      </w:pPr>
      <w:r w:rsidRPr="000B04E3">
        <w:rPr>
          <w:rFonts w:ascii="Arial" w:hAnsi="Arial" w:cs="Arial"/>
        </w:rPr>
        <w:t>Given the scale of the acquisition, the complete integration of Wincanton into GXO is likely to take between two and three years. This timeline reflects the complexity of aligning large-scale operations, technology systems, workforce structures, and organisational cultures. The process begins with pre-integration planning, establishing an integration management team, defining governance structures, and developing detailed plans for operations, HR, and IT. Regulatory approvals and legal formalities are completed to ensure compliance, followed by initial integration of key support functions such as finance, HR, and payroll systems.</w:t>
      </w:r>
    </w:p>
    <w:p w14:paraId="70E4FC7F" w14:textId="77777777" w:rsidR="000B04E3" w:rsidRPr="000B04E3" w:rsidRDefault="000B04E3" w:rsidP="000B04E3">
      <w:pPr>
        <w:rPr>
          <w:rFonts w:ascii="Arial" w:hAnsi="Arial" w:cs="Arial"/>
        </w:rPr>
      </w:pPr>
      <w:r w:rsidRPr="000B04E3">
        <w:rPr>
          <w:rFonts w:ascii="Arial" w:hAnsi="Arial" w:cs="Arial"/>
        </w:rPr>
        <w:t>In the subsequent 12 to 24 months, deeper operational integration occurs, including the implementation of warehouse automation, consolidation of processes, and rollout of staff training programs so employees can effectively operate new systems. Cultural integration is also critical during this phase, as GXO works to blend Wincanton’s people-focused approach with its own technology-driven, performance-oriented culture. The final phase, which may extend beyond 24 months, focuses on embedding new processes into day-to-day operations, realizing projected cost savings, stabilizing performance, and reinforcing the combined company’s shared values and culture.</w:t>
      </w:r>
    </w:p>
    <w:p w14:paraId="1BB780DC" w14:textId="77777777" w:rsidR="000B04E3" w:rsidRDefault="000B04E3" w:rsidP="000B04E3">
      <w:pPr>
        <w:rPr>
          <w:rFonts w:ascii="Arial" w:hAnsi="Arial" w:cs="Arial"/>
        </w:rPr>
      </w:pPr>
      <w:r w:rsidRPr="000B04E3">
        <w:rPr>
          <w:rFonts w:ascii="Arial" w:hAnsi="Arial" w:cs="Arial"/>
        </w:rPr>
        <w:t>Overall, this step-by-step approach — from planning and regulatory compliance to operational and cultural integration — ensures that the merger is sustainable, minimizes disruption to employees, and maximizes long-term efficiency and productivity. While ambitious, this timeline allows GXO to manage risks effectively and fully capitalize on the opportunities created by the acquisition.</w:t>
      </w:r>
    </w:p>
    <w:p w14:paraId="42408EF0" w14:textId="77777777" w:rsidR="003E07D4" w:rsidRDefault="003E07D4" w:rsidP="000B04E3">
      <w:pPr>
        <w:rPr>
          <w:rFonts w:ascii="Arial" w:hAnsi="Arial" w:cs="Arial"/>
        </w:rPr>
      </w:pPr>
    </w:p>
    <w:p w14:paraId="59C86F8D" w14:textId="77777777" w:rsidR="003E07D4" w:rsidRDefault="003E07D4" w:rsidP="000B04E3">
      <w:pPr>
        <w:rPr>
          <w:rFonts w:ascii="Arial" w:hAnsi="Arial" w:cs="Arial"/>
        </w:rPr>
      </w:pPr>
    </w:p>
    <w:p w14:paraId="4C6E5CCD" w14:textId="77777777" w:rsidR="003E07D4" w:rsidRDefault="003E07D4" w:rsidP="000B04E3">
      <w:pPr>
        <w:rPr>
          <w:rFonts w:ascii="Arial" w:hAnsi="Arial" w:cs="Arial"/>
        </w:rPr>
      </w:pPr>
    </w:p>
    <w:p w14:paraId="350DFE15" w14:textId="317B44E8" w:rsidR="001B1644" w:rsidRDefault="001B1644" w:rsidP="000B04E3">
      <w:pPr>
        <w:rPr>
          <w:rFonts w:ascii="Arial" w:hAnsi="Arial" w:cs="Arial"/>
        </w:rPr>
      </w:pPr>
      <w:r w:rsidRPr="00CE32FE">
        <w:rPr>
          <w:rFonts w:ascii="Arial" w:hAnsi="Arial" w:cs="Arial"/>
          <w:color w:val="D86DCB" w:themeColor="accent5" w:themeTint="99"/>
        </w:rPr>
        <w:t xml:space="preserve">Thanks to our Lecturer  Ivan ,  </w:t>
      </w:r>
      <w:r w:rsidR="00BF35E9" w:rsidRPr="00CE32FE">
        <w:rPr>
          <w:rFonts w:ascii="Arial" w:hAnsi="Arial" w:cs="Arial"/>
          <w:color w:val="D86DCB" w:themeColor="accent5" w:themeTint="99"/>
        </w:rPr>
        <w:t>fo</w:t>
      </w:r>
      <w:r w:rsidR="00CA0477" w:rsidRPr="00CE32FE">
        <w:rPr>
          <w:rFonts w:ascii="Arial" w:hAnsi="Arial" w:cs="Arial"/>
          <w:color w:val="D86DCB" w:themeColor="accent5" w:themeTint="99"/>
        </w:rPr>
        <w:t>r advising me and the rest of the team , on how to</w:t>
      </w:r>
      <w:r w:rsidR="00814191" w:rsidRPr="00CE32FE">
        <w:rPr>
          <w:rFonts w:ascii="Arial" w:hAnsi="Arial" w:cs="Arial"/>
          <w:color w:val="D86DCB" w:themeColor="accent5" w:themeTint="99"/>
        </w:rPr>
        <w:t xml:space="preserve"> </w:t>
      </w:r>
      <w:r w:rsidR="006B16C0" w:rsidRPr="00CE32FE">
        <w:rPr>
          <w:rFonts w:ascii="Arial" w:hAnsi="Arial" w:cs="Arial"/>
          <w:color w:val="D86DCB" w:themeColor="accent5" w:themeTint="99"/>
        </w:rPr>
        <w:t xml:space="preserve">do high impact version of our </w:t>
      </w:r>
      <w:r w:rsidR="00554C1D" w:rsidRPr="00CE32FE">
        <w:rPr>
          <w:rFonts w:ascii="Arial" w:hAnsi="Arial" w:cs="Arial"/>
          <w:color w:val="D86DCB" w:themeColor="accent5" w:themeTint="99"/>
        </w:rPr>
        <w:t xml:space="preserve">“What could be a potential business triggers”  plan </w:t>
      </w:r>
      <w:r w:rsidR="006B16C0" w:rsidRPr="00CE32FE">
        <w:rPr>
          <w:rFonts w:ascii="Arial" w:hAnsi="Arial" w:cs="Arial"/>
          <w:color w:val="D86DCB" w:themeColor="accent5" w:themeTint="99"/>
        </w:rPr>
        <w:t xml:space="preserve">suitable for reports </w:t>
      </w:r>
      <w:r w:rsidR="00083091" w:rsidRPr="00CE32FE">
        <w:rPr>
          <w:rFonts w:ascii="Arial" w:hAnsi="Arial" w:cs="Arial"/>
          <w:color w:val="D86DCB" w:themeColor="accent5" w:themeTint="99"/>
        </w:rPr>
        <w:t>that need a punchy introduction without losing key details</w:t>
      </w:r>
      <w:r w:rsidR="00083091">
        <w:rPr>
          <w:rFonts w:ascii="Arial" w:hAnsi="Arial" w:cs="Arial"/>
        </w:rPr>
        <w:t xml:space="preserve">. </w:t>
      </w:r>
    </w:p>
    <w:p w14:paraId="6299595B" w14:textId="77777777" w:rsidR="003E07D4" w:rsidRDefault="003E07D4" w:rsidP="000B04E3">
      <w:pPr>
        <w:rPr>
          <w:rFonts w:ascii="Arial" w:hAnsi="Arial" w:cs="Arial"/>
        </w:rPr>
      </w:pPr>
    </w:p>
    <w:p w14:paraId="6CA25B95" w14:textId="77777777" w:rsidR="003E07D4" w:rsidRPr="000B04E3" w:rsidRDefault="003E07D4" w:rsidP="000B04E3">
      <w:pPr>
        <w:rPr>
          <w:rFonts w:ascii="Arial" w:hAnsi="Arial" w:cs="Arial"/>
        </w:rPr>
      </w:pPr>
    </w:p>
    <w:p w14:paraId="034CB00D" w14:textId="77777777" w:rsidR="00C006CD" w:rsidRPr="000A65F5" w:rsidRDefault="00C006CD" w:rsidP="00C006CD">
      <w:pPr>
        <w:rPr>
          <w:rFonts w:ascii="Arial" w:hAnsi="Arial" w:cs="Arial"/>
        </w:rPr>
      </w:pPr>
    </w:p>
    <w:p w14:paraId="0CE230B5" w14:textId="4AFB7638" w:rsidR="002537DD" w:rsidRDefault="002537DD">
      <w:pPr>
        <w:rPr>
          <w:rFonts w:ascii="Arial" w:hAnsi="Arial" w:cs="Arial"/>
        </w:rPr>
      </w:pPr>
    </w:p>
    <w:p w14:paraId="4818F896" w14:textId="77777777" w:rsidR="00ED6C4D" w:rsidRDefault="00ED6C4D">
      <w:pPr>
        <w:rPr>
          <w:rFonts w:ascii="Arial" w:hAnsi="Arial" w:cs="Arial"/>
        </w:rPr>
      </w:pPr>
    </w:p>
    <w:p w14:paraId="1A8EF5F4" w14:textId="77777777" w:rsidR="00524754" w:rsidRPr="00FD45E7" w:rsidRDefault="00524754">
      <w:pPr>
        <w:rPr>
          <w:rFonts w:ascii="Arial" w:hAnsi="Arial" w:cs="Arial"/>
        </w:rPr>
      </w:pPr>
    </w:p>
    <w:sectPr w:rsidR="00524754" w:rsidRPr="00FD4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85AAE"/>
    <w:multiLevelType w:val="multilevel"/>
    <w:tmpl w:val="0A082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2E20A2"/>
    <w:multiLevelType w:val="multilevel"/>
    <w:tmpl w:val="2F8C75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D775E3"/>
    <w:multiLevelType w:val="multilevel"/>
    <w:tmpl w:val="AF9C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868D3"/>
    <w:multiLevelType w:val="multilevel"/>
    <w:tmpl w:val="5238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854524"/>
    <w:multiLevelType w:val="multilevel"/>
    <w:tmpl w:val="62586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FF36E9"/>
    <w:multiLevelType w:val="multilevel"/>
    <w:tmpl w:val="AE18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F2D22"/>
    <w:multiLevelType w:val="multilevel"/>
    <w:tmpl w:val="5856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2651E"/>
    <w:multiLevelType w:val="multilevel"/>
    <w:tmpl w:val="D6B6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F7161"/>
    <w:multiLevelType w:val="multilevel"/>
    <w:tmpl w:val="F1BA2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5B4963"/>
    <w:multiLevelType w:val="multilevel"/>
    <w:tmpl w:val="40A68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0B1035"/>
    <w:multiLevelType w:val="multilevel"/>
    <w:tmpl w:val="D8DC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CD4457"/>
    <w:multiLevelType w:val="multilevel"/>
    <w:tmpl w:val="E9DAD3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9D369A"/>
    <w:multiLevelType w:val="multilevel"/>
    <w:tmpl w:val="D288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F0A6C"/>
    <w:multiLevelType w:val="multilevel"/>
    <w:tmpl w:val="E2D4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0E7A53"/>
    <w:multiLevelType w:val="multilevel"/>
    <w:tmpl w:val="29F86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4E6F22"/>
    <w:multiLevelType w:val="multilevel"/>
    <w:tmpl w:val="7686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A385C"/>
    <w:multiLevelType w:val="multilevel"/>
    <w:tmpl w:val="9B048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7B418E"/>
    <w:multiLevelType w:val="multilevel"/>
    <w:tmpl w:val="30DAA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EB4679"/>
    <w:multiLevelType w:val="multilevel"/>
    <w:tmpl w:val="B886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652DA9"/>
    <w:multiLevelType w:val="multilevel"/>
    <w:tmpl w:val="AA54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F13AA9"/>
    <w:multiLevelType w:val="multilevel"/>
    <w:tmpl w:val="52CA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1581518">
    <w:abstractNumId w:val="13"/>
  </w:num>
  <w:num w:numId="2" w16cid:durableId="1585449966">
    <w:abstractNumId w:val="12"/>
  </w:num>
  <w:num w:numId="3" w16cid:durableId="1365902756">
    <w:abstractNumId w:val="9"/>
  </w:num>
  <w:num w:numId="4" w16cid:durableId="2047217730">
    <w:abstractNumId w:val="2"/>
  </w:num>
  <w:num w:numId="5" w16cid:durableId="454642273">
    <w:abstractNumId w:val="17"/>
  </w:num>
  <w:num w:numId="6" w16cid:durableId="382608613">
    <w:abstractNumId w:val="5"/>
  </w:num>
  <w:num w:numId="7" w16cid:durableId="160045685">
    <w:abstractNumId w:val="7"/>
  </w:num>
  <w:num w:numId="8" w16cid:durableId="1160661358">
    <w:abstractNumId w:val="3"/>
  </w:num>
  <w:num w:numId="9" w16cid:durableId="381750756">
    <w:abstractNumId w:val="10"/>
  </w:num>
  <w:num w:numId="10" w16cid:durableId="2001813193">
    <w:abstractNumId w:val="19"/>
  </w:num>
  <w:num w:numId="11" w16cid:durableId="308704721">
    <w:abstractNumId w:val="14"/>
  </w:num>
  <w:num w:numId="12" w16cid:durableId="1921451056">
    <w:abstractNumId w:val="4"/>
  </w:num>
  <w:num w:numId="13" w16cid:durableId="1154179273">
    <w:abstractNumId w:val="16"/>
  </w:num>
  <w:num w:numId="14" w16cid:durableId="1668705036">
    <w:abstractNumId w:val="15"/>
  </w:num>
  <w:num w:numId="15" w16cid:durableId="438113198">
    <w:abstractNumId w:val="0"/>
  </w:num>
  <w:num w:numId="16" w16cid:durableId="2057121472">
    <w:abstractNumId w:val="1"/>
  </w:num>
  <w:num w:numId="17" w16cid:durableId="598299504">
    <w:abstractNumId w:val="8"/>
  </w:num>
  <w:num w:numId="18" w16cid:durableId="1888107708">
    <w:abstractNumId w:val="6"/>
  </w:num>
  <w:num w:numId="19" w16cid:durableId="1973752469">
    <w:abstractNumId w:val="11"/>
  </w:num>
  <w:num w:numId="20" w16cid:durableId="1823544220">
    <w:abstractNumId w:val="20"/>
  </w:num>
  <w:num w:numId="21" w16cid:durableId="14678135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E51"/>
    <w:rsid w:val="00040BD5"/>
    <w:rsid w:val="00081C27"/>
    <w:rsid w:val="00083091"/>
    <w:rsid w:val="000A2E51"/>
    <w:rsid w:val="000A65F5"/>
    <w:rsid w:val="000B04E3"/>
    <w:rsid w:val="001B1644"/>
    <w:rsid w:val="002537DD"/>
    <w:rsid w:val="002C7A2D"/>
    <w:rsid w:val="003177F6"/>
    <w:rsid w:val="003964F3"/>
    <w:rsid w:val="003B2FE9"/>
    <w:rsid w:val="003E07D4"/>
    <w:rsid w:val="004D0C0C"/>
    <w:rsid w:val="004D2920"/>
    <w:rsid w:val="004F4488"/>
    <w:rsid w:val="00524754"/>
    <w:rsid w:val="0055026D"/>
    <w:rsid w:val="00554C1D"/>
    <w:rsid w:val="005959D0"/>
    <w:rsid w:val="006910BC"/>
    <w:rsid w:val="006B16C0"/>
    <w:rsid w:val="00717F27"/>
    <w:rsid w:val="00783EB4"/>
    <w:rsid w:val="00807B89"/>
    <w:rsid w:val="00814191"/>
    <w:rsid w:val="00875B29"/>
    <w:rsid w:val="008C0D01"/>
    <w:rsid w:val="0091198A"/>
    <w:rsid w:val="009611A2"/>
    <w:rsid w:val="00A0690A"/>
    <w:rsid w:val="00B47685"/>
    <w:rsid w:val="00BF35E9"/>
    <w:rsid w:val="00C006CD"/>
    <w:rsid w:val="00C50E6C"/>
    <w:rsid w:val="00CA0477"/>
    <w:rsid w:val="00CE32FE"/>
    <w:rsid w:val="00D63D63"/>
    <w:rsid w:val="00DA58B3"/>
    <w:rsid w:val="00DF7B57"/>
    <w:rsid w:val="00E31F58"/>
    <w:rsid w:val="00EB6D54"/>
    <w:rsid w:val="00ED6C4D"/>
    <w:rsid w:val="00F541D5"/>
    <w:rsid w:val="00F75D8D"/>
    <w:rsid w:val="00FD4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1C263"/>
  <w15:chartTrackingRefBased/>
  <w15:docId w15:val="{325952F7-195D-4563-A295-D8394A461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E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2E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E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E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E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E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E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E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E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E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E51"/>
    <w:rPr>
      <w:rFonts w:eastAsiaTheme="majorEastAsia" w:cstheme="majorBidi"/>
      <w:color w:val="272727" w:themeColor="text1" w:themeTint="D8"/>
    </w:rPr>
  </w:style>
  <w:style w:type="paragraph" w:styleId="Title">
    <w:name w:val="Title"/>
    <w:basedOn w:val="Normal"/>
    <w:next w:val="Normal"/>
    <w:link w:val="TitleChar"/>
    <w:uiPriority w:val="10"/>
    <w:qFormat/>
    <w:rsid w:val="000A2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E51"/>
    <w:pPr>
      <w:spacing w:before="160"/>
      <w:jc w:val="center"/>
    </w:pPr>
    <w:rPr>
      <w:i/>
      <w:iCs/>
      <w:color w:val="404040" w:themeColor="text1" w:themeTint="BF"/>
    </w:rPr>
  </w:style>
  <w:style w:type="character" w:customStyle="1" w:styleId="QuoteChar">
    <w:name w:val="Quote Char"/>
    <w:basedOn w:val="DefaultParagraphFont"/>
    <w:link w:val="Quote"/>
    <w:uiPriority w:val="29"/>
    <w:rsid w:val="000A2E51"/>
    <w:rPr>
      <w:i/>
      <w:iCs/>
      <w:color w:val="404040" w:themeColor="text1" w:themeTint="BF"/>
    </w:rPr>
  </w:style>
  <w:style w:type="paragraph" w:styleId="ListParagraph">
    <w:name w:val="List Paragraph"/>
    <w:basedOn w:val="Normal"/>
    <w:uiPriority w:val="34"/>
    <w:qFormat/>
    <w:rsid w:val="000A2E51"/>
    <w:pPr>
      <w:ind w:left="720"/>
      <w:contextualSpacing/>
    </w:pPr>
  </w:style>
  <w:style w:type="character" w:styleId="IntenseEmphasis">
    <w:name w:val="Intense Emphasis"/>
    <w:basedOn w:val="DefaultParagraphFont"/>
    <w:uiPriority w:val="21"/>
    <w:qFormat/>
    <w:rsid w:val="000A2E51"/>
    <w:rPr>
      <w:i/>
      <w:iCs/>
      <w:color w:val="0F4761" w:themeColor="accent1" w:themeShade="BF"/>
    </w:rPr>
  </w:style>
  <w:style w:type="paragraph" w:styleId="IntenseQuote">
    <w:name w:val="Intense Quote"/>
    <w:basedOn w:val="Normal"/>
    <w:next w:val="Normal"/>
    <w:link w:val="IntenseQuoteChar"/>
    <w:uiPriority w:val="30"/>
    <w:qFormat/>
    <w:rsid w:val="000A2E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E51"/>
    <w:rPr>
      <w:i/>
      <w:iCs/>
      <w:color w:val="0F4761" w:themeColor="accent1" w:themeShade="BF"/>
    </w:rPr>
  </w:style>
  <w:style w:type="character" w:styleId="IntenseReference">
    <w:name w:val="Intense Reference"/>
    <w:basedOn w:val="DefaultParagraphFont"/>
    <w:uiPriority w:val="32"/>
    <w:qFormat/>
    <w:rsid w:val="000A2E51"/>
    <w:rPr>
      <w:b/>
      <w:bCs/>
      <w:smallCaps/>
      <w:color w:val="0F4761" w:themeColor="accent1" w:themeShade="BF"/>
      <w:spacing w:val="5"/>
    </w:rPr>
  </w:style>
  <w:style w:type="character" w:styleId="Hyperlink">
    <w:name w:val="Hyperlink"/>
    <w:basedOn w:val="DefaultParagraphFont"/>
    <w:uiPriority w:val="99"/>
    <w:unhideWhenUsed/>
    <w:rsid w:val="00DA58B3"/>
    <w:rPr>
      <w:color w:val="467886" w:themeColor="hyperlink"/>
      <w:u w:val="single"/>
    </w:rPr>
  </w:style>
  <w:style w:type="character" w:styleId="UnresolvedMention">
    <w:name w:val="Unresolved Mention"/>
    <w:basedOn w:val="DefaultParagraphFont"/>
    <w:uiPriority w:val="99"/>
    <w:semiHidden/>
    <w:unhideWhenUsed/>
    <w:rsid w:val="00DA58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ma-cases/gxo-slash-wincanton-merger-inquiry?utm_source=chatgpt.com" TargetMode="External"/><Relationship Id="rId13" Type="http://schemas.openxmlformats.org/officeDocument/2006/relationships/hyperlink" Target="https://www.gov.uk/cma-cases/gxo-slash-wincanton-merger-inquiry?utm_source=chatgpt.com" TargetMode="External"/><Relationship Id="rId3" Type="http://schemas.openxmlformats.org/officeDocument/2006/relationships/settings" Target="settings.xml"/><Relationship Id="rId7" Type="http://schemas.openxmlformats.org/officeDocument/2006/relationships/hyperlink" Target="https://www.forrestadvisors.com/insights/mergers-and-acquisitions-and-value-creation/ultimate-step-by-step-guide-to-integration-planning/?utm_source=chatgpt.com" TargetMode="External"/><Relationship Id="rId12" Type="http://schemas.openxmlformats.org/officeDocument/2006/relationships/hyperlink" Target="https://gxo.com/wp-content/uploads/2024/04/Wincanton-Close-Release-FINAL_links.pdf?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atarooms.org.uk/mergers-acquisitions/post-merger-integration-checklist/?utm_source=chatgpt.com" TargetMode="External"/><Relationship Id="rId11" Type="http://schemas.openxmlformats.org/officeDocument/2006/relationships/hyperlink" Target="https://gxo.com/wp-content/uploads/2024/02/GXO-Announces-Offer-to-Acquire-Wincanton.pdf?utm_source=chatgpt.com" TargetMode="External"/><Relationship Id="rId5" Type="http://schemas.openxmlformats.org/officeDocument/2006/relationships/hyperlink" Target="https://datarooms.org.uk/mergers-acquisitions/post-merger-integration-checklist/?utm_source=chatgpt.com" TargetMode="External"/><Relationship Id="rId15" Type="http://schemas.openxmlformats.org/officeDocument/2006/relationships/hyperlink" Target="https://www.pwc.de/de/deals/success-factors-in-post-merger-integration.pdf?utm_source=chatgpt.com" TargetMode="External"/><Relationship Id="rId10" Type="http://schemas.openxmlformats.org/officeDocument/2006/relationships/hyperlink" Target="https://www.pwc.de/de/deals/success-factors-in-post-merger-integration.pdf?utm_source=chatgpt.com" TargetMode="External"/><Relationship Id="rId4" Type="http://schemas.openxmlformats.org/officeDocument/2006/relationships/webSettings" Target="webSettings.xml"/><Relationship Id="rId9" Type="http://schemas.openxmlformats.org/officeDocument/2006/relationships/hyperlink" Target="https://gxo.com/it/news_article/uk-regulatory-review-of-wincanton-acquisition-completed-raise-to-full-year-2025-guidance/?utm_source=chatgpt.com" TargetMode="External"/><Relationship Id="rId14" Type="http://schemas.openxmlformats.org/officeDocument/2006/relationships/hyperlink" Target="https://gxo.com/wp-content/uploads/2024/02/GXO-Cash-Offer-for-Wincanton-2.-7-Announcement.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4048</Words>
  <Characters>23076</Characters>
  <Application>Microsoft Office Word</Application>
  <DocSecurity>0</DocSecurity>
  <Lines>192</Lines>
  <Paragraphs>54</Paragraphs>
  <ScaleCrop>false</ScaleCrop>
  <Company/>
  <LinksUpToDate>false</LinksUpToDate>
  <CharactersWithSpaces>27070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Kolchev</dc:creator>
  <cp:keywords/>
  <dc:description/>
  <cp:lastModifiedBy>Kiril Kolchev</cp:lastModifiedBy>
  <cp:revision>4</cp:revision>
  <dcterms:created xsi:type="dcterms:W3CDTF">2025-11-20T12:24:00Z</dcterms:created>
  <dcterms:modified xsi:type="dcterms:W3CDTF">2025-11-20T12:25:00Z</dcterms:modified>
</cp:coreProperties>
</file>