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1D7C" w14:textId="77777777" w:rsidR="00D82365" w:rsidRDefault="00D82365" w:rsidP="00D82365">
      <w:pPr>
        <w:spacing w:after="0" w:line="360" w:lineRule="auto"/>
        <w:contextualSpacing/>
        <w:rPr>
          <w:rFonts w:ascii="Times New Roman" w:hAnsi="Times New Roman" w:cs="Times New Roman"/>
        </w:rPr>
      </w:pPr>
    </w:p>
    <w:p w14:paraId="449DE635" w14:textId="77777777" w:rsidR="00D82365" w:rsidRDefault="00D82365" w:rsidP="00D82365">
      <w:pPr>
        <w:spacing w:after="0" w:line="360" w:lineRule="auto"/>
        <w:contextualSpacing/>
        <w:rPr>
          <w:rFonts w:ascii="Times New Roman" w:hAnsi="Times New Roman" w:cs="Times New Roman"/>
        </w:rPr>
      </w:pPr>
    </w:p>
    <w:p w14:paraId="165C4A50" w14:textId="77777777" w:rsidR="00D82365" w:rsidRDefault="00D82365" w:rsidP="00D82365">
      <w:pPr>
        <w:spacing w:after="0" w:line="360" w:lineRule="auto"/>
        <w:contextualSpacing/>
        <w:rPr>
          <w:rFonts w:ascii="Times New Roman" w:hAnsi="Times New Roman" w:cs="Times New Roman"/>
        </w:rPr>
      </w:pPr>
    </w:p>
    <w:p w14:paraId="0714A9FF" w14:textId="77777777" w:rsidR="00D82365" w:rsidRDefault="00D82365" w:rsidP="00D82365">
      <w:pPr>
        <w:spacing w:after="0" w:line="360" w:lineRule="auto"/>
        <w:contextualSpacing/>
        <w:rPr>
          <w:rFonts w:ascii="Times New Roman" w:hAnsi="Times New Roman" w:cs="Times New Roman"/>
        </w:rPr>
      </w:pPr>
    </w:p>
    <w:p w14:paraId="6FC5FA2C" w14:textId="77777777" w:rsidR="00D82365" w:rsidRDefault="00D82365" w:rsidP="00D82365">
      <w:pPr>
        <w:spacing w:after="0" w:line="360" w:lineRule="auto"/>
        <w:contextualSpacing/>
        <w:rPr>
          <w:rFonts w:ascii="Times New Roman" w:hAnsi="Times New Roman" w:cs="Times New Roman"/>
        </w:rPr>
      </w:pPr>
    </w:p>
    <w:p w14:paraId="4C1041D2" w14:textId="77777777" w:rsidR="00D82365" w:rsidRDefault="00D82365" w:rsidP="003728F1">
      <w:pPr>
        <w:spacing w:after="0" w:line="360" w:lineRule="auto"/>
        <w:contextualSpacing/>
        <w:jc w:val="center"/>
        <w:rPr>
          <w:rFonts w:ascii="Times New Roman" w:hAnsi="Times New Roman" w:cs="Times New Roman"/>
        </w:rPr>
      </w:pPr>
    </w:p>
    <w:p w14:paraId="48425DB3" w14:textId="77777777" w:rsidR="00D82365" w:rsidRDefault="00D82365" w:rsidP="00D82365">
      <w:pPr>
        <w:spacing w:after="0" w:line="360" w:lineRule="auto"/>
        <w:contextualSpacing/>
        <w:rPr>
          <w:rFonts w:ascii="Times New Roman" w:hAnsi="Times New Roman" w:cs="Times New Roman"/>
        </w:rPr>
      </w:pPr>
    </w:p>
    <w:p w14:paraId="7B5C2660" w14:textId="57252C68" w:rsidR="00D82365" w:rsidRPr="006D26EB" w:rsidRDefault="003728F1" w:rsidP="003728F1">
      <w:pPr>
        <w:spacing w:after="0" w:line="360" w:lineRule="auto"/>
        <w:contextualSpacing/>
        <w:jc w:val="center"/>
        <w:rPr>
          <w:rFonts w:ascii="Times New Roman" w:hAnsi="Times New Roman" w:cs="Times New Roman"/>
          <w:sz w:val="28"/>
          <w:szCs w:val="24"/>
        </w:rPr>
      </w:pPr>
      <w:r w:rsidRPr="006D26EB">
        <w:rPr>
          <w:rFonts w:ascii="Times New Roman" w:hAnsi="Times New Roman" w:cs="Times New Roman"/>
          <w:sz w:val="28"/>
          <w:szCs w:val="24"/>
        </w:rPr>
        <w:t>Umah Kauser/</w:t>
      </w:r>
      <w:r w:rsidR="006D26EB" w:rsidRPr="006D26EB">
        <w:rPr>
          <w:rFonts w:ascii="Times New Roman" w:hAnsi="Times New Roman" w:cs="Times New Roman"/>
          <w:sz w:val="28"/>
          <w:szCs w:val="24"/>
        </w:rPr>
        <w:t>2227759</w:t>
      </w:r>
    </w:p>
    <w:p w14:paraId="584D5845" w14:textId="555EF870" w:rsidR="00D82365" w:rsidRPr="006D26EB" w:rsidRDefault="006D07F9" w:rsidP="006D07F9">
      <w:pPr>
        <w:jc w:val="center"/>
        <w:rPr>
          <w:rFonts w:ascii="Times New Roman" w:hAnsi="Times New Roman" w:cs="Times New Roman"/>
          <w:sz w:val="28"/>
          <w:szCs w:val="24"/>
        </w:rPr>
      </w:pPr>
      <w:r w:rsidRPr="006D26EB">
        <w:rPr>
          <w:rFonts w:ascii="Times New Roman" w:hAnsi="Times New Roman" w:cs="Times New Roman"/>
          <w:sz w:val="28"/>
          <w:szCs w:val="24"/>
        </w:rPr>
        <w:t>BMLW4000</w:t>
      </w:r>
      <w:r w:rsidRPr="006D26EB">
        <w:rPr>
          <w:rFonts w:ascii="Times New Roman" w:hAnsi="Times New Roman" w:cs="Times New Roman"/>
          <w:sz w:val="28"/>
          <w:szCs w:val="24"/>
        </w:rPr>
        <w:t xml:space="preserve">/ </w:t>
      </w:r>
      <w:r w:rsidR="00D82365" w:rsidRPr="006D26EB">
        <w:rPr>
          <w:rFonts w:ascii="Times New Roman" w:hAnsi="Times New Roman" w:cs="Times New Roman"/>
          <w:sz w:val="28"/>
          <w:szCs w:val="24"/>
        </w:rPr>
        <w:t xml:space="preserve">Explain the </w:t>
      </w:r>
      <w:r w:rsidR="009F57A7" w:rsidRPr="006D26EB">
        <w:rPr>
          <w:rFonts w:ascii="Times New Roman" w:hAnsi="Times New Roman" w:cs="Times New Roman"/>
          <w:sz w:val="28"/>
          <w:szCs w:val="24"/>
        </w:rPr>
        <w:t>r</w:t>
      </w:r>
      <w:r w:rsidR="00D82365" w:rsidRPr="006D26EB">
        <w:rPr>
          <w:rFonts w:ascii="Times New Roman" w:hAnsi="Times New Roman" w:cs="Times New Roman"/>
          <w:sz w:val="28"/>
          <w:szCs w:val="24"/>
        </w:rPr>
        <w:t xml:space="preserve">ole of a Crown Prosecutor and </w:t>
      </w:r>
      <w:r w:rsidR="009F57A7" w:rsidRPr="006D26EB">
        <w:rPr>
          <w:rFonts w:ascii="Times New Roman" w:hAnsi="Times New Roman" w:cs="Times New Roman"/>
          <w:sz w:val="28"/>
          <w:szCs w:val="24"/>
        </w:rPr>
        <w:t>i</w:t>
      </w:r>
      <w:r w:rsidR="00D82365" w:rsidRPr="006D26EB">
        <w:rPr>
          <w:rFonts w:ascii="Times New Roman" w:hAnsi="Times New Roman" w:cs="Times New Roman"/>
          <w:sz w:val="28"/>
          <w:szCs w:val="24"/>
        </w:rPr>
        <w:t xml:space="preserve">dentify the </w:t>
      </w:r>
      <w:r w:rsidR="009F57A7" w:rsidRPr="006D26EB">
        <w:rPr>
          <w:rFonts w:ascii="Times New Roman" w:hAnsi="Times New Roman" w:cs="Times New Roman"/>
          <w:sz w:val="28"/>
          <w:szCs w:val="24"/>
        </w:rPr>
        <w:t>t</w:t>
      </w:r>
      <w:r w:rsidR="00D82365" w:rsidRPr="006D26EB">
        <w:rPr>
          <w:rFonts w:ascii="Times New Roman" w:hAnsi="Times New Roman" w:cs="Times New Roman"/>
          <w:sz w:val="28"/>
          <w:szCs w:val="24"/>
        </w:rPr>
        <w:t xml:space="preserve">ests </w:t>
      </w:r>
      <w:r w:rsidR="009F57A7" w:rsidRPr="006D26EB">
        <w:rPr>
          <w:rFonts w:ascii="Times New Roman" w:hAnsi="Times New Roman" w:cs="Times New Roman"/>
          <w:sz w:val="28"/>
          <w:szCs w:val="24"/>
        </w:rPr>
        <w:t>u</w:t>
      </w:r>
      <w:r w:rsidR="00D82365" w:rsidRPr="006D26EB">
        <w:rPr>
          <w:rFonts w:ascii="Times New Roman" w:hAnsi="Times New Roman" w:cs="Times New Roman"/>
          <w:sz w:val="28"/>
          <w:szCs w:val="24"/>
        </w:rPr>
        <w:t xml:space="preserve">sed </w:t>
      </w:r>
      <w:r w:rsidR="009F57A7" w:rsidRPr="006D26EB">
        <w:rPr>
          <w:rFonts w:ascii="Times New Roman" w:hAnsi="Times New Roman" w:cs="Times New Roman"/>
          <w:sz w:val="28"/>
          <w:szCs w:val="24"/>
        </w:rPr>
        <w:t>w</w:t>
      </w:r>
      <w:r w:rsidR="00D82365" w:rsidRPr="006D26EB">
        <w:rPr>
          <w:rFonts w:ascii="Times New Roman" w:hAnsi="Times New Roman" w:cs="Times New Roman"/>
          <w:sz w:val="28"/>
          <w:szCs w:val="24"/>
        </w:rPr>
        <w:t xml:space="preserve">hen </w:t>
      </w:r>
      <w:r w:rsidR="009F57A7" w:rsidRPr="006D26EB">
        <w:rPr>
          <w:rFonts w:ascii="Times New Roman" w:hAnsi="Times New Roman" w:cs="Times New Roman"/>
          <w:sz w:val="28"/>
          <w:szCs w:val="24"/>
        </w:rPr>
        <w:t>m</w:t>
      </w:r>
      <w:r w:rsidR="00D82365" w:rsidRPr="006D26EB">
        <w:rPr>
          <w:rFonts w:ascii="Times New Roman" w:hAnsi="Times New Roman" w:cs="Times New Roman"/>
          <w:sz w:val="28"/>
          <w:szCs w:val="24"/>
        </w:rPr>
        <w:t xml:space="preserve">aking </w:t>
      </w:r>
      <w:r w:rsidR="009F57A7" w:rsidRPr="006D26EB">
        <w:rPr>
          <w:rFonts w:ascii="Times New Roman" w:hAnsi="Times New Roman" w:cs="Times New Roman"/>
          <w:sz w:val="28"/>
          <w:szCs w:val="24"/>
        </w:rPr>
        <w:t>c</w:t>
      </w:r>
      <w:r w:rsidR="00D82365" w:rsidRPr="006D26EB">
        <w:rPr>
          <w:rFonts w:ascii="Times New Roman" w:hAnsi="Times New Roman" w:cs="Times New Roman"/>
          <w:sz w:val="28"/>
          <w:szCs w:val="24"/>
        </w:rPr>
        <w:t xml:space="preserve">harging </w:t>
      </w:r>
      <w:r w:rsidR="009F57A7" w:rsidRPr="006D26EB">
        <w:rPr>
          <w:rFonts w:ascii="Times New Roman" w:hAnsi="Times New Roman" w:cs="Times New Roman"/>
          <w:sz w:val="28"/>
          <w:szCs w:val="24"/>
        </w:rPr>
        <w:t>d</w:t>
      </w:r>
      <w:r w:rsidR="00D82365" w:rsidRPr="006D26EB">
        <w:rPr>
          <w:rFonts w:ascii="Times New Roman" w:hAnsi="Times New Roman" w:cs="Times New Roman"/>
          <w:sz w:val="28"/>
          <w:szCs w:val="24"/>
        </w:rPr>
        <w:t>ecisions</w:t>
      </w:r>
      <w:r w:rsidR="007D3B6C" w:rsidRPr="006D26EB">
        <w:rPr>
          <w:rFonts w:ascii="Times New Roman" w:hAnsi="Times New Roman" w:cs="Times New Roman"/>
          <w:sz w:val="28"/>
          <w:szCs w:val="24"/>
        </w:rPr>
        <w:t>.</w:t>
      </w:r>
    </w:p>
    <w:p w14:paraId="756ADC72" w14:textId="0CB03905" w:rsidR="00D82365" w:rsidRPr="006D26EB" w:rsidRDefault="00731FCA" w:rsidP="00D82365">
      <w:pPr>
        <w:spacing w:after="0" w:line="360" w:lineRule="auto"/>
        <w:contextualSpacing/>
        <w:jc w:val="center"/>
        <w:rPr>
          <w:rFonts w:ascii="Times New Roman" w:hAnsi="Times New Roman" w:cs="Times New Roman"/>
          <w:sz w:val="28"/>
          <w:szCs w:val="24"/>
        </w:rPr>
      </w:pPr>
      <w:r w:rsidRPr="006D26EB">
        <w:rPr>
          <w:rFonts w:ascii="Times New Roman" w:hAnsi="Times New Roman" w:cs="Times New Roman"/>
          <w:sz w:val="28"/>
          <w:szCs w:val="24"/>
        </w:rPr>
        <w:t>13 August 2023</w:t>
      </w:r>
    </w:p>
    <w:p w14:paraId="12BF2561" w14:textId="77777777" w:rsidR="00D82365" w:rsidRDefault="00D82365" w:rsidP="00D82365">
      <w:pPr>
        <w:spacing w:after="0" w:line="360" w:lineRule="auto"/>
        <w:contextualSpacing/>
        <w:jc w:val="center"/>
        <w:rPr>
          <w:rFonts w:ascii="Times New Roman" w:hAnsi="Times New Roman" w:cs="Times New Roman"/>
        </w:rPr>
      </w:pPr>
    </w:p>
    <w:p w14:paraId="7DC3D78A" w14:textId="77777777" w:rsidR="00D82365" w:rsidRDefault="00D82365" w:rsidP="00D82365">
      <w:pPr>
        <w:spacing w:after="0" w:line="360" w:lineRule="auto"/>
        <w:contextualSpacing/>
        <w:rPr>
          <w:rFonts w:ascii="Times New Roman" w:hAnsi="Times New Roman" w:cs="Times New Roman"/>
        </w:rPr>
      </w:pPr>
    </w:p>
    <w:p w14:paraId="739E9184" w14:textId="77777777" w:rsidR="00D82365" w:rsidRDefault="00D82365">
      <w:pPr>
        <w:jc w:val="left"/>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b/>
          <w:bCs/>
          <w:color w:val="auto"/>
          <w:sz w:val="24"/>
          <w:szCs w:val="24"/>
        </w:rPr>
        <w:id w:val="-1057780365"/>
        <w:docPartObj>
          <w:docPartGallery w:val="Table of Contents"/>
          <w:docPartUnique/>
        </w:docPartObj>
      </w:sdtPr>
      <w:sdtEndPr>
        <w:rPr>
          <w:noProof/>
        </w:rPr>
      </w:sdtEndPr>
      <w:sdtContent>
        <w:p w14:paraId="5C7D8F55" w14:textId="66F56EC7" w:rsidR="005F6D8B" w:rsidRPr="005F6D8B" w:rsidRDefault="005F6D8B" w:rsidP="005F6D8B">
          <w:pPr>
            <w:pStyle w:val="TOCHeading"/>
            <w:spacing w:before="0" w:line="360" w:lineRule="auto"/>
            <w:contextualSpacing/>
            <w:jc w:val="center"/>
            <w:rPr>
              <w:rFonts w:ascii="Times New Roman" w:hAnsi="Times New Roman" w:cs="Times New Roman"/>
              <w:b/>
              <w:bCs/>
              <w:color w:val="auto"/>
              <w:sz w:val="24"/>
              <w:szCs w:val="24"/>
            </w:rPr>
          </w:pPr>
          <w:r w:rsidRPr="005F6D8B">
            <w:rPr>
              <w:rFonts w:ascii="Times New Roman" w:hAnsi="Times New Roman" w:cs="Times New Roman"/>
              <w:b/>
              <w:bCs/>
              <w:color w:val="auto"/>
              <w:sz w:val="24"/>
              <w:szCs w:val="24"/>
            </w:rPr>
            <w:t>Table of Contents</w:t>
          </w:r>
        </w:p>
        <w:p w14:paraId="70A7A3DA" w14:textId="77777777" w:rsidR="005F6D8B" w:rsidRPr="005F6D8B" w:rsidRDefault="005F6D8B" w:rsidP="005F6D8B">
          <w:pPr>
            <w:spacing w:after="0" w:line="360" w:lineRule="auto"/>
            <w:contextualSpacing/>
            <w:rPr>
              <w:rFonts w:ascii="Times New Roman" w:hAnsi="Times New Roman" w:cs="Times New Roman"/>
              <w:szCs w:val="24"/>
            </w:rPr>
          </w:pPr>
        </w:p>
        <w:p w14:paraId="4C57E6C0" w14:textId="4D789C0D" w:rsidR="005F6D8B" w:rsidRPr="005F6D8B" w:rsidRDefault="005F6D8B" w:rsidP="005F6D8B">
          <w:pPr>
            <w:pStyle w:val="TOC1"/>
            <w:tabs>
              <w:tab w:val="right" w:leader="dot" w:pos="9350"/>
            </w:tabs>
            <w:spacing w:after="0" w:line="360" w:lineRule="auto"/>
            <w:contextualSpacing/>
            <w:rPr>
              <w:rFonts w:ascii="Times New Roman" w:hAnsi="Times New Roman" w:cs="Times New Roman"/>
              <w:noProof/>
              <w:szCs w:val="24"/>
            </w:rPr>
          </w:pPr>
          <w:r w:rsidRPr="005F6D8B">
            <w:rPr>
              <w:rFonts w:ascii="Times New Roman" w:hAnsi="Times New Roman" w:cs="Times New Roman"/>
              <w:szCs w:val="24"/>
            </w:rPr>
            <w:fldChar w:fldCharType="begin"/>
          </w:r>
          <w:r w:rsidRPr="005F6D8B">
            <w:rPr>
              <w:rFonts w:ascii="Times New Roman" w:hAnsi="Times New Roman" w:cs="Times New Roman"/>
              <w:szCs w:val="24"/>
            </w:rPr>
            <w:instrText xml:space="preserve"> TOC \o "1-3" \h \z \u </w:instrText>
          </w:r>
          <w:r w:rsidRPr="005F6D8B">
            <w:rPr>
              <w:rFonts w:ascii="Times New Roman" w:hAnsi="Times New Roman" w:cs="Times New Roman"/>
              <w:szCs w:val="24"/>
            </w:rPr>
            <w:fldChar w:fldCharType="separate"/>
          </w:r>
          <w:hyperlink w:anchor="_Toc141738037" w:history="1">
            <w:r w:rsidRPr="005F6D8B">
              <w:rPr>
                <w:rStyle w:val="Hyperlink"/>
                <w:rFonts w:ascii="Times New Roman" w:hAnsi="Times New Roman" w:cs="Times New Roman"/>
                <w:noProof/>
                <w:color w:val="auto"/>
                <w:szCs w:val="24"/>
              </w:rPr>
              <w:t>Introduction</w:t>
            </w:r>
            <w:r w:rsidRPr="005F6D8B">
              <w:rPr>
                <w:rFonts w:ascii="Times New Roman" w:hAnsi="Times New Roman" w:cs="Times New Roman"/>
                <w:noProof/>
                <w:webHidden/>
                <w:szCs w:val="24"/>
              </w:rPr>
              <w:tab/>
            </w:r>
            <w:r w:rsidRPr="005F6D8B">
              <w:rPr>
                <w:rFonts w:ascii="Times New Roman" w:hAnsi="Times New Roman" w:cs="Times New Roman"/>
                <w:noProof/>
                <w:webHidden/>
                <w:szCs w:val="24"/>
              </w:rPr>
              <w:fldChar w:fldCharType="begin"/>
            </w:r>
            <w:r w:rsidRPr="005F6D8B">
              <w:rPr>
                <w:rFonts w:ascii="Times New Roman" w:hAnsi="Times New Roman" w:cs="Times New Roman"/>
                <w:noProof/>
                <w:webHidden/>
                <w:szCs w:val="24"/>
              </w:rPr>
              <w:instrText xml:space="preserve"> PAGEREF _Toc141738037 \h </w:instrText>
            </w:r>
            <w:r w:rsidRPr="005F6D8B">
              <w:rPr>
                <w:rFonts w:ascii="Times New Roman" w:hAnsi="Times New Roman" w:cs="Times New Roman"/>
                <w:noProof/>
                <w:webHidden/>
                <w:szCs w:val="24"/>
              </w:rPr>
            </w:r>
            <w:r w:rsidRPr="005F6D8B">
              <w:rPr>
                <w:rFonts w:ascii="Times New Roman" w:hAnsi="Times New Roman" w:cs="Times New Roman"/>
                <w:noProof/>
                <w:webHidden/>
                <w:szCs w:val="24"/>
              </w:rPr>
              <w:fldChar w:fldCharType="separate"/>
            </w:r>
            <w:r w:rsidRPr="005F6D8B">
              <w:rPr>
                <w:rFonts w:ascii="Times New Roman" w:hAnsi="Times New Roman" w:cs="Times New Roman"/>
                <w:noProof/>
                <w:webHidden/>
                <w:szCs w:val="24"/>
              </w:rPr>
              <w:t>3</w:t>
            </w:r>
            <w:r w:rsidRPr="005F6D8B">
              <w:rPr>
                <w:rFonts w:ascii="Times New Roman" w:hAnsi="Times New Roman" w:cs="Times New Roman"/>
                <w:noProof/>
                <w:webHidden/>
                <w:szCs w:val="24"/>
              </w:rPr>
              <w:fldChar w:fldCharType="end"/>
            </w:r>
          </w:hyperlink>
        </w:p>
        <w:p w14:paraId="633C24D2" w14:textId="5CC2DDDB"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38" w:history="1">
            <w:r w:rsidR="005F6D8B" w:rsidRPr="005F6D8B">
              <w:rPr>
                <w:rStyle w:val="Hyperlink"/>
                <w:rFonts w:ascii="Times New Roman" w:hAnsi="Times New Roman" w:cs="Times New Roman"/>
                <w:noProof/>
                <w:color w:val="auto"/>
                <w:szCs w:val="24"/>
              </w:rPr>
              <w:t>The Charging Decision Process</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_Toc141738038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3</w:t>
            </w:r>
            <w:r w:rsidR="005F6D8B" w:rsidRPr="005F6D8B">
              <w:rPr>
                <w:rFonts w:ascii="Times New Roman" w:hAnsi="Times New Roman" w:cs="Times New Roman"/>
                <w:noProof/>
                <w:webHidden/>
                <w:szCs w:val="24"/>
              </w:rPr>
              <w:fldChar w:fldCharType="end"/>
            </w:r>
          </w:hyperlink>
        </w:p>
        <w:p w14:paraId="155D7AA9" w14:textId="1F4D1A89"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39" w:history="1">
            <w:r w:rsidR="005F6D8B" w:rsidRPr="005F6D8B">
              <w:rPr>
                <w:rStyle w:val="Hyperlink"/>
                <w:rFonts w:ascii="Times New Roman" w:hAnsi="Times New Roman" w:cs="Times New Roman"/>
                <w:noProof/>
                <w:color w:val="auto"/>
                <w:szCs w:val="24"/>
              </w:rPr>
              <w:t>The Tests Used in Making Charging Decisions</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_Toc141738039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4</w:t>
            </w:r>
            <w:r w:rsidR="005F6D8B" w:rsidRPr="005F6D8B">
              <w:rPr>
                <w:rFonts w:ascii="Times New Roman" w:hAnsi="Times New Roman" w:cs="Times New Roman"/>
                <w:noProof/>
                <w:webHidden/>
                <w:szCs w:val="24"/>
              </w:rPr>
              <w:fldChar w:fldCharType="end"/>
            </w:r>
          </w:hyperlink>
        </w:p>
        <w:p w14:paraId="3E376E3A" w14:textId="3C6349A2"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40" w:history="1">
            <w:r w:rsidR="005F6D8B" w:rsidRPr="005F6D8B">
              <w:rPr>
                <w:rStyle w:val="Hyperlink"/>
                <w:rFonts w:ascii="Times New Roman" w:hAnsi="Times New Roman" w:cs="Times New Roman"/>
                <w:noProof/>
                <w:color w:val="auto"/>
                <w:szCs w:val="24"/>
              </w:rPr>
              <w:t>Role of Case Law and Legal Precedents</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_Toc141738040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5</w:t>
            </w:r>
            <w:r w:rsidR="005F6D8B" w:rsidRPr="005F6D8B">
              <w:rPr>
                <w:rFonts w:ascii="Times New Roman" w:hAnsi="Times New Roman" w:cs="Times New Roman"/>
                <w:noProof/>
                <w:webHidden/>
                <w:szCs w:val="24"/>
              </w:rPr>
              <w:fldChar w:fldCharType="end"/>
            </w:r>
          </w:hyperlink>
        </w:p>
        <w:p w14:paraId="6F8C6FD3" w14:textId="345EA990"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41" w:history="1">
            <w:r w:rsidR="005F6D8B" w:rsidRPr="005F6D8B">
              <w:rPr>
                <w:rStyle w:val="Hyperlink"/>
                <w:rFonts w:ascii="Times New Roman" w:hAnsi="Times New Roman" w:cs="Times New Roman"/>
                <w:noProof/>
                <w:color w:val="auto"/>
                <w:szCs w:val="24"/>
              </w:rPr>
              <w:t>Challenges and Criticisms</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_Toc141738041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6</w:t>
            </w:r>
            <w:r w:rsidR="005F6D8B" w:rsidRPr="005F6D8B">
              <w:rPr>
                <w:rFonts w:ascii="Times New Roman" w:hAnsi="Times New Roman" w:cs="Times New Roman"/>
                <w:noProof/>
                <w:webHidden/>
                <w:szCs w:val="24"/>
              </w:rPr>
              <w:fldChar w:fldCharType="end"/>
            </w:r>
          </w:hyperlink>
        </w:p>
        <w:p w14:paraId="79AAD9CD" w14:textId="2FE57EB6"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42" w:history="1">
            <w:r w:rsidR="005F6D8B" w:rsidRPr="005F6D8B">
              <w:rPr>
                <w:rStyle w:val="Hyperlink"/>
                <w:rFonts w:ascii="Times New Roman" w:hAnsi="Times New Roman" w:cs="Times New Roman"/>
                <w:noProof/>
                <w:color w:val="auto"/>
                <w:szCs w:val="24"/>
              </w:rPr>
              <w:t>Future Reforms and Improvements</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_Toc141738042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6</w:t>
            </w:r>
            <w:r w:rsidR="005F6D8B" w:rsidRPr="005F6D8B">
              <w:rPr>
                <w:rFonts w:ascii="Times New Roman" w:hAnsi="Times New Roman" w:cs="Times New Roman"/>
                <w:noProof/>
                <w:webHidden/>
                <w:szCs w:val="24"/>
              </w:rPr>
              <w:fldChar w:fldCharType="end"/>
            </w:r>
          </w:hyperlink>
        </w:p>
        <w:p w14:paraId="2A7279E5" w14:textId="4D0A64C1"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43" w:history="1">
            <w:r w:rsidR="005F6D8B" w:rsidRPr="005F6D8B">
              <w:rPr>
                <w:rStyle w:val="Hyperlink"/>
                <w:rFonts w:ascii="Times New Roman" w:hAnsi="Times New Roman" w:cs="Times New Roman"/>
                <w:noProof/>
                <w:color w:val="auto"/>
                <w:szCs w:val="24"/>
              </w:rPr>
              <w:t>Conclusion</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_Toc141738043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7</w:t>
            </w:r>
            <w:r w:rsidR="005F6D8B" w:rsidRPr="005F6D8B">
              <w:rPr>
                <w:rFonts w:ascii="Times New Roman" w:hAnsi="Times New Roman" w:cs="Times New Roman"/>
                <w:noProof/>
                <w:webHidden/>
                <w:szCs w:val="24"/>
              </w:rPr>
              <w:fldChar w:fldCharType="end"/>
            </w:r>
          </w:hyperlink>
        </w:p>
        <w:p w14:paraId="04BB19BE" w14:textId="16529709" w:rsidR="005F6D8B" w:rsidRPr="005F6D8B" w:rsidRDefault="00000000" w:rsidP="005F6D8B">
          <w:pPr>
            <w:pStyle w:val="TOC1"/>
            <w:tabs>
              <w:tab w:val="right" w:leader="dot" w:pos="9350"/>
            </w:tabs>
            <w:spacing w:after="0" w:line="360" w:lineRule="auto"/>
            <w:contextualSpacing/>
            <w:rPr>
              <w:rFonts w:ascii="Times New Roman" w:hAnsi="Times New Roman" w:cs="Times New Roman"/>
              <w:noProof/>
              <w:szCs w:val="24"/>
            </w:rPr>
          </w:pPr>
          <w:hyperlink w:anchor="_Toc141738044" w:history="1">
            <w:r w:rsidR="005F6D8B" w:rsidRPr="005F6D8B">
              <w:rPr>
                <w:rStyle w:val="Hyperlink"/>
                <w:rFonts w:ascii="Times New Roman" w:hAnsi="Times New Roman" w:cs="Times New Roman"/>
                <w:noProof/>
                <w:color w:val="auto"/>
                <w:szCs w:val="24"/>
              </w:rPr>
              <w:t>References</w:t>
            </w:r>
            <w:r w:rsidR="005F6D8B" w:rsidRPr="005F6D8B">
              <w:rPr>
                <w:rFonts w:ascii="Times New Roman" w:hAnsi="Times New Roman" w:cs="Times New Roman"/>
                <w:noProof/>
                <w:webHidden/>
                <w:szCs w:val="24"/>
              </w:rPr>
              <w:tab/>
            </w:r>
            <w:r w:rsidR="005F6D8B" w:rsidRPr="005F6D8B">
              <w:rPr>
                <w:rFonts w:ascii="Times New Roman" w:hAnsi="Times New Roman" w:cs="Times New Roman"/>
                <w:noProof/>
                <w:webHidden/>
                <w:szCs w:val="24"/>
              </w:rPr>
              <w:fldChar w:fldCharType="begin"/>
            </w:r>
            <w:r w:rsidR="005F6D8B" w:rsidRPr="005F6D8B">
              <w:rPr>
                <w:rFonts w:ascii="Times New Roman" w:hAnsi="Times New Roman" w:cs="Times New Roman"/>
                <w:noProof/>
                <w:webHidden/>
                <w:szCs w:val="24"/>
              </w:rPr>
              <w:instrText xml:space="preserve"> PAGEREF _Toc141738044 \h </w:instrText>
            </w:r>
            <w:r w:rsidR="005F6D8B" w:rsidRPr="005F6D8B">
              <w:rPr>
                <w:rFonts w:ascii="Times New Roman" w:hAnsi="Times New Roman" w:cs="Times New Roman"/>
                <w:noProof/>
                <w:webHidden/>
                <w:szCs w:val="24"/>
              </w:rPr>
            </w:r>
            <w:r w:rsidR="005F6D8B" w:rsidRPr="005F6D8B">
              <w:rPr>
                <w:rFonts w:ascii="Times New Roman" w:hAnsi="Times New Roman" w:cs="Times New Roman"/>
                <w:noProof/>
                <w:webHidden/>
                <w:szCs w:val="24"/>
              </w:rPr>
              <w:fldChar w:fldCharType="separate"/>
            </w:r>
            <w:r w:rsidR="005F6D8B" w:rsidRPr="005F6D8B">
              <w:rPr>
                <w:rFonts w:ascii="Times New Roman" w:hAnsi="Times New Roman" w:cs="Times New Roman"/>
                <w:noProof/>
                <w:webHidden/>
                <w:szCs w:val="24"/>
              </w:rPr>
              <w:t>8</w:t>
            </w:r>
            <w:r w:rsidR="005F6D8B" w:rsidRPr="005F6D8B">
              <w:rPr>
                <w:rFonts w:ascii="Times New Roman" w:hAnsi="Times New Roman" w:cs="Times New Roman"/>
                <w:noProof/>
                <w:webHidden/>
                <w:szCs w:val="24"/>
              </w:rPr>
              <w:fldChar w:fldCharType="end"/>
            </w:r>
          </w:hyperlink>
        </w:p>
        <w:p w14:paraId="57F09B2D" w14:textId="7978DFE0" w:rsidR="005F6D8B" w:rsidRDefault="005F6D8B" w:rsidP="005F6D8B">
          <w:pPr>
            <w:spacing w:after="0" w:line="360" w:lineRule="auto"/>
            <w:contextualSpacing/>
          </w:pPr>
          <w:r w:rsidRPr="005F6D8B">
            <w:rPr>
              <w:rFonts w:ascii="Times New Roman" w:hAnsi="Times New Roman" w:cs="Times New Roman"/>
              <w:b/>
              <w:bCs/>
              <w:noProof/>
              <w:szCs w:val="24"/>
            </w:rPr>
            <w:fldChar w:fldCharType="end"/>
          </w:r>
        </w:p>
      </w:sdtContent>
    </w:sdt>
    <w:p w14:paraId="59A8C32E" w14:textId="77777777" w:rsidR="00D82365" w:rsidRDefault="00D82365" w:rsidP="00D82365">
      <w:pPr>
        <w:spacing w:after="0" w:line="360" w:lineRule="auto"/>
        <w:contextualSpacing/>
        <w:rPr>
          <w:rFonts w:ascii="Times New Roman" w:hAnsi="Times New Roman" w:cs="Times New Roman"/>
        </w:rPr>
      </w:pPr>
    </w:p>
    <w:p w14:paraId="59843932" w14:textId="77777777" w:rsidR="00D82365" w:rsidRDefault="00D82365">
      <w:pPr>
        <w:jc w:val="left"/>
        <w:rPr>
          <w:rFonts w:ascii="Times New Roman" w:hAnsi="Times New Roman" w:cs="Times New Roman"/>
        </w:rPr>
      </w:pPr>
      <w:r>
        <w:rPr>
          <w:rFonts w:ascii="Times New Roman" w:hAnsi="Times New Roman" w:cs="Times New Roman"/>
        </w:rPr>
        <w:br w:type="page"/>
      </w:r>
    </w:p>
    <w:p w14:paraId="0BDC0621" w14:textId="3A54927B" w:rsidR="00D82365" w:rsidRPr="002838FB" w:rsidRDefault="00D82365" w:rsidP="002838FB">
      <w:pPr>
        <w:pStyle w:val="Heading1"/>
      </w:pPr>
      <w:bookmarkStart w:id="0" w:name="_Toc141738037"/>
      <w:r w:rsidRPr="002838FB">
        <w:lastRenderedPageBreak/>
        <w:t>Introduction</w:t>
      </w:r>
      <w:bookmarkEnd w:id="0"/>
    </w:p>
    <w:p w14:paraId="2AA2A3C3" w14:textId="486670D2" w:rsidR="00000000" w:rsidRPr="00D82365" w:rsidRDefault="00D82365" w:rsidP="00B93055">
      <w:pPr>
        <w:spacing w:after="0" w:line="360" w:lineRule="auto"/>
        <w:contextualSpacing/>
        <w:rPr>
          <w:rFonts w:ascii="Times New Roman" w:hAnsi="Times New Roman" w:cs="Times New Roman"/>
        </w:rPr>
      </w:pPr>
      <w:r w:rsidRPr="00D82365">
        <w:rPr>
          <w:rFonts w:ascii="Times New Roman" w:hAnsi="Times New Roman" w:cs="Times New Roman"/>
        </w:rPr>
        <w:t xml:space="preserve">Crown Prosecutors are the government's legal representatives in criminal cases. Several countries have what are called Crown Counsel or Crown Attorneys. The criminal justice system relies on them to ensure everyone is following the rules. Crown prosecutors are members of the prosecution team who are paid to produce fair decisions. Criminal prosecution is advocated for, and evidence is presented in court. Crown attorneys have several responsibilities in the criminal justice system. They go </w:t>
      </w:r>
      <w:r w:rsidR="00783201">
        <w:rPr>
          <w:rFonts w:ascii="Times New Roman" w:hAnsi="Times New Roman" w:cs="Times New Roman"/>
        </w:rPr>
        <w:t>through</w:t>
      </w:r>
      <w:r w:rsidRPr="00D82365">
        <w:rPr>
          <w:rFonts w:ascii="Times New Roman" w:hAnsi="Times New Roman" w:cs="Times New Roman"/>
        </w:rPr>
        <w:t xml:space="preserve"> the evidence collected by police enforcement very carefully to see whether there is enough there to press charges</w:t>
      </w:r>
      <w:r w:rsidR="002838FB">
        <w:rPr>
          <w:rFonts w:ascii="Times New Roman" w:hAnsi="Times New Roman" w:cs="Times New Roman"/>
        </w:rPr>
        <w:t xml:space="preserve"> (Green and Roiphe, 2020)</w:t>
      </w:r>
      <w:r w:rsidRPr="00D82365">
        <w:rPr>
          <w:rFonts w:ascii="Times New Roman" w:hAnsi="Times New Roman" w:cs="Times New Roman"/>
        </w:rPr>
        <w:t>. They investigate, analyse, and argue matters before the judge. Crown attorneys regularly use plea bargaining to get guilty verdicts. Outside of the courtroom, they may engage with victims and witnesses to ensure their safety and rights are respected. Crown attorneys defend the public and advocate for those who have been victimised by crime. Their objectivity promotes transparency and equity</w:t>
      </w:r>
      <w:r w:rsidR="002838FB">
        <w:rPr>
          <w:rFonts w:ascii="Times New Roman" w:hAnsi="Times New Roman" w:cs="Times New Roman"/>
        </w:rPr>
        <w:t xml:space="preserve"> (Wright, 2020)</w:t>
      </w:r>
      <w:r w:rsidRPr="00D82365">
        <w:rPr>
          <w:rFonts w:ascii="Times New Roman" w:hAnsi="Times New Roman" w:cs="Times New Roman"/>
        </w:rPr>
        <w:t>. To avoid wrong judgements and protect rights, they carefully evaluate evidence and apply legal concepts. Crown attorney plea deals save court time and improve resource distribution. Their dedication to justice and the rule of law is crucial to maintaining public trust in the judicial system.</w:t>
      </w:r>
    </w:p>
    <w:p w14:paraId="3F6AACCF" w14:textId="7A745B69" w:rsidR="00D82365" w:rsidRPr="00D82365" w:rsidRDefault="00D82365" w:rsidP="00D82365">
      <w:pPr>
        <w:spacing w:after="0" w:line="360" w:lineRule="auto"/>
        <w:contextualSpacing/>
        <w:rPr>
          <w:rFonts w:ascii="Times New Roman" w:hAnsi="Times New Roman" w:cs="Times New Roman"/>
        </w:rPr>
      </w:pPr>
    </w:p>
    <w:p w14:paraId="1914C2C5" w14:textId="77777777" w:rsidR="00D82365" w:rsidRPr="00D82365" w:rsidRDefault="00D82365" w:rsidP="002838FB">
      <w:pPr>
        <w:pStyle w:val="Heading1"/>
      </w:pPr>
      <w:bookmarkStart w:id="1" w:name="_Toc141738038"/>
      <w:r w:rsidRPr="00D82365">
        <w:t>The Charging Decision Process</w:t>
      </w:r>
      <w:bookmarkEnd w:id="1"/>
    </w:p>
    <w:p w14:paraId="55DF2236" w14:textId="7511E5C1" w:rsidR="00D82365" w:rsidRPr="00D82365" w:rsidRDefault="00D82365" w:rsidP="00B93055">
      <w:pPr>
        <w:spacing w:after="0" w:line="360" w:lineRule="auto"/>
        <w:contextualSpacing/>
        <w:rPr>
          <w:rFonts w:ascii="Times New Roman" w:hAnsi="Times New Roman" w:cs="Times New Roman"/>
        </w:rPr>
      </w:pPr>
      <w:r w:rsidRPr="00D82365">
        <w:rPr>
          <w:rFonts w:ascii="Times New Roman" w:hAnsi="Times New Roman" w:cs="Times New Roman"/>
        </w:rPr>
        <w:t>Throughout the charging determination process, Crown prosecutors consult with law enforcement to decide whether or not to press charges. This strategy weighs the public interest in prosecution against the quality and admissibility of the evidence. A criminal charge might lead to an investigation, trial, and eventual sentencing. Crown attorneys weigh several factors before deciding whether or not to file criminal charges</w:t>
      </w:r>
      <w:r w:rsidR="002838FB">
        <w:rPr>
          <w:rFonts w:ascii="Times New Roman" w:hAnsi="Times New Roman" w:cs="Times New Roman"/>
        </w:rPr>
        <w:t xml:space="preserve"> (Garrett and Mitchell, 2020)</w:t>
      </w:r>
      <w:r w:rsidRPr="00D82365">
        <w:rPr>
          <w:rFonts w:ascii="Times New Roman" w:hAnsi="Times New Roman" w:cs="Times New Roman"/>
        </w:rPr>
        <w:t>. For the Evidential Test to be successful, there must first be sufficient evidence for a conviction. False allegations are not included in this definition. Second, Crown Prosecutors consider the impact of the case on society by using the Public Interest Test. Consider the defendant's criminal record, the harm caused to victims and the community, and the severity of the offence. The Full Code Test states that prosecution must be both necessary and in the public interest before proceeding in England and Wales. The legal system should be employed only after all other options have been tried and failed. The England and Wales Code for Crown Prosecutors requires impartiality, quality, efficiency, and respect throughout the whole prosecution process, including charging judgements</w:t>
      </w:r>
      <w:r w:rsidR="002838FB">
        <w:rPr>
          <w:rFonts w:ascii="Times New Roman" w:hAnsi="Times New Roman" w:cs="Times New Roman"/>
        </w:rPr>
        <w:t xml:space="preserve"> (Davis and Wells, 2019)</w:t>
      </w:r>
      <w:r w:rsidRPr="00D82365">
        <w:rPr>
          <w:rFonts w:ascii="Times New Roman" w:hAnsi="Times New Roman" w:cs="Times New Roman"/>
        </w:rPr>
        <w:t xml:space="preserve">. Crown solicitors decide whether or not to file charges. They prevent baseless </w:t>
      </w:r>
      <w:r w:rsidRPr="00D82365">
        <w:rPr>
          <w:rFonts w:ascii="Times New Roman" w:hAnsi="Times New Roman" w:cs="Times New Roman"/>
        </w:rPr>
        <w:lastRenderedPageBreak/>
        <w:t>prosecutions and make objective judgements. Their expertise in the law allows them to accurately weigh the evidence, spot holes in the case, and gauge the likelihood of success in trial. In order to provide a fair and just legal system, it is necessary to consider the impact on the community, witnesses, and victims. After reviewing the evidence, Crown attorneys may ask for alternative sentencing options including community service or conditional discharges</w:t>
      </w:r>
      <w:r w:rsidR="002838FB">
        <w:rPr>
          <w:rFonts w:ascii="Times New Roman" w:hAnsi="Times New Roman" w:cs="Times New Roman"/>
        </w:rPr>
        <w:t xml:space="preserve"> (Jeffers, 2022)</w:t>
      </w:r>
      <w:r w:rsidRPr="00D82365">
        <w:rPr>
          <w:rFonts w:ascii="Times New Roman" w:hAnsi="Times New Roman" w:cs="Times New Roman"/>
        </w:rPr>
        <w:t>. Crown Prosecutors may consult with more senior colleagues or legal experts to ensure the charge choice is consistent with legal precedents and industry practises in high-stakes or unusual instances.</w:t>
      </w:r>
    </w:p>
    <w:p w14:paraId="482F1AC9" w14:textId="77777777" w:rsidR="00D82365" w:rsidRPr="00D82365" w:rsidRDefault="00D82365" w:rsidP="00D82365">
      <w:pPr>
        <w:spacing w:after="0" w:line="360" w:lineRule="auto"/>
        <w:contextualSpacing/>
        <w:rPr>
          <w:rFonts w:ascii="Times New Roman" w:hAnsi="Times New Roman" w:cs="Times New Roman"/>
        </w:rPr>
      </w:pPr>
    </w:p>
    <w:p w14:paraId="6C305C76" w14:textId="77777777" w:rsidR="00D82365" w:rsidRPr="00D82365" w:rsidRDefault="00D82365" w:rsidP="002838FB">
      <w:pPr>
        <w:pStyle w:val="Heading1"/>
      </w:pPr>
      <w:bookmarkStart w:id="2" w:name="_Toc141738039"/>
      <w:r w:rsidRPr="00D82365">
        <w:t>The Tests Used in Making Charging Decisions</w:t>
      </w:r>
      <w:bookmarkEnd w:id="2"/>
    </w:p>
    <w:p w14:paraId="5CE3BFA8" w14:textId="7FA33ECC" w:rsidR="00D82365" w:rsidRP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t>The Evidential Price Test affects pricing decisions. It determines whether or not there is enough evidence to go the case to trial. Crown prosecutors must examine all of the evidence acquired throughout an investigation and make a cautious determination as to whether or not it meets the legal standards for prosecution. There has to be enough proof to get a conviction in court. There should be good odds of success, but no guarantees</w:t>
      </w:r>
      <w:r w:rsidR="002838FB">
        <w:rPr>
          <w:rFonts w:ascii="Times New Roman" w:hAnsi="Times New Roman" w:cs="Times New Roman"/>
        </w:rPr>
        <w:t xml:space="preserve"> (Chorn and Kovera, 2019)</w:t>
      </w:r>
      <w:r w:rsidRPr="00D82365">
        <w:rPr>
          <w:rFonts w:ascii="Times New Roman" w:hAnsi="Times New Roman" w:cs="Times New Roman"/>
        </w:rPr>
        <w:t>. The prosecution must prove guilt beyond a shadow of a doubt. Crown Prosecutors may only use admissible evidence in the Evidential Test. The evidence must be valid, relevant, and obtained legitimately. In assessing charges, hearsay and other forms of invalid evidence are inadmissible. The need of a prosecution is measured against the public interest. A prosecution may be withdrawn notwithstanding substantial evidence if doing so would not be in line with justice and society</w:t>
      </w:r>
      <w:r w:rsidR="002838FB">
        <w:rPr>
          <w:rFonts w:ascii="Times New Roman" w:hAnsi="Times New Roman" w:cs="Times New Roman"/>
        </w:rPr>
        <w:t xml:space="preserve"> (Jeffers, 2022)</w:t>
      </w:r>
      <w:r w:rsidRPr="00D82365">
        <w:rPr>
          <w:rFonts w:ascii="Times New Roman" w:hAnsi="Times New Roman" w:cs="Times New Roman"/>
        </w:rPr>
        <w:t>. Crown attorneys always have the public interest in mind:</w:t>
      </w:r>
    </w:p>
    <w:p w14:paraId="26912D67" w14:textId="5327CDFC" w:rsidR="00D82365" w:rsidRPr="002838FB" w:rsidRDefault="00D82365" w:rsidP="002838FB">
      <w:pPr>
        <w:pStyle w:val="ListParagraph"/>
        <w:numPr>
          <w:ilvl w:val="0"/>
          <w:numId w:val="4"/>
        </w:numPr>
        <w:spacing w:after="0" w:line="360" w:lineRule="auto"/>
        <w:rPr>
          <w:rFonts w:ascii="Times New Roman" w:hAnsi="Times New Roman" w:cs="Times New Roman"/>
        </w:rPr>
      </w:pPr>
      <w:r w:rsidRPr="002838FB">
        <w:rPr>
          <w:rFonts w:ascii="Times New Roman" w:hAnsi="Times New Roman" w:cs="Times New Roman"/>
        </w:rPr>
        <w:t>Seriousness of the Offense: The magnitude of the claimed infraction and its societal ramifications are essential considerations in this study.</w:t>
      </w:r>
    </w:p>
    <w:p w14:paraId="2A8794FF" w14:textId="474B36C9" w:rsidR="00D82365" w:rsidRPr="002838FB" w:rsidRDefault="00D82365" w:rsidP="002838FB">
      <w:pPr>
        <w:pStyle w:val="ListParagraph"/>
        <w:numPr>
          <w:ilvl w:val="0"/>
          <w:numId w:val="4"/>
        </w:numPr>
        <w:spacing w:after="0" w:line="360" w:lineRule="auto"/>
        <w:rPr>
          <w:rFonts w:ascii="Times New Roman" w:hAnsi="Times New Roman" w:cs="Times New Roman"/>
        </w:rPr>
      </w:pPr>
      <w:r w:rsidRPr="002838FB">
        <w:rPr>
          <w:rFonts w:ascii="Times New Roman" w:hAnsi="Times New Roman" w:cs="Times New Roman"/>
        </w:rPr>
        <w:t>Impact on the Victim and Community: The victim and the community as a whole,</w:t>
      </w:r>
    </w:p>
    <w:p w14:paraId="2E6BC68A" w14:textId="77777777" w:rsidR="00D82365" w:rsidRPr="002838FB" w:rsidRDefault="00D82365" w:rsidP="002838FB">
      <w:pPr>
        <w:pStyle w:val="ListParagraph"/>
        <w:numPr>
          <w:ilvl w:val="0"/>
          <w:numId w:val="3"/>
        </w:numPr>
        <w:spacing w:after="0" w:line="360" w:lineRule="auto"/>
        <w:rPr>
          <w:rFonts w:ascii="Times New Roman" w:hAnsi="Times New Roman" w:cs="Times New Roman"/>
        </w:rPr>
      </w:pPr>
      <w:r w:rsidRPr="002838FB">
        <w:rPr>
          <w:rFonts w:ascii="Times New Roman" w:hAnsi="Times New Roman" w:cs="Times New Roman"/>
        </w:rPr>
        <w:t>particularly the most vulnerable members, are taken into account.</w:t>
      </w:r>
    </w:p>
    <w:p w14:paraId="77AC760B" w14:textId="5CF51B1B" w:rsidR="00D82365" w:rsidRPr="002838FB" w:rsidRDefault="00D82365" w:rsidP="002838FB">
      <w:pPr>
        <w:pStyle w:val="ListParagraph"/>
        <w:numPr>
          <w:ilvl w:val="0"/>
          <w:numId w:val="3"/>
        </w:numPr>
        <w:spacing w:after="0" w:line="360" w:lineRule="auto"/>
        <w:rPr>
          <w:rFonts w:ascii="Times New Roman" w:hAnsi="Times New Roman" w:cs="Times New Roman"/>
        </w:rPr>
      </w:pPr>
      <w:r w:rsidRPr="002838FB">
        <w:rPr>
          <w:rFonts w:ascii="Times New Roman" w:hAnsi="Times New Roman" w:cs="Times New Roman"/>
        </w:rPr>
        <w:t>Mitigating and Aggravating Factors: It gives a careful consideration to any circumstances that might either strengthen or weaken the defendant's guilt.</w:t>
      </w:r>
    </w:p>
    <w:p w14:paraId="2E398300" w14:textId="4E2F53AE" w:rsidR="00D82365" w:rsidRPr="002838FB" w:rsidRDefault="00D82365" w:rsidP="002838FB">
      <w:pPr>
        <w:pStyle w:val="ListParagraph"/>
        <w:numPr>
          <w:ilvl w:val="0"/>
          <w:numId w:val="3"/>
        </w:numPr>
        <w:spacing w:after="0" w:line="360" w:lineRule="auto"/>
        <w:rPr>
          <w:rFonts w:ascii="Times New Roman" w:hAnsi="Times New Roman" w:cs="Times New Roman"/>
        </w:rPr>
      </w:pPr>
      <w:r w:rsidRPr="002838FB">
        <w:rPr>
          <w:rFonts w:ascii="Times New Roman" w:hAnsi="Times New Roman" w:cs="Times New Roman"/>
        </w:rPr>
        <w:t>Defendant's Criminal History: The choice to pursue legal action against a person may be affected by their history of criminal behaviour.</w:t>
      </w:r>
    </w:p>
    <w:p w14:paraId="401F0F65" w14:textId="3583CF67" w:rsidR="00D82365" w:rsidRPr="002838FB" w:rsidRDefault="00D82365" w:rsidP="002838FB">
      <w:pPr>
        <w:pStyle w:val="ListParagraph"/>
        <w:numPr>
          <w:ilvl w:val="0"/>
          <w:numId w:val="3"/>
        </w:numPr>
        <w:spacing w:after="0" w:line="360" w:lineRule="auto"/>
        <w:rPr>
          <w:rFonts w:ascii="Times New Roman" w:hAnsi="Times New Roman" w:cs="Times New Roman"/>
        </w:rPr>
      </w:pPr>
      <w:r w:rsidRPr="002838FB">
        <w:rPr>
          <w:rFonts w:ascii="Times New Roman" w:hAnsi="Times New Roman" w:cs="Times New Roman"/>
        </w:rPr>
        <w:t>Other Relevant Considerations: It is possible to take into account other relevant case- specific variables.</w:t>
      </w:r>
    </w:p>
    <w:p w14:paraId="5873D2B9" w14:textId="469D359E" w:rsidR="00D82365" w:rsidRP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lastRenderedPageBreak/>
        <w:t>The English and Welsh law use the Full Code Test. It consists of the Public Interest Test and the Evidential Test. There can be no reasonable defence against prosecution under the Full Code Test</w:t>
      </w:r>
      <w:r w:rsidR="002838FB">
        <w:rPr>
          <w:rFonts w:ascii="Times New Roman" w:hAnsi="Times New Roman" w:cs="Times New Roman"/>
        </w:rPr>
        <w:t xml:space="preserve"> (Green and Roiphe, 2020)</w:t>
      </w:r>
      <w:r w:rsidRPr="00D82365">
        <w:rPr>
          <w:rFonts w:ascii="Times New Roman" w:hAnsi="Times New Roman" w:cs="Times New Roman"/>
        </w:rPr>
        <w:t>. Crown prosecutors are tasked with bringing charges that are commensurate with the gravity of the crime and the available evidence. Crown prosecutors make decisions based on the Crown Prosecutors Code's four pillars. It rests on these four foundations:</w:t>
      </w:r>
    </w:p>
    <w:p w14:paraId="6E67F0D3" w14:textId="3CB1FFA6" w:rsidR="00D82365" w:rsidRPr="002838FB" w:rsidRDefault="00D82365" w:rsidP="002838FB">
      <w:pPr>
        <w:pStyle w:val="ListParagraph"/>
        <w:numPr>
          <w:ilvl w:val="0"/>
          <w:numId w:val="2"/>
        </w:numPr>
        <w:spacing w:after="0" w:line="360" w:lineRule="auto"/>
        <w:rPr>
          <w:rFonts w:ascii="Times New Roman" w:hAnsi="Times New Roman" w:cs="Times New Roman"/>
        </w:rPr>
      </w:pPr>
      <w:r w:rsidRPr="002838FB">
        <w:rPr>
          <w:rFonts w:ascii="Times New Roman" w:hAnsi="Times New Roman" w:cs="Times New Roman"/>
        </w:rPr>
        <w:t>Fairness: The primary objective is to provide all parties a level playing field in the courtroom.</w:t>
      </w:r>
    </w:p>
    <w:p w14:paraId="248EC4E4" w14:textId="22725C72" w:rsidR="00D82365" w:rsidRPr="002838FB" w:rsidRDefault="00D82365" w:rsidP="002838FB">
      <w:pPr>
        <w:pStyle w:val="ListParagraph"/>
        <w:numPr>
          <w:ilvl w:val="0"/>
          <w:numId w:val="2"/>
        </w:numPr>
        <w:spacing w:after="0" w:line="360" w:lineRule="auto"/>
        <w:rPr>
          <w:rFonts w:ascii="Times New Roman" w:hAnsi="Times New Roman" w:cs="Times New Roman"/>
        </w:rPr>
      </w:pPr>
      <w:r w:rsidRPr="002838FB">
        <w:rPr>
          <w:rFonts w:ascii="Times New Roman" w:hAnsi="Times New Roman" w:cs="Times New Roman"/>
        </w:rPr>
        <w:t>Quality: Efforts made to ensure that the public's demands are met via prosecution are prioritised.</w:t>
      </w:r>
    </w:p>
    <w:p w14:paraId="14242A95" w14:textId="072A4AB6" w:rsidR="00D82365" w:rsidRPr="002838FB" w:rsidRDefault="00D82365" w:rsidP="002838FB">
      <w:pPr>
        <w:pStyle w:val="ListParagraph"/>
        <w:numPr>
          <w:ilvl w:val="0"/>
          <w:numId w:val="2"/>
        </w:numPr>
        <w:spacing w:after="0" w:line="360" w:lineRule="auto"/>
        <w:rPr>
          <w:rFonts w:ascii="Times New Roman" w:hAnsi="Times New Roman" w:cs="Times New Roman"/>
        </w:rPr>
      </w:pPr>
      <w:r w:rsidRPr="002838FB">
        <w:rPr>
          <w:rFonts w:ascii="Times New Roman" w:hAnsi="Times New Roman" w:cs="Times New Roman"/>
        </w:rPr>
        <w:t>Timeliness: The purpose is to pursue efficient prosecution in an effort to speed up the court process.</w:t>
      </w:r>
    </w:p>
    <w:p w14:paraId="4A82621B" w14:textId="61B88263" w:rsidR="00D82365" w:rsidRPr="002838FB" w:rsidRDefault="00D82365" w:rsidP="002838FB">
      <w:pPr>
        <w:pStyle w:val="ListParagraph"/>
        <w:numPr>
          <w:ilvl w:val="0"/>
          <w:numId w:val="2"/>
        </w:numPr>
        <w:spacing w:after="0" w:line="360" w:lineRule="auto"/>
        <w:rPr>
          <w:rFonts w:ascii="Times New Roman" w:hAnsi="Times New Roman" w:cs="Times New Roman"/>
        </w:rPr>
      </w:pPr>
      <w:r w:rsidRPr="002838FB">
        <w:rPr>
          <w:rFonts w:ascii="Times New Roman" w:hAnsi="Times New Roman" w:cs="Times New Roman"/>
        </w:rPr>
        <w:t>Respect: Make sure everyone involved, from suspects to witnesses to victims, is handled with dignity and compassion.</w:t>
      </w:r>
    </w:p>
    <w:p w14:paraId="06FA86B2" w14:textId="3FD2B2F2" w:rsidR="00D82365" w:rsidRP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t>Prosecutors from the Crown's office may look at diversion schemes, which direct certain offenders away from prosecution and towards rehabilitation or community service. Outside of court, criminals are restricted by conditional cautions</w:t>
      </w:r>
      <w:r w:rsidR="002838FB">
        <w:rPr>
          <w:rFonts w:ascii="Times New Roman" w:hAnsi="Times New Roman" w:cs="Times New Roman"/>
        </w:rPr>
        <w:t xml:space="preserve"> (Goodman, 2019)</w:t>
      </w:r>
      <w:r w:rsidRPr="00D82365">
        <w:rPr>
          <w:rFonts w:ascii="Times New Roman" w:hAnsi="Times New Roman" w:cs="Times New Roman"/>
        </w:rPr>
        <w:t>. The regulations forbid any kind of formal prosecution. A trial may be avoided if the prosecution and defence can negotiate a plea bargain for a lesser charge or a reduced sentence.</w:t>
      </w:r>
    </w:p>
    <w:p w14:paraId="630163E8" w14:textId="77777777" w:rsidR="00D82365" w:rsidRPr="00D82365" w:rsidRDefault="00D82365" w:rsidP="00D82365">
      <w:pPr>
        <w:spacing w:after="0" w:line="360" w:lineRule="auto"/>
        <w:contextualSpacing/>
        <w:rPr>
          <w:rFonts w:ascii="Times New Roman" w:hAnsi="Times New Roman" w:cs="Times New Roman"/>
        </w:rPr>
      </w:pPr>
    </w:p>
    <w:p w14:paraId="540E08D2" w14:textId="77777777" w:rsidR="00D82365" w:rsidRPr="00D82365" w:rsidRDefault="00D82365" w:rsidP="002838FB">
      <w:pPr>
        <w:pStyle w:val="Heading1"/>
      </w:pPr>
      <w:bookmarkStart w:id="3" w:name="_Toc141738040"/>
      <w:r w:rsidRPr="00D82365">
        <w:t>Role of Case Law and Legal Precedents</w:t>
      </w:r>
      <w:bookmarkEnd w:id="3"/>
    </w:p>
    <w:p w14:paraId="21AAD6FF" w14:textId="5DDAEF1B" w:rsidR="00D82365" w:rsidRP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t>Indictments and legal precepts are shaped by seminal instances. These cases either provide novel legal questions or interpretations that have an impact on how Crown Prosecutors approach cases with similar facts. In the sake of fairness and uniformity, lesser courts and prosecutors often look to the decisions of higher courts as a guide. The Evidential Test might be affected by a scope of community-wide concerns may be illuminated through seminal instances. The Crown Prosecution Service uses these examples to guide its decisions</w:t>
      </w:r>
      <w:r w:rsidR="002838FB">
        <w:rPr>
          <w:rFonts w:ascii="Times New Roman" w:hAnsi="Times New Roman" w:cs="Times New Roman"/>
        </w:rPr>
        <w:t xml:space="preserve"> (Jeffers, 2022)</w:t>
      </w:r>
      <w:r w:rsidRPr="00D82365">
        <w:rPr>
          <w:rFonts w:ascii="Times New Roman" w:hAnsi="Times New Roman" w:cs="Times New Roman"/>
        </w:rPr>
        <w:t xml:space="preserve">. The standards used to establish guilt or innocence vary widely between jurisdictions, cultures, and legal codes. Although they have certain similarities, the Evidential Test and the Public Interest Test should not be used interchangeably. Crown Prosecutors examine facts and public interest in light of local laws. The Full Code Test provides extensive guidance on necessity and appropriate channel issues in England and Wales. It's possible that other legal systems' approaches or criteria are different. To guarantee </w:t>
      </w:r>
      <w:r w:rsidRPr="00D82365">
        <w:rPr>
          <w:rFonts w:ascii="Times New Roman" w:hAnsi="Times New Roman" w:cs="Times New Roman"/>
        </w:rPr>
        <w:lastRenderedPageBreak/>
        <w:t>that charge judgements are consistent with modern legal norms and interpretations, Crown prosecutors must stay abreast of the evolving body of case law in their respective jurisdictions</w:t>
      </w:r>
      <w:r w:rsidR="002838FB">
        <w:rPr>
          <w:rFonts w:ascii="Times New Roman" w:hAnsi="Times New Roman" w:cs="Times New Roman"/>
        </w:rPr>
        <w:t xml:space="preserve"> (Wright, 2020)</w:t>
      </w:r>
      <w:r w:rsidRPr="00D82365">
        <w:rPr>
          <w:rFonts w:ascii="Times New Roman" w:hAnsi="Times New Roman" w:cs="Times New Roman"/>
        </w:rPr>
        <w:t>.</w:t>
      </w:r>
    </w:p>
    <w:p w14:paraId="463BF26A" w14:textId="77777777" w:rsidR="00D82365" w:rsidRPr="00D82365" w:rsidRDefault="00D82365" w:rsidP="00D82365">
      <w:pPr>
        <w:spacing w:after="0" w:line="360" w:lineRule="auto"/>
        <w:contextualSpacing/>
        <w:rPr>
          <w:rFonts w:ascii="Times New Roman" w:hAnsi="Times New Roman" w:cs="Times New Roman"/>
        </w:rPr>
      </w:pPr>
    </w:p>
    <w:p w14:paraId="3206C99B" w14:textId="77777777" w:rsidR="00D82365" w:rsidRPr="00D82365" w:rsidRDefault="00D82365" w:rsidP="002838FB">
      <w:pPr>
        <w:pStyle w:val="Heading1"/>
      </w:pPr>
      <w:bookmarkStart w:id="4" w:name="_Toc141738041"/>
      <w:r w:rsidRPr="00D82365">
        <w:t>Challenges and Criticisms</w:t>
      </w:r>
      <w:bookmarkEnd w:id="4"/>
    </w:p>
    <w:p w14:paraId="49711866" w14:textId="0C499C7B" w:rsidR="00D82365" w:rsidRP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t>When deciding on charges, prosecutors have some leeway, which might lead to prejudice or inconsistency. Plea deals that raise allegations of bias on the part of the Crown Prosecution Service may be sought, abandoned, or negotiated. Critics argue that a lack of norms and control threatens fairness and equal protection under the law. Prosecutors for the Crown have comparable difficulties. Lack of resources and a high volume of cases might create delays in the processing of criminal cases</w:t>
      </w:r>
      <w:r w:rsidR="002838FB">
        <w:rPr>
          <w:rFonts w:ascii="Times New Roman" w:hAnsi="Times New Roman" w:cs="Times New Roman"/>
        </w:rPr>
        <w:t xml:space="preserve"> (Green and Roiphe, 2020)</w:t>
      </w:r>
      <w:r w:rsidRPr="00D82365">
        <w:rPr>
          <w:rFonts w:ascii="Times New Roman" w:hAnsi="Times New Roman" w:cs="Times New Roman"/>
        </w:rPr>
        <w:t>. Decisions involving evidence reviews, plea negotiations, and other processes might be rushed if funds were cut. The victims, the defendants, and the community might all suffer as a result of this. The public's ability to see difficult decisions permits criticism of either lenient or punishing decisions. Crown attorneys are responsible for striking a fair balance between the public interest and individual rights. Public faith in the justice system depends on accountability and transparency. The motives of charge judgements may be questioned by sceptics who believe they were influenced improperly or politically</w:t>
      </w:r>
      <w:r w:rsidR="002838FB">
        <w:rPr>
          <w:rFonts w:ascii="Times New Roman" w:hAnsi="Times New Roman" w:cs="Times New Roman"/>
        </w:rPr>
        <w:t xml:space="preserve"> (Wright, 2020)</w:t>
      </w:r>
      <w:r w:rsidRPr="00D82365">
        <w:rPr>
          <w:rFonts w:ascii="Times New Roman" w:hAnsi="Times New Roman" w:cs="Times New Roman"/>
        </w:rPr>
        <w:t>.</w:t>
      </w:r>
    </w:p>
    <w:p w14:paraId="1C3FB709" w14:textId="77777777" w:rsidR="00D82365" w:rsidRPr="00D82365" w:rsidRDefault="00D82365" w:rsidP="00D82365">
      <w:pPr>
        <w:spacing w:after="0" w:line="360" w:lineRule="auto"/>
        <w:contextualSpacing/>
        <w:rPr>
          <w:rFonts w:ascii="Times New Roman" w:hAnsi="Times New Roman" w:cs="Times New Roman"/>
        </w:rPr>
      </w:pPr>
    </w:p>
    <w:p w14:paraId="12C1D9C6" w14:textId="77777777" w:rsidR="00D82365" w:rsidRPr="00D82365" w:rsidRDefault="00D82365" w:rsidP="002838FB">
      <w:pPr>
        <w:pStyle w:val="Heading1"/>
      </w:pPr>
      <w:bookmarkStart w:id="5" w:name="_Toc141738042"/>
      <w:r w:rsidRPr="00D82365">
        <w:t>Future Reforms and Improvements</w:t>
      </w:r>
      <w:bookmarkEnd w:id="5"/>
    </w:p>
    <w:p w14:paraId="732C2CAC" w14:textId="6099B64A" w:rsidR="00D82365" w:rsidRP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t>Billing options have improved in recent years, becoming more transparent, fair, and responsible. Many countries place a premium on using statistics to inform their efforts to understand the impact of prosecution decisions on marginalised groups. In order to relieve pressure on the criminal justice system, more nonviolent and minor crimes need to be diverted from prosecution. Valuable advice has been provided to enhance the price decision-making process</w:t>
      </w:r>
      <w:r w:rsidR="002838FB">
        <w:rPr>
          <w:rFonts w:ascii="Times New Roman" w:hAnsi="Times New Roman" w:cs="Times New Roman"/>
        </w:rPr>
        <w:t xml:space="preserve"> (Davis and Wells, 2019)</w:t>
      </w:r>
      <w:r w:rsidRPr="00D82365">
        <w:rPr>
          <w:rFonts w:ascii="Times New Roman" w:hAnsi="Times New Roman" w:cs="Times New Roman"/>
        </w:rPr>
        <w:t>. The crown is normal in appearance. Prosecutor requirements might lead to more transparency and less prejudice. Training in cultural awareness, bias awareness, and the evaluation of facts all contribute to more unbiased judgement. Prosecutors may do well to promote their work with law enforcement and victim advocacy groups. In order to make better, more data-driven decisions, it may be beneficial to invest in better tools for data collection and case management. The credibility of the criminal justice system might be bolstered by encouraging public engagement and providing more detail about charge choices</w:t>
      </w:r>
      <w:r w:rsidR="002838FB">
        <w:rPr>
          <w:rFonts w:ascii="Times New Roman" w:hAnsi="Times New Roman" w:cs="Times New Roman"/>
        </w:rPr>
        <w:t xml:space="preserve"> (Garrett and Mitchell, 2020)</w:t>
      </w:r>
      <w:r w:rsidRPr="00D82365">
        <w:rPr>
          <w:rFonts w:ascii="Times New Roman" w:hAnsi="Times New Roman" w:cs="Times New Roman"/>
        </w:rPr>
        <w:t>.</w:t>
      </w:r>
    </w:p>
    <w:p w14:paraId="3A5621CB" w14:textId="77777777" w:rsidR="00D82365" w:rsidRPr="00D82365" w:rsidRDefault="00D82365" w:rsidP="002838FB">
      <w:pPr>
        <w:pStyle w:val="Heading1"/>
      </w:pPr>
      <w:bookmarkStart w:id="6" w:name="_Toc141738043"/>
      <w:r w:rsidRPr="00D82365">
        <w:lastRenderedPageBreak/>
        <w:t>Conclusion</w:t>
      </w:r>
      <w:bookmarkEnd w:id="6"/>
    </w:p>
    <w:p w14:paraId="13733DA9" w14:textId="7EB274E1" w:rsidR="00D82365" w:rsidRDefault="00D82365" w:rsidP="00D82365">
      <w:pPr>
        <w:spacing w:after="0" w:line="360" w:lineRule="auto"/>
        <w:contextualSpacing/>
        <w:rPr>
          <w:rFonts w:ascii="Times New Roman" w:hAnsi="Times New Roman" w:cs="Times New Roman"/>
        </w:rPr>
      </w:pPr>
      <w:r w:rsidRPr="00D82365">
        <w:rPr>
          <w:rFonts w:ascii="Times New Roman" w:hAnsi="Times New Roman" w:cs="Times New Roman"/>
        </w:rPr>
        <w:t>Criminal law and procedure are within the purview of Crown Prosecutors. Crown attorneys ensure that everyone gets their day in court. When deciding whether or not to press charges, the evidential and public interest tests are used. Prosecutors provide evidence in court, file charges against criminals, and seek justice for victims and the community as a whole. To promote justice, quality, promptness, and respect with victims, witnesses, and law enforcement is central to the Crown Prosecutor's Code of Conduct. Fair and well-informed charging judgements are necessary to preserve the rule of law and public confidence in the justice system. When deciding which cases to bring to trial, Crown prosecutors must adhere to the law and use uniform standards. To guarantee that resources are spent efficiently and that prosecutions serve society, it is necessary to pay attention to the public interest. The rights of the accused are protected, victims are helped, and the criminal justice system is bolstered when charging decisions are made fairly. Crown prosecutors serve as stewards of the criminal justice system, ensuring its fairness and reliability.</w:t>
      </w:r>
    </w:p>
    <w:p w14:paraId="1F3AE516" w14:textId="31732E85" w:rsidR="00D82365" w:rsidRDefault="00D82365" w:rsidP="00D82365">
      <w:pPr>
        <w:spacing w:after="0" w:line="360" w:lineRule="auto"/>
        <w:contextualSpacing/>
        <w:rPr>
          <w:rFonts w:ascii="Times New Roman" w:hAnsi="Times New Roman" w:cs="Times New Roman"/>
        </w:rPr>
      </w:pPr>
    </w:p>
    <w:p w14:paraId="2ACC80A1" w14:textId="026F71F0" w:rsidR="00D82365" w:rsidRDefault="00D82365">
      <w:pPr>
        <w:jc w:val="left"/>
        <w:rPr>
          <w:rFonts w:ascii="Times New Roman" w:hAnsi="Times New Roman" w:cs="Times New Roman"/>
        </w:rPr>
      </w:pPr>
      <w:r>
        <w:rPr>
          <w:rFonts w:ascii="Times New Roman" w:hAnsi="Times New Roman" w:cs="Times New Roman"/>
        </w:rPr>
        <w:br w:type="page"/>
      </w:r>
    </w:p>
    <w:p w14:paraId="0872C8AD" w14:textId="7BDA1E28" w:rsidR="00D82365" w:rsidRPr="002838FB" w:rsidRDefault="00D82365" w:rsidP="002838FB">
      <w:pPr>
        <w:pStyle w:val="Heading1"/>
        <w:jc w:val="center"/>
        <w:rPr>
          <w:i w:val="0"/>
          <w:iCs w:val="0"/>
        </w:rPr>
      </w:pPr>
      <w:bookmarkStart w:id="7" w:name="_Toc141738044"/>
      <w:r w:rsidRPr="002838FB">
        <w:rPr>
          <w:i w:val="0"/>
          <w:iCs w:val="0"/>
        </w:rPr>
        <w:lastRenderedPageBreak/>
        <w:t>References</w:t>
      </w:r>
      <w:bookmarkEnd w:id="7"/>
    </w:p>
    <w:p w14:paraId="79C3D299" w14:textId="68733157" w:rsidR="00D82365" w:rsidRDefault="00D82365" w:rsidP="00D82365">
      <w:pPr>
        <w:spacing w:after="0" w:line="360" w:lineRule="auto"/>
        <w:contextualSpacing/>
        <w:jc w:val="center"/>
        <w:rPr>
          <w:rFonts w:ascii="Times New Roman" w:hAnsi="Times New Roman" w:cs="Times New Roman"/>
        </w:rPr>
      </w:pPr>
    </w:p>
    <w:p w14:paraId="4B6D2524"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Chorn, J.A. and Kovera, M.B., 2019. Variations in reliability and validity do not influence judge, attorney, and mock juror decisions about psychological expert evidence. </w:t>
      </w:r>
      <w:r w:rsidRPr="002838FB">
        <w:rPr>
          <w:rFonts w:ascii="Times New Roman" w:hAnsi="Times New Roman" w:cs="Times New Roman"/>
          <w:i/>
          <w:iCs/>
        </w:rPr>
        <w:t>Law and human behavior</w:t>
      </w:r>
      <w:r w:rsidRPr="002838FB">
        <w:rPr>
          <w:rFonts w:ascii="Times New Roman" w:hAnsi="Times New Roman" w:cs="Times New Roman"/>
        </w:rPr>
        <w:t xml:space="preserve">, </w:t>
      </w:r>
      <w:r w:rsidRPr="002838FB">
        <w:rPr>
          <w:rFonts w:ascii="Times New Roman" w:hAnsi="Times New Roman" w:cs="Times New Roman"/>
          <w:i/>
          <w:iCs/>
        </w:rPr>
        <w:t>43</w:t>
      </w:r>
      <w:r w:rsidRPr="002838FB">
        <w:rPr>
          <w:rFonts w:ascii="Times New Roman" w:hAnsi="Times New Roman" w:cs="Times New Roman"/>
        </w:rPr>
        <w:t>(6), p.542.</w:t>
      </w:r>
    </w:p>
    <w:p w14:paraId="3536BBFB"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Davis, R.C. and Wells, W., 2019. DNA testing in sexual assault cases: When do the benefits outweigh the costs?. </w:t>
      </w:r>
      <w:r w:rsidRPr="002838FB">
        <w:rPr>
          <w:rFonts w:ascii="Times New Roman" w:hAnsi="Times New Roman" w:cs="Times New Roman"/>
          <w:i/>
          <w:iCs/>
        </w:rPr>
        <w:t>Forensic science international</w:t>
      </w:r>
      <w:r w:rsidRPr="002838FB">
        <w:rPr>
          <w:rFonts w:ascii="Times New Roman" w:hAnsi="Times New Roman" w:cs="Times New Roman"/>
        </w:rPr>
        <w:t xml:space="preserve">, </w:t>
      </w:r>
      <w:r w:rsidRPr="002838FB">
        <w:rPr>
          <w:rFonts w:ascii="Times New Roman" w:hAnsi="Times New Roman" w:cs="Times New Roman"/>
          <w:i/>
          <w:iCs/>
        </w:rPr>
        <w:t>299</w:t>
      </w:r>
      <w:r w:rsidRPr="002838FB">
        <w:rPr>
          <w:rFonts w:ascii="Times New Roman" w:hAnsi="Times New Roman" w:cs="Times New Roman"/>
        </w:rPr>
        <w:t>, pp.44-48.</w:t>
      </w:r>
    </w:p>
    <w:p w14:paraId="0FD6673A"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Garrett, B.L. and Mitchell, G., 2020. Testing compliance. </w:t>
      </w:r>
      <w:r w:rsidRPr="002838FB">
        <w:rPr>
          <w:rFonts w:ascii="Times New Roman" w:hAnsi="Times New Roman" w:cs="Times New Roman"/>
          <w:i/>
          <w:iCs/>
        </w:rPr>
        <w:t>Law &amp; Contemp. Probs.</w:t>
      </w:r>
      <w:r w:rsidRPr="002838FB">
        <w:rPr>
          <w:rFonts w:ascii="Times New Roman" w:hAnsi="Times New Roman" w:cs="Times New Roman"/>
        </w:rPr>
        <w:t xml:space="preserve">, </w:t>
      </w:r>
      <w:r w:rsidRPr="002838FB">
        <w:rPr>
          <w:rFonts w:ascii="Times New Roman" w:hAnsi="Times New Roman" w:cs="Times New Roman"/>
          <w:i/>
          <w:iCs/>
        </w:rPr>
        <w:t>83</w:t>
      </w:r>
      <w:r w:rsidRPr="002838FB">
        <w:rPr>
          <w:rFonts w:ascii="Times New Roman" w:hAnsi="Times New Roman" w:cs="Times New Roman"/>
        </w:rPr>
        <w:t>, p.47.</w:t>
      </w:r>
    </w:p>
    <w:p w14:paraId="2F42C3C9"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Goodman, C.C., 2019. AI/Esq.: Impacts of artificial intelligence in lawyer-client relationships. </w:t>
      </w:r>
      <w:r w:rsidRPr="002838FB">
        <w:rPr>
          <w:rFonts w:ascii="Times New Roman" w:hAnsi="Times New Roman" w:cs="Times New Roman"/>
          <w:i/>
          <w:iCs/>
        </w:rPr>
        <w:t>Okla. L. Rev.</w:t>
      </w:r>
      <w:r w:rsidRPr="002838FB">
        <w:rPr>
          <w:rFonts w:ascii="Times New Roman" w:hAnsi="Times New Roman" w:cs="Times New Roman"/>
        </w:rPr>
        <w:t xml:space="preserve">, </w:t>
      </w:r>
      <w:r w:rsidRPr="002838FB">
        <w:rPr>
          <w:rFonts w:ascii="Times New Roman" w:hAnsi="Times New Roman" w:cs="Times New Roman"/>
          <w:i/>
          <w:iCs/>
        </w:rPr>
        <w:t>72</w:t>
      </w:r>
      <w:r w:rsidRPr="002838FB">
        <w:rPr>
          <w:rFonts w:ascii="Times New Roman" w:hAnsi="Times New Roman" w:cs="Times New Roman"/>
        </w:rPr>
        <w:t>, p.149.</w:t>
      </w:r>
    </w:p>
    <w:p w14:paraId="2F5DB3D6"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Green, B.A. and Roiphe, R., 2020. When prosecutors politick: Progressive law enforcers then and now. </w:t>
      </w:r>
      <w:r w:rsidRPr="002838FB">
        <w:rPr>
          <w:rFonts w:ascii="Times New Roman" w:hAnsi="Times New Roman" w:cs="Times New Roman"/>
          <w:i/>
          <w:iCs/>
        </w:rPr>
        <w:t>J. Crim. L. &amp; Criminology</w:t>
      </w:r>
      <w:r w:rsidRPr="002838FB">
        <w:rPr>
          <w:rFonts w:ascii="Times New Roman" w:hAnsi="Times New Roman" w:cs="Times New Roman"/>
        </w:rPr>
        <w:t xml:space="preserve">, </w:t>
      </w:r>
      <w:r w:rsidRPr="002838FB">
        <w:rPr>
          <w:rFonts w:ascii="Times New Roman" w:hAnsi="Times New Roman" w:cs="Times New Roman"/>
          <w:i/>
          <w:iCs/>
        </w:rPr>
        <w:t>110</w:t>
      </w:r>
      <w:r w:rsidRPr="002838FB">
        <w:rPr>
          <w:rFonts w:ascii="Times New Roman" w:hAnsi="Times New Roman" w:cs="Times New Roman"/>
        </w:rPr>
        <w:t>, p.719.</w:t>
      </w:r>
    </w:p>
    <w:p w14:paraId="38C8ECF6"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Jeffers, J.L., 2022. Justice is not blind: Disproportionate incarceration rate of people of color. In </w:t>
      </w:r>
      <w:r w:rsidRPr="002838FB">
        <w:rPr>
          <w:rFonts w:ascii="Times New Roman" w:hAnsi="Times New Roman" w:cs="Times New Roman"/>
          <w:i/>
          <w:iCs/>
        </w:rPr>
        <w:t>Race and Social Policy</w:t>
      </w:r>
      <w:r w:rsidRPr="002838FB">
        <w:rPr>
          <w:rFonts w:ascii="Times New Roman" w:hAnsi="Times New Roman" w:cs="Times New Roman"/>
        </w:rPr>
        <w:t xml:space="preserve"> (pp. 113-121). Routledge.</w:t>
      </w:r>
    </w:p>
    <w:p w14:paraId="0F377981" w14:textId="77777777" w:rsidR="002838FB" w:rsidRPr="002838FB" w:rsidRDefault="002838FB" w:rsidP="002838FB">
      <w:pPr>
        <w:spacing w:after="0" w:line="360" w:lineRule="auto"/>
        <w:ind w:left="720" w:hanging="720"/>
        <w:contextualSpacing/>
        <w:rPr>
          <w:rFonts w:ascii="Times New Roman" w:hAnsi="Times New Roman" w:cs="Times New Roman"/>
        </w:rPr>
      </w:pPr>
      <w:r w:rsidRPr="002838FB">
        <w:rPr>
          <w:rFonts w:ascii="Times New Roman" w:hAnsi="Times New Roman" w:cs="Times New Roman"/>
        </w:rPr>
        <w:t xml:space="preserve">Wright, R.F., 2020. Prosecutors and their state and local polities. </w:t>
      </w:r>
      <w:r w:rsidRPr="002838FB">
        <w:rPr>
          <w:rFonts w:ascii="Times New Roman" w:hAnsi="Times New Roman" w:cs="Times New Roman"/>
          <w:i/>
          <w:iCs/>
        </w:rPr>
        <w:t>The Journal of Criminal Law and Criminology (1973-)</w:t>
      </w:r>
      <w:r w:rsidRPr="002838FB">
        <w:rPr>
          <w:rFonts w:ascii="Times New Roman" w:hAnsi="Times New Roman" w:cs="Times New Roman"/>
        </w:rPr>
        <w:t xml:space="preserve">, </w:t>
      </w:r>
      <w:r w:rsidRPr="002838FB">
        <w:rPr>
          <w:rFonts w:ascii="Times New Roman" w:hAnsi="Times New Roman" w:cs="Times New Roman"/>
          <w:i/>
          <w:iCs/>
        </w:rPr>
        <w:t>110</w:t>
      </w:r>
      <w:r w:rsidRPr="002838FB">
        <w:rPr>
          <w:rFonts w:ascii="Times New Roman" w:hAnsi="Times New Roman" w:cs="Times New Roman"/>
        </w:rPr>
        <w:t>(4), pp.823-858.</w:t>
      </w:r>
    </w:p>
    <w:p w14:paraId="2638B6E4" w14:textId="77777777" w:rsidR="00D82365" w:rsidRPr="00D82365" w:rsidRDefault="00D82365" w:rsidP="002838FB">
      <w:pPr>
        <w:spacing w:after="0" w:line="360" w:lineRule="auto"/>
        <w:ind w:left="720" w:hanging="720"/>
        <w:contextualSpacing/>
        <w:rPr>
          <w:rFonts w:ascii="Times New Roman" w:hAnsi="Times New Roman" w:cs="Times New Roman"/>
        </w:rPr>
      </w:pPr>
    </w:p>
    <w:sectPr w:rsidR="00D82365" w:rsidRPr="00D82365" w:rsidSect="00D82365">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BA177" w14:textId="77777777" w:rsidR="001B694D" w:rsidRDefault="001B694D" w:rsidP="00D82365">
      <w:pPr>
        <w:spacing w:after="0" w:line="240" w:lineRule="auto"/>
      </w:pPr>
      <w:r>
        <w:separator/>
      </w:r>
    </w:p>
  </w:endnote>
  <w:endnote w:type="continuationSeparator" w:id="0">
    <w:p w14:paraId="76F592E3" w14:textId="77777777" w:rsidR="001B694D" w:rsidRDefault="001B694D" w:rsidP="00D82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4B930" w14:textId="77777777" w:rsidR="001B694D" w:rsidRDefault="001B694D" w:rsidP="00D82365">
      <w:pPr>
        <w:spacing w:after="0" w:line="240" w:lineRule="auto"/>
      </w:pPr>
      <w:r>
        <w:separator/>
      </w:r>
    </w:p>
  </w:footnote>
  <w:footnote w:type="continuationSeparator" w:id="0">
    <w:p w14:paraId="7A4E8087" w14:textId="77777777" w:rsidR="001B694D" w:rsidRDefault="001B694D" w:rsidP="00D823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002736933"/>
      <w:docPartObj>
        <w:docPartGallery w:val="Page Numbers (Top of Page)"/>
        <w:docPartUnique/>
      </w:docPartObj>
    </w:sdtPr>
    <w:sdtEndPr>
      <w:rPr>
        <w:noProof/>
      </w:rPr>
    </w:sdtEndPr>
    <w:sdtContent>
      <w:p w14:paraId="3F0C69AA" w14:textId="2B40703A" w:rsidR="00D82365" w:rsidRPr="00D82365" w:rsidRDefault="00D82365">
        <w:pPr>
          <w:pStyle w:val="Header"/>
          <w:jc w:val="right"/>
          <w:rPr>
            <w:rFonts w:ascii="Times New Roman" w:hAnsi="Times New Roman" w:cs="Times New Roman"/>
          </w:rPr>
        </w:pPr>
        <w:r w:rsidRPr="00D82365">
          <w:rPr>
            <w:rFonts w:ascii="Times New Roman" w:hAnsi="Times New Roman" w:cs="Times New Roman"/>
          </w:rPr>
          <w:fldChar w:fldCharType="begin"/>
        </w:r>
        <w:r w:rsidRPr="00D82365">
          <w:rPr>
            <w:rFonts w:ascii="Times New Roman" w:hAnsi="Times New Roman" w:cs="Times New Roman"/>
          </w:rPr>
          <w:instrText xml:space="preserve"> PAGE   \* MERGEFORMAT </w:instrText>
        </w:r>
        <w:r w:rsidRPr="00D82365">
          <w:rPr>
            <w:rFonts w:ascii="Times New Roman" w:hAnsi="Times New Roman" w:cs="Times New Roman"/>
          </w:rPr>
          <w:fldChar w:fldCharType="separate"/>
        </w:r>
        <w:r w:rsidRPr="00D82365">
          <w:rPr>
            <w:rFonts w:ascii="Times New Roman" w:hAnsi="Times New Roman" w:cs="Times New Roman"/>
            <w:noProof/>
          </w:rPr>
          <w:t>2</w:t>
        </w:r>
        <w:r w:rsidRPr="00D82365">
          <w:rPr>
            <w:rFonts w:ascii="Times New Roman" w:hAnsi="Times New Roman" w:cs="Times New Roman"/>
            <w:noProof/>
          </w:rPr>
          <w:fldChar w:fldCharType="end"/>
        </w:r>
      </w:p>
    </w:sdtContent>
  </w:sdt>
  <w:p w14:paraId="1F9EA273" w14:textId="77777777" w:rsidR="00D82365" w:rsidRPr="00D82365" w:rsidRDefault="00D82365">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96175"/>
    <w:multiLevelType w:val="hybridMultilevel"/>
    <w:tmpl w:val="0D02713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745F2E"/>
    <w:multiLevelType w:val="hybridMultilevel"/>
    <w:tmpl w:val="5B34469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151F48"/>
    <w:multiLevelType w:val="hybridMultilevel"/>
    <w:tmpl w:val="43EAEB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54E7ADB"/>
    <w:multiLevelType w:val="hybridMultilevel"/>
    <w:tmpl w:val="F8D4A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29672902">
    <w:abstractNumId w:val="3"/>
  </w:num>
  <w:num w:numId="2" w16cid:durableId="1957175870">
    <w:abstractNumId w:val="0"/>
  </w:num>
  <w:num w:numId="3" w16cid:durableId="312490224">
    <w:abstractNumId w:val="1"/>
  </w:num>
  <w:num w:numId="4" w16cid:durableId="16492436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365"/>
    <w:rsid w:val="00026BB7"/>
    <w:rsid w:val="0015407B"/>
    <w:rsid w:val="001B694D"/>
    <w:rsid w:val="001D3710"/>
    <w:rsid w:val="00220024"/>
    <w:rsid w:val="002838FB"/>
    <w:rsid w:val="00296847"/>
    <w:rsid w:val="003728F1"/>
    <w:rsid w:val="005C2557"/>
    <w:rsid w:val="005F6D8B"/>
    <w:rsid w:val="00621143"/>
    <w:rsid w:val="006D07F9"/>
    <w:rsid w:val="006D26EB"/>
    <w:rsid w:val="00731FCA"/>
    <w:rsid w:val="00783201"/>
    <w:rsid w:val="007D3B6C"/>
    <w:rsid w:val="009F57A7"/>
    <w:rsid w:val="00B93055"/>
    <w:rsid w:val="00D82365"/>
    <w:rsid w:val="00E2517D"/>
    <w:rsid w:val="00E37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24274"/>
  <w15:chartTrackingRefBased/>
  <w15:docId w15:val="{8B808BE9-A5DE-4163-8F98-CA022370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17D"/>
    <w:pPr>
      <w:jc w:val="both"/>
    </w:pPr>
    <w:rPr>
      <w:rFonts w:ascii="Calisto MT" w:hAnsi="Calisto MT"/>
      <w:sz w:val="24"/>
    </w:rPr>
  </w:style>
  <w:style w:type="paragraph" w:styleId="Heading1">
    <w:name w:val="heading 1"/>
    <w:basedOn w:val="Normal"/>
    <w:next w:val="Normal"/>
    <w:link w:val="Heading1Char"/>
    <w:uiPriority w:val="9"/>
    <w:qFormat/>
    <w:rsid w:val="002838FB"/>
    <w:pPr>
      <w:spacing w:after="0" w:line="360" w:lineRule="auto"/>
      <w:contextualSpacing/>
      <w:outlineLvl w:val="0"/>
    </w:pPr>
    <w:rPr>
      <w:rFonts w:ascii="Times New Roman" w:hAnsi="Times New Roman" w:cs="Times New Roman"/>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3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365"/>
    <w:rPr>
      <w:rFonts w:ascii="Calisto MT" w:hAnsi="Calisto MT"/>
      <w:sz w:val="24"/>
    </w:rPr>
  </w:style>
  <w:style w:type="paragraph" w:styleId="Footer">
    <w:name w:val="footer"/>
    <w:basedOn w:val="Normal"/>
    <w:link w:val="FooterChar"/>
    <w:uiPriority w:val="99"/>
    <w:unhideWhenUsed/>
    <w:rsid w:val="00D823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365"/>
    <w:rPr>
      <w:rFonts w:ascii="Calisto MT" w:hAnsi="Calisto MT"/>
      <w:sz w:val="24"/>
    </w:rPr>
  </w:style>
  <w:style w:type="paragraph" w:styleId="ListParagraph">
    <w:name w:val="List Paragraph"/>
    <w:basedOn w:val="Normal"/>
    <w:uiPriority w:val="34"/>
    <w:qFormat/>
    <w:rsid w:val="002838FB"/>
    <w:pPr>
      <w:ind w:left="720"/>
      <w:contextualSpacing/>
    </w:pPr>
  </w:style>
  <w:style w:type="character" w:customStyle="1" w:styleId="Heading1Char">
    <w:name w:val="Heading 1 Char"/>
    <w:basedOn w:val="DefaultParagraphFont"/>
    <w:link w:val="Heading1"/>
    <w:uiPriority w:val="9"/>
    <w:rsid w:val="002838FB"/>
    <w:rPr>
      <w:rFonts w:ascii="Times New Roman" w:hAnsi="Times New Roman" w:cs="Times New Roman"/>
      <w:b/>
      <w:bCs/>
      <w:i/>
      <w:iCs/>
      <w:sz w:val="24"/>
    </w:rPr>
  </w:style>
  <w:style w:type="paragraph" w:styleId="TOCHeading">
    <w:name w:val="TOC Heading"/>
    <w:basedOn w:val="Heading1"/>
    <w:next w:val="Normal"/>
    <w:uiPriority w:val="39"/>
    <w:unhideWhenUsed/>
    <w:qFormat/>
    <w:rsid w:val="005F6D8B"/>
    <w:pPr>
      <w:keepNext/>
      <w:keepLines/>
      <w:spacing w:before="240" w:line="259" w:lineRule="auto"/>
      <w:contextualSpacing w:val="0"/>
      <w:jc w:val="left"/>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5F6D8B"/>
    <w:pPr>
      <w:spacing w:after="100"/>
    </w:pPr>
  </w:style>
  <w:style w:type="character" w:styleId="Hyperlink">
    <w:name w:val="Hyperlink"/>
    <w:basedOn w:val="DefaultParagraphFont"/>
    <w:uiPriority w:val="99"/>
    <w:unhideWhenUsed/>
    <w:rsid w:val="005F6D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96292">
      <w:bodyDiv w:val="1"/>
      <w:marLeft w:val="0"/>
      <w:marRight w:val="0"/>
      <w:marTop w:val="0"/>
      <w:marBottom w:val="0"/>
      <w:divBdr>
        <w:top w:val="none" w:sz="0" w:space="0" w:color="auto"/>
        <w:left w:val="none" w:sz="0" w:space="0" w:color="auto"/>
        <w:bottom w:val="none" w:sz="0" w:space="0" w:color="auto"/>
        <w:right w:val="none" w:sz="0" w:space="0" w:color="auto"/>
      </w:divBdr>
      <w:divsChild>
        <w:div w:id="1976258366">
          <w:marLeft w:val="0"/>
          <w:marRight w:val="0"/>
          <w:marTop w:val="0"/>
          <w:marBottom w:val="0"/>
          <w:divBdr>
            <w:top w:val="none" w:sz="0" w:space="0" w:color="auto"/>
            <w:left w:val="none" w:sz="0" w:space="0" w:color="auto"/>
            <w:bottom w:val="none" w:sz="0" w:space="0" w:color="auto"/>
            <w:right w:val="none" w:sz="0" w:space="0" w:color="auto"/>
          </w:divBdr>
        </w:div>
      </w:divsChild>
    </w:div>
    <w:div w:id="295334022">
      <w:bodyDiv w:val="1"/>
      <w:marLeft w:val="0"/>
      <w:marRight w:val="0"/>
      <w:marTop w:val="0"/>
      <w:marBottom w:val="0"/>
      <w:divBdr>
        <w:top w:val="none" w:sz="0" w:space="0" w:color="auto"/>
        <w:left w:val="none" w:sz="0" w:space="0" w:color="auto"/>
        <w:bottom w:val="none" w:sz="0" w:space="0" w:color="auto"/>
        <w:right w:val="none" w:sz="0" w:space="0" w:color="auto"/>
      </w:divBdr>
      <w:divsChild>
        <w:div w:id="1156216484">
          <w:marLeft w:val="0"/>
          <w:marRight w:val="0"/>
          <w:marTop w:val="0"/>
          <w:marBottom w:val="0"/>
          <w:divBdr>
            <w:top w:val="none" w:sz="0" w:space="0" w:color="auto"/>
            <w:left w:val="none" w:sz="0" w:space="0" w:color="auto"/>
            <w:bottom w:val="none" w:sz="0" w:space="0" w:color="auto"/>
            <w:right w:val="none" w:sz="0" w:space="0" w:color="auto"/>
          </w:divBdr>
        </w:div>
      </w:divsChild>
    </w:div>
    <w:div w:id="369306060">
      <w:bodyDiv w:val="1"/>
      <w:marLeft w:val="0"/>
      <w:marRight w:val="0"/>
      <w:marTop w:val="0"/>
      <w:marBottom w:val="0"/>
      <w:divBdr>
        <w:top w:val="none" w:sz="0" w:space="0" w:color="auto"/>
        <w:left w:val="none" w:sz="0" w:space="0" w:color="auto"/>
        <w:bottom w:val="none" w:sz="0" w:space="0" w:color="auto"/>
        <w:right w:val="none" w:sz="0" w:space="0" w:color="auto"/>
      </w:divBdr>
      <w:divsChild>
        <w:div w:id="1991902482">
          <w:marLeft w:val="0"/>
          <w:marRight w:val="0"/>
          <w:marTop w:val="0"/>
          <w:marBottom w:val="0"/>
          <w:divBdr>
            <w:top w:val="none" w:sz="0" w:space="0" w:color="auto"/>
            <w:left w:val="none" w:sz="0" w:space="0" w:color="auto"/>
            <w:bottom w:val="none" w:sz="0" w:space="0" w:color="auto"/>
            <w:right w:val="none" w:sz="0" w:space="0" w:color="auto"/>
          </w:divBdr>
          <w:divsChild>
            <w:div w:id="127671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440677">
      <w:bodyDiv w:val="1"/>
      <w:marLeft w:val="0"/>
      <w:marRight w:val="0"/>
      <w:marTop w:val="0"/>
      <w:marBottom w:val="0"/>
      <w:divBdr>
        <w:top w:val="none" w:sz="0" w:space="0" w:color="auto"/>
        <w:left w:val="none" w:sz="0" w:space="0" w:color="auto"/>
        <w:bottom w:val="none" w:sz="0" w:space="0" w:color="auto"/>
        <w:right w:val="none" w:sz="0" w:space="0" w:color="auto"/>
      </w:divBdr>
      <w:divsChild>
        <w:div w:id="435176033">
          <w:marLeft w:val="0"/>
          <w:marRight w:val="0"/>
          <w:marTop w:val="0"/>
          <w:marBottom w:val="0"/>
          <w:divBdr>
            <w:top w:val="none" w:sz="0" w:space="0" w:color="auto"/>
            <w:left w:val="none" w:sz="0" w:space="0" w:color="auto"/>
            <w:bottom w:val="none" w:sz="0" w:space="0" w:color="auto"/>
            <w:right w:val="none" w:sz="0" w:space="0" w:color="auto"/>
          </w:divBdr>
        </w:div>
      </w:divsChild>
    </w:div>
    <w:div w:id="725953246">
      <w:bodyDiv w:val="1"/>
      <w:marLeft w:val="0"/>
      <w:marRight w:val="0"/>
      <w:marTop w:val="0"/>
      <w:marBottom w:val="0"/>
      <w:divBdr>
        <w:top w:val="none" w:sz="0" w:space="0" w:color="auto"/>
        <w:left w:val="none" w:sz="0" w:space="0" w:color="auto"/>
        <w:bottom w:val="none" w:sz="0" w:space="0" w:color="auto"/>
        <w:right w:val="none" w:sz="0" w:space="0" w:color="auto"/>
      </w:divBdr>
      <w:divsChild>
        <w:div w:id="787313349">
          <w:marLeft w:val="0"/>
          <w:marRight w:val="0"/>
          <w:marTop w:val="0"/>
          <w:marBottom w:val="0"/>
          <w:divBdr>
            <w:top w:val="none" w:sz="0" w:space="0" w:color="auto"/>
            <w:left w:val="none" w:sz="0" w:space="0" w:color="auto"/>
            <w:bottom w:val="none" w:sz="0" w:space="0" w:color="auto"/>
            <w:right w:val="none" w:sz="0" w:space="0" w:color="auto"/>
          </w:divBdr>
        </w:div>
      </w:divsChild>
    </w:div>
    <w:div w:id="812412571">
      <w:bodyDiv w:val="1"/>
      <w:marLeft w:val="0"/>
      <w:marRight w:val="0"/>
      <w:marTop w:val="0"/>
      <w:marBottom w:val="0"/>
      <w:divBdr>
        <w:top w:val="none" w:sz="0" w:space="0" w:color="auto"/>
        <w:left w:val="none" w:sz="0" w:space="0" w:color="auto"/>
        <w:bottom w:val="none" w:sz="0" w:space="0" w:color="auto"/>
        <w:right w:val="none" w:sz="0" w:space="0" w:color="auto"/>
      </w:divBdr>
      <w:divsChild>
        <w:div w:id="1420590837">
          <w:marLeft w:val="0"/>
          <w:marRight w:val="0"/>
          <w:marTop w:val="0"/>
          <w:marBottom w:val="0"/>
          <w:divBdr>
            <w:top w:val="none" w:sz="0" w:space="0" w:color="auto"/>
            <w:left w:val="none" w:sz="0" w:space="0" w:color="auto"/>
            <w:bottom w:val="none" w:sz="0" w:space="0" w:color="auto"/>
            <w:right w:val="none" w:sz="0" w:space="0" w:color="auto"/>
          </w:divBdr>
        </w:div>
      </w:divsChild>
    </w:div>
    <w:div w:id="876157796">
      <w:bodyDiv w:val="1"/>
      <w:marLeft w:val="0"/>
      <w:marRight w:val="0"/>
      <w:marTop w:val="0"/>
      <w:marBottom w:val="0"/>
      <w:divBdr>
        <w:top w:val="none" w:sz="0" w:space="0" w:color="auto"/>
        <w:left w:val="none" w:sz="0" w:space="0" w:color="auto"/>
        <w:bottom w:val="none" w:sz="0" w:space="0" w:color="auto"/>
        <w:right w:val="none" w:sz="0" w:space="0" w:color="auto"/>
      </w:divBdr>
      <w:divsChild>
        <w:div w:id="2110925294">
          <w:marLeft w:val="0"/>
          <w:marRight w:val="0"/>
          <w:marTop w:val="0"/>
          <w:marBottom w:val="0"/>
          <w:divBdr>
            <w:top w:val="none" w:sz="0" w:space="0" w:color="auto"/>
            <w:left w:val="none" w:sz="0" w:space="0" w:color="auto"/>
            <w:bottom w:val="none" w:sz="0" w:space="0" w:color="auto"/>
            <w:right w:val="none" w:sz="0" w:space="0" w:color="auto"/>
          </w:divBdr>
        </w:div>
      </w:divsChild>
    </w:div>
    <w:div w:id="972641561">
      <w:bodyDiv w:val="1"/>
      <w:marLeft w:val="0"/>
      <w:marRight w:val="0"/>
      <w:marTop w:val="0"/>
      <w:marBottom w:val="0"/>
      <w:divBdr>
        <w:top w:val="none" w:sz="0" w:space="0" w:color="auto"/>
        <w:left w:val="none" w:sz="0" w:space="0" w:color="auto"/>
        <w:bottom w:val="none" w:sz="0" w:space="0" w:color="auto"/>
        <w:right w:val="none" w:sz="0" w:space="0" w:color="auto"/>
      </w:divBdr>
      <w:divsChild>
        <w:div w:id="864290101">
          <w:marLeft w:val="0"/>
          <w:marRight w:val="0"/>
          <w:marTop w:val="0"/>
          <w:marBottom w:val="0"/>
          <w:divBdr>
            <w:top w:val="none" w:sz="0" w:space="0" w:color="auto"/>
            <w:left w:val="none" w:sz="0" w:space="0" w:color="auto"/>
            <w:bottom w:val="none" w:sz="0" w:space="0" w:color="auto"/>
            <w:right w:val="none" w:sz="0" w:space="0" w:color="auto"/>
          </w:divBdr>
        </w:div>
      </w:divsChild>
    </w:div>
    <w:div w:id="1379469507">
      <w:bodyDiv w:val="1"/>
      <w:marLeft w:val="0"/>
      <w:marRight w:val="0"/>
      <w:marTop w:val="0"/>
      <w:marBottom w:val="0"/>
      <w:divBdr>
        <w:top w:val="none" w:sz="0" w:space="0" w:color="auto"/>
        <w:left w:val="none" w:sz="0" w:space="0" w:color="auto"/>
        <w:bottom w:val="none" w:sz="0" w:space="0" w:color="auto"/>
        <w:right w:val="none" w:sz="0" w:space="0" w:color="auto"/>
      </w:divBdr>
      <w:divsChild>
        <w:div w:id="834613637">
          <w:marLeft w:val="0"/>
          <w:marRight w:val="0"/>
          <w:marTop w:val="0"/>
          <w:marBottom w:val="0"/>
          <w:divBdr>
            <w:top w:val="none" w:sz="0" w:space="0" w:color="auto"/>
            <w:left w:val="none" w:sz="0" w:space="0" w:color="auto"/>
            <w:bottom w:val="none" w:sz="0" w:space="0" w:color="auto"/>
            <w:right w:val="none" w:sz="0" w:space="0" w:color="auto"/>
          </w:divBdr>
        </w:div>
      </w:divsChild>
    </w:div>
    <w:div w:id="1526870744">
      <w:bodyDiv w:val="1"/>
      <w:marLeft w:val="0"/>
      <w:marRight w:val="0"/>
      <w:marTop w:val="0"/>
      <w:marBottom w:val="0"/>
      <w:divBdr>
        <w:top w:val="none" w:sz="0" w:space="0" w:color="auto"/>
        <w:left w:val="none" w:sz="0" w:space="0" w:color="auto"/>
        <w:bottom w:val="none" w:sz="0" w:space="0" w:color="auto"/>
        <w:right w:val="none" w:sz="0" w:space="0" w:color="auto"/>
      </w:divBdr>
      <w:divsChild>
        <w:div w:id="557940107">
          <w:marLeft w:val="0"/>
          <w:marRight w:val="0"/>
          <w:marTop w:val="0"/>
          <w:marBottom w:val="0"/>
          <w:divBdr>
            <w:top w:val="none" w:sz="0" w:space="0" w:color="auto"/>
            <w:left w:val="none" w:sz="0" w:space="0" w:color="auto"/>
            <w:bottom w:val="none" w:sz="0" w:space="0" w:color="auto"/>
            <w:right w:val="none" w:sz="0" w:space="0" w:color="auto"/>
          </w:divBdr>
        </w:div>
      </w:divsChild>
    </w:div>
    <w:div w:id="1532181250">
      <w:bodyDiv w:val="1"/>
      <w:marLeft w:val="0"/>
      <w:marRight w:val="0"/>
      <w:marTop w:val="0"/>
      <w:marBottom w:val="0"/>
      <w:divBdr>
        <w:top w:val="none" w:sz="0" w:space="0" w:color="auto"/>
        <w:left w:val="none" w:sz="0" w:space="0" w:color="auto"/>
        <w:bottom w:val="none" w:sz="0" w:space="0" w:color="auto"/>
        <w:right w:val="none" w:sz="0" w:space="0" w:color="auto"/>
      </w:divBdr>
      <w:divsChild>
        <w:div w:id="1041131876">
          <w:marLeft w:val="0"/>
          <w:marRight w:val="0"/>
          <w:marTop w:val="0"/>
          <w:marBottom w:val="0"/>
          <w:divBdr>
            <w:top w:val="none" w:sz="0" w:space="0" w:color="auto"/>
            <w:left w:val="none" w:sz="0" w:space="0" w:color="auto"/>
            <w:bottom w:val="none" w:sz="0" w:space="0" w:color="auto"/>
            <w:right w:val="none" w:sz="0" w:space="0" w:color="auto"/>
          </w:divBdr>
        </w:div>
      </w:divsChild>
    </w:div>
    <w:div w:id="1603757942">
      <w:bodyDiv w:val="1"/>
      <w:marLeft w:val="0"/>
      <w:marRight w:val="0"/>
      <w:marTop w:val="0"/>
      <w:marBottom w:val="0"/>
      <w:divBdr>
        <w:top w:val="none" w:sz="0" w:space="0" w:color="auto"/>
        <w:left w:val="none" w:sz="0" w:space="0" w:color="auto"/>
        <w:bottom w:val="none" w:sz="0" w:space="0" w:color="auto"/>
        <w:right w:val="none" w:sz="0" w:space="0" w:color="auto"/>
      </w:divBdr>
      <w:divsChild>
        <w:div w:id="13772582">
          <w:marLeft w:val="0"/>
          <w:marRight w:val="0"/>
          <w:marTop w:val="0"/>
          <w:marBottom w:val="0"/>
          <w:divBdr>
            <w:top w:val="none" w:sz="0" w:space="0" w:color="auto"/>
            <w:left w:val="none" w:sz="0" w:space="0" w:color="auto"/>
            <w:bottom w:val="none" w:sz="0" w:space="0" w:color="auto"/>
            <w:right w:val="none" w:sz="0" w:space="0" w:color="auto"/>
          </w:divBdr>
        </w:div>
      </w:divsChild>
    </w:div>
    <w:div w:id="1693606692">
      <w:bodyDiv w:val="1"/>
      <w:marLeft w:val="0"/>
      <w:marRight w:val="0"/>
      <w:marTop w:val="0"/>
      <w:marBottom w:val="0"/>
      <w:divBdr>
        <w:top w:val="none" w:sz="0" w:space="0" w:color="auto"/>
        <w:left w:val="none" w:sz="0" w:space="0" w:color="auto"/>
        <w:bottom w:val="none" w:sz="0" w:space="0" w:color="auto"/>
        <w:right w:val="none" w:sz="0" w:space="0" w:color="auto"/>
      </w:divBdr>
      <w:divsChild>
        <w:div w:id="2051417667">
          <w:marLeft w:val="0"/>
          <w:marRight w:val="0"/>
          <w:marTop w:val="0"/>
          <w:marBottom w:val="0"/>
          <w:divBdr>
            <w:top w:val="none" w:sz="0" w:space="0" w:color="auto"/>
            <w:left w:val="none" w:sz="0" w:space="0" w:color="auto"/>
            <w:bottom w:val="none" w:sz="0" w:space="0" w:color="auto"/>
            <w:right w:val="none" w:sz="0" w:space="0" w:color="auto"/>
          </w:divBdr>
        </w:div>
      </w:divsChild>
    </w:div>
    <w:div w:id="1806893441">
      <w:bodyDiv w:val="1"/>
      <w:marLeft w:val="0"/>
      <w:marRight w:val="0"/>
      <w:marTop w:val="0"/>
      <w:marBottom w:val="0"/>
      <w:divBdr>
        <w:top w:val="none" w:sz="0" w:space="0" w:color="auto"/>
        <w:left w:val="none" w:sz="0" w:space="0" w:color="auto"/>
        <w:bottom w:val="none" w:sz="0" w:space="0" w:color="auto"/>
        <w:right w:val="none" w:sz="0" w:space="0" w:color="auto"/>
      </w:divBdr>
      <w:divsChild>
        <w:div w:id="1645503694">
          <w:marLeft w:val="0"/>
          <w:marRight w:val="0"/>
          <w:marTop w:val="0"/>
          <w:marBottom w:val="0"/>
          <w:divBdr>
            <w:top w:val="none" w:sz="0" w:space="0" w:color="auto"/>
            <w:left w:val="none" w:sz="0" w:space="0" w:color="auto"/>
            <w:bottom w:val="none" w:sz="0" w:space="0" w:color="auto"/>
            <w:right w:val="none" w:sz="0" w:space="0" w:color="auto"/>
          </w:divBdr>
        </w:div>
      </w:divsChild>
    </w:div>
    <w:div w:id="2022508487">
      <w:bodyDiv w:val="1"/>
      <w:marLeft w:val="0"/>
      <w:marRight w:val="0"/>
      <w:marTop w:val="0"/>
      <w:marBottom w:val="0"/>
      <w:divBdr>
        <w:top w:val="none" w:sz="0" w:space="0" w:color="auto"/>
        <w:left w:val="none" w:sz="0" w:space="0" w:color="auto"/>
        <w:bottom w:val="none" w:sz="0" w:space="0" w:color="auto"/>
        <w:right w:val="none" w:sz="0" w:space="0" w:color="auto"/>
      </w:divBdr>
      <w:divsChild>
        <w:div w:id="19375894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CB6EC-7937-4753-9862-86F122272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1975</Words>
  <Characters>11261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Umah Kauser</cp:lastModifiedBy>
  <cp:revision>9</cp:revision>
  <dcterms:created xsi:type="dcterms:W3CDTF">2023-08-13T17:30:00Z</dcterms:created>
  <dcterms:modified xsi:type="dcterms:W3CDTF">2023-08-13T17:44:00Z</dcterms:modified>
</cp:coreProperties>
</file>