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B33DE" w14:textId="77777777" w:rsidR="006D4433" w:rsidRDefault="006D4433" w:rsidP="00594FAC">
      <w:pPr>
        <w:spacing w:line="360" w:lineRule="auto"/>
        <w:rPr>
          <w:rFonts w:ascii="Arial" w:hAnsi="Arial" w:cs="Arial"/>
          <w:szCs w:val="24"/>
        </w:rPr>
      </w:pPr>
    </w:p>
    <w:p w14:paraId="117F6A51" w14:textId="43E69CA2" w:rsidR="006D4433" w:rsidRPr="006D4433" w:rsidRDefault="006D4433">
      <w:pPr>
        <w:spacing w:line="259" w:lineRule="auto"/>
        <w:rPr>
          <w:rFonts w:ascii="Arial" w:hAnsi="Arial" w:cs="Arial"/>
          <w:sz w:val="28"/>
          <w:szCs w:val="28"/>
        </w:rPr>
      </w:pPr>
    </w:p>
    <w:p w14:paraId="4AA1C463" w14:textId="35A18BDD" w:rsidR="00C558B0" w:rsidRPr="001B4274" w:rsidRDefault="00C558B0" w:rsidP="00594FAC">
      <w:pPr>
        <w:spacing w:line="360" w:lineRule="auto"/>
        <w:rPr>
          <w:rFonts w:ascii="Arial" w:hAnsi="Arial" w:cs="Arial"/>
          <w:sz w:val="32"/>
          <w:szCs w:val="32"/>
        </w:rPr>
      </w:pPr>
      <w:r w:rsidRPr="001B4274">
        <w:rPr>
          <w:rFonts w:ascii="Arial" w:hAnsi="Arial" w:cs="Arial"/>
          <w:noProof/>
          <w:sz w:val="32"/>
          <w:szCs w:val="32"/>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594FAC">
      <w:pPr>
        <w:spacing w:line="360" w:lineRule="auto"/>
        <w:rPr>
          <w:rFonts w:ascii="Arial" w:hAnsi="Arial" w:cs="Arial"/>
          <w:sz w:val="32"/>
          <w:szCs w:val="32"/>
        </w:rPr>
      </w:pPr>
    </w:p>
    <w:p w14:paraId="3E49BE8F" w14:textId="77777777" w:rsidR="00A50A1D" w:rsidRPr="00713E92" w:rsidRDefault="00A50A1D" w:rsidP="00594FAC">
      <w:pPr>
        <w:spacing w:line="360" w:lineRule="auto"/>
        <w:rPr>
          <w:rFonts w:ascii="Arial" w:hAnsi="Arial" w:cs="Arial"/>
          <w:b/>
          <w:bCs/>
          <w:i/>
          <w:iCs/>
          <w:sz w:val="56"/>
          <w:szCs w:val="56"/>
          <w:u w:val="single"/>
        </w:rPr>
      </w:pPr>
    </w:p>
    <w:p w14:paraId="4C90A720" w14:textId="77777777" w:rsidR="00A50A1D" w:rsidRPr="00A50A1D" w:rsidRDefault="00A50A1D" w:rsidP="00A50A1D">
      <w:pPr>
        <w:spacing w:after="0" w:line="240" w:lineRule="auto"/>
        <w:rPr>
          <w:rFonts w:ascii="Arial" w:eastAsia="Times New Roman" w:hAnsi="Arial" w:cs="Arial"/>
          <w:b/>
          <w:bCs/>
          <w:i/>
          <w:iCs/>
          <w:color w:val="262626" w:themeColor="text1" w:themeTint="D9"/>
          <w:sz w:val="56"/>
          <w:szCs w:val="56"/>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50A1D">
        <w:rPr>
          <w:rFonts w:ascii="Arial" w:eastAsia="Times New Roman" w:hAnsi="Arial" w:cs="Arial"/>
          <w:b/>
          <w:bCs/>
          <w:i/>
          <w:iCs/>
          <w:color w:val="262626" w:themeColor="text1" w:themeTint="D9"/>
          <w:sz w:val="56"/>
          <w:szCs w:val="56"/>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Component 1: Written</w:t>
      </w:r>
    </w:p>
    <w:p w14:paraId="64686119" w14:textId="77777777" w:rsidR="00A50A1D" w:rsidRPr="00A50A1D" w:rsidRDefault="00A50A1D" w:rsidP="00A50A1D">
      <w:pPr>
        <w:spacing w:after="0" w:line="240" w:lineRule="auto"/>
        <w:rPr>
          <w:rFonts w:ascii="Arial" w:eastAsia="Times New Roman" w:hAnsi="Arial" w:cs="Arial"/>
          <w:b/>
          <w:bCs/>
          <w:i/>
          <w:iCs/>
          <w:color w:val="262626" w:themeColor="text1" w:themeTint="D9"/>
          <w:sz w:val="56"/>
          <w:szCs w:val="56"/>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50A1D">
        <w:rPr>
          <w:rFonts w:ascii="Arial" w:eastAsia="Times New Roman" w:hAnsi="Arial" w:cs="Arial"/>
          <w:b/>
          <w:bCs/>
          <w:i/>
          <w:iCs/>
          <w:color w:val="262626" w:themeColor="text1" w:themeTint="D9"/>
          <w:sz w:val="56"/>
          <w:szCs w:val="56"/>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Assignment (Reflective</w:t>
      </w:r>
    </w:p>
    <w:p w14:paraId="1361DA32" w14:textId="77777777" w:rsidR="00A50A1D" w:rsidRPr="00A50A1D" w:rsidRDefault="00A50A1D" w:rsidP="00A50A1D">
      <w:pPr>
        <w:spacing w:after="0" w:line="240" w:lineRule="auto"/>
        <w:rPr>
          <w:rFonts w:ascii="Arial" w:eastAsia="Times New Roman" w:hAnsi="Arial" w:cs="Arial"/>
          <w:b/>
          <w:bCs/>
          <w:i/>
          <w:iCs/>
          <w:color w:val="262626" w:themeColor="text1" w:themeTint="D9"/>
          <w:sz w:val="56"/>
          <w:szCs w:val="56"/>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50A1D">
        <w:rPr>
          <w:rFonts w:ascii="Arial" w:eastAsia="Times New Roman" w:hAnsi="Arial" w:cs="Arial"/>
          <w:b/>
          <w:bCs/>
          <w:i/>
          <w:iCs/>
          <w:color w:val="262626" w:themeColor="text1" w:themeTint="D9"/>
          <w:sz w:val="56"/>
          <w:szCs w:val="56"/>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Report)</w:t>
      </w:r>
    </w:p>
    <w:p w14:paraId="554C8C17" w14:textId="77777777" w:rsidR="00C558B0" w:rsidRPr="00713E92" w:rsidRDefault="00C558B0" w:rsidP="00594FAC">
      <w:pPr>
        <w:spacing w:line="360" w:lineRule="auto"/>
        <w:rPr>
          <w:rFonts w:ascii="Arial" w:hAnsi="Arial" w:cs="Arial"/>
          <w:b/>
          <w:bCs/>
          <w:i/>
          <w:i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CFA099C" w14:textId="77777777" w:rsidR="00C558B0" w:rsidRPr="001B4274" w:rsidRDefault="00C558B0" w:rsidP="00594FAC">
      <w:pPr>
        <w:tabs>
          <w:tab w:val="left" w:pos="6540"/>
        </w:tabs>
        <w:spacing w:line="360" w:lineRule="auto"/>
        <w:rPr>
          <w:rFonts w:ascii="Arial" w:hAnsi="Arial" w:cs="Arial"/>
          <w:sz w:val="32"/>
          <w:szCs w:val="32"/>
        </w:rPr>
      </w:pPr>
    </w:p>
    <w:p w14:paraId="2F4F861B" w14:textId="0FB10E42" w:rsidR="00C558B0" w:rsidRPr="001B4274" w:rsidRDefault="00C558B0" w:rsidP="00594FAC">
      <w:pPr>
        <w:tabs>
          <w:tab w:val="left" w:pos="6540"/>
        </w:tabs>
        <w:spacing w:line="360" w:lineRule="auto"/>
        <w:rPr>
          <w:rFonts w:ascii="Arial" w:hAnsi="Arial" w:cs="Arial"/>
          <w:sz w:val="32"/>
          <w:szCs w:val="32"/>
          <w:lang w:val="nl-NL"/>
        </w:rPr>
      </w:pPr>
      <w:r w:rsidRPr="001B4274">
        <w:rPr>
          <w:rFonts w:ascii="Arial" w:hAnsi="Arial" w:cs="Arial"/>
          <w:b/>
          <w:bCs/>
          <w:sz w:val="32"/>
          <w:szCs w:val="32"/>
          <w:lang w:val="nl-NL"/>
        </w:rPr>
        <w:t xml:space="preserve">Student </w:t>
      </w:r>
      <w:proofErr w:type="gramStart"/>
      <w:r w:rsidRPr="001B4274">
        <w:rPr>
          <w:rFonts w:ascii="Arial" w:hAnsi="Arial" w:cs="Arial"/>
          <w:b/>
          <w:bCs/>
          <w:sz w:val="32"/>
          <w:szCs w:val="32"/>
          <w:lang w:val="nl-NL"/>
        </w:rPr>
        <w:t>name</w:t>
      </w:r>
      <w:r w:rsidRPr="001B4274">
        <w:rPr>
          <w:rFonts w:ascii="Arial" w:hAnsi="Arial" w:cs="Arial"/>
          <w:sz w:val="32"/>
          <w:szCs w:val="32"/>
          <w:lang w:val="nl-NL"/>
        </w:rPr>
        <w:t>:</w:t>
      </w:r>
      <w:r w:rsidR="002B6E71" w:rsidRPr="001B4274">
        <w:rPr>
          <w:rFonts w:ascii="Arial" w:hAnsi="Arial" w:cs="Arial"/>
          <w:sz w:val="32"/>
          <w:szCs w:val="32"/>
          <w:lang w:val="nl-NL"/>
        </w:rPr>
        <w:t xml:space="preserve">  Helen</w:t>
      </w:r>
      <w:proofErr w:type="gramEnd"/>
      <w:r w:rsidR="002B6E71" w:rsidRPr="001B4274">
        <w:rPr>
          <w:rFonts w:ascii="Arial" w:hAnsi="Arial" w:cs="Arial"/>
          <w:sz w:val="32"/>
          <w:szCs w:val="32"/>
          <w:lang w:val="nl-NL"/>
        </w:rPr>
        <w:t xml:space="preserve"> May Frial</w:t>
      </w:r>
    </w:p>
    <w:p w14:paraId="4654C81C" w14:textId="5214C211" w:rsidR="00C558B0" w:rsidRPr="001B4274" w:rsidRDefault="00C558B0" w:rsidP="00594FAC">
      <w:pPr>
        <w:tabs>
          <w:tab w:val="left" w:pos="6540"/>
        </w:tabs>
        <w:spacing w:line="360" w:lineRule="auto"/>
        <w:rPr>
          <w:rFonts w:ascii="Arial" w:hAnsi="Arial" w:cs="Arial"/>
          <w:sz w:val="32"/>
          <w:szCs w:val="32"/>
          <w:lang w:val="nl-NL"/>
        </w:rPr>
      </w:pPr>
      <w:r w:rsidRPr="001B4274">
        <w:rPr>
          <w:rFonts w:ascii="Arial" w:hAnsi="Arial" w:cs="Arial"/>
          <w:b/>
          <w:bCs/>
          <w:sz w:val="32"/>
          <w:szCs w:val="32"/>
          <w:lang w:val="nl-NL"/>
        </w:rPr>
        <w:t xml:space="preserve">Student </w:t>
      </w:r>
      <w:proofErr w:type="gramStart"/>
      <w:r w:rsidRPr="001B4274">
        <w:rPr>
          <w:rFonts w:ascii="Arial" w:hAnsi="Arial" w:cs="Arial"/>
          <w:b/>
          <w:bCs/>
          <w:sz w:val="32"/>
          <w:szCs w:val="32"/>
          <w:lang w:val="nl-NL"/>
        </w:rPr>
        <w:t>ID</w:t>
      </w:r>
      <w:r w:rsidRPr="001B4274">
        <w:rPr>
          <w:rFonts w:ascii="Arial" w:hAnsi="Arial" w:cs="Arial"/>
          <w:sz w:val="32"/>
          <w:szCs w:val="32"/>
          <w:lang w:val="nl-NL"/>
        </w:rPr>
        <w:t>:</w:t>
      </w:r>
      <w:r w:rsidR="000940BD" w:rsidRPr="001B4274">
        <w:rPr>
          <w:rFonts w:ascii="Arial" w:hAnsi="Arial" w:cs="Arial"/>
          <w:sz w:val="32"/>
          <w:szCs w:val="32"/>
          <w:lang w:val="nl-NL"/>
        </w:rPr>
        <w:t xml:space="preserve">  </w:t>
      </w:r>
      <w:r w:rsidR="002B6E71" w:rsidRPr="001B4274">
        <w:rPr>
          <w:rFonts w:ascii="Arial" w:hAnsi="Arial" w:cs="Arial"/>
          <w:sz w:val="32"/>
          <w:szCs w:val="32"/>
          <w:lang w:val="nl-NL"/>
        </w:rPr>
        <w:t>24302</w:t>
      </w:r>
      <w:r w:rsidR="000940BD" w:rsidRPr="001B4274">
        <w:rPr>
          <w:rFonts w:ascii="Arial" w:hAnsi="Arial" w:cs="Arial"/>
          <w:sz w:val="32"/>
          <w:szCs w:val="32"/>
          <w:lang w:val="nl-NL"/>
        </w:rPr>
        <w:t>09</w:t>
      </w:r>
      <w:proofErr w:type="gramEnd"/>
    </w:p>
    <w:p w14:paraId="3D8DA301" w14:textId="0D9F4626" w:rsidR="00C558B0" w:rsidRPr="001B4274" w:rsidRDefault="00C558B0" w:rsidP="00594FAC">
      <w:pPr>
        <w:tabs>
          <w:tab w:val="left" w:pos="6540"/>
        </w:tabs>
        <w:spacing w:line="360" w:lineRule="auto"/>
        <w:rPr>
          <w:rFonts w:ascii="Arial" w:hAnsi="Arial" w:cs="Arial"/>
          <w:b/>
          <w:bCs/>
          <w:sz w:val="32"/>
          <w:szCs w:val="32"/>
          <w:lang w:val="nl-NL"/>
        </w:rPr>
      </w:pPr>
      <w:r w:rsidRPr="001B4274">
        <w:rPr>
          <w:rFonts w:ascii="Arial" w:hAnsi="Arial" w:cs="Arial"/>
          <w:b/>
          <w:bCs/>
          <w:sz w:val="32"/>
          <w:szCs w:val="32"/>
          <w:lang w:val="nl-NL"/>
        </w:rPr>
        <w:t>Module name</w:t>
      </w:r>
      <w:r w:rsidRPr="001B4274">
        <w:rPr>
          <w:rFonts w:ascii="Arial" w:hAnsi="Arial" w:cs="Arial"/>
          <w:sz w:val="32"/>
          <w:szCs w:val="32"/>
          <w:lang w:val="nl-NL"/>
        </w:rPr>
        <w:t xml:space="preserve">: </w:t>
      </w:r>
      <w:proofErr w:type="spellStart"/>
      <w:r w:rsidR="00887FBB" w:rsidRPr="001B4274">
        <w:rPr>
          <w:rFonts w:ascii="Arial" w:hAnsi="Arial" w:cs="Arial"/>
          <w:b/>
          <w:bCs/>
          <w:sz w:val="32"/>
          <w:szCs w:val="32"/>
          <w:lang w:val="nl-NL"/>
        </w:rPr>
        <w:t>Principles</w:t>
      </w:r>
      <w:proofErr w:type="spellEnd"/>
      <w:r w:rsidR="00887FBB" w:rsidRPr="001B4274">
        <w:rPr>
          <w:rFonts w:ascii="Arial" w:hAnsi="Arial" w:cs="Arial"/>
          <w:b/>
          <w:bCs/>
          <w:sz w:val="32"/>
          <w:szCs w:val="32"/>
          <w:lang w:val="nl-NL"/>
        </w:rPr>
        <w:t xml:space="preserve"> of Health </w:t>
      </w:r>
      <w:proofErr w:type="spellStart"/>
      <w:r w:rsidR="00887FBB" w:rsidRPr="001B4274">
        <w:rPr>
          <w:rFonts w:ascii="Arial" w:hAnsi="Arial" w:cs="Arial"/>
          <w:b/>
          <w:bCs/>
          <w:sz w:val="32"/>
          <w:szCs w:val="32"/>
          <w:lang w:val="nl-NL"/>
        </w:rPr>
        <w:t>and</w:t>
      </w:r>
      <w:proofErr w:type="spellEnd"/>
      <w:r w:rsidR="00887FBB" w:rsidRPr="001B4274">
        <w:rPr>
          <w:rFonts w:ascii="Arial" w:hAnsi="Arial" w:cs="Arial"/>
          <w:b/>
          <w:bCs/>
          <w:sz w:val="32"/>
          <w:szCs w:val="32"/>
          <w:lang w:val="nl-NL"/>
        </w:rPr>
        <w:t xml:space="preserve"> </w:t>
      </w:r>
      <w:proofErr w:type="spellStart"/>
      <w:r w:rsidR="00887FBB" w:rsidRPr="001B4274">
        <w:rPr>
          <w:rFonts w:ascii="Arial" w:hAnsi="Arial" w:cs="Arial"/>
          <w:b/>
          <w:bCs/>
          <w:sz w:val="32"/>
          <w:szCs w:val="32"/>
          <w:lang w:val="nl-NL"/>
        </w:rPr>
        <w:t>Social</w:t>
      </w:r>
      <w:proofErr w:type="spellEnd"/>
      <w:r w:rsidR="00887FBB" w:rsidRPr="001B4274">
        <w:rPr>
          <w:rFonts w:ascii="Arial" w:hAnsi="Arial" w:cs="Arial"/>
          <w:b/>
          <w:bCs/>
          <w:sz w:val="32"/>
          <w:szCs w:val="32"/>
          <w:lang w:val="nl-NL"/>
        </w:rPr>
        <w:t xml:space="preserve"> Care </w:t>
      </w:r>
      <w:proofErr w:type="spellStart"/>
      <w:r w:rsidR="00887FBB" w:rsidRPr="001B4274">
        <w:rPr>
          <w:rFonts w:ascii="Arial" w:hAnsi="Arial" w:cs="Arial"/>
          <w:b/>
          <w:bCs/>
          <w:sz w:val="32"/>
          <w:szCs w:val="32"/>
          <w:lang w:val="nl-NL"/>
        </w:rPr>
        <w:t>Practice</w:t>
      </w:r>
      <w:proofErr w:type="spellEnd"/>
    </w:p>
    <w:p w14:paraId="3E48CEF6" w14:textId="34265016" w:rsidR="00887FBB" w:rsidRPr="001B4274" w:rsidRDefault="00887FBB" w:rsidP="00594FAC">
      <w:pPr>
        <w:tabs>
          <w:tab w:val="left" w:pos="6540"/>
        </w:tabs>
        <w:spacing w:line="360" w:lineRule="auto"/>
        <w:rPr>
          <w:rFonts w:ascii="Arial" w:hAnsi="Arial" w:cs="Arial"/>
          <w:sz w:val="32"/>
          <w:szCs w:val="32"/>
          <w:lang w:val="nl-NL"/>
        </w:rPr>
      </w:pPr>
      <w:r w:rsidRPr="001B4274">
        <w:rPr>
          <w:rFonts w:ascii="Arial" w:hAnsi="Arial" w:cs="Arial"/>
          <w:b/>
          <w:bCs/>
          <w:sz w:val="32"/>
          <w:szCs w:val="32"/>
          <w:lang w:val="nl-NL"/>
        </w:rPr>
        <w:t>Component: 1</w:t>
      </w:r>
    </w:p>
    <w:p w14:paraId="7DB3261D" w14:textId="54EA5EAC" w:rsidR="00C558B0" w:rsidRPr="001B4274" w:rsidRDefault="00C558B0" w:rsidP="00594FAC">
      <w:pPr>
        <w:tabs>
          <w:tab w:val="left" w:pos="6540"/>
        </w:tabs>
        <w:spacing w:line="360" w:lineRule="auto"/>
        <w:rPr>
          <w:rFonts w:ascii="Arial" w:hAnsi="Arial" w:cs="Arial"/>
          <w:sz w:val="32"/>
          <w:szCs w:val="32"/>
        </w:rPr>
      </w:pPr>
      <w:r w:rsidRPr="001B4274">
        <w:rPr>
          <w:rFonts w:ascii="Arial" w:hAnsi="Arial" w:cs="Arial"/>
          <w:b/>
          <w:bCs/>
          <w:sz w:val="32"/>
          <w:szCs w:val="32"/>
        </w:rPr>
        <w:t>Module code</w:t>
      </w:r>
      <w:r w:rsidRPr="001B4274">
        <w:rPr>
          <w:rFonts w:ascii="Arial" w:hAnsi="Arial" w:cs="Arial"/>
          <w:sz w:val="32"/>
          <w:szCs w:val="32"/>
        </w:rPr>
        <w:t>:</w:t>
      </w:r>
      <w:r w:rsidR="00887FBB" w:rsidRPr="001B4274">
        <w:rPr>
          <w:rFonts w:ascii="Arial" w:hAnsi="Arial" w:cs="Arial"/>
          <w:sz w:val="32"/>
          <w:szCs w:val="32"/>
        </w:rPr>
        <w:t xml:space="preserve"> </w:t>
      </w:r>
      <w:r w:rsidR="00887FBB" w:rsidRPr="001B4274">
        <w:rPr>
          <w:rFonts w:ascii="Arial" w:hAnsi="Arial" w:cs="Arial"/>
          <w:b/>
          <w:bCs/>
          <w:sz w:val="32"/>
          <w:szCs w:val="32"/>
        </w:rPr>
        <w:t xml:space="preserve">BMHP5016 </w:t>
      </w:r>
    </w:p>
    <w:p w14:paraId="1524423A" w14:textId="521A7E8D" w:rsidR="001B4274" w:rsidRPr="001B4274" w:rsidRDefault="00C558B0" w:rsidP="001B4274">
      <w:pPr>
        <w:pStyle w:val="p1"/>
        <w:rPr>
          <w:sz w:val="32"/>
          <w:szCs w:val="32"/>
        </w:rPr>
      </w:pPr>
      <w:r w:rsidRPr="001B4274">
        <w:rPr>
          <w:b/>
          <w:bCs/>
          <w:sz w:val="32"/>
          <w:szCs w:val="32"/>
        </w:rPr>
        <w:t>Lecturer name</w:t>
      </w:r>
      <w:r w:rsidRPr="001B4274">
        <w:rPr>
          <w:sz w:val="32"/>
          <w:szCs w:val="32"/>
        </w:rPr>
        <w:t>:</w:t>
      </w:r>
      <w:r w:rsidR="001B4274" w:rsidRPr="001B4274">
        <w:rPr>
          <w:sz w:val="32"/>
          <w:szCs w:val="32"/>
        </w:rPr>
        <w:t xml:space="preserve"> Weekday</w:t>
      </w:r>
    </w:p>
    <w:p w14:paraId="2B0D75DA" w14:textId="77777777" w:rsidR="001B4274" w:rsidRPr="001B4274" w:rsidRDefault="001B4274" w:rsidP="001B4274">
      <w:pPr>
        <w:pStyle w:val="p1"/>
        <w:rPr>
          <w:sz w:val="32"/>
          <w:szCs w:val="32"/>
        </w:rPr>
      </w:pPr>
      <w:r w:rsidRPr="001B4274">
        <w:rPr>
          <w:sz w:val="32"/>
          <w:szCs w:val="32"/>
        </w:rPr>
        <w:t xml:space="preserve">G1: Dr </w:t>
      </w:r>
      <w:proofErr w:type="spellStart"/>
      <w:r w:rsidRPr="001B4274">
        <w:rPr>
          <w:sz w:val="32"/>
          <w:szCs w:val="32"/>
        </w:rPr>
        <w:t>Itse</w:t>
      </w:r>
      <w:proofErr w:type="spellEnd"/>
      <w:r w:rsidRPr="001B4274">
        <w:rPr>
          <w:sz w:val="32"/>
          <w:szCs w:val="32"/>
        </w:rPr>
        <w:t xml:space="preserve"> Olaoye (Module</w:t>
      </w:r>
    </w:p>
    <w:p w14:paraId="3E6EEA50" w14:textId="77777777" w:rsidR="001B4274" w:rsidRPr="001B4274" w:rsidRDefault="001B4274" w:rsidP="001B4274">
      <w:pPr>
        <w:pStyle w:val="p1"/>
        <w:rPr>
          <w:sz w:val="32"/>
          <w:szCs w:val="32"/>
        </w:rPr>
      </w:pPr>
      <w:r w:rsidRPr="001B4274">
        <w:rPr>
          <w:sz w:val="32"/>
          <w:szCs w:val="32"/>
        </w:rPr>
        <w:t>leader)</w:t>
      </w:r>
    </w:p>
    <w:p w14:paraId="401FC8CB" w14:textId="77777777" w:rsidR="001B4274" w:rsidRPr="001B4274" w:rsidRDefault="001B4274" w:rsidP="001B4274">
      <w:pPr>
        <w:pStyle w:val="p1"/>
        <w:rPr>
          <w:sz w:val="32"/>
          <w:szCs w:val="32"/>
        </w:rPr>
      </w:pPr>
      <w:r w:rsidRPr="001B4274">
        <w:rPr>
          <w:sz w:val="32"/>
          <w:szCs w:val="32"/>
        </w:rPr>
        <w:t>G2: Lou Wells</w:t>
      </w:r>
    </w:p>
    <w:p w14:paraId="4E06B530" w14:textId="77777777" w:rsidR="002D2195" w:rsidRDefault="002D2195" w:rsidP="00594FAC">
      <w:pPr>
        <w:spacing w:line="360" w:lineRule="auto"/>
        <w:rPr>
          <w:rFonts w:ascii="Arial" w:hAnsi="Arial" w:cs="Arial"/>
          <w:sz w:val="32"/>
          <w:szCs w:val="32"/>
        </w:rPr>
      </w:pPr>
    </w:p>
    <w:p w14:paraId="2BB1CE40" w14:textId="5804DFB3" w:rsidR="00B21FE6" w:rsidRPr="00E82DBC" w:rsidRDefault="00B21FE6" w:rsidP="00594FAC">
      <w:pPr>
        <w:spacing w:line="360" w:lineRule="auto"/>
        <w:rPr>
          <w:rFonts w:ascii="Arial" w:hAnsi="Arial" w:cs="Arial"/>
          <w:b/>
          <w:bCs/>
          <w:color w:val="0070C0"/>
          <w:sz w:val="40"/>
          <w:szCs w:val="40"/>
        </w:rPr>
      </w:pPr>
      <w:r w:rsidRPr="00E82DBC">
        <w:rPr>
          <w:rFonts w:ascii="Arial" w:hAnsi="Arial" w:cs="Arial"/>
          <w:b/>
          <w:bCs/>
          <w:color w:val="0070C0"/>
          <w:sz w:val="40"/>
          <w:szCs w:val="40"/>
        </w:rPr>
        <w:lastRenderedPageBreak/>
        <w:t>Table of contents</w:t>
      </w:r>
    </w:p>
    <w:p w14:paraId="3DE3235C" w14:textId="77777777" w:rsidR="008916DD" w:rsidRDefault="008916DD" w:rsidP="00594FAC">
      <w:pPr>
        <w:spacing w:line="360" w:lineRule="auto"/>
        <w:rPr>
          <w:rFonts w:ascii="Arial" w:hAnsi="Arial" w:cs="Arial"/>
          <w:b/>
          <w:bCs/>
        </w:rPr>
      </w:pPr>
    </w:p>
    <w:p w14:paraId="543B86D4" w14:textId="65F27478" w:rsidR="00B42E82" w:rsidRDefault="00586534" w:rsidP="008916DD">
      <w:pPr>
        <w:spacing w:before="100" w:beforeAutospacing="1" w:after="100" w:afterAutospacing="1" w:line="360" w:lineRule="auto"/>
        <w:outlineLvl w:val="1"/>
        <w:rPr>
          <w:rFonts w:ascii="Arial" w:eastAsia="Times New Roman" w:hAnsi="Arial" w:cs="Arial"/>
          <w:b/>
          <w:bCs/>
          <w:i/>
          <w:iCs/>
          <w:color w:val="000000"/>
          <w:szCs w:val="24"/>
          <w:lang w:eastAsia="en-GB"/>
        </w:rPr>
      </w:pPr>
      <w:r>
        <w:rPr>
          <w:rFonts w:ascii="Arial" w:eastAsia="Times New Roman" w:hAnsi="Arial" w:cs="Arial"/>
          <w:b/>
          <w:bCs/>
          <w:i/>
          <w:iCs/>
          <w:color w:val="000000"/>
          <w:szCs w:val="24"/>
          <w:lang w:eastAsia="en-GB"/>
        </w:rPr>
        <w:t xml:space="preserve"> TASK 1 </w:t>
      </w:r>
      <w:r w:rsidR="008916DD" w:rsidRPr="009207FF">
        <w:rPr>
          <w:rFonts w:ascii="Arial" w:eastAsia="Times New Roman" w:hAnsi="Arial" w:cs="Arial"/>
          <w:b/>
          <w:bCs/>
          <w:i/>
          <w:iCs/>
          <w:color w:val="000000"/>
          <w:szCs w:val="24"/>
          <w:lang w:eastAsia="en-GB"/>
        </w:rPr>
        <w:t>Reflection on the Importance of Principles of Health and Social Care</w:t>
      </w:r>
      <w:r w:rsidR="00E967B6">
        <w:rPr>
          <w:rFonts w:ascii="Arial" w:eastAsia="Times New Roman" w:hAnsi="Arial" w:cs="Arial"/>
          <w:b/>
          <w:bCs/>
          <w:i/>
          <w:iCs/>
          <w:color w:val="000000"/>
          <w:szCs w:val="24"/>
          <w:lang w:eastAsia="en-GB"/>
        </w:rPr>
        <w:t xml:space="preserve">          3 -</w:t>
      </w:r>
      <w:r w:rsidR="00F27A48">
        <w:rPr>
          <w:rFonts w:ascii="Arial" w:eastAsia="Times New Roman" w:hAnsi="Arial" w:cs="Arial"/>
          <w:b/>
          <w:bCs/>
          <w:i/>
          <w:iCs/>
          <w:color w:val="000000"/>
          <w:szCs w:val="24"/>
          <w:lang w:eastAsia="en-GB"/>
        </w:rPr>
        <w:t>6</w:t>
      </w:r>
    </w:p>
    <w:p w14:paraId="06A4E3DC" w14:textId="775EA220" w:rsidR="00A10AE3" w:rsidRDefault="00A10AE3" w:rsidP="008916DD">
      <w:pPr>
        <w:spacing w:before="100" w:beforeAutospacing="1" w:after="100" w:afterAutospacing="1" w:line="360" w:lineRule="auto"/>
        <w:outlineLvl w:val="1"/>
        <w:rPr>
          <w:rFonts w:ascii="Arial" w:eastAsia="Times New Roman" w:hAnsi="Arial" w:cs="Arial"/>
          <w:b/>
          <w:bCs/>
          <w:i/>
          <w:iCs/>
          <w:color w:val="000000"/>
          <w:szCs w:val="24"/>
          <w:lang w:eastAsia="en-GB"/>
        </w:rPr>
      </w:pPr>
      <w:r>
        <w:rPr>
          <w:rFonts w:ascii="Arial" w:eastAsia="Times New Roman" w:hAnsi="Arial" w:cs="Arial"/>
          <w:b/>
          <w:bCs/>
          <w:i/>
          <w:iCs/>
          <w:color w:val="000000"/>
          <w:szCs w:val="24"/>
          <w:lang w:eastAsia="en-GB"/>
        </w:rPr>
        <w:t>INTRODUCTION</w:t>
      </w:r>
      <w:r w:rsidR="00E967B6">
        <w:rPr>
          <w:rFonts w:ascii="Arial" w:eastAsia="Times New Roman" w:hAnsi="Arial" w:cs="Arial"/>
          <w:b/>
          <w:bCs/>
          <w:i/>
          <w:iCs/>
          <w:color w:val="000000"/>
          <w:szCs w:val="24"/>
          <w:lang w:eastAsia="en-GB"/>
        </w:rPr>
        <w:t xml:space="preserve">                                                                                                 3</w:t>
      </w:r>
    </w:p>
    <w:p w14:paraId="1EF21784" w14:textId="77777777" w:rsidR="00586534" w:rsidRDefault="00A10AE3" w:rsidP="00E967B6">
      <w:pPr>
        <w:spacing w:before="100" w:beforeAutospacing="1" w:after="100" w:afterAutospacing="1" w:line="360" w:lineRule="auto"/>
        <w:outlineLvl w:val="1"/>
        <w:rPr>
          <w:rFonts w:ascii="Arial" w:eastAsia="Times New Roman" w:hAnsi="Arial" w:cs="Arial"/>
          <w:b/>
          <w:bCs/>
          <w:i/>
          <w:iCs/>
          <w:color w:val="000000"/>
          <w:szCs w:val="24"/>
          <w:lang w:eastAsia="en-GB"/>
        </w:rPr>
      </w:pPr>
      <w:r>
        <w:rPr>
          <w:rFonts w:ascii="Arial" w:eastAsia="Times New Roman" w:hAnsi="Arial" w:cs="Arial"/>
          <w:b/>
          <w:bCs/>
          <w:i/>
          <w:iCs/>
          <w:color w:val="000000"/>
          <w:szCs w:val="24"/>
          <w:lang w:eastAsia="en-GB"/>
        </w:rPr>
        <w:t xml:space="preserve">PERSON CENTERED CARE.  </w:t>
      </w:r>
      <w:r w:rsidR="00E967B6">
        <w:rPr>
          <w:rFonts w:ascii="Arial" w:eastAsia="Times New Roman" w:hAnsi="Arial" w:cs="Arial"/>
          <w:b/>
          <w:bCs/>
          <w:i/>
          <w:iCs/>
          <w:color w:val="000000"/>
          <w:szCs w:val="24"/>
          <w:lang w:eastAsia="en-GB"/>
        </w:rPr>
        <w:t xml:space="preserve">                                                                          3</w:t>
      </w:r>
      <w:r>
        <w:rPr>
          <w:rFonts w:ascii="Arial" w:eastAsia="Times New Roman" w:hAnsi="Arial" w:cs="Arial"/>
          <w:b/>
          <w:bCs/>
          <w:i/>
          <w:iCs/>
          <w:color w:val="000000"/>
          <w:szCs w:val="24"/>
          <w:lang w:eastAsia="en-GB"/>
        </w:rPr>
        <w:t xml:space="preserve">       </w:t>
      </w:r>
    </w:p>
    <w:p w14:paraId="159C35F2" w14:textId="77777777" w:rsidR="00586534" w:rsidRDefault="00586534" w:rsidP="00E967B6">
      <w:pPr>
        <w:spacing w:before="100" w:beforeAutospacing="1" w:after="100" w:afterAutospacing="1" w:line="360" w:lineRule="auto"/>
        <w:outlineLvl w:val="1"/>
        <w:rPr>
          <w:rFonts w:ascii="Arial" w:eastAsia="Times New Roman" w:hAnsi="Arial" w:cs="Arial"/>
          <w:b/>
          <w:bCs/>
          <w:i/>
          <w:iCs/>
          <w:color w:val="000000"/>
          <w:szCs w:val="24"/>
          <w:lang w:eastAsia="en-GB"/>
        </w:rPr>
      </w:pPr>
      <w:r>
        <w:rPr>
          <w:rFonts w:ascii="Arial" w:eastAsia="Times New Roman" w:hAnsi="Arial" w:cs="Arial"/>
          <w:b/>
          <w:bCs/>
          <w:i/>
          <w:iCs/>
          <w:color w:val="000000"/>
          <w:szCs w:val="24"/>
          <w:lang w:eastAsia="en-GB"/>
        </w:rPr>
        <w:t>PARTNERSHIP WORKING                                                                              4</w:t>
      </w:r>
      <w:r w:rsidR="00A10AE3">
        <w:rPr>
          <w:rFonts w:ascii="Arial" w:eastAsia="Times New Roman" w:hAnsi="Arial" w:cs="Arial"/>
          <w:b/>
          <w:bCs/>
          <w:i/>
          <w:iCs/>
          <w:color w:val="000000"/>
          <w:szCs w:val="24"/>
          <w:lang w:eastAsia="en-GB"/>
        </w:rPr>
        <w:t xml:space="preserve">   </w:t>
      </w:r>
    </w:p>
    <w:p w14:paraId="33F976C4" w14:textId="77777777" w:rsidR="0041638D" w:rsidRDefault="008A3FD2" w:rsidP="0041638D">
      <w:pPr>
        <w:spacing w:before="100" w:beforeAutospacing="1" w:after="100" w:afterAutospacing="1" w:line="360" w:lineRule="auto"/>
        <w:outlineLvl w:val="1"/>
        <w:rPr>
          <w:rFonts w:ascii="Arial" w:eastAsia="Times New Roman" w:hAnsi="Arial" w:cs="Arial"/>
          <w:b/>
          <w:bCs/>
          <w:i/>
          <w:iCs/>
          <w:color w:val="000000"/>
          <w:szCs w:val="24"/>
          <w:lang w:eastAsia="en-GB"/>
        </w:rPr>
      </w:pPr>
      <w:r>
        <w:rPr>
          <w:rFonts w:ascii="Arial" w:eastAsia="Times New Roman" w:hAnsi="Arial" w:cs="Arial"/>
          <w:b/>
          <w:bCs/>
          <w:i/>
          <w:iCs/>
          <w:color w:val="000000"/>
          <w:szCs w:val="24"/>
          <w:lang w:eastAsia="en-GB"/>
        </w:rPr>
        <w:t>ETHICAL PRACTICE.                                                                                      5</w:t>
      </w:r>
    </w:p>
    <w:p w14:paraId="7CE1D448" w14:textId="7A58992E" w:rsidR="00AD1364" w:rsidRPr="0041638D" w:rsidRDefault="00AD1364" w:rsidP="0041638D">
      <w:pPr>
        <w:spacing w:before="100" w:beforeAutospacing="1" w:after="100" w:afterAutospacing="1" w:line="360" w:lineRule="auto"/>
        <w:outlineLvl w:val="1"/>
        <w:rPr>
          <w:rFonts w:ascii="Arial" w:eastAsia="Times New Roman" w:hAnsi="Arial" w:cs="Arial"/>
          <w:b/>
          <w:bCs/>
          <w:i/>
          <w:iCs/>
          <w:color w:val="000000"/>
          <w:szCs w:val="24"/>
          <w:lang w:eastAsia="en-GB"/>
        </w:rPr>
      </w:pPr>
      <w:r w:rsidRPr="0041638D">
        <w:rPr>
          <w:rFonts w:ascii="Arial" w:hAnsi="Arial" w:cs="Arial"/>
          <w:b/>
          <w:bCs/>
          <w:i/>
          <w:iCs/>
          <w:color w:val="000000"/>
          <w:szCs w:val="24"/>
        </w:rPr>
        <w:t>Task 2: Practical Examples of Concepts in Practice.</w:t>
      </w:r>
      <w:r>
        <w:rPr>
          <w:rFonts w:ascii="Arial" w:hAnsi="Arial" w:cs="Arial"/>
          <w:i/>
          <w:iCs/>
          <w:color w:val="000000"/>
          <w:szCs w:val="24"/>
        </w:rPr>
        <w:t xml:space="preserve">                      </w:t>
      </w:r>
      <w:r w:rsidR="003F6D7A">
        <w:rPr>
          <w:rFonts w:ascii="Arial" w:hAnsi="Arial" w:cs="Arial"/>
          <w:i/>
          <w:iCs/>
          <w:color w:val="000000"/>
          <w:szCs w:val="24"/>
        </w:rPr>
        <w:t xml:space="preserve">     </w:t>
      </w:r>
      <w:r>
        <w:rPr>
          <w:rFonts w:ascii="Arial" w:hAnsi="Arial" w:cs="Arial"/>
          <w:i/>
          <w:iCs/>
          <w:color w:val="000000"/>
          <w:szCs w:val="24"/>
        </w:rPr>
        <w:t xml:space="preserve"> </w:t>
      </w:r>
      <w:r w:rsidR="004B2418">
        <w:rPr>
          <w:rFonts w:ascii="Arial" w:hAnsi="Arial" w:cs="Arial"/>
          <w:i/>
          <w:iCs/>
          <w:color w:val="000000"/>
          <w:szCs w:val="24"/>
        </w:rPr>
        <w:t xml:space="preserve">    </w:t>
      </w:r>
      <w:r>
        <w:rPr>
          <w:rFonts w:ascii="Arial" w:hAnsi="Arial" w:cs="Arial"/>
          <w:i/>
          <w:iCs/>
          <w:color w:val="000000"/>
          <w:szCs w:val="24"/>
        </w:rPr>
        <w:t xml:space="preserve">  </w:t>
      </w:r>
      <w:r w:rsidR="003F6D7A">
        <w:rPr>
          <w:rFonts w:ascii="Arial" w:hAnsi="Arial" w:cs="Arial"/>
          <w:i/>
          <w:iCs/>
          <w:color w:val="000000"/>
          <w:szCs w:val="24"/>
        </w:rPr>
        <w:t>6</w:t>
      </w:r>
      <w:r>
        <w:rPr>
          <w:rFonts w:ascii="Arial" w:hAnsi="Arial" w:cs="Arial"/>
          <w:i/>
          <w:iCs/>
          <w:color w:val="000000"/>
          <w:szCs w:val="24"/>
        </w:rPr>
        <w:t xml:space="preserve">          </w:t>
      </w:r>
    </w:p>
    <w:p w14:paraId="4709243F" w14:textId="7AFFF698" w:rsidR="00AF7DE4" w:rsidRDefault="00AF7DE4"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sidRPr="00CC42BD">
        <w:rPr>
          <w:rFonts w:ascii="Arial" w:eastAsia="Times New Roman" w:hAnsi="Arial" w:cs="Arial"/>
          <w:b/>
          <w:bCs/>
          <w:i/>
          <w:iCs/>
          <w:color w:val="000000"/>
          <w:kern w:val="36"/>
          <w:szCs w:val="24"/>
          <w:lang w:eastAsia="en-GB"/>
        </w:rPr>
        <w:t>Task 3: Self-Reflection as a Health and Social Care Professional</w:t>
      </w:r>
      <w:r>
        <w:rPr>
          <w:rFonts w:ascii="Arial" w:eastAsia="Times New Roman" w:hAnsi="Arial" w:cs="Arial"/>
          <w:b/>
          <w:bCs/>
          <w:i/>
          <w:iCs/>
          <w:color w:val="000000"/>
          <w:kern w:val="36"/>
          <w:szCs w:val="24"/>
          <w:lang w:eastAsia="en-GB"/>
        </w:rPr>
        <w:t xml:space="preserve">.             </w:t>
      </w:r>
      <w:r w:rsidR="00401EB6">
        <w:rPr>
          <w:rFonts w:ascii="Arial" w:eastAsia="Times New Roman" w:hAnsi="Arial" w:cs="Arial"/>
          <w:b/>
          <w:bCs/>
          <w:i/>
          <w:iCs/>
          <w:color w:val="000000"/>
          <w:kern w:val="36"/>
          <w:szCs w:val="24"/>
          <w:lang w:eastAsia="en-GB"/>
        </w:rPr>
        <w:t>7</w:t>
      </w:r>
      <w:r>
        <w:rPr>
          <w:rFonts w:ascii="Arial" w:eastAsia="Times New Roman" w:hAnsi="Arial" w:cs="Arial"/>
          <w:b/>
          <w:bCs/>
          <w:i/>
          <w:iCs/>
          <w:color w:val="000000"/>
          <w:kern w:val="36"/>
          <w:szCs w:val="24"/>
          <w:lang w:eastAsia="en-GB"/>
        </w:rPr>
        <w:t>-10</w:t>
      </w:r>
    </w:p>
    <w:p w14:paraId="054433E4" w14:textId="59517FB7" w:rsidR="00847C9B" w:rsidRDefault="00847C9B"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Pr>
          <w:rFonts w:ascii="Arial" w:eastAsia="Times New Roman" w:hAnsi="Arial" w:cs="Arial"/>
          <w:b/>
          <w:bCs/>
          <w:i/>
          <w:iCs/>
          <w:color w:val="000000"/>
          <w:kern w:val="36"/>
          <w:szCs w:val="24"/>
          <w:lang w:eastAsia="en-GB"/>
        </w:rPr>
        <w:t xml:space="preserve">INTRODUCTION                                                                                                </w:t>
      </w:r>
      <w:r w:rsidR="008750B4">
        <w:rPr>
          <w:rFonts w:ascii="Arial" w:eastAsia="Times New Roman" w:hAnsi="Arial" w:cs="Arial"/>
          <w:b/>
          <w:bCs/>
          <w:i/>
          <w:iCs/>
          <w:color w:val="000000"/>
          <w:kern w:val="36"/>
          <w:szCs w:val="24"/>
          <w:lang w:eastAsia="en-GB"/>
        </w:rPr>
        <w:t>7</w:t>
      </w:r>
    </w:p>
    <w:p w14:paraId="5FB94E22" w14:textId="269D7F5A" w:rsidR="006355D7" w:rsidRDefault="006355D7"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Pr>
          <w:rFonts w:ascii="Arial" w:eastAsia="Times New Roman" w:hAnsi="Arial" w:cs="Arial"/>
          <w:b/>
          <w:bCs/>
          <w:i/>
          <w:iCs/>
          <w:color w:val="000000"/>
          <w:kern w:val="36"/>
          <w:szCs w:val="24"/>
          <w:lang w:eastAsia="en-GB"/>
        </w:rPr>
        <w:t>DESCR</w:t>
      </w:r>
      <w:r w:rsidR="00573146">
        <w:rPr>
          <w:rFonts w:ascii="Arial" w:eastAsia="Times New Roman" w:hAnsi="Arial" w:cs="Arial"/>
          <w:b/>
          <w:bCs/>
          <w:i/>
          <w:iCs/>
          <w:color w:val="000000"/>
          <w:kern w:val="36"/>
          <w:szCs w:val="24"/>
          <w:lang w:eastAsia="en-GB"/>
        </w:rPr>
        <w:t xml:space="preserve">IPTION                                                                                                  </w:t>
      </w:r>
      <w:r w:rsidR="008750B4">
        <w:rPr>
          <w:rFonts w:ascii="Arial" w:eastAsia="Times New Roman" w:hAnsi="Arial" w:cs="Arial"/>
          <w:b/>
          <w:bCs/>
          <w:i/>
          <w:iCs/>
          <w:color w:val="000000"/>
          <w:kern w:val="36"/>
          <w:szCs w:val="24"/>
          <w:lang w:eastAsia="en-GB"/>
        </w:rPr>
        <w:t>7</w:t>
      </w:r>
    </w:p>
    <w:p w14:paraId="3139641D" w14:textId="74823437" w:rsidR="008750B4" w:rsidRDefault="008750B4"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Pr>
          <w:rFonts w:ascii="Arial" w:eastAsia="Times New Roman" w:hAnsi="Arial" w:cs="Arial"/>
          <w:b/>
          <w:bCs/>
          <w:i/>
          <w:iCs/>
          <w:color w:val="000000"/>
          <w:kern w:val="36"/>
          <w:szCs w:val="24"/>
          <w:lang w:eastAsia="en-GB"/>
        </w:rPr>
        <w:t>FEELING                                                                                                           7</w:t>
      </w:r>
    </w:p>
    <w:p w14:paraId="5D61A4CA" w14:textId="69CD10E2" w:rsidR="00401EB6" w:rsidRDefault="00401EB6"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Pr>
          <w:rFonts w:ascii="Arial" w:eastAsia="Times New Roman" w:hAnsi="Arial" w:cs="Arial"/>
          <w:b/>
          <w:bCs/>
          <w:i/>
          <w:iCs/>
          <w:color w:val="000000"/>
          <w:kern w:val="36"/>
          <w:szCs w:val="24"/>
          <w:lang w:eastAsia="en-GB"/>
        </w:rPr>
        <w:t>EVALUATION                                                                                                    8</w:t>
      </w:r>
    </w:p>
    <w:p w14:paraId="55CDE48D" w14:textId="12AD9844" w:rsidR="00401EB6" w:rsidRDefault="00401EB6"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Pr>
          <w:rFonts w:ascii="Arial" w:eastAsia="Times New Roman" w:hAnsi="Arial" w:cs="Arial"/>
          <w:b/>
          <w:bCs/>
          <w:i/>
          <w:iCs/>
          <w:color w:val="000000"/>
          <w:kern w:val="36"/>
          <w:szCs w:val="24"/>
          <w:lang w:eastAsia="en-GB"/>
        </w:rPr>
        <w:t>ANALYSIS                                                                                                          8</w:t>
      </w:r>
    </w:p>
    <w:p w14:paraId="43C28810" w14:textId="1C8EBD8A" w:rsidR="0041638D" w:rsidRDefault="0041638D"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Pr>
          <w:rFonts w:ascii="Arial" w:eastAsia="Times New Roman" w:hAnsi="Arial" w:cs="Arial"/>
          <w:b/>
          <w:bCs/>
          <w:i/>
          <w:iCs/>
          <w:color w:val="000000"/>
          <w:kern w:val="36"/>
          <w:szCs w:val="24"/>
          <w:lang w:eastAsia="en-GB"/>
        </w:rPr>
        <w:t>ACTION PLAN                                                                                                9</w:t>
      </w:r>
    </w:p>
    <w:p w14:paraId="3BF52C75" w14:textId="10B08F6F" w:rsidR="0041638D" w:rsidRDefault="0041638D"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Pr>
          <w:rFonts w:ascii="Arial" w:eastAsia="Times New Roman" w:hAnsi="Arial" w:cs="Arial"/>
          <w:b/>
          <w:bCs/>
          <w:i/>
          <w:iCs/>
          <w:color w:val="000000"/>
          <w:kern w:val="36"/>
          <w:szCs w:val="24"/>
          <w:lang w:eastAsia="en-GB"/>
        </w:rPr>
        <w:t xml:space="preserve">CONCLUSION                                                                                                 </w:t>
      </w:r>
      <w:r w:rsidR="002D2195">
        <w:rPr>
          <w:rFonts w:ascii="Arial" w:eastAsia="Times New Roman" w:hAnsi="Arial" w:cs="Arial"/>
          <w:b/>
          <w:bCs/>
          <w:i/>
          <w:iCs/>
          <w:color w:val="000000"/>
          <w:kern w:val="36"/>
          <w:szCs w:val="24"/>
          <w:lang w:eastAsia="en-GB"/>
        </w:rPr>
        <w:t>10</w:t>
      </w:r>
    </w:p>
    <w:p w14:paraId="12E0AC79" w14:textId="77777777" w:rsidR="00401EB6" w:rsidRDefault="00401EB6"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p>
    <w:p w14:paraId="459194F0" w14:textId="77777777" w:rsidR="003F6D7A" w:rsidRDefault="003F6D7A"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p>
    <w:p w14:paraId="71B4C2A8" w14:textId="581305F8" w:rsidR="00AF7DE4" w:rsidRPr="00AF7DE4" w:rsidRDefault="00E02E8E" w:rsidP="00AF7DE4">
      <w:pPr>
        <w:spacing w:before="100" w:beforeAutospacing="1" w:after="100" w:afterAutospacing="1" w:line="360" w:lineRule="auto"/>
        <w:outlineLvl w:val="0"/>
        <w:rPr>
          <w:rFonts w:ascii="Arial" w:eastAsia="Times New Roman" w:hAnsi="Arial" w:cs="Arial"/>
          <w:b/>
          <w:bCs/>
          <w:i/>
          <w:iCs/>
          <w:color w:val="000000"/>
          <w:kern w:val="36"/>
          <w:szCs w:val="24"/>
          <w:lang w:eastAsia="en-GB"/>
        </w:rPr>
      </w:pPr>
      <w:r>
        <w:rPr>
          <w:rFonts w:ascii="Arial" w:eastAsia="Times New Roman" w:hAnsi="Arial" w:cs="Arial"/>
          <w:b/>
          <w:bCs/>
          <w:i/>
          <w:iCs/>
          <w:color w:val="000000"/>
          <w:kern w:val="36"/>
          <w:szCs w:val="24"/>
          <w:lang w:eastAsia="en-GB"/>
        </w:rPr>
        <w:t>Reference Lists                                                                                                 11</w:t>
      </w:r>
    </w:p>
    <w:p w14:paraId="491120E1" w14:textId="3E8D78AF" w:rsidR="0037692B" w:rsidRPr="00BD3B63" w:rsidRDefault="009207FF" w:rsidP="00587699">
      <w:pPr>
        <w:spacing w:line="360" w:lineRule="auto"/>
        <w:rPr>
          <w:rFonts w:ascii="Arial" w:hAnsi="Arial" w:cs="Arial"/>
          <w:color w:val="0070C0"/>
          <w:sz w:val="36"/>
          <w:szCs w:val="36"/>
        </w:rPr>
      </w:pPr>
      <w:r w:rsidRPr="00BD3B63">
        <w:rPr>
          <w:rFonts w:ascii="Arial" w:eastAsia="Times New Roman" w:hAnsi="Arial" w:cs="Arial"/>
          <w:b/>
          <w:bCs/>
          <w:i/>
          <w:iCs/>
          <w:color w:val="0070C0"/>
          <w:sz w:val="32"/>
          <w:szCs w:val="32"/>
          <w:lang w:eastAsia="en-GB"/>
        </w:rPr>
        <w:lastRenderedPageBreak/>
        <w:t>Reflection on the Importance of Principles of Health and Social Care</w:t>
      </w:r>
    </w:p>
    <w:p w14:paraId="61D0AD80" w14:textId="77777777" w:rsidR="00DE421E" w:rsidRPr="00BD3B63" w:rsidRDefault="00DE421E" w:rsidP="00DE421E">
      <w:pPr>
        <w:pStyle w:val="Heading2"/>
        <w:rPr>
          <w:color w:val="0070C0"/>
        </w:rPr>
      </w:pPr>
      <w:r w:rsidRPr="00BD3B63">
        <w:rPr>
          <w:color w:val="0070C0"/>
        </w:rPr>
        <w:t>Introduction</w:t>
      </w:r>
    </w:p>
    <w:p w14:paraId="1D9D04C8" w14:textId="77777777" w:rsidR="00DE421E" w:rsidRDefault="00DE421E" w:rsidP="009178CD">
      <w:pPr>
        <w:pStyle w:val="NormalWeb"/>
        <w:spacing w:line="360" w:lineRule="auto"/>
        <w:rPr>
          <w:color w:val="000000"/>
        </w:rPr>
      </w:pPr>
      <w:r w:rsidRPr="009178CD">
        <w:rPr>
          <w:rFonts w:ascii="Arial" w:hAnsi="Arial" w:cs="Arial"/>
          <w:color w:val="000000"/>
          <w:sz w:val="22"/>
          <w:szCs w:val="22"/>
        </w:rPr>
        <w:t>This report now looks at person-centred care, partnership working and ethical practice in UK health and social care. It explains how these ideas support safe care. It also considers how Maslow’s hierarchy helps professionals understand wider needs. The report applies these ideas to a placement involving a child with complex respiratory needs and uses Gibbs’ Reflective Cycle to review the experience</w:t>
      </w:r>
      <w:r>
        <w:rPr>
          <w:color w:val="000000"/>
        </w:rPr>
        <w:t>.</w:t>
      </w:r>
    </w:p>
    <w:p w14:paraId="2BCD3B1C" w14:textId="77777777" w:rsidR="00DE421E" w:rsidRDefault="00DE421E" w:rsidP="00DE421E">
      <w:pPr>
        <w:pStyle w:val="Heading2"/>
        <w:rPr>
          <w:color w:val="000000"/>
        </w:rPr>
      </w:pPr>
      <w:r>
        <w:rPr>
          <w:color w:val="000000"/>
        </w:rPr>
        <w:t>Person-Centred Care</w:t>
      </w:r>
    </w:p>
    <w:p w14:paraId="7B615B76"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Person-centred care means putting the individual at the centre of treatment and support. Professionals should listen, respect choices and involve the person in assessment, planning and review. NHS England states that personalised care should give people choice and control by focusing on what matters to them (NHS England, n.d.).</w:t>
      </w:r>
    </w:p>
    <w:p w14:paraId="60FECA35"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 xml:space="preserve">For example, an older person receiving home care may want to wash, dress or prepare meals independently. Staff may complete these tasks </w:t>
      </w:r>
      <w:proofErr w:type="gramStart"/>
      <w:r w:rsidRPr="009178CD">
        <w:rPr>
          <w:rFonts w:ascii="Arial" w:hAnsi="Arial" w:cs="Arial"/>
          <w:color w:val="000000"/>
          <w:sz w:val="22"/>
          <w:szCs w:val="22"/>
        </w:rPr>
        <w:t>faster, but</w:t>
      </w:r>
      <w:proofErr w:type="gramEnd"/>
      <w:r w:rsidRPr="009178CD">
        <w:rPr>
          <w:rFonts w:ascii="Arial" w:hAnsi="Arial" w:cs="Arial"/>
          <w:color w:val="000000"/>
          <w:sz w:val="22"/>
          <w:szCs w:val="22"/>
        </w:rPr>
        <w:t xml:space="preserve"> doing everything could lower confidence and increase dependence. Supporting safe participation protects dignity and independence. Regulation 9 states that care should meet assessed needs and consider personal preferences (CQC, 2025a).</w:t>
      </w:r>
    </w:p>
    <w:p w14:paraId="29A03556"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Maslow’s hierarchy helps explain why care should consider the whole person. Maslow identified physiological needs, safety, love and belonging, esteem and self-actualisation (Maslow, 1943). Professionals must consider food, fluids, warmth, sleep and safety. Care should also support relationships, confidence, identity and development.</w:t>
      </w:r>
    </w:p>
    <w:p w14:paraId="022AF52B"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A care-home resident may receive food, medication and shelter but still feel lonely or have little control. Staff should support family contact, social activities, meaningful routines and personal choices. Maslow’s model shows that wellbeing involves more than physical care. However, needs do not always follow a fixed order, so planning should follow the person’s priorities.</w:t>
      </w:r>
    </w:p>
    <w:p w14:paraId="2611FE4B" w14:textId="77777777" w:rsidR="008750B4" w:rsidRDefault="008750B4" w:rsidP="009178CD">
      <w:pPr>
        <w:pStyle w:val="Heading2"/>
        <w:spacing w:line="360" w:lineRule="auto"/>
        <w:rPr>
          <w:color w:val="000000"/>
        </w:rPr>
      </w:pPr>
    </w:p>
    <w:p w14:paraId="450C2CB1" w14:textId="68C343EE" w:rsidR="00DE421E" w:rsidRPr="009178CD" w:rsidRDefault="00DE421E" w:rsidP="009178CD">
      <w:pPr>
        <w:pStyle w:val="Heading2"/>
        <w:spacing w:line="360" w:lineRule="auto"/>
        <w:rPr>
          <w:rFonts w:ascii="Arial" w:hAnsi="Arial" w:cs="Arial"/>
          <w:color w:val="000000"/>
          <w:sz w:val="22"/>
          <w:szCs w:val="22"/>
        </w:rPr>
      </w:pPr>
      <w:r>
        <w:rPr>
          <w:color w:val="000000"/>
        </w:rPr>
        <w:lastRenderedPageBreak/>
        <w:t>Partnership Working</w:t>
      </w:r>
    </w:p>
    <w:p w14:paraId="7F1B535F"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Partnership working is important because one person may receive care from several professionals, relatives and services. They should communicate clearly, share relevant information and agree care goals. NICE describes shared decision-making as the person and professional working together while considering evidence, risks, benefits and preferences (NICE, 2021).</w:t>
      </w:r>
    </w:p>
    <w:p w14:paraId="565A68E2"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 xml:space="preserve">Rogers’ person-centred theory supports partnership between individuals and professionals. Rogers believed that positive relationships should involve empathy, honesty and unconditional positive regard (Rogers, 1951). This means listening without judgement, respecting the person’s experience and not </w:t>
      </w:r>
      <w:proofErr w:type="gramStart"/>
      <w:r w:rsidRPr="009178CD">
        <w:rPr>
          <w:rFonts w:ascii="Arial" w:hAnsi="Arial" w:cs="Arial"/>
          <w:color w:val="000000"/>
          <w:sz w:val="22"/>
          <w:szCs w:val="22"/>
        </w:rPr>
        <w:t>assuming that</w:t>
      </w:r>
      <w:proofErr w:type="gramEnd"/>
      <w:r w:rsidRPr="009178CD">
        <w:rPr>
          <w:rFonts w:ascii="Arial" w:hAnsi="Arial" w:cs="Arial"/>
          <w:color w:val="000000"/>
          <w:sz w:val="22"/>
          <w:szCs w:val="22"/>
        </w:rPr>
        <w:t xml:space="preserve"> professionals always know best. The individual should be treated as an active partner who understands their needs and goals.</w:t>
      </w:r>
    </w:p>
    <w:p w14:paraId="65768C3A"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For example, a person recovering from a stroke may care more about preparing meals independently than reaching a clinical target. Professionals can explain the options and agree practical goals with the person. This may improve trust and involvement. However, Rogers’ theory mainly focuses on the individual-professional relationship and does not fully explain how services work together.</w:t>
      </w:r>
    </w:p>
    <w:p w14:paraId="0FEE7D04"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Bronstein’s Model of Interdisciplinary Collaboration is also useful. It focuses on shared goals, flexibility, shared responsibility and reviewing how the team works (Bronstein, 2003). Professionals should combine their knowledge rather than working separately. The Care Act 2014 also supports wellbeing, cooperation between services and involvement in care planning (Great Britain, 2014).</w:t>
      </w:r>
    </w:p>
    <w:p w14:paraId="4B3EC42A"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Good partnership working can reduce mistakes, mixed advice and gaps in care. However, time pressure, unclear roles, poor records and disagreements can weaken it. Information should only be shared when lawful and necessary. Partnership also requires confidentiality, clear communication, agreed responsibilities, consent and regular review.</w:t>
      </w:r>
    </w:p>
    <w:p w14:paraId="518FA271" w14:textId="77777777" w:rsidR="007B2607" w:rsidRDefault="007B2607" w:rsidP="00DE421E">
      <w:pPr>
        <w:pStyle w:val="Heading2"/>
        <w:rPr>
          <w:color w:val="000000"/>
        </w:rPr>
      </w:pPr>
    </w:p>
    <w:p w14:paraId="53F3EC48" w14:textId="77777777" w:rsidR="007B2607" w:rsidRDefault="007B2607" w:rsidP="00DE421E">
      <w:pPr>
        <w:pStyle w:val="Heading2"/>
        <w:rPr>
          <w:color w:val="000000"/>
        </w:rPr>
      </w:pPr>
    </w:p>
    <w:p w14:paraId="0B9E4A13" w14:textId="77777777" w:rsidR="007B2607" w:rsidRDefault="007B2607" w:rsidP="00DE421E">
      <w:pPr>
        <w:pStyle w:val="Heading2"/>
        <w:rPr>
          <w:color w:val="000000"/>
        </w:rPr>
      </w:pPr>
    </w:p>
    <w:p w14:paraId="41F86490" w14:textId="4FBC7340" w:rsidR="00DE421E" w:rsidRDefault="00DE421E" w:rsidP="00DE421E">
      <w:pPr>
        <w:pStyle w:val="Heading2"/>
        <w:rPr>
          <w:color w:val="000000"/>
        </w:rPr>
      </w:pPr>
      <w:r>
        <w:rPr>
          <w:color w:val="000000"/>
        </w:rPr>
        <w:lastRenderedPageBreak/>
        <w:t>Ethical Practice</w:t>
      </w:r>
    </w:p>
    <w:p w14:paraId="7136B1F7" w14:textId="77777777" w:rsidR="00DE421E" w:rsidRPr="009178CD" w:rsidRDefault="00DE421E" w:rsidP="009178CD">
      <w:pPr>
        <w:pStyle w:val="NormalWeb"/>
        <w:spacing w:line="360" w:lineRule="auto"/>
        <w:rPr>
          <w:rFonts w:ascii="Arial" w:hAnsi="Arial" w:cs="Arial"/>
          <w:color w:val="000000"/>
          <w:sz w:val="22"/>
          <w:szCs w:val="22"/>
        </w:rPr>
      </w:pPr>
      <w:r>
        <w:rPr>
          <w:color w:val="000000"/>
        </w:rPr>
        <w:t xml:space="preserve">Ethics helps professionals make decisions when different needs, risks or values must be </w:t>
      </w:r>
      <w:r w:rsidRPr="009178CD">
        <w:rPr>
          <w:rFonts w:ascii="Arial" w:hAnsi="Arial" w:cs="Arial"/>
          <w:color w:val="000000"/>
          <w:sz w:val="22"/>
          <w:szCs w:val="22"/>
        </w:rPr>
        <w:t>considered. Beauchamp and Childress identify autonomy, beneficence, non-maleficence and justice as four main principles (Beauchamp and Childress, 2019). Autonomy means respecting informed choices. Beneficence means supporting wellbeing. Non-maleficence means avoiding unnecessary harm, while justice means treating people fairly.</w:t>
      </w:r>
    </w:p>
    <w:p w14:paraId="5A563FC6"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These principles can conflict. A person may choose to remain at home despite a high risk of falling. Respecting autonomy means recognising their right to decide. However, professionals should also reduce harm. They could discuss the risks and agree less restrictive support, such as grab rails, mobility equipment or extra visits.</w:t>
      </w:r>
    </w:p>
    <w:p w14:paraId="39D9701D"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 xml:space="preserve">Ethics of care theory focuses on relationships, responsibilities and the person’s situation. </w:t>
      </w:r>
      <w:proofErr w:type="spellStart"/>
      <w:r w:rsidRPr="009178CD">
        <w:rPr>
          <w:rFonts w:ascii="Arial" w:hAnsi="Arial" w:cs="Arial"/>
          <w:color w:val="000000"/>
          <w:sz w:val="22"/>
          <w:szCs w:val="22"/>
        </w:rPr>
        <w:t>Tronto</w:t>
      </w:r>
      <w:proofErr w:type="spellEnd"/>
      <w:r w:rsidRPr="009178CD">
        <w:rPr>
          <w:rFonts w:ascii="Arial" w:hAnsi="Arial" w:cs="Arial"/>
          <w:color w:val="000000"/>
          <w:sz w:val="22"/>
          <w:szCs w:val="22"/>
        </w:rPr>
        <w:t xml:space="preserve"> explains that good care requires attentiveness, responsibility, competence and responsiveness (</w:t>
      </w:r>
      <w:proofErr w:type="spellStart"/>
      <w:r w:rsidRPr="009178CD">
        <w:rPr>
          <w:rFonts w:ascii="Arial" w:hAnsi="Arial" w:cs="Arial"/>
          <w:color w:val="000000"/>
          <w:sz w:val="22"/>
          <w:szCs w:val="22"/>
        </w:rPr>
        <w:t>Tronto</w:t>
      </w:r>
      <w:proofErr w:type="spellEnd"/>
      <w:r w:rsidRPr="009178CD">
        <w:rPr>
          <w:rFonts w:ascii="Arial" w:hAnsi="Arial" w:cs="Arial"/>
          <w:color w:val="000000"/>
          <w:sz w:val="22"/>
          <w:szCs w:val="22"/>
        </w:rPr>
        <w:t>, 1993). Professionals should notice needs, take responsibility, provide safe care and listen to the person. Care should not become controlling, and safety concerns should not be used to ignore choices or restrict independence unnecessarily.</w:t>
      </w:r>
    </w:p>
    <w:p w14:paraId="65AED290"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The Mental Capacity Act 2005 guides decisions when capacity is questioned. Adults should be assumed to have capacity and supported to make choices. An unwise decision does not mean that capacity is missing. If someone lacks capacity for a specific decision, professionals must act in their best interests, consider their wishes, consult relevant people and choose the least restrictive option (Great Britain, 2005). The Equality Act 2010 protects people from discrimination and supports reasonable adjustments (Great Britain, 2010).</w:t>
      </w:r>
    </w:p>
    <w:p w14:paraId="7ED0C9D5"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Together, these theories support dignity, independence, shared decisions and coordinated care.</w:t>
      </w:r>
    </w:p>
    <w:p w14:paraId="50823D75" w14:textId="77777777" w:rsidR="00274CD7" w:rsidRDefault="00274CD7" w:rsidP="00DE421E">
      <w:pPr>
        <w:pStyle w:val="Heading2"/>
        <w:rPr>
          <w:color w:val="000000"/>
        </w:rPr>
      </w:pPr>
    </w:p>
    <w:p w14:paraId="593C7228" w14:textId="77777777" w:rsidR="00274CD7" w:rsidRDefault="00274CD7" w:rsidP="00DE421E">
      <w:pPr>
        <w:pStyle w:val="Heading2"/>
        <w:rPr>
          <w:color w:val="000000"/>
        </w:rPr>
      </w:pPr>
    </w:p>
    <w:p w14:paraId="7B63CB07" w14:textId="77777777" w:rsidR="00274CD7" w:rsidRDefault="00274CD7" w:rsidP="00DE421E">
      <w:pPr>
        <w:pStyle w:val="Heading2"/>
        <w:rPr>
          <w:color w:val="000000"/>
        </w:rPr>
      </w:pPr>
    </w:p>
    <w:p w14:paraId="048ADB13" w14:textId="77777777" w:rsidR="00274CD7" w:rsidRDefault="00274CD7" w:rsidP="00DE421E">
      <w:pPr>
        <w:pStyle w:val="Heading2"/>
        <w:rPr>
          <w:color w:val="000000"/>
        </w:rPr>
      </w:pPr>
    </w:p>
    <w:p w14:paraId="4E2B0F96" w14:textId="77777777" w:rsidR="008750B4" w:rsidRDefault="008750B4" w:rsidP="00DE421E">
      <w:pPr>
        <w:pStyle w:val="Heading2"/>
        <w:rPr>
          <w:color w:val="000000"/>
        </w:rPr>
      </w:pPr>
    </w:p>
    <w:p w14:paraId="2ADBE352" w14:textId="1E9B7D85" w:rsidR="00DE421E" w:rsidRPr="00E82DBC" w:rsidRDefault="00DE421E" w:rsidP="00DE421E">
      <w:pPr>
        <w:pStyle w:val="Heading2"/>
        <w:rPr>
          <w:color w:val="0070C0"/>
        </w:rPr>
      </w:pPr>
      <w:r w:rsidRPr="00E82DBC">
        <w:rPr>
          <w:color w:val="0070C0"/>
        </w:rPr>
        <w:lastRenderedPageBreak/>
        <w:t>Task 2: Practical Examples of Concepts in Practice</w:t>
      </w:r>
    </w:p>
    <w:p w14:paraId="50AC8CB1"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During a placement in a complex care setting, a child with respiratory needs required PEG feeding, suctioning, nebulised medication and regular monitoring. The child became anxious before some procedures. Instead of only completing tasks, the multidisciplinary team worked with the child and parents to understand routines, communication and preferences. Staff adapted procedures to reduce distress.</w:t>
      </w:r>
    </w:p>
    <w:p w14:paraId="069E3C38"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Maslow’s hierarchy can be linked to this example. Physiological needs were met through PEG feeding, hydration, airway care and medication. Safety needs were supported through infection control, monitoring, safeguarding and correct equipment use. The Children Act 1989 and Working Together to Safeguard Children require services to protect children through coordinated working (Great Britain, 1989; Department for Education, 2026). Parental involvement supported love and belonging. Praise and simple choices supported esteem, while play and communication supported development.</w:t>
      </w:r>
    </w:p>
    <w:p w14:paraId="7F78E29E"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Partnership working was essential. Staff and parents shared information, reviewed the care plan and responded to changes in breathing, feeding and behaviour. This helped everyone follow the same plan and notice changes in health. NICE recommends involving children and carers in decisions and giving information they can understand (NICE, 2021). Before suctioning, the child could choose a toy, watch a video or receive a simple explanation.</w:t>
      </w:r>
    </w:p>
    <w:p w14:paraId="5B9AC307"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Ethical principles were also used. Beneficence was shown by acting in the child’s interests. Non-maleficence meant reducing distress and avoiding unnecessary harm. Justice meant providing the same standard of care despite complex needs. Autonomy was supported by listening to the child according to age and understanding. Parents remained involved, but staff had to ensure that family wishes did not replace the child’s best interests.</w:t>
      </w:r>
    </w:p>
    <w:p w14:paraId="5B38D881"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Coulter, Roberts and Dixon found that partnership working can improve relationships, confidence and self-management (Coulter, Roberts and Dixon, 2013). The NHS Constitution also supports dignity, compassion and involvement in decisions (Department of Health and Social Care, 2023). This helps the child and family feel included.</w:t>
      </w:r>
    </w:p>
    <w:p w14:paraId="2D17AD8E" w14:textId="4CAD1AC1" w:rsidR="005874CB" w:rsidRPr="002D2195" w:rsidRDefault="00DE421E" w:rsidP="002D2195">
      <w:pPr>
        <w:pStyle w:val="NormalWeb"/>
        <w:spacing w:line="360" w:lineRule="auto"/>
        <w:rPr>
          <w:rFonts w:ascii="Arial" w:hAnsi="Arial" w:cs="Arial"/>
          <w:color w:val="000000"/>
          <w:sz w:val="22"/>
          <w:szCs w:val="22"/>
        </w:rPr>
      </w:pPr>
      <w:r w:rsidRPr="009178CD">
        <w:rPr>
          <w:rFonts w:ascii="Arial" w:hAnsi="Arial" w:cs="Arial"/>
          <w:color w:val="000000"/>
          <w:sz w:val="22"/>
          <w:szCs w:val="22"/>
        </w:rPr>
        <w:t>Challenges included staff shortages, rushed communication and different views. Clear care plans, accurate records, team discussions and understandable communication could reduce these problems. Overall, person-centred care, partnership working, ethical practice and Maslow’s theory improved safety, reduced distress and supported the family.</w:t>
      </w:r>
    </w:p>
    <w:p w14:paraId="7EE2553C" w14:textId="4D916F81" w:rsidR="00DE421E" w:rsidRPr="00E82DBC" w:rsidRDefault="00DE421E" w:rsidP="00DE421E">
      <w:pPr>
        <w:pStyle w:val="Heading2"/>
        <w:rPr>
          <w:color w:val="0070C0"/>
        </w:rPr>
      </w:pPr>
      <w:r w:rsidRPr="00E82DBC">
        <w:rPr>
          <w:color w:val="0070C0"/>
        </w:rPr>
        <w:lastRenderedPageBreak/>
        <w:t>Task 3: Self-Reflection as a Health and Social Care Professional</w:t>
      </w:r>
    </w:p>
    <w:p w14:paraId="4BECE7EA" w14:textId="77777777" w:rsidR="00DE421E" w:rsidRPr="009178CD" w:rsidRDefault="00DE421E" w:rsidP="009178CD">
      <w:pPr>
        <w:pStyle w:val="Heading3"/>
        <w:spacing w:line="360" w:lineRule="auto"/>
        <w:rPr>
          <w:rFonts w:ascii="Arial" w:hAnsi="Arial" w:cs="Arial"/>
          <w:i/>
          <w:iCs/>
          <w:color w:val="000000"/>
          <w:sz w:val="22"/>
          <w:szCs w:val="22"/>
        </w:rPr>
      </w:pPr>
      <w:r w:rsidRPr="009178CD">
        <w:rPr>
          <w:i/>
          <w:iCs/>
          <w:color w:val="000000"/>
          <w:sz w:val="28"/>
          <w:szCs w:val="28"/>
        </w:rPr>
        <w:t>Introduction</w:t>
      </w:r>
    </w:p>
    <w:p w14:paraId="5A89E548"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Reflection helps me think about what I did well and what I need to improve. I will use Gibbs’ Reflective Cycle, which includes description, feelings, evaluation, analysis, conclusion and an action plan (Gibbs, 1988).</w:t>
      </w:r>
    </w:p>
    <w:p w14:paraId="772DDCDC"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This reflection is based on supporting Child A, who had respiratory needs and required PEG feeding, suctioning, nebulised medication and regular monitoring. I will consider how person-centred care, partnership working and ethics shaped the care provided.</w:t>
      </w:r>
    </w:p>
    <w:p w14:paraId="357EDEBB" w14:textId="77777777" w:rsidR="00DE421E" w:rsidRPr="009178CD" w:rsidRDefault="00DE421E" w:rsidP="009178CD">
      <w:pPr>
        <w:pStyle w:val="Heading3"/>
        <w:spacing w:line="360" w:lineRule="auto"/>
        <w:rPr>
          <w:rFonts w:ascii="Arial" w:hAnsi="Arial" w:cs="Arial"/>
          <w:color w:val="000000"/>
          <w:sz w:val="22"/>
          <w:szCs w:val="22"/>
        </w:rPr>
      </w:pPr>
      <w:r w:rsidRPr="009178CD">
        <w:rPr>
          <w:rFonts w:ascii="Arial" w:hAnsi="Arial" w:cs="Arial"/>
          <w:color w:val="000000"/>
          <w:sz w:val="28"/>
          <w:szCs w:val="28"/>
        </w:rPr>
        <w:t>Description</w:t>
      </w:r>
    </w:p>
    <w:p w14:paraId="5F337AAF"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At the beginning of my placement, I mainly focused on making sure procedures were completed safely. However, I noticed that Child A became anxious before suctioning and other treatments.</w:t>
      </w:r>
    </w:p>
    <w:p w14:paraId="54F661BE"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 xml:space="preserve">The nurses explained that Child A felt calmer when familiar routines were followed and the parents were involved. The parents knew how the child showed </w:t>
      </w:r>
      <w:proofErr w:type="gramStart"/>
      <w:r w:rsidRPr="009178CD">
        <w:rPr>
          <w:rFonts w:ascii="Arial" w:hAnsi="Arial" w:cs="Arial"/>
          <w:color w:val="000000"/>
          <w:sz w:val="22"/>
          <w:szCs w:val="22"/>
        </w:rPr>
        <w:t>discomfort</w:t>
      </w:r>
      <w:proofErr w:type="gramEnd"/>
      <w:r w:rsidRPr="009178CD">
        <w:rPr>
          <w:rFonts w:ascii="Arial" w:hAnsi="Arial" w:cs="Arial"/>
          <w:color w:val="000000"/>
          <w:sz w:val="22"/>
          <w:szCs w:val="22"/>
        </w:rPr>
        <w:t xml:space="preserve"> and which activities helped the child feel safe.</w:t>
      </w:r>
    </w:p>
    <w:p w14:paraId="0B108B85"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 xml:space="preserve">Before procedures, staff used simple explanations and gave Child A time to prepare. They used toys or videos as a distraction, while the </w:t>
      </w:r>
      <w:proofErr w:type="gramStart"/>
      <w:r w:rsidRPr="009178CD">
        <w:rPr>
          <w:rFonts w:ascii="Arial" w:hAnsi="Arial" w:cs="Arial"/>
          <w:color w:val="000000"/>
          <w:sz w:val="22"/>
          <w:szCs w:val="22"/>
        </w:rPr>
        <w:t>parents</w:t>
      </w:r>
      <w:proofErr w:type="gramEnd"/>
      <w:r w:rsidRPr="009178CD">
        <w:rPr>
          <w:rFonts w:ascii="Arial" w:hAnsi="Arial" w:cs="Arial"/>
          <w:color w:val="000000"/>
          <w:sz w:val="22"/>
          <w:szCs w:val="22"/>
        </w:rPr>
        <w:t xml:space="preserve"> offered reassurance. After these changes, Child A appeared calmer and willing to accept treatment.</w:t>
      </w:r>
    </w:p>
    <w:p w14:paraId="14C52A76" w14:textId="77777777" w:rsidR="00DE421E" w:rsidRPr="00DE421E" w:rsidRDefault="00DE421E" w:rsidP="00DE421E">
      <w:pPr>
        <w:pStyle w:val="Heading3"/>
        <w:rPr>
          <w:color w:val="000000"/>
          <w:sz w:val="28"/>
          <w:szCs w:val="28"/>
        </w:rPr>
      </w:pPr>
      <w:r w:rsidRPr="00DE421E">
        <w:rPr>
          <w:color w:val="000000"/>
          <w:sz w:val="28"/>
          <w:szCs w:val="28"/>
        </w:rPr>
        <w:t>Feelings</w:t>
      </w:r>
    </w:p>
    <w:p w14:paraId="6AFAACBC"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At first, I felt nervous because Child A had complex needs. I was worried that I might make a mistake or fail to notice a change.</w:t>
      </w:r>
    </w:p>
    <w:p w14:paraId="2DC18728"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I also felt unsure when speaking with the parents because they knew more about their child than I did. However, I understood that listening to them was part of safe care. They could explain what was normal and which signs could mean something was wrong.</w:t>
      </w:r>
    </w:p>
    <w:p w14:paraId="746AE1B8"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I became more confident as staff explained procedures and allowed questions. Seeing Child A become calmer showed me that emotional support is as important as completing a clinical task.</w:t>
      </w:r>
    </w:p>
    <w:p w14:paraId="43624807" w14:textId="77777777" w:rsidR="00DE421E" w:rsidRPr="00DE421E" w:rsidRDefault="00DE421E" w:rsidP="00DE421E">
      <w:pPr>
        <w:pStyle w:val="Heading3"/>
        <w:rPr>
          <w:color w:val="000000"/>
          <w:sz w:val="28"/>
          <w:szCs w:val="28"/>
        </w:rPr>
      </w:pPr>
      <w:r w:rsidRPr="00DE421E">
        <w:rPr>
          <w:color w:val="000000"/>
          <w:sz w:val="28"/>
          <w:szCs w:val="28"/>
        </w:rPr>
        <w:lastRenderedPageBreak/>
        <w:t>Evaluation</w:t>
      </w:r>
    </w:p>
    <w:p w14:paraId="2C721BDF"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One thing that went well was that staff treated Child A as an individual. They considered the child’s emotions, routines, communication needs and relationship with the parents, rather than only the medical condition.</w:t>
      </w:r>
    </w:p>
    <w:p w14:paraId="30A3FFFF"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Toys, simple explanations and distraction reduced anxiety. NICE guidance supports preparing children for procedures and using play or distraction to reduce distress (NICE, 2021).</w:t>
      </w:r>
    </w:p>
    <w:p w14:paraId="1EA0A624"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Partnership working also went well. Nurses, healthcare assistants, therapists and parents shared information about breathing, feeding, behaviour and comfort. This helped everyone follow a similar care plan.</w:t>
      </w:r>
    </w:p>
    <w:p w14:paraId="14127804" w14:textId="77777777" w:rsidR="00DE421E"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However, handovers were sometimes rushed. I often listened to senior staff instead of sharing my observations. I should also have learned more about Child A’s routines earlier, as this may have helped me build trust sooner.</w:t>
      </w:r>
    </w:p>
    <w:p w14:paraId="636FA20D" w14:textId="77777777" w:rsidR="00B051F8" w:rsidRPr="00B051F8" w:rsidRDefault="00B051F8" w:rsidP="00B051F8">
      <w:pPr>
        <w:pStyle w:val="Heading3"/>
        <w:rPr>
          <w:color w:val="000000"/>
          <w:sz w:val="28"/>
          <w:szCs w:val="28"/>
        </w:rPr>
      </w:pPr>
      <w:r w:rsidRPr="00B051F8">
        <w:rPr>
          <w:color w:val="000000"/>
          <w:sz w:val="28"/>
          <w:szCs w:val="28"/>
        </w:rPr>
        <w:t>Analysis</w:t>
      </w:r>
    </w:p>
    <w:p w14:paraId="4CA8B7DF" w14:textId="77777777" w:rsidR="00B051F8" w:rsidRPr="00D2489F" w:rsidRDefault="00B051F8" w:rsidP="00D2489F">
      <w:pPr>
        <w:pStyle w:val="NormalWeb"/>
        <w:spacing w:line="360" w:lineRule="auto"/>
        <w:rPr>
          <w:rFonts w:ascii="Arial" w:hAnsi="Arial" w:cs="Arial"/>
          <w:color w:val="000000"/>
          <w:sz w:val="22"/>
          <w:szCs w:val="22"/>
        </w:rPr>
      </w:pPr>
      <w:r w:rsidRPr="00D2489F">
        <w:rPr>
          <w:rFonts w:ascii="Arial" w:hAnsi="Arial" w:cs="Arial"/>
          <w:color w:val="000000"/>
          <w:sz w:val="22"/>
          <w:szCs w:val="22"/>
        </w:rPr>
        <w:t>This experience showed me that safe care is not only about completing procedures correctly. Staff also need to understand how the child feels and what can reduce distress. For Child A, familiar routines, parental support and distraction helped make treatment calmer. This links to CQC Regulation 9 because care should meet individual needs and preferences (CQC, 2025a).</w:t>
      </w:r>
    </w:p>
    <w:p w14:paraId="7FA2B61B" w14:textId="77777777" w:rsidR="00B051F8" w:rsidRPr="00D2489F" w:rsidRDefault="00B051F8" w:rsidP="00D2489F">
      <w:pPr>
        <w:pStyle w:val="NormalWeb"/>
        <w:spacing w:line="360" w:lineRule="auto"/>
        <w:rPr>
          <w:rFonts w:ascii="Arial" w:hAnsi="Arial" w:cs="Arial"/>
          <w:color w:val="000000"/>
          <w:sz w:val="22"/>
          <w:szCs w:val="22"/>
        </w:rPr>
      </w:pPr>
      <w:r w:rsidRPr="00D2489F">
        <w:rPr>
          <w:rFonts w:ascii="Arial" w:hAnsi="Arial" w:cs="Arial"/>
          <w:color w:val="000000"/>
          <w:sz w:val="22"/>
          <w:szCs w:val="22"/>
        </w:rPr>
        <w:t>Maslow’s hierarchy also helped me understand the child’s wider needs. PEG feeding, medication and airway care met physical needs, while monitoring and infection control supported safety. Parental involvement provided comfort, and praise and simple choices supported confidence (Maslow, 1943).</w:t>
      </w:r>
    </w:p>
    <w:p w14:paraId="203130AF" w14:textId="77777777" w:rsidR="00B051F8" w:rsidRPr="00D2489F" w:rsidRDefault="00B051F8" w:rsidP="00D2489F">
      <w:pPr>
        <w:pStyle w:val="NormalWeb"/>
        <w:spacing w:line="360" w:lineRule="auto"/>
        <w:rPr>
          <w:rFonts w:ascii="Arial" w:hAnsi="Arial" w:cs="Arial"/>
          <w:color w:val="000000"/>
          <w:sz w:val="22"/>
          <w:szCs w:val="22"/>
        </w:rPr>
      </w:pPr>
      <w:r w:rsidRPr="00D2489F">
        <w:rPr>
          <w:rFonts w:ascii="Arial" w:hAnsi="Arial" w:cs="Arial"/>
          <w:color w:val="000000"/>
          <w:sz w:val="22"/>
          <w:szCs w:val="22"/>
        </w:rPr>
        <w:t>Ethical principles were also important. Staff promoted wellbeing, reduced avoidable harm and treated Child A fairly (Beauchamp and Childress, 2019). Although the child was young, staff still listened to reactions and offered simple choices. I learned that parents and professionals should work together while keeping the child’s best interests central. I also learned to report safeguarding concerns and share observations clearly with the team.</w:t>
      </w:r>
    </w:p>
    <w:p w14:paraId="45D4AFF6" w14:textId="77777777" w:rsidR="00B051F8" w:rsidRPr="009178CD" w:rsidRDefault="00B051F8" w:rsidP="009178CD">
      <w:pPr>
        <w:pStyle w:val="NormalWeb"/>
        <w:spacing w:line="360" w:lineRule="auto"/>
        <w:rPr>
          <w:rFonts w:ascii="Arial" w:hAnsi="Arial" w:cs="Arial"/>
          <w:color w:val="000000"/>
          <w:sz w:val="22"/>
          <w:szCs w:val="22"/>
        </w:rPr>
      </w:pPr>
    </w:p>
    <w:p w14:paraId="396815F2" w14:textId="77777777" w:rsidR="0061271C" w:rsidRPr="009178CD" w:rsidRDefault="0061271C" w:rsidP="009178CD">
      <w:pPr>
        <w:pStyle w:val="Heading3"/>
        <w:spacing w:line="360" w:lineRule="auto"/>
        <w:rPr>
          <w:rFonts w:ascii="Arial" w:hAnsi="Arial" w:cs="Arial"/>
          <w:color w:val="000000"/>
          <w:sz w:val="22"/>
          <w:szCs w:val="22"/>
        </w:rPr>
      </w:pPr>
    </w:p>
    <w:p w14:paraId="23942783" w14:textId="77777777" w:rsidR="00DE421E" w:rsidRPr="009178CD" w:rsidRDefault="00DE421E" w:rsidP="009178CD">
      <w:pPr>
        <w:pStyle w:val="Heading3"/>
        <w:spacing w:line="360" w:lineRule="auto"/>
        <w:rPr>
          <w:rFonts w:ascii="Arial" w:hAnsi="Arial" w:cs="Arial"/>
          <w:color w:val="000000"/>
          <w:sz w:val="22"/>
          <w:szCs w:val="22"/>
        </w:rPr>
      </w:pPr>
      <w:r w:rsidRPr="00DE421E">
        <w:rPr>
          <w:color w:val="000000"/>
          <w:sz w:val="28"/>
          <w:szCs w:val="28"/>
        </w:rPr>
        <w:lastRenderedPageBreak/>
        <w:t>Action Plan</w:t>
      </w:r>
    </w:p>
    <w:p w14:paraId="43123ECE" w14:textId="77777777" w:rsidR="005537C8" w:rsidRPr="009178CD" w:rsidRDefault="005537C8"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One area I need to improve is my confidence. During the placement, I sometimes stayed quiet during handovers because I was worried about saying something wrong. In future, I will try to share at least one useful observation during each handover. Before the handover starts, I can write down any changes I noticed in the person’s breathing, behaviour, feeding or comfort. This should help me feel more prepared and make it easier to speak.</w:t>
      </w:r>
    </w:p>
    <w:p w14:paraId="2E004844" w14:textId="77777777" w:rsidR="005537C8" w:rsidRPr="009178CD" w:rsidRDefault="005537C8"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I also need to improve my communication skills. I will practise speaking clearly with individuals, families and other professionals. I will listen carefully and give people enough time to explain their concerns. If I do not understand something, I will ask questions instead of pretending that I understand. I will also check that the information I have given is clear.</w:t>
      </w:r>
    </w:p>
    <w:p w14:paraId="5BE133F7" w14:textId="77777777" w:rsidR="005537C8" w:rsidRPr="009178CD" w:rsidRDefault="005537C8"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Another area I need to develop is my clinical knowledge. I want to learn more about consent, safeguarding, infection control, risk assessments and the safe use of specialist equipment. I will do this by completing training, reading workplace policies and asking experienced staff to explain anything I am unsure about.</w:t>
      </w:r>
    </w:p>
    <w:p w14:paraId="69936DB5" w14:textId="77777777" w:rsidR="005537C8" w:rsidRPr="009178CD" w:rsidRDefault="005537C8"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I understand that I should only carry out tasks that I have been trained to complete. If I am unsure about a procedure, I will stop and ask a senior member of staff for help. CQC Regulation 12 states that care must be provided safely by staff who have the correct skills and competence (CQC, 2025b).</w:t>
      </w:r>
    </w:p>
    <w:p w14:paraId="57E4B6EF" w14:textId="77777777" w:rsidR="005537C8" w:rsidRPr="009178CD" w:rsidRDefault="005537C8"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I also need to improve my record keeping. I will try to complete records soon after care has been provided so that I do not forget important details. My notes should be clear, factual, dated and signed. I will avoid adding personal opinions and will report any important changes straight away.</w:t>
      </w:r>
    </w:p>
    <w:p w14:paraId="7C4AC42A" w14:textId="77777777" w:rsidR="005537C8" w:rsidRPr="009178CD" w:rsidRDefault="005537C8"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To check my progress, I will ask my supervisor for feedback. I will also reflect on my practice after each shift. My main goals are to speak more during handovers, complete relevant training, improve my knowledge of specialist equipment and keep accurate records.</w:t>
      </w:r>
    </w:p>
    <w:p w14:paraId="0DD4D7A6" w14:textId="77777777" w:rsidR="005537C8" w:rsidRDefault="005537C8" w:rsidP="00DE421E">
      <w:pPr>
        <w:pStyle w:val="Heading3"/>
        <w:rPr>
          <w:color w:val="000000"/>
          <w:sz w:val="28"/>
          <w:szCs w:val="28"/>
        </w:rPr>
      </w:pPr>
    </w:p>
    <w:p w14:paraId="763E2083" w14:textId="77777777" w:rsidR="005537C8" w:rsidRPr="00DE421E" w:rsidRDefault="005537C8" w:rsidP="00DE421E">
      <w:pPr>
        <w:pStyle w:val="Heading3"/>
        <w:rPr>
          <w:color w:val="000000"/>
          <w:sz w:val="28"/>
          <w:szCs w:val="28"/>
        </w:rPr>
      </w:pPr>
    </w:p>
    <w:p w14:paraId="62602E52" w14:textId="77777777" w:rsidR="009178CD" w:rsidRDefault="009178CD" w:rsidP="00DE421E">
      <w:pPr>
        <w:pStyle w:val="Heading3"/>
        <w:rPr>
          <w:color w:val="000000"/>
          <w:sz w:val="28"/>
          <w:szCs w:val="28"/>
        </w:rPr>
      </w:pPr>
    </w:p>
    <w:p w14:paraId="65B3C9FD" w14:textId="77777777" w:rsidR="00D2489F" w:rsidRDefault="00D2489F" w:rsidP="00DE421E">
      <w:pPr>
        <w:pStyle w:val="Heading3"/>
        <w:rPr>
          <w:color w:val="000000"/>
          <w:sz w:val="28"/>
          <w:szCs w:val="28"/>
        </w:rPr>
      </w:pPr>
    </w:p>
    <w:p w14:paraId="2A620086" w14:textId="40AA70BD" w:rsidR="00DE421E" w:rsidRPr="00DE421E" w:rsidRDefault="00DE421E" w:rsidP="00DE421E">
      <w:pPr>
        <w:pStyle w:val="Heading3"/>
        <w:rPr>
          <w:color w:val="000000"/>
          <w:sz w:val="28"/>
          <w:szCs w:val="28"/>
        </w:rPr>
      </w:pPr>
      <w:r w:rsidRPr="00DE421E">
        <w:rPr>
          <w:color w:val="000000"/>
          <w:sz w:val="28"/>
          <w:szCs w:val="28"/>
        </w:rPr>
        <w:lastRenderedPageBreak/>
        <w:t>Conclusion</w:t>
      </w:r>
    </w:p>
    <w:p w14:paraId="0CBACC94"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This experience taught me that safe care is not only about completing procedures correctly. The child and family must feel listened to, respected and included.</w:t>
      </w:r>
    </w:p>
    <w:p w14:paraId="75471092"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Partnership working helped staff share information and follow the same care plan. Ethical practice helped the team balance safety, choices and the child’s best interests.</w:t>
      </w:r>
    </w:p>
    <w:p w14:paraId="4253A3D4" w14:textId="77777777" w:rsidR="00DE421E" w:rsidRPr="009178CD" w:rsidRDefault="00DE421E" w:rsidP="009178CD">
      <w:pPr>
        <w:pStyle w:val="NormalWeb"/>
        <w:spacing w:line="360" w:lineRule="auto"/>
        <w:rPr>
          <w:rFonts w:ascii="Arial" w:hAnsi="Arial" w:cs="Arial"/>
          <w:color w:val="000000"/>
          <w:sz w:val="22"/>
          <w:szCs w:val="22"/>
        </w:rPr>
      </w:pPr>
      <w:r w:rsidRPr="009178CD">
        <w:rPr>
          <w:rFonts w:ascii="Arial" w:hAnsi="Arial" w:cs="Arial"/>
          <w:color w:val="000000"/>
          <w:sz w:val="22"/>
          <w:szCs w:val="22"/>
        </w:rPr>
        <w:t>The reflection helped me recognise my strengths and areas for improvement. I need to become more confident, improve communication, develop clinical knowledge and complete accurate records.</w:t>
      </w:r>
    </w:p>
    <w:p w14:paraId="4B68D00D" w14:textId="77777777" w:rsidR="00DE421E" w:rsidRDefault="00DE421E" w:rsidP="00DE421E"/>
    <w:p w14:paraId="6BC4EE08" w14:textId="77777777" w:rsidR="00DE421E" w:rsidRDefault="00DE421E" w:rsidP="00DE421E"/>
    <w:p w14:paraId="1918A2DC" w14:textId="77777777" w:rsidR="00DE421E" w:rsidRDefault="00DE421E" w:rsidP="00DE421E"/>
    <w:p w14:paraId="1FAD308E" w14:textId="77777777" w:rsidR="009178CD" w:rsidRDefault="009178CD" w:rsidP="00DE421E"/>
    <w:p w14:paraId="0DA6AFE4" w14:textId="77777777" w:rsidR="009178CD" w:rsidRDefault="009178CD" w:rsidP="00DE421E"/>
    <w:p w14:paraId="4B13CD41" w14:textId="77777777" w:rsidR="009178CD" w:rsidRDefault="009178CD" w:rsidP="00DE421E"/>
    <w:p w14:paraId="505A270C" w14:textId="77777777" w:rsidR="009178CD" w:rsidRDefault="009178CD" w:rsidP="00DE421E"/>
    <w:p w14:paraId="58BE58CC" w14:textId="77777777" w:rsidR="009178CD" w:rsidRDefault="009178CD" w:rsidP="00DE421E"/>
    <w:p w14:paraId="47D9D7BC" w14:textId="77777777" w:rsidR="009178CD" w:rsidRDefault="009178CD" w:rsidP="00DE421E"/>
    <w:p w14:paraId="366B6FD8" w14:textId="77777777" w:rsidR="009178CD" w:rsidRDefault="009178CD" w:rsidP="00DE421E"/>
    <w:p w14:paraId="0D4E456F" w14:textId="77777777" w:rsidR="009178CD" w:rsidRDefault="009178CD" w:rsidP="00DE421E"/>
    <w:p w14:paraId="08015F30" w14:textId="77777777" w:rsidR="009178CD" w:rsidRDefault="009178CD" w:rsidP="00DE421E"/>
    <w:p w14:paraId="13F0DCBE" w14:textId="77777777" w:rsidR="009178CD" w:rsidRDefault="009178CD" w:rsidP="00DE421E"/>
    <w:p w14:paraId="33AA1DBC" w14:textId="77777777" w:rsidR="009178CD" w:rsidRDefault="009178CD" w:rsidP="00DE421E"/>
    <w:p w14:paraId="58953D61" w14:textId="77777777" w:rsidR="009178CD" w:rsidRDefault="009178CD" w:rsidP="00DE421E"/>
    <w:p w14:paraId="46406687" w14:textId="77777777" w:rsidR="009178CD" w:rsidRPr="00DE421E" w:rsidRDefault="009178CD" w:rsidP="00DE421E"/>
    <w:p w14:paraId="1E243764" w14:textId="7EDC4258" w:rsidR="006D2F2D" w:rsidRDefault="006D2F2D" w:rsidP="00894DE4">
      <w:pPr>
        <w:spacing w:line="360" w:lineRule="auto"/>
        <w:rPr>
          <w:rFonts w:ascii="Arial" w:hAnsi="Arial" w:cs="Arial"/>
          <w:b/>
          <w:bCs/>
          <w:sz w:val="22"/>
        </w:rPr>
      </w:pPr>
    </w:p>
    <w:p w14:paraId="71E8B855" w14:textId="77777777" w:rsidR="005E25E7" w:rsidRDefault="005E25E7" w:rsidP="00894DE4">
      <w:pPr>
        <w:spacing w:line="360" w:lineRule="auto"/>
        <w:rPr>
          <w:rFonts w:ascii="Arial" w:hAnsi="Arial" w:cs="Arial"/>
          <w:b/>
          <w:bCs/>
          <w:sz w:val="22"/>
        </w:rPr>
      </w:pPr>
    </w:p>
    <w:p w14:paraId="57FE74E1" w14:textId="77777777" w:rsidR="00785180" w:rsidRDefault="00785180" w:rsidP="005E25E7">
      <w:pPr>
        <w:pStyle w:val="Heading2"/>
        <w:rPr>
          <w:color w:val="000000"/>
        </w:rPr>
      </w:pPr>
    </w:p>
    <w:p w14:paraId="66311BB5" w14:textId="77777777" w:rsidR="00785180" w:rsidRDefault="00785180" w:rsidP="005E25E7">
      <w:pPr>
        <w:pStyle w:val="Heading2"/>
        <w:rPr>
          <w:color w:val="000000"/>
        </w:rPr>
      </w:pPr>
    </w:p>
    <w:p w14:paraId="65156C17" w14:textId="57D6CADB" w:rsidR="005E25E7" w:rsidRPr="00E82DBC" w:rsidRDefault="005E25E7" w:rsidP="005E25E7">
      <w:pPr>
        <w:pStyle w:val="Heading2"/>
        <w:rPr>
          <w:color w:val="0070C0"/>
        </w:rPr>
      </w:pPr>
      <w:r w:rsidRPr="00E82DBC">
        <w:rPr>
          <w:color w:val="0070C0"/>
        </w:rPr>
        <w:lastRenderedPageBreak/>
        <w:t>Reference List</w:t>
      </w:r>
    </w:p>
    <w:p w14:paraId="01E0A44C"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Beauchamp, T.L. and Childress, J.F. (2019)</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Principles of biomedical ethics</w:t>
      </w:r>
      <w:r w:rsidRPr="005E25E7">
        <w:rPr>
          <w:rFonts w:ascii="Arial" w:hAnsi="Arial" w:cs="Arial"/>
          <w:color w:val="000000"/>
          <w:sz w:val="22"/>
          <w:szCs w:val="22"/>
        </w:rPr>
        <w:t xml:space="preserve">. 8th </w:t>
      </w:r>
      <w:proofErr w:type="spellStart"/>
      <w:r w:rsidRPr="005E25E7">
        <w:rPr>
          <w:rFonts w:ascii="Arial" w:hAnsi="Arial" w:cs="Arial"/>
          <w:color w:val="000000"/>
          <w:sz w:val="22"/>
          <w:szCs w:val="22"/>
        </w:rPr>
        <w:t>edn</w:t>
      </w:r>
      <w:proofErr w:type="spellEnd"/>
      <w:r w:rsidRPr="005E25E7">
        <w:rPr>
          <w:rFonts w:ascii="Arial" w:hAnsi="Arial" w:cs="Arial"/>
          <w:color w:val="000000"/>
          <w:sz w:val="22"/>
          <w:szCs w:val="22"/>
        </w:rPr>
        <w:t>. New York: Oxford University Press.</w:t>
      </w:r>
    </w:p>
    <w:p w14:paraId="220BA757"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Bronstein, L.R. (2003) ‘A model for interdisciplinary collaboration’,</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Social Work</w:t>
      </w:r>
      <w:r w:rsidRPr="005E25E7">
        <w:rPr>
          <w:rFonts w:ascii="Arial" w:hAnsi="Arial" w:cs="Arial"/>
          <w:color w:val="000000"/>
          <w:sz w:val="22"/>
          <w:szCs w:val="22"/>
        </w:rPr>
        <w:t xml:space="preserve">, 48(3), pp. 297–306. </w:t>
      </w:r>
      <w:proofErr w:type="spellStart"/>
      <w:r w:rsidRPr="005E25E7">
        <w:rPr>
          <w:rFonts w:ascii="Arial" w:hAnsi="Arial" w:cs="Arial"/>
          <w:color w:val="000000"/>
          <w:sz w:val="22"/>
          <w:szCs w:val="22"/>
        </w:rPr>
        <w:t>doi</w:t>
      </w:r>
      <w:proofErr w:type="spellEnd"/>
      <w:r w:rsidRPr="005E25E7">
        <w:rPr>
          <w:rFonts w:ascii="Arial" w:hAnsi="Arial" w:cs="Arial"/>
          <w:color w:val="000000"/>
          <w:sz w:val="22"/>
          <w:szCs w:val="22"/>
        </w:rPr>
        <w:t>: 10.1093/</w:t>
      </w:r>
      <w:proofErr w:type="spellStart"/>
      <w:r w:rsidRPr="005E25E7">
        <w:rPr>
          <w:rFonts w:ascii="Arial" w:hAnsi="Arial" w:cs="Arial"/>
          <w:color w:val="000000"/>
          <w:sz w:val="22"/>
          <w:szCs w:val="22"/>
        </w:rPr>
        <w:t>sw</w:t>
      </w:r>
      <w:proofErr w:type="spellEnd"/>
      <w:r w:rsidRPr="005E25E7">
        <w:rPr>
          <w:rFonts w:ascii="Arial" w:hAnsi="Arial" w:cs="Arial"/>
          <w:color w:val="000000"/>
          <w:sz w:val="22"/>
          <w:szCs w:val="22"/>
        </w:rPr>
        <w:t>/48.3.297.</w:t>
      </w:r>
    </w:p>
    <w:p w14:paraId="341F8322"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Care Quality Commission (CQC) (2025a)</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Regulation 9: Person-centred care</w:t>
      </w:r>
      <w:r w:rsidRPr="005E25E7">
        <w:rPr>
          <w:rFonts w:ascii="Arial" w:hAnsi="Arial" w:cs="Arial"/>
          <w:color w:val="000000"/>
          <w:sz w:val="22"/>
          <w:szCs w:val="22"/>
        </w:rPr>
        <w:t>. Available at:</w:t>
      </w:r>
      <w:r w:rsidRPr="005E25E7">
        <w:rPr>
          <w:rStyle w:val="apple-converted-space"/>
          <w:rFonts w:ascii="Arial" w:hAnsi="Arial" w:cs="Arial"/>
          <w:color w:val="000000"/>
          <w:sz w:val="22"/>
          <w:szCs w:val="22"/>
        </w:rPr>
        <w:t> </w:t>
      </w:r>
      <w:hyperlink r:id="rId9" w:history="1">
        <w:r w:rsidRPr="005E25E7">
          <w:rPr>
            <w:rStyle w:val="Hyperlink"/>
            <w:rFonts w:ascii="Arial" w:hAnsi="Arial" w:cs="Arial"/>
            <w:sz w:val="22"/>
            <w:szCs w:val="22"/>
          </w:rPr>
          <w:t>Care Quality Commission</w:t>
        </w:r>
      </w:hyperlink>
      <w:r w:rsidRPr="005E25E7">
        <w:rPr>
          <w:rFonts w:ascii="Arial" w:hAnsi="Arial" w:cs="Arial"/>
          <w:color w:val="000000"/>
          <w:sz w:val="22"/>
          <w:szCs w:val="22"/>
        </w:rPr>
        <w:t>(Accessed: 26 July 2026).</w:t>
      </w:r>
    </w:p>
    <w:p w14:paraId="37F6879E"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Care Quality Commission (CQC) (2025b)</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Regulation 12: Safe care and treatment</w:t>
      </w:r>
      <w:r w:rsidRPr="005E25E7">
        <w:rPr>
          <w:rFonts w:ascii="Arial" w:hAnsi="Arial" w:cs="Arial"/>
          <w:color w:val="000000"/>
          <w:sz w:val="22"/>
          <w:szCs w:val="22"/>
        </w:rPr>
        <w:t>. Available at:</w:t>
      </w:r>
      <w:r w:rsidRPr="005E25E7">
        <w:rPr>
          <w:rStyle w:val="apple-converted-space"/>
          <w:rFonts w:ascii="Arial" w:hAnsi="Arial" w:cs="Arial"/>
          <w:color w:val="000000"/>
          <w:sz w:val="22"/>
          <w:szCs w:val="22"/>
        </w:rPr>
        <w:t> </w:t>
      </w:r>
      <w:hyperlink r:id="rId10" w:history="1">
        <w:r w:rsidRPr="005E25E7">
          <w:rPr>
            <w:rStyle w:val="Hyperlink"/>
            <w:rFonts w:ascii="Arial" w:hAnsi="Arial" w:cs="Arial"/>
            <w:sz w:val="22"/>
            <w:szCs w:val="22"/>
          </w:rPr>
          <w:t>Care Quality Commission</w:t>
        </w:r>
      </w:hyperlink>
      <w:r w:rsidRPr="005E25E7">
        <w:rPr>
          <w:rStyle w:val="apple-converted-space"/>
          <w:rFonts w:ascii="Arial" w:hAnsi="Arial" w:cs="Arial"/>
          <w:color w:val="000000"/>
          <w:sz w:val="22"/>
          <w:szCs w:val="22"/>
        </w:rPr>
        <w:t> </w:t>
      </w:r>
      <w:r w:rsidRPr="005E25E7">
        <w:rPr>
          <w:rFonts w:ascii="Arial" w:hAnsi="Arial" w:cs="Arial"/>
          <w:color w:val="000000"/>
          <w:sz w:val="22"/>
          <w:szCs w:val="22"/>
        </w:rPr>
        <w:t>(Accessed: 26 July 2026).</w:t>
      </w:r>
    </w:p>
    <w:p w14:paraId="07BD9131"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Gibbs, G. (1988)</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Learning by doing: A guide to teaching and learning methods</w:t>
      </w:r>
      <w:r w:rsidRPr="005E25E7">
        <w:rPr>
          <w:rFonts w:ascii="Arial" w:hAnsi="Arial" w:cs="Arial"/>
          <w:color w:val="000000"/>
          <w:sz w:val="22"/>
          <w:szCs w:val="22"/>
        </w:rPr>
        <w:t>. Oxford: Oxford Polytechnic.</w:t>
      </w:r>
    </w:p>
    <w:p w14:paraId="0E77C1A5"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Great Britain (1989)</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Children Act 1989</w:t>
      </w:r>
      <w:r w:rsidRPr="005E25E7">
        <w:rPr>
          <w:rFonts w:ascii="Arial" w:hAnsi="Arial" w:cs="Arial"/>
          <w:color w:val="000000"/>
          <w:sz w:val="22"/>
          <w:szCs w:val="22"/>
        </w:rPr>
        <w:t>. London: The Stationery Office.</w:t>
      </w:r>
    </w:p>
    <w:p w14:paraId="234C9D4D"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Great Britain (2005)</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Mental Capacity Act 2005</w:t>
      </w:r>
      <w:r w:rsidRPr="005E25E7">
        <w:rPr>
          <w:rFonts w:ascii="Arial" w:hAnsi="Arial" w:cs="Arial"/>
          <w:color w:val="000000"/>
          <w:sz w:val="22"/>
          <w:szCs w:val="22"/>
        </w:rPr>
        <w:t>. London: The Stationery Office.</w:t>
      </w:r>
    </w:p>
    <w:p w14:paraId="4D3B5BF4"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Maslow, A.H. (1943) ‘A theory of human motivation’,</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Psychological Review</w:t>
      </w:r>
      <w:r w:rsidRPr="005E25E7">
        <w:rPr>
          <w:rFonts w:ascii="Arial" w:hAnsi="Arial" w:cs="Arial"/>
          <w:color w:val="000000"/>
          <w:sz w:val="22"/>
          <w:szCs w:val="22"/>
        </w:rPr>
        <w:t xml:space="preserve">, 50(4), pp. 370–396. </w:t>
      </w:r>
      <w:proofErr w:type="spellStart"/>
      <w:r w:rsidRPr="005E25E7">
        <w:rPr>
          <w:rFonts w:ascii="Arial" w:hAnsi="Arial" w:cs="Arial"/>
          <w:color w:val="000000"/>
          <w:sz w:val="22"/>
          <w:szCs w:val="22"/>
        </w:rPr>
        <w:t>doi</w:t>
      </w:r>
      <w:proofErr w:type="spellEnd"/>
      <w:r w:rsidRPr="005E25E7">
        <w:rPr>
          <w:rFonts w:ascii="Arial" w:hAnsi="Arial" w:cs="Arial"/>
          <w:color w:val="000000"/>
          <w:sz w:val="22"/>
          <w:szCs w:val="22"/>
        </w:rPr>
        <w:t>: 10.1037/h0054346.</w:t>
      </w:r>
    </w:p>
    <w:p w14:paraId="79437654"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National Institute for Health and Care Excellence (NICE) (2021)</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Shared decision making</w:t>
      </w:r>
      <w:r w:rsidRPr="005E25E7">
        <w:rPr>
          <w:rFonts w:ascii="Arial" w:hAnsi="Arial" w:cs="Arial"/>
          <w:color w:val="000000"/>
          <w:sz w:val="22"/>
          <w:szCs w:val="22"/>
        </w:rPr>
        <w:t>. NICE guideline NG197. Available at:</w:t>
      </w:r>
      <w:r w:rsidRPr="005E25E7">
        <w:rPr>
          <w:rStyle w:val="apple-converted-space"/>
          <w:rFonts w:ascii="Arial" w:hAnsi="Arial" w:cs="Arial"/>
          <w:color w:val="000000"/>
          <w:sz w:val="22"/>
          <w:szCs w:val="22"/>
        </w:rPr>
        <w:t> </w:t>
      </w:r>
      <w:hyperlink r:id="rId11" w:history="1">
        <w:r w:rsidRPr="005E25E7">
          <w:rPr>
            <w:rStyle w:val="Hyperlink"/>
            <w:rFonts w:ascii="Arial" w:hAnsi="Arial" w:cs="Arial"/>
            <w:sz w:val="22"/>
            <w:szCs w:val="22"/>
          </w:rPr>
          <w:t>National Institute for Health and Care Excellence</w:t>
        </w:r>
      </w:hyperlink>
      <w:r w:rsidRPr="005E25E7">
        <w:rPr>
          <w:rStyle w:val="apple-converted-space"/>
          <w:rFonts w:ascii="Arial" w:hAnsi="Arial" w:cs="Arial"/>
          <w:color w:val="000000"/>
          <w:sz w:val="22"/>
          <w:szCs w:val="22"/>
        </w:rPr>
        <w:t> </w:t>
      </w:r>
      <w:r w:rsidRPr="005E25E7">
        <w:rPr>
          <w:rFonts w:ascii="Arial" w:hAnsi="Arial" w:cs="Arial"/>
          <w:color w:val="000000"/>
          <w:sz w:val="22"/>
          <w:szCs w:val="22"/>
        </w:rPr>
        <w:t>(Accessed: 26 July 2026).</w:t>
      </w:r>
    </w:p>
    <w:p w14:paraId="2C1F7ACA" w14:textId="77777777" w:rsidR="005E25E7" w:rsidRPr="005E25E7" w:rsidRDefault="005E25E7" w:rsidP="005E25E7">
      <w:pPr>
        <w:pStyle w:val="NormalWeb"/>
        <w:spacing w:line="360" w:lineRule="auto"/>
        <w:rPr>
          <w:rFonts w:ascii="Arial" w:hAnsi="Arial" w:cs="Arial"/>
          <w:color w:val="000000"/>
          <w:sz w:val="22"/>
          <w:szCs w:val="22"/>
        </w:rPr>
      </w:pPr>
      <w:r w:rsidRPr="005E25E7">
        <w:rPr>
          <w:rFonts w:ascii="Arial" w:hAnsi="Arial" w:cs="Arial"/>
          <w:color w:val="000000"/>
          <w:sz w:val="22"/>
          <w:szCs w:val="22"/>
        </w:rPr>
        <w:t>Rogers, C.R. (1951)</w:t>
      </w:r>
      <w:r w:rsidRPr="005E25E7">
        <w:rPr>
          <w:rStyle w:val="apple-converted-space"/>
          <w:rFonts w:ascii="Arial" w:hAnsi="Arial" w:cs="Arial"/>
          <w:color w:val="000000"/>
          <w:sz w:val="22"/>
          <w:szCs w:val="22"/>
        </w:rPr>
        <w:t> </w:t>
      </w:r>
      <w:r w:rsidRPr="005E25E7">
        <w:rPr>
          <w:rStyle w:val="Emphasis"/>
          <w:rFonts w:ascii="Arial" w:hAnsi="Arial" w:cs="Arial"/>
          <w:color w:val="000000"/>
          <w:sz w:val="22"/>
          <w:szCs w:val="22"/>
        </w:rPr>
        <w:t>Client-</w:t>
      </w:r>
      <w:proofErr w:type="spellStart"/>
      <w:r w:rsidRPr="005E25E7">
        <w:rPr>
          <w:rStyle w:val="Emphasis"/>
          <w:rFonts w:ascii="Arial" w:hAnsi="Arial" w:cs="Arial"/>
          <w:color w:val="000000"/>
          <w:sz w:val="22"/>
          <w:szCs w:val="22"/>
        </w:rPr>
        <w:t>centered</w:t>
      </w:r>
      <w:proofErr w:type="spellEnd"/>
      <w:r w:rsidRPr="005E25E7">
        <w:rPr>
          <w:rStyle w:val="Emphasis"/>
          <w:rFonts w:ascii="Arial" w:hAnsi="Arial" w:cs="Arial"/>
          <w:color w:val="000000"/>
          <w:sz w:val="22"/>
          <w:szCs w:val="22"/>
        </w:rPr>
        <w:t xml:space="preserve"> therapy: Its current practice, implications and theory</w:t>
      </w:r>
      <w:r w:rsidRPr="005E25E7">
        <w:rPr>
          <w:rFonts w:ascii="Arial" w:hAnsi="Arial" w:cs="Arial"/>
          <w:color w:val="000000"/>
          <w:sz w:val="22"/>
          <w:szCs w:val="22"/>
        </w:rPr>
        <w:t>. Boston, MA: Houghton Mifflin.</w:t>
      </w:r>
    </w:p>
    <w:p w14:paraId="4BCBE69A" w14:textId="77777777" w:rsidR="005E25E7" w:rsidRPr="005E25E7" w:rsidRDefault="005E25E7" w:rsidP="005E25E7">
      <w:pPr>
        <w:spacing w:line="360" w:lineRule="auto"/>
        <w:rPr>
          <w:rFonts w:ascii="Arial" w:hAnsi="Arial" w:cs="Arial"/>
          <w:b/>
          <w:bCs/>
          <w:sz w:val="22"/>
        </w:rPr>
      </w:pPr>
    </w:p>
    <w:sectPr w:rsidR="005E25E7" w:rsidRPr="005E25E7">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FB953" w14:textId="77777777" w:rsidR="00F22989" w:rsidRDefault="00F22989" w:rsidP="00B21FE6">
      <w:pPr>
        <w:spacing w:after="0" w:line="240" w:lineRule="auto"/>
      </w:pPr>
      <w:r>
        <w:separator/>
      </w:r>
    </w:p>
  </w:endnote>
  <w:endnote w:type="continuationSeparator" w:id="0">
    <w:p w14:paraId="6C3F255B" w14:textId="77777777" w:rsidR="00F22989" w:rsidRDefault="00F2298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9394032"/>
      <w:docPartObj>
        <w:docPartGallery w:val="Page Numbers (Bottom of Page)"/>
        <w:docPartUnique/>
      </w:docPartObj>
    </w:sdtPr>
    <w:sdtContent>
      <w:p w14:paraId="681DED80" w14:textId="664A1FE4" w:rsidR="00670EC2" w:rsidRDefault="00670EC2" w:rsidP="00E23A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23A280" w14:textId="77777777" w:rsidR="00670EC2" w:rsidRDefault="00670EC2" w:rsidP="00670E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6893875"/>
      <w:docPartObj>
        <w:docPartGallery w:val="Page Numbers (Bottom of Page)"/>
        <w:docPartUnique/>
      </w:docPartObj>
    </w:sdtPr>
    <w:sdtContent>
      <w:p w14:paraId="67DC3D15" w14:textId="4D9B1F74" w:rsidR="00670EC2" w:rsidRDefault="00670EC2" w:rsidP="00E23A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CEBA9C2" w14:textId="77777777" w:rsidR="00670EC2" w:rsidRDefault="00670EC2" w:rsidP="00670E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04F2C" w14:textId="77777777" w:rsidR="00F22989" w:rsidRDefault="00F22989" w:rsidP="00B21FE6">
      <w:pPr>
        <w:spacing w:after="0" w:line="240" w:lineRule="auto"/>
      </w:pPr>
      <w:r>
        <w:separator/>
      </w:r>
    </w:p>
  </w:footnote>
  <w:footnote w:type="continuationSeparator" w:id="0">
    <w:p w14:paraId="2A8DBA2F" w14:textId="77777777" w:rsidR="00F22989" w:rsidRDefault="00F22989"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4500F"/>
    <w:rsid w:val="00052089"/>
    <w:rsid w:val="00054B40"/>
    <w:rsid w:val="000940BD"/>
    <w:rsid w:val="00096049"/>
    <w:rsid w:val="000A4F3A"/>
    <w:rsid w:val="000F7BB2"/>
    <w:rsid w:val="0011654F"/>
    <w:rsid w:val="001333C2"/>
    <w:rsid w:val="00140A64"/>
    <w:rsid w:val="00141BC5"/>
    <w:rsid w:val="001552F2"/>
    <w:rsid w:val="00156030"/>
    <w:rsid w:val="00183F05"/>
    <w:rsid w:val="001B4274"/>
    <w:rsid w:val="001C6F21"/>
    <w:rsid w:val="001D345E"/>
    <w:rsid w:val="0020036A"/>
    <w:rsid w:val="00220640"/>
    <w:rsid w:val="0022160A"/>
    <w:rsid w:val="002313EF"/>
    <w:rsid w:val="00242798"/>
    <w:rsid w:val="002527FD"/>
    <w:rsid w:val="002670AF"/>
    <w:rsid w:val="00274CD7"/>
    <w:rsid w:val="002A2167"/>
    <w:rsid w:val="002B6E71"/>
    <w:rsid w:val="002D2195"/>
    <w:rsid w:val="002D39BD"/>
    <w:rsid w:val="002F0E6D"/>
    <w:rsid w:val="002F148C"/>
    <w:rsid w:val="00310878"/>
    <w:rsid w:val="00315234"/>
    <w:rsid w:val="00317E3D"/>
    <w:rsid w:val="00350D4F"/>
    <w:rsid w:val="00357F87"/>
    <w:rsid w:val="0036033E"/>
    <w:rsid w:val="0037692B"/>
    <w:rsid w:val="00395012"/>
    <w:rsid w:val="003B7B81"/>
    <w:rsid w:val="003C314B"/>
    <w:rsid w:val="003C6EF6"/>
    <w:rsid w:val="003D0DF9"/>
    <w:rsid w:val="003F6D7A"/>
    <w:rsid w:val="003F6E43"/>
    <w:rsid w:val="00401EB6"/>
    <w:rsid w:val="0041638D"/>
    <w:rsid w:val="00427299"/>
    <w:rsid w:val="00435B6B"/>
    <w:rsid w:val="0047269A"/>
    <w:rsid w:val="004922EC"/>
    <w:rsid w:val="0049397A"/>
    <w:rsid w:val="004B0385"/>
    <w:rsid w:val="004B2418"/>
    <w:rsid w:val="004F5B88"/>
    <w:rsid w:val="00517E19"/>
    <w:rsid w:val="005406AD"/>
    <w:rsid w:val="00542325"/>
    <w:rsid w:val="005537C8"/>
    <w:rsid w:val="005602EF"/>
    <w:rsid w:val="0056238E"/>
    <w:rsid w:val="00573146"/>
    <w:rsid w:val="00581977"/>
    <w:rsid w:val="0058218C"/>
    <w:rsid w:val="00586534"/>
    <w:rsid w:val="005874CB"/>
    <w:rsid w:val="00587699"/>
    <w:rsid w:val="00594FAC"/>
    <w:rsid w:val="005A7BB6"/>
    <w:rsid w:val="005E25E7"/>
    <w:rsid w:val="005E79F9"/>
    <w:rsid w:val="00610A5B"/>
    <w:rsid w:val="00610BB0"/>
    <w:rsid w:val="0061271C"/>
    <w:rsid w:val="0062686B"/>
    <w:rsid w:val="00626EE2"/>
    <w:rsid w:val="00627BAA"/>
    <w:rsid w:val="00632D83"/>
    <w:rsid w:val="006355D7"/>
    <w:rsid w:val="006524ED"/>
    <w:rsid w:val="006557FE"/>
    <w:rsid w:val="00670EC2"/>
    <w:rsid w:val="00682BD4"/>
    <w:rsid w:val="006B7F22"/>
    <w:rsid w:val="006C2A62"/>
    <w:rsid w:val="006C5921"/>
    <w:rsid w:val="006D2F2D"/>
    <w:rsid w:val="006D4433"/>
    <w:rsid w:val="006E1FF9"/>
    <w:rsid w:val="006E38AB"/>
    <w:rsid w:val="00706F9B"/>
    <w:rsid w:val="00713E92"/>
    <w:rsid w:val="007445F2"/>
    <w:rsid w:val="00764429"/>
    <w:rsid w:val="007644DA"/>
    <w:rsid w:val="00785180"/>
    <w:rsid w:val="00785886"/>
    <w:rsid w:val="007B1895"/>
    <w:rsid w:val="007B2607"/>
    <w:rsid w:val="007B6FB3"/>
    <w:rsid w:val="007F3A6A"/>
    <w:rsid w:val="007F7BFA"/>
    <w:rsid w:val="00847C9B"/>
    <w:rsid w:val="00854DA1"/>
    <w:rsid w:val="00874D00"/>
    <w:rsid w:val="008750B4"/>
    <w:rsid w:val="00887FBB"/>
    <w:rsid w:val="008916DD"/>
    <w:rsid w:val="00894DE4"/>
    <w:rsid w:val="008A3FD2"/>
    <w:rsid w:val="008D5761"/>
    <w:rsid w:val="008F6786"/>
    <w:rsid w:val="008F6D4B"/>
    <w:rsid w:val="009178CD"/>
    <w:rsid w:val="009207FF"/>
    <w:rsid w:val="0093769B"/>
    <w:rsid w:val="00940971"/>
    <w:rsid w:val="009D44E0"/>
    <w:rsid w:val="009E5C5F"/>
    <w:rsid w:val="009E7D24"/>
    <w:rsid w:val="00A10AE3"/>
    <w:rsid w:val="00A11336"/>
    <w:rsid w:val="00A25AF8"/>
    <w:rsid w:val="00A50A1D"/>
    <w:rsid w:val="00A91D04"/>
    <w:rsid w:val="00A94927"/>
    <w:rsid w:val="00AB28ED"/>
    <w:rsid w:val="00AD1364"/>
    <w:rsid w:val="00AD4857"/>
    <w:rsid w:val="00AE7DDA"/>
    <w:rsid w:val="00AF43EB"/>
    <w:rsid w:val="00AF54E1"/>
    <w:rsid w:val="00AF74ED"/>
    <w:rsid w:val="00AF7DE4"/>
    <w:rsid w:val="00B051F8"/>
    <w:rsid w:val="00B21FE6"/>
    <w:rsid w:val="00B42E82"/>
    <w:rsid w:val="00B51B46"/>
    <w:rsid w:val="00B84022"/>
    <w:rsid w:val="00B8734D"/>
    <w:rsid w:val="00BC72F2"/>
    <w:rsid w:val="00BC79FE"/>
    <w:rsid w:val="00BD3B63"/>
    <w:rsid w:val="00C53C84"/>
    <w:rsid w:val="00C558B0"/>
    <w:rsid w:val="00C67E65"/>
    <w:rsid w:val="00C74BDA"/>
    <w:rsid w:val="00CA10B9"/>
    <w:rsid w:val="00CA4788"/>
    <w:rsid w:val="00CC42BD"/>
    <w:rsid w:val="00D00A38"/>
    <w:rsid w:val="00D118EC"/>
    <w:rsid w:val="00D202BC"/>
    <w:rsid w:val="00D2489F"/>
    <w:rsid w:val="00D40233"/>
    <w:rsid w:val="00D545BA"/>
    <w:rsid w:val="00D579EB"/>
    <w:rsid w:val="00D604E6"/>
    <w:rsid w:val="00D66C96"/>
    <w:rsid w:val="00D82A20"/>
    <w:rsid w:val="00DA7D5C"/>
    <w:rsid w:val="00DD20C7"/>
    <w:rsid w:val="00DE421E"/>
    <w:rsid w:val="00E029A3"/>
    <w:rsid w:val="00E02E8E"/>
    <w:rsid w:val="00E10489"/>
    <w:rsid w:val="00E46CBE"/>
    <w:rsid w:val="00E7081F"/>
    <w:rsid w:val="00E81204"/>
    <w:rsid w:val="00E82DBC"/>
    <w:rsid w:val="00E87C8B"/>
    <w:rsid w:val="00E967B6"/>
    <w:rsid w:val="00EC5942"/>
    <w:rsid w:val="00ED4E85"/>
    <w:rsid w:val="00F04FC7"/>
    <w:rsid w:val="00F22989"/>
    <w:rsid w:val="00F27557"/>
    <w:rsid w:val="00F27A48"/>
    <w:rsid w:val="00F333D5"/>
    <w:rsid w:val="00F65641"/>
    <w:rsid w:val="00F81510"/>
    <w:rsid w:val="00F91A0A"/>
    <w:rsid w:val="00FA6248"/>
    <w:rsid w:val="00FD42B6"/>
    <w:rsid w:val="00FE5FCF"/>
    <w:rsid w:val="00FE636F"/>
    <w:rsid w:val="00FF47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C42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207FF"/>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9207FF"/>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p1">
    <w:name w:val="p1"/>
    <w:basedOn w:val="Normal"/>
    <w:rsid w:val="006D4433"/>
    <w:pPr>
      <w:spacing w:after="0" w:line="240" w:lineRule="auto"/>
    </w:pPr>
    <w:rPr>
      <w:rFonts w:ascii="Arial" w:eastAsia="Times New Roman" w:hAnsi="Arial" w:cs="Arial"/>
      <w:color w:val="000000"/>
      <w:sz w:val="18"/>
      <w:szCs w:val="18"/>
      <w:lang w:eastAsia="en-GB"/>
    </w:rPr>
  </w:style>
  <w:style w:type="character" w:customStyle="1" w:styleId="s1">
    <w:name w:val="s1"/>
    <w:basedOn w:val="DefaultParagraphFont"/>
    <w:rsid w:val="006D4433"/>
    <w:rPr>
      <w:rFonts w:ascii="Times New Roman" w:hAnsi="Times New Roman" w:cs="Times New Roman" w:hint="default"/>
      <w:sz w:val="15"/>
      <w:szCs w:val="15"/>
    </w:rPr>
  </w:style>
  <w:style w:type="character" w:customStyle="1" w:styleId="s2">
    <w:name w:val="s2"/>
    <w:basedOn w:val="DefaultParagraphFont"/>
    <w:rsid w:val="006D4433"/>
    <w:rPr>
      <w:rFonts w:ascii="Helvetica" w:hAnsi="Helvetica" w:hint="default"/>
      <w:sz w:val="18"/>
      <w:szCs w:val="18"/>
    </w:rPr>
  </w:style>
  <w:style w:type="paragraph" w:styleId="NormalWeb">
    <w:name w:val="Normal (Web)"/>
    <w:basedOn w:val="Normal"/>
    <w:uiPriority w:val="99"/>
    <w:unhideWhenUsed/>
    <w:rsid w:val="00315234"/>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315234"/>
    <w:rPr>
      <w:b/>
      <w:bCs/>
    </w:rPr>
  </w:style>
  <w:style w:type="character" w:customStyle="1" w:styleId="apple-converted-space">
    <w:name w:val="apple-converted-space"/>
    <w:basedOn w:val="DefaultParagraphFont"/>
    <w:rsid w:val="007644DA"/>
  </w:style>
  <w:style w:type="character" w:styleId="Emphasis">
    <w:name w:val="Emphasis"/>
    <w:basedOn w:val="DefaultParagraphFont"/>
    <w:uiPriority w:val="20"/>
    <w:qFormat/>
    <w:rsid w:val="007644DA"/>
    <w:rPr>
      <w:i/>
      <w:iCs/>
    </w:rPr>
  </w:style>
  <w:style w:type="character" w:styleId="Hyperlink">
    <w:name w:val="Hyperlink"/>
    <w:basedOn w:val="DefaultParagraphFont"/>
    <w:uiPriority w:val="99"/>
    <w:semiHidden/>
    <w:unhideWhenUsed/>
    <w:rsid w:val="007644DA"/>
    <w:rPr>
      <w:color w:val="0000FF"/>
      <w:u w:val="single"/>
    </w:rPr>
  </w:style>
  <w:style w:type="character" w:customStyle="1" w:styleId="Heading2Char">
    <w:name w:val="Heading 2 Char"/>
    <w:basedOn w:val="DefaultParagraphFont"/>
    <w:link w:val="Heading2"/>
    <w:uiPriority w:val="9"/>
    <w:rsid w:val="009207F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207FF"/>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CC42BD"/>
    <w:rPr>
      <w:rFonts w:asciiTheme="majorHAnsi" w:eastAsiaTheme="majorEastAsia" w:hAnsiTheme="majorHAnsi" w:cstheme="majorBidi"/>
      <w:color w:val="2F5496" w:themeColor="accent1" w:themeShade="BF"/>
      <w:sz w:val="32"/>
      <w:szCs w:val="32"/>
    </w:rPr>
  </w:style>
  <w:style w:type="paragraph" w:customStyle="1" w:styleId="isselectedend">
    <w:name w:val="isselectedend"/>
    <w:basedOn w:val="Normal"/>
    <w:rsid w:val="007F7BFA"/>
    <w:pPr>
      <w:spacing w:before="100" w:beforeAutospacing="1" w:after="100" w:afterAutospacing="1" w:line="240" w:lineRule="auto"/>
    </w:pPr>
    <w:rPr>
      <w:rFonts w:eastAsia="Times New Roman" w:cs="Times New Roman"/>
      <w:szCs w:val="24"/>
      <w:lang w:eastAsia="en-GB"/>
    </w:rPr>
  </w:style>
  <w:style w:type="character" w:styleId="PageNumber">
    <w:name w:val="page number"/>
    <w:basedOn w:val="DefaultParagraphFont"/>
    <w:uiPriority w:val="99"/>
    <w:semiHidden/>
    <w:unhideWhenUsed/>
    <w:rsid w:val="006C5921"/>
  </w:style>
  <w:style w:type="character" w:styleId="CommentReference">
    <w:name w:val="annotation reference"/>
    <w:basedOn w:val="DefaultParagraphFont"/>
    <w:uiPriority w:val="99"/>
    <w:semiHidden/>
    <w:unhideWhenUsed/>
    <w:rsid w:val="0011654F"/>
    <w:rPr>
      <w:sz w:val="16"/>
      <w:szCs w:val="16"/>
    </w:rPr>
  </w:style>
  <w:style w:type="paragraph" w:styleId="CommentText">
    <w:name w:val="annotation text"/>
    <w:basedOn w:val="Normal"/>
    <w:link w:val="CommentTextChar"/>
    <w:uiPriority w:val="99"/>
    <w:semiHidden/>
    <w:unhideWhenUsed/>
    <w:rsid w:val="0011654F"/>
    <w:pPr>
      <w:spacing w:line="240" w:lineRule="auto"/>
    </w:pPr>
    <w:rPr>
      <w:sz w:val="20"/>
      <w:szCs w:val="20"/>
    </w:rPr>
  </w:style>
  <w:style w:type="character" w:customStyle="1" w:styleId="CommentTextChar">
    <w:name w:val="Comment Text Char"/>
    <w:basedOn w:val="DefaultParagraphFont"/>
    <w:link w:val="CommentText"/>
    <w:uiPriority w:val="99"/>
    <w:semiHidden/>
    <w:rsid w:val="0011654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1654F"/>
    <w:rPr>
      <w:b/>
      <w:bCs/>
    </w:rPr>
  </w:style>
  <w:style w:type="character" w:customStyle="1" w:styleId="CommentSubjectChar">
    <w:name w:val="Comment Subject Char"/>
    <w:basedOn w:val="CommentTextChar"/>
    <w:link w:val="CommentSubject"/>
    <w:uiPriority w:val="99"/>
    <w:semiHidden/>
    <w:rsid w:val="0011654F"/>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9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qc.org.uk/guidance-regulation/providers/regulations-service-providers-and-managers/health-social-care-act/regulation-12" TargetMode="External"/><Relationship Id="rId4" Type="http://schemas.openxmlformats.org/officeDocument/2006/relationships/webSettings" Target="webSettings.xml"/><Relationship Id="rId9" Type="http://schemas.openxmlformats.org/officeDocument/2006/relationships/hyperlink" Target="https://www.cqc.org.uk/guidance-regulation/providers/regulations-service-providers-and-managers/health-social-care-act/regulation-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346</TotalTime>
  <Pages>11</Pages>
  <Words>2697</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Helen May Escoto Frial (2430209)</cp:lastModifiedBy>
  <cp:revision>149</cp:revision>
  <dcterms:created xsi:type="dcterms:W3CDTF">2026-06-25T21:23:00Z</dcterms:created>
  <dcterms:modified xsi:type="dcterms:W3CDTF">2026-07-26T04:14:00Z</dcterms:modified>
</cp:coreProperties>
</file>