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011185B" w14:paraId="4E2B94AC" wp14:textId="4AB0DD53">
      <w:pPr>
        <w:spacing w:before="0" w:beforeAutospacing="off" w:after="160" w:afterAutospacing="off" w:line="360" w:lineRule="auto"/>
        <w:jc w:val="center"/>
        <w:rPr>
          <w:rFonts w:ascii="Arial" w:hAnsi="Arial" w:eastAsia="Arial" w:cs="Arial"/>
          <w:noProof w:val="0"/>
          <w:color w:val="000000" w:themeColor="text1" w:themeTint="FF" w:themeShade="FF"/>
          <w:sz w:val="24"/>
          <w:szCs w:val="24"/>
          <w:lang w:val="en-US"/>
        </w:rPr>
      </w:pPr>
      <w:r w:rsidRPr="5011185B" w:rsidR="17AA364D">
        <w:rPr>
          <w:rFonts w:ascii="Arial" w:hAnsi="Arial" w:eastAsia="Arial" w:cs="Arial"/>
          <w:noProof w:val="0"/>
          <w:color w:val="000000" w:themeColor="text1" w:themeTint="FF" w:themeShade="FF"/>
          <w:sz w:val="24"/>
          <w:szCs w:val="24"/>
          <w:lang w:val="en-US"/>
        </w:rPr>
        <w:t>Retaining and Engaging Employees Usin</w:t>
      </w:r>
      <w:r w:rsidRPr="5011185B" w:rsidR="17AA364D">
        <w:rPr>
          <w:rFonts w:ascii="Arial" w:hAnsi="Arial" w:eastAsia="Arial" w:cs="Arial"/>
          <w:noProof w:val="0"/>
          <w:color w:val="000000" w:themeColor="text1" w:themeTint="FF" w:themeShade="FF"/>
          <w:sz w:val="24"/>
          <w:szCs w:val="24"/>
          <w:lang w:val="en-US"/>
        </w:rPr>
        <w:t>g Employee Lifecycle</w:t>
      </w:r>
    </w:p>
    <w:p xmlns:wp14="http://schemas.microsoft.com/office/word/2010/wordml" w:rsidP="5011185B" w14:paraId="0C8E012A" wp14:textId="61582626">
      <w:pPr>
        <w:spacing w:before="0" w:beforeAutospacing="off" w:after="160" w:afterAutospacing="off" w:line="360" w:lineRule="auto"/>
        <w:jc w:val="center"/>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05D2EA7D" wp14:textId="02ADC84A">
      <w:pPr>
        <w:spacing w:before="0" w:beforeAutospacing="off" w:after="160" w:afterAutospacing="off" w:line="360" w:lineRule="auto"/>
        <w:jc w:val="center"/>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7E607AB9" wp14:textId="2CA43B79">
      <w:pPr>
        <w:spacing w:before="0" w:beforeAutospacing="off" w:after="160" w:afterAutospacing="off" w:line="360" w:lineRule="auto"/>
        <w:jc w:val="center"/>
        <w:rPr>
          <w:rFonts w:ascii="Arial" w:hAnsi="Arial" w:eastAsia="Arial" w:cs="Arial"/>
          <w:noProof w:val="0"/>
          <w:color w:val="000000" w:themeColor="text1" w:themeTint="FF" w:themeShade="FF"/>
          <w:sz w:val="24"/>
          <w:szCs w:val="24"/>
          <w:lang w:val="en-US"/>
        </w:rPr>
      </w:pPr>
      <w:r w:rsidRPr="5011185B" w:rsidR="17AA364D">
        <w:rPr>
          <w:rFonts w:ascii="Arial" w:hAnsi="Arial" w:eastAsia="Arial" w:cs="Arial"/>
          <w:noProof w:val="0"/>
          <w:color w:val="000000" w:themeColor="text1" w:themeTint="FF" w:themeShade="FF"/>
          <w:sz w:val="24"/>
          <w:szCs w:val="24"/>
          <w:lang w:val="en-US"/>
        </w:rPr>
        <w:t>Students Name: A</w:t>
      </w:r>
      <w:r w:rsidRPr="5011185B" w:rsidR="17AA364D">
        <w:rPr>
          <w:rFonts w:ascii="Arial" w:hAnsi="Arial" w:eastAsia="Arial" w:cs="Arial"/>
          <w:noProof w:val="0"/>
          <w:color w:val="000000" w:themeColor="text1" w:themeTint="FF" w:themeShade="FF"/>
          <w:sz w:val="24"/>
          <w:szCs w:val="24"/>
          <w:lang w:val="en-US"/>
        </w:rPr>
        <w:t>ndrei</w:t>
      </w:r>
      <w:r w:rsidRPr="5011185B" w:rsidR="17AA364D">
        <w:rPr>
          <w:rFonts w:ascii="Arial" w:hAnsi="Arial" w:eastAsia="Arial" w:cs="Arial"/>
          <w:noProof w:val="0"/>
          <w:color w:val="000000" w:themeColor="text1" w:themeTint="FF" w:themeShade="FF"/>
          <w:sz w:val="24"/>
          <w:szCs w:val="24"/>
          <w:lang w:val="en-US"/>
        </w:rPr>
        <w:t xml:space="preserve"> </w:t>
      </w:r>
      <w:r w:rsidRPr="5011185B" w:rsidR="17AA364D">
        <w:rPr>
          <w:rFonts w:ascii="Arial" w:hAnsi="Arial" w:eastAsia="Arial" w:cs="Arial"/>
          <w:noProof w:val="0"/>
          <w:color w:val="000000" w:themeColor="text1" w:themeTint="FF" w:themeShade="FF"/>
          <w:sz w:val="24"/>
          <w:szCs w:val="24"/>
          <w:lang w:val="en-US"/>
        </w:rPr>
        <w:t>Curelaru</w:t>
      </w:r>
    </w:p>
    <w:p xmlns:wp14="http://schemas.microsoft.com/office/word/2010/wordml" w:rsidP="5011185B" w14:paraId="2DDE34BA" wp14:textId="4A413EA4">
      <w:pPr>
        <w:spacing w:before="0" w:beforeAutospacing="off" w:after="160" w:afterAutospacing="off" w:line="360" w:lineRule="auto"/>
        <w:jc w:val="center"/>
        <w:rPr>
          <w:rFonts w:ascii="Arial" w:hAnsi="Arial" w:eastAsia="Arial" w:cs="Arial"/>
          <w:noProof w:val="0"/>
          <w:color w:val="000000" w:themeColor="text1" w:themeTint="FF" w:themeShade="FF"/>
          <w:sz w:val="24"/>
          <w:szCs w:val="24"/>
          <w:lang w:val="en-US"/>
        </w:rPr>
      </w:pPr>
      <w:r w:rsidRPr="5011185B" w:rsidR="7144B375">
        <w:rPr>
          <w:rFonts w:ascii="Arial" w:hAnsi="Arial" w:eastAsia="Arial" w:cs="Arial"/>
          <w:noProof w:val="0"/>
          <w:color w:val="000000" w:themeColor="text1" w:themeTint="FF" w:themeShade="FF"/>
          <w:sz w:val="24"/>
          <w:szCs w:val="24"/>
          <w:lang w:val="en-US"/>
        </w:rPr>
        <w:t>1918109</w:t>
      </w:r>
    </w:p>
    <w:p xmlns:wp14="http://schemas.microsoft.com/office/word/2010/wordml" w:rsidP="5011185B" w14:paraId="0D4143F2" wp14:textId="6055C957">
      <w:pPr>
        <w:spacing w:before="0" w:beforeAutospacing="off" w:after="160" w:afterAutospacing="off" w:line="360" w:lineRule="auto"/>
        <w:jc w:val="center"/>
        <w:rPr>
          <w:rFonts w:ascii="Arial" w:hAnsi="Arial" w:eastAsia="Arial" w:cs="Arial"/>
          <w:noProof w:val="0"/>
          <w:color w:val="000000" w:themeColor="text1" w:themeTint="FF" w:themeShade="FF"/>
          <w:sz w:val="24"/>
          <w:szCs w:val="24"/>
          <w:lang w:val="en-US"/>
        </w:rPr>
      </w:pPr>
      <w:r w:rsidRPr="5011185B" w:rsidR="17AA364D">
        <w:rPr>
          <w:rFonts w:ascii="Arial" w:hAnsi="Arial" w:eastAsia="Arial" w:cs="Arial"/>
          <w:noProof w:val="0"/>
          <w:color w:val="000000" w:themeColor="text1" w:themeTint="FF" w:themeShade="FF"/>
          <w:sz w:val="24"/>
          <w:szCs w:val="24"/>
          <w:lang w:val="en-US"/>
        </w:rPr>
        <w:t>Course:</w:t>
      </w:r>
      <w:r w:rsidRPr="5011185B" w:rsidR="123CF43F">
        <w:rPr>
          <w:rFonts w:ascii="Arial" w:hAnsi="Arial" w:eastAsia="Arial" w:cs="Arial"/>
          <w:noProof w:val="0"/>
          <w:color w:val="000000" w:themeColor="text1" w:themeTint="FF" w:themeShade="FF"/>
          <w:sz w:val="24"/>
          <w:szCs w:val="24"/>
          <w:lang w:val="en-US"/>
        </w:rPr>
        <w:t xml:space="preserve"> Personnel </w:t>
      </w:r>
      <w:r w:rsidRPr="5011185B" w:rsidR="654B516C">
        <w:rPr>
          <w:rFonts w:ascii="Arial" w:hAnsi="Arial" w:eastAsia="Arial" w:cs="Arial"/>
          <w:noProof w:val="0"/>
          <w:color w:val="000000" w:themeColor="text1" w:themeTint="FF" w:themeShade="FF"/>
          <w:sz w:val="24"/>
          <w:szCs w:val="24"/>
          <w:lang w:val="en-US"/>
        </w:rPr>
        <w:t>Resourcing &amp; Development</w:t>
      </w:r>
    </w:p>
    <w:p xmlns:wp14="http://schemas.microsoft.com/office/word/2010/wordml" w:rsidP="5011185B" w14:paraId="637BE196" wp14:textId="0037919C">
      <w:pPr>
        <w:pStyle w:val="Normal"/>
        <w:spacing w:before="0" w:beforeAutospacing="off" w:after="160" w:afterAutospacing="off" w:line="360" w:lineRule="auto"/>
        <w:jc w:val="center"/>
        <w:rPr>
          <w:rFonts w:ascii="Arial" w:hAnsi="Arial" w:eastAsia="Arial" w:cs="Arial"/>
          <w:noProof w:val="0"/>
          <w:color w:val="000000" w:themeColor="text1" w:themeTint="FF" w:themeShade="FF"/>
          <w:sz w:val="24"/>
          <w:szCs w:val="24"/>
          <w:lang w:val="en-US"/>
        </w:rPr>
      </w:pPr>
      <w:r w:rsidRPr="5011185B" w:rsidR="0F3C0B40">
        <w:rPr>
          <w:rFonts w:ascii="Arial" w:hAnsi="Arial" w:eastAsia="Arial" w:cs="Arial"/>
          <w:noProof w:val="0"/>
          <w:color w:val="000000" w:themeColor="text1" w:themeTint="FF" w:themeShade="FF"/>
          <w:sz w:val="24"/>
          <w:szCs w:val="24"/>
          <w:lang w:val="en-US"/>
        </w:rPr>
        <w:t>BMIH5005</w:t>
      </w:r>
    </w:p>
    <w:p xmlns:wp14="http://schemas.microsoft.com/office/word/2010/wordml" w:rsidP="5011185B" w14:paraId="5272C8F1" wp14:textId="2DE2F7EA">
      <w:pPr>
        <w:spacing w:before="0" w:beforeAutospacing="off" w:after="160" w:afterAutospacing="off" w:line="360" w:lineRule="auto"/>
        <w:jc w:val="center"/>
        <w:rPr>
          <w:rFonts w:ascii="Arial" w:hAnsi="Arial" w:eastAsia="Arial" w:cs="Arial"/>
          <w:noProof w:val="0"/>
          <w:color w:val="000000" w:themeColor="text1" w:themeTint="FF" w:themeShade="FF"/>
          <w:sz w:val="24"/>
          <w:szCs w:val="24"/>
          <w:lang w:val="en-US"/>
        </w:rPr>
      </w:pPr>
      <w:r w:rsidRPr="5011185B" w:rsidR="17AA364D">
        <w:rPr>
          <w:rFonts w:ascii="Arial" w:hAnsi="Arial" w:eastAsia="Arial" w:cs="Arial"/>
          <w:noProof w:val="0"/>
          <w:color w:val="000000" w:themeColor="text1" w:themeTint="FF" w:themeShade="FF"/>
          <w:sz w:val="24"/>
          <w:szCs w:val="24"/>
          <w:lang w:val="en-US"/>
        </w:rPr>
        <w:t>Professor:</w:t>
      </w:r>
      <w:r w:rsidRPr="5011185B" w:rsidR="2FE998A7">
        <w:rPr>
          <w:rFonts w:ascii="Arial" w:hAnsi="Arial" w:eastAsia="Arial" w:cs="Arial"/>
          <w:noProof w:val="0"/>
          <w:color w:val="000000" w:themeColor="text1" w:themeTint="FF" w:themeShade="FF"/>
          <w:sz w:val="24"/>
          <w:szCs w:val="24"/>
          <w:lang w:val="en-US"/>
        </w:rPr>
        <w:t xml:space="preserve"> Helen Event</w:t>
      </w:r>
    </w:p>
    <w:p xmlns:wp14="http://schemas.microsoft.com/office/word/2010/wordml" w:rsidP="5011185B" w14:paraId="3BC102AE" wp14:textId="29A56AC5">
      <w:pPr>
        <w:spacing w:before="0" w:beforeAutospacing="off" w:after="160" w:afterAutospacing="off" w:line="360" w:lineRule="auto"/>
        <w:jc w:val="center"/>
        <w:rPr>
          <w:rFonts w:ascii="Arial" w:hAnsi="Arial" w:eastAsia="Arial" w:cs="Arial"/>
          <w:noProof w:val="0"/>
          <w:color w:val="000000" w:themeColor="text1" w:themeTint="FF" w:themeShade="FF"/>
          <w:sz w:val="24"/>
          <w:szCs w:val="24"/>
          <w:lang w:val="en-US"/>
        </w:rPr>
      </w:pPr>
      <w:r w:rsidRPr="5011185B" w:rsidR="17AA364D">
        <w:rPr>
          <w:rFonts w:ascii="Arial" w:hAnsi="Arial" w:eastAsia="Arial" w:cs="Arial"/>
          <w:noProof w:val="0"/>
          <w:color w:val="000000" w:themeColor="text1" w:themeTint="FF" w:themeShade="FF"/>
          <w:sz w:val="24"/>
          <w:szCs w:val="24"/>
          <w:lang w:val="en-US"/>
        </w:rPr>
        <w:t>Date of submission:</w:t>
      </w:r>
      <w:r w:rsidRPr="5011185B" w:rsidR="54BFD536">
        <w:rPr>
          <w:rFonts w:ascii="Arial" w:hAnsi="Arial" w:eastAsia="Arial" w:cs="Arial"/>
          <w:noProof w:val="0"/>
          <w:color w:val="000000" w:themeColor="text1" w:themeTint="FF" w:themeShade="FF"/>
          <w:sz w:val="24"/>
          <w:szCs w:val="24"/>
          <w:lang w:val="en-US"/>
        </w:rPr>
        <w:t xml:space="preserve"> 12/06/2023</w:t>
      </w:r>
    </w:p>
    <w:p xmlns:wp14="http://schemas.microsoft.com/office/word/2010/wordml" w:rsidP="5011185B" w14:paraId="38A689A5" wp14:textId="733EEC28">
      <w:pPr>
        <w:spacing w:before="0" w:beforeAutospacing="off" w:after="160" w:afterAutospacing="off" w:line="360" w:lineRule="auto"/>
        <w:jc w:val="center"/>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641D6408" wp14:textId="0EA6A74E">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7B8F0E9D" wp14:textId="01969259">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4789A307" wp14:textId="728B70FF">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2644A79E" wp14:textId="37E9D7A6">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1FE00E9E" wp14:textId="797FB753">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7CE020F6" wp14:textId="143FCBEB">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542F9E2A" wp14:textId="19B5E52C">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41DD0784" wp14:textId="7CE92492">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7260DF7B" wp14:textId="008B0AE3">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350A3893" wp14:textId="52595A0E">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3B93E783" wp14:textId="760348A2">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47CDA7DC" wp14:textId="4478A12E">
      <w:pPr>
        <w:spacing w:before="0" w:beforeAutospacing="off" w:after="160" w:afterAutospacing="off" w:line="360" w:lineRule="auto"/>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5011185B" w14:paraId="1439E1DB" wp14:textId="65BD5DBA">
      <w:pPr>
        <w:spacing w:before="0" w:beforeAutospacing="off" w:after="160" w:afterAutospacing="off" w:line="360" w:lineRule="auto"/>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5011185B" w14:paraId="02B104FD" wp14:textId="46BCA03B">
      <w:pPr>
        <w:spacing w:before="0" w:beforeAutospacing="off" w:after="160" w:afterAutospacing="off" w:line="360" w:lineRule="auto"/>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5011185B" w14:paraId="39E48ECB" wp14:textId="2652CB0D">
      <w:pPr>
        <w:spacing w:before="0" w:beforeAutospacing="off" w:after="160" w:afterAutospacing="off" w:line="360" w:lineRule="auto"/>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5011185B" w14:paraId="3EC54C0F" wp14:textId="150C92B7">
      <w:pPr>
        <w:spacing w:before="0" w:beforeAutospacing="off" w:after="160" w:afterAutospacing="off" w:line="360" w:lineRule="auto"/>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5011185B" w14:paraId="3F4D3E9A" wp14:textId="28B733CD">
      <w:pPr>
        <w:spacing w:before="0" w:beforeAutospacing="off" w:after="160" w:afterAutospacing="off" w:line="360" w:lineRule="auto"/>
        <w:jc w:val="center"/>
      </w:pPr>
      <w:r w:rsidRPr="5011185B" w:rsidR="17AA364D">
        <w:rPr>
          <w:rFonts w:ascii="Arial" w:hAnsi="Arial" w:eastAsia="Arial" w:cs="Arial"/>
          <w:b w:val="1"/>
          <w:bCs w:val="1"/>
          <w:noProof w:val="0"/>
          <w:color w:val="000000" w:themeColor="text1" w:themeTint="FF" w:themeShade="FF"/>
          <w:sz w:val="24"/>
          <w:szCs w:val="24"/>
          <w:lang w:val="en-US"/>
        </w:rPr>
        <w:t>Introduction</w:t>
      </w:r>
    </w:p>
    <w:p xmlns:wp14="http://schemas.microsoft.com/office/word/2010/wordml" w:rsidP="5011185B" w14:paraId="402FBE16" wp14:textId="601D2FB5">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The concept of employee engagement holds significant importance in the context of comprehensive human resource management in the hospitality industry. Employee engagement refers to the practice of inspiring and incentivizing staff members to actively engage in corporate initiatives and maintain a strong commitment to achieving organizational objectives. The attainment of a company's goals and objectives is contingent upon employee engagement, as it fosters a sense of value and purpose among employees. It is imperative to emphasize that the engagement of employees is a continuous process rather than a singular occurrence. It is imperative for organizations to comprehend the role of human resources in fostering employee engagement throughout the employee lifecycle in order to effectively engage them. The employee lifecycle is a crucial component of organizational management, encompassing the entirety of an employee's journey from initial recruitment to eventual retirement. Hence, it is imperative for the human resource department of sizeable hotels to acknowledge the significance of fostering employee engagement throughout the employee's tenure. The present study aims to investigate strategies that large hotels in the hospitality industry can implement to enhance employee engagement and optimize outcomes across the employee lifecycle.</w:t>
      </w:r>
    </w:p>
    <w:p xmlns:wp14="http://schemas.microsoft.com/office/word/2010/wordml" w:rsidP="5011185B" w14:paraId="74B9FC5E" wp14:textId="50EF26D7">
      <w:pPr>
        <w:spacing w:before="0" w:beforeAutospacing="off" w:after="160" w:afterAutospacing="off" w:line="360" w:lineRule="auto"/>
        <w:jc w:val="center"/>
      </w:pPr>
      <w:r w:rsidRPr="5011185B" w:rsidR="17AA364D">
        <w:rPr>
          <w:rFonts w:ascii="Arial" w:hAnsi="Arial" w:eastAsia="Arial" w:cs="Arial"/>
          <w:b w:val="1"/>
          <w:bCs w:val="1"/>
          <w:noProof w:val="0"/>
          <w:color w:val="000000" w:themeColor="text1" w:themeTint="FF" w:themeShade="FF"/>
          <w:sz w:val="24"/>
          <w:szCs w:val="24"/>
          <w:lang w:val="en-US"/>
        </w:rPr>
        <w:t>Discussion</w:t>
      </w:r>
    </w:p>
    <w:p xmlns:wp14="http://schemas.microsoft.com/office/word/2010/wordml" w:rsidP="5011185B" w14:paraId="65D7A503" wp14:textId="2F09A428">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The essay will start by introducing the significance of Human Resources in fostering employee engagement. The role of the human resources department in fostering employee engagement is of utmost importance. The role of human resources specialists encompasses facilitating the recruitment and onboarding procedures, as well as fostering and maintaining employee engagement throughout their tenure within the company (He, et al. 2021). It is incumbent upon them to ensure that the personnel are adequately furnished with the necessary instruments, materials, and assistance to effectively carry out their duties. Human resource professionals are responsible for cultivating a positive work environment that promotes teamwork, effective communication, and mutual trust. Moreover, it is their responsibility to identify and resolve concerns related to employee engagement and satisfaction. One of the primary objectives of the human resources function is to maintain a high level of employee engagement throughout the duration of their tenure within the organization (Crane &amp; Hartwell 2019). This entails furnishing personnel with imperative training and developmental prospects to facilitate the acquisition of requisite competencies for professional success. Furthermore, it is imperative for the human resources department to guarantee that employees are provided with the necessary resources such as job descriptions, performance management systems, and job-related documents to facilitate their comprehension of their obligations and accountabilities.</w:t>
      </w:r>
    </w:p>
    <w:p xmlns:wp14="http://schemas.microsoft.com/office/word/2010/wordml" w:rsidP="5011185B" w14:paraId="6EA01C9F" wp14:textId="476FFA44">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Secondly, the discussion will look into the topic of team engagement, specifically focusing on the methods of engagement and the benefits associated with such engagement. It is imperative for the human resources department to furnish employees with suitable feedback and guidance to enable them to realize their potential and achieve success in their respective job functions. Providing incentives and rewards is a vital aspect of fostering employee engagement throughout their tenure with an organization (Half, 2022). Employee recognition initiatives, such as performance-based bonuses and other incentives, can be implemented to acknowledge and incentivize employees' diligent efforts and commitment. Furthermore, it is imperative for the human resources department to establish a congenial work environment that promotes teamwork, effective communication, and mutual reliance. This may encompass regular team gatherings, activities aimed at enhancing team cohesion, and other endeavors geared towards cultivating mutual reliance and promoting cooperation. Ultimately, it is imperative for the human resources department to recognize and effectively tackle any concerns pertaining to employee engagement and contentment (Cattermole, 2019). This entails identifying and remedying prospective obstacles that could hinder employee engagement and well-being, such as deficient communication, inadequate acknowledgement, or insufficient resources. It is imperative for the human resources department to take a proactive approach towards identifying and addressing emerging concerns, while also engaging with employees to effectively resolve them (Fechter, 2023). There exist several benefits to involving a team throughout the entire employee lifecycle. Facilitating team collaboration ensures that all members are aligned towards a shared goal and adhering to consistent standards. Furthermore, it fosters collaboration and communication, thereby enhancing team performance and productivity. Moreover, involving a team ensures alignment and concerted efforts towards shared goals.</w:t>
      </w:r>
    </w:p>
    <w:p xmlns:wp14="http://schemas.microsoft.com/office/word/2010/wordml" w:rsidP="5011185B" w14:paraId="6BC57E66" wp14:textId="663E90AA">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Furthermore, there are various phases that an employee goes through in their professional course Personnel are a vital component of any enterprise, and therefore, it is imperative to maintain their motivation to achieve prosperity. Employee well-being and work performance are interdependent across the lifespan, contingent upon the level of engagement they exhibit towards their job responsibilities. The initial phase of the employee life cycle is recruitment. According to Chaudhary (2020), the cultivation of a positive reputation is imperative for businesses seeking to attract qualified employees. Establishing a favorable employer brand, providing competitive remuneration and perks, and highlighting the organization's principles and ethos are effective strategies for attracting and retaining high-caliber personnel. It is recommended that enterprises establish a presence on social media platforms and job-search websites to enhance their visibility. In order to incentivize current employees to recommend acquaintances and relatives for potential job openings, corporations may offer referral bonuses and other incentive structures. The process of recruitment holds significant importance in the process of employee engagement and constitutes the subsequent phase of the employee lifecycle. Effective recruitment strategies are necessary for human resources departments in major hotels to identify qualified candidates for vacant positions. Acquiring knowledge about the requisite education, training, and experience for different occupations constitutes a component of this phenomenon (Bova, 2020). It is imperative to ensure that suitable candidates are selected and that they are provided with a welcoming and supportive environment. Therefore, it is crucial to plan and organize the recruitment process in advance. The attainment of this objective may be facilitated through the utilization of comprehensive job descriptions, extensive interviews, and adequate training and support (Kim et al. 2020). The onboarding phase, which constitutes the third stage of an employee's lifecycle, is of paramount importance in terms of employee retention, just as much as the recruitment phase. The Human Resources department bears the responsibility of equipping newly recruited personnel with the necessary resources to establish a sense of ease and familiarity in their respective job roles. One of the notable attributes is an optimized process for newly recruited personnel to acquire essential details and commence utilizing accessible assets. It is crucial to emphasize that personalized attention is necessary for every newly hired staff member during the onboarding phase to ensure that they receive the necessary assistance and tools to excel in their new position. </w:t>
      </w:r>
    </w:p>
    <w:p xmlns:wp14="http://schemas.microsoft.com/office/word/2010/wordml" w:rsidP="5011185B" w14:paraId="70E0AD0E" wp14:textId="260D762C">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Moreover, the Development phase, which is the fourth stage of the employee lifecycle, is crucial in sustaining employees' engagement. The Human Resources department bears the responsibility of guaranteeing the professional development of employees. According to He et al. (2021), it is imperative for aid workers to receive support in order to progress in their careers and access opportunities for professional development. It is imperative for the human resources department to ensure that employees are provided with opportunities to assume additional responsibilities within the organization. Retention is considered the fifth and crucial stage of the employment lifecycle. According to Armstrong and Taylor (2020), it is the responsibility of the HR department to equip employees with the necessary resources to maintain their job satisfaction and enhance their productivity. This involves a desirable remuneration package, additional benefits, and prospects for professional advancement. Furthermore, it is imperative for the Human Resources department to cultivate a constructive organizational culture that ensures every employee feels valued and acknowledged for their contributions. The final stage of an individual's tenure as an employee is separation, which is a crucial component of the employee engagement process. It is incumbent upon human resources departments to ensure that departing employees are afforded a departure process that is both considerate and supportive (Fenech, et al. 2019). This encompasses activities such as providing employees with performance evaluations and carrying out exit interviews upon their departure. Furthermore, it is imperative for the Human Resources department to guarantee that departing employees are provided with adequate resources to facilitate a smooth and effective transition to their forthcoming roles.</w:t>
      </w:r>
    </w:p>
    <w:p xmlns:wp14="http://schemas.microsoft.com/office/word/2010/wordml" w:rsidP="5011185B" w14:paraId="6A7E650C" wp14:textId="481D353B">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Consequently, the implementation of the Employee Engagement Model is a crucial step, as it is important in its significance. The Gallup model for employee engagement is a comprehensive structure comprising of various tactics, principles, and convictions that organizations employ to cultivate a culture of engagement among their workforce. The adoption of this model, which has gained significant traction in the field of human resource management, has been observed among various major corporations, including those operating in the hospitality industry such as hotels (Nasution, &amp; Absah 2019). The Gallup framework comprises four distinct components, namely purpose, performance, development, and recognition. The initial stage in formulating a successful employee engagement plan involves comprehending and articulating a distinct objective. The objective ought to align with the organization's mission and vision and must be effectively conveyed in a manner that is attractive to the workforce. The attainment of this objective can be facilitated by means of periodic meetings held across the organization, individual meetings, and other endeavors that underscore the importance of purpose. The second element of the Gallup employee engagement model pertains to performance (Alberti, &amp; Iannuzzi 2020). Examples of effective strategies for enhancing employee performance include establishing quantifiable objectives that are consistent with the organization's mission and equipping staff members with the necessary tools and resources to attain them. It is imperative to maintain consistent monitoring of employee performance and provide constructive feedback to ensure optimal performance standards are met. The third component of the Gallup model pertains to development. This encompasses providing opportunities for employees to progress in their careers. The proposed approach entails the provision of mentoring and coaching services, training programs, and incentives based on performance (Hussainy, 2020). As per the Gallup model, it is imperative to acknowledge the contributions and achievements of employees through means such as bonuses, awards, or informal recognition. This practice serves as a means of incentivizing employees and fostering their continued commitment to high performance.</w:t>
      </w:r>
    </w:p>
    <w:p xmlns:wp14="http://schemas.microsoft.com/office/word/2010/wordml" w:rsidP="5011185B" w14:paraId="745E9ADE" wp14:textId="4DAB2BC9">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Another aspect that needs focus is in line to the idea of employee involvement whereby it boosts job happiness, productivity, and company loyalty. The Gallup Employee Engagement Model assures lifelong employee engagement (Stahl, et al. 2020). Strength-based development may apply the approach. This methodology helps workers discover and enhance their abilities. Feedback, coaching, and letting workers utilize their abilities may achieve this. Team-building and other development activities may also boost employee engagement and loyalty. Second, work design that empowers and values people may adopt the Gallup model. It involves offering people autonomy, meaningful work, and defined roles and duties. Participating in decision-making and providing feedback may also empower and engage workers (Alberti &amp; Iannuzzi 2020). Finally, employee recognition and awards may use the Gallup approach. This model component pays and incentivizes workers. Money, recognition, and other acknowledgments may do this. Team-building and other self-improvement activities may also boost employee engagement and loyalty. The Gallup Employee Engagement Model helps keep hotel workers engaged. By letting staff grow on their abilities, accomplish meaningful work, and be acknowledged and rewarded, the hotel can keep them happy and loyal (Saeed, et al. 2019). Due to customer service expectations, hotel employees must be engaged. Hotels should foster a culture that rewards and engages staff. This might involve customer service courses and success measurement and rewards. Hotels should also provide the crew positive feedback, such as for excellent customer service, and give them the right tools and technology. Finally, hotels should provide gym memberships and other wellness programs to employees. A sensible employee engagement strategy may keep hotel staff engaged and productive.</w:t>
      </w:r>
    </w:p>
    <w:p xmlns:wp14="http://schemas.microsoft.com/office/word/2010/wordml" w:rsidP="5011185B" w14:paraId="311C2B0E" wp14:textId="6C75B630">
      <w:pPr>
        <w:spacing w:before="0" w:beforeAutospacing="off" w:after="160" w:afterAutospacing="off" w:line="360" w:lineRule="auto"/>
        <w:jc w:val="center"/>
      </w:pPr>
      <w:r w:rsidRPr="5011185B" w:rsidR="17AA364D">
        <w:rPr>
          <w:rFonts w:ascii="Arial" w:hAnsi="Arial" w:eastAsia="Arial" w:cs="Arial"/>
          <w:b w:val="1"/>
          <w:bCs w:val="1"/>
          <w:noProof w:val="0"/>
          <w:color w:val="000000" w:themeColor="text1" w:themeTint="FF" w:themeShade="FF"/>
          <w:sz w:val="24"/>
          <w:szCs w:val="24"/>
          <w:lang w:val="en-US"/>
        </w:rPr>
        <w:t>Conclusion</w:t>
      </w:r>
    </w:p>
    <w:p xmlns:wp14="http://schemas.microsoft.com/office/word/2010/wordml" w:rsidP="5011185B" w14:paraId="11E4E778" wp14:textId="5E43CF37">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In conclusion, the effective management of human resources in hotels necessitates active participation from employees. Human resources professionals ensure that employees experience a sense of worth and significance in their work. The establishment of trust, promotion of teamwork, and cultivation of a positive work environment are crucial elements in fostering a productive workplace. The presence of employees is essential for the success of any organization. The various stages of the employee lifecycle encompass recruitment, onboarding, development, retention, and separation. Assistance from the human resources department is required for newly recruited employees. This encompasses accelerated familiarization, instruction, and availability of resources throughout the initial integration process. The cultivation of employee engagement has been shown to promote heightened levels of productivity, commitment, and involvement within the workplace. Employers ought to prioritize the establishment of a self-governing, acknowledged, and cultivated labor force. The implementation of an employee engagement model has the potential to facilitate the monitoring and enhancement of employee engagement within organizations. The Zinger model for employee engagement facilitates organizational assessment and enhancement of employee engagement. The level of employee engagement is influenced by various factors such as the employee experience, workplace culture, and employee relationships. Organizations ought to employ data and insights to comprehend the impact of each item on engagement. The provision of work-from-home and job-sharing alternatives has the potential to enhance employee morale and engagement. Professional development programs such as workshops, seminars, and other educational initiatives have the potential to foster motivation among employees. It is recommended that hotels establish an ambiance that fosters employee engagement. Customer service seminars could potentially provide advantages to employees.</w:t>
      </w:r>
    </w:p>
    <w:p xmlns:wp14="http://schemas.microsoft.com/office/word/2010/wordml" w:rsidP="5011185B" w14:paraId="0C9274AC" wp14:textId="31B55BB5">
      <w:pPr>
        <w:spacing w:before="0" w:beforeAutospacing="off" w:after="160" w:afterAutospacing="off" w:line="360" w:lineRule="auto"/>
        <w:jc w:val="both"/>
      </w:pPr>
      <w:r w:rsidRPr="5011185B" w:rsidR="17AA364D">
        <w:rPr>
          <w:rFonts w:ascii="Arial" w:hAnsi="Arial" w:eastAsia="Arial" w:cs="Arial"/>
          <w:noProof w:val="0"/>
          <w:color w:val="000000" w:themeColor="text1" w:themeTint="FF" w:themeShade="FF"/>
          <w:sz w:val="24"/>
          <w:szCs w:val="24"/>
          <w:lang w:val="en-US"/>
        </w:rPr>
        <w:t xml:space="preserve"> </w:t>
      </w:r>
    </w:p>
    <w:p xmlns:wp14="http://schemas.microsoft.com/office/word/2010/wordml" w:rsidP="5011185B" w14:paraId="77826F21" wp14:textId="7A1BF670">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6C8F5FC1" wp14:textId="79422E27">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10866D03" wp14:textId="15B42767">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3097E424" wp14:textId="55CEFFD5">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1FB84B10" wp14:textId="16F7EF5D">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783C443D" wp14:textId="26A27152">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32070F01" wp14:textId="4EBC3FC5">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582C72E0" wp14:textId="29F4F5EB">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067350C7" wp14:textId="29FD6CB6">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1A7DB1D7" wp14:textId="6FDABA41">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30991978" wp14:textId="74CCA1C6">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7E13DF21" wp14:textId="4DF55033">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6B1A0DA3" wp14:textId="74433B5C">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5110519B" wp14:textId="4ED21254">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387AE16F" wp14:textId="14FC6842">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66E9DD30" wp14:textId="2E653F42">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718FF57D" wp14:textId="1EFC07F5">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46121BF8" wp14:textId="62FFD19E">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4D42E0D6" wp14:textId="7B396383">
      <w:pPr>
        <w:pStyle w:val="Normal"/>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50601FF0" wp14:textId="7D2DBD2D">
      <w:pPr>
        <w:spacing w:before="0" w:beforeAutospacing="off" w:after="160" w:afterAutospacing="off" w:line="360" w:lineRule="auto"/>
        <w:jc w:val="both"/>
      </w:pPr>
      <w:r w:rsidRPr="5011185B" w:rsidR="17AA364D">
        <w:rPr>
          <w:rFonts w:ascii="Arial" w:hAnsi="Arial" w:eastAsia="Arial" w:cs="Arial"/>
          <w:b w:val="1"/>
          <w:bCs w:val="1"/>
          <w:noProof w:val="0"/>
          <w:color w:val="000000" w:themeColor="text1" w:themeTint="FF" w:themeShade="FF"/>
          <w:sz w:val="24"/>
          <w:szCs w:val="24"/>
          <w:lang w:val="en-US"/>
        </w:rPr>
        <w:t>Bibliography</w:t>
      </w:r>
    </w:p>
    <w:p xmlns:wp14="http://schemas.microsoft.com/office/word/2010/wordml" w:rsidP="5011185B" w14:paraId="15C6B7A5" wp14:textId="180A2F8A">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Alberti, G. and Iannuzzi, F.E., 2020. Embodied intersectionality and the intersectional management of hotel labour: The everyday experiences of social differentiation in customer</w:t>
      </w:r>
      <w:r w:rsidRPr="5011185B" w:rsidR="17AA364D">
        <w:rPr>
          <w:rFonts w:ascii="Cambria Math" w:hAnsi="Cambria Math" w:eastAsia="Cambria Math" w:cs="Cambria Math"/>
          <w:noProof w:val="0"/>
          <w:color w:val="000000" w:themeColor="text1" w:themeTint="FF" w:themeShade="FF"/>
          <w:sz w:val="24"/>
          <w:szCs w:val="24"/>
          <w:lang w:val="en-US"/>
        </w:rPr>
        <w:t>‐</w:t>
      </w:r>
      <w:r w:rsidRPr="5011185B" w:rsidR="17AA364D">
        <w:rPr>
          <w:rFonts w:ascii="Arial" w:hAnsi="Arial" w:eastAsia="Arial" w:cs="Arial"/>
          <w:noProof w:val="0"/>
          <w:color w:val="000000" w:themeColor="text1" w:themeTint="FF" w:themeShade="FF"/>
          <w:sz w:val="24"/>
          <w:szCs w:val="24"/>
          <w:lang w:val="en-US"/>
        </w:rPr>
        <w:t xml:space="preserve">oriented work. </w:t>
      </w:r>
      <w:r w:rsidRPr="5011185B" w:rsidR="17AA364D">
        <w:rPr>
          <w:rFonts w:ascii="Arial" w:hAnsi="Arial" w:eastAsia="Arial" w:cs="Arial"/>
          <w:i w:val="1"/>
          <w:iCs w:val="1"/>
          <w:noProof w:val="0"/>
          <w:color w:val="000000" w:themeColor="text1" w:themeTint="FF" w:themeShade="FF"/>
          <w:sz w:val="24"/>
          <w:szCs w:val="24"/>
          <w:lang w:val="en-US"/>
        </w:rPr>
        <w:t>Gender, Work &amp; Organization</w:t>
      </w:r>
      <w:r w:rsidRPr="5011185B" w:rsidR="17AA364D">
        <w:rPr>
          <w:rFonts w:ascii="Arial" w:hAnsi="Arial" w:eastAsia="Arial" w:cs="Arial"/>
          <w:noProof w:val="0"/>
          <w:color w:val="000000" w:themeColor="text1" w:themeTint="FF" w:themeShade="FF"/>
          <w:sz w:val="24"/>
          <w:szCs w:val="24"/>
          <w:lang w:val="en-US"/>
        </w:rPr>
        <w:t xml:space="preserve">, </w:t>
      </w:r>
      <w:r w:rsidRPr="5011185B" w:rsidR="17AA364D">
        <w:rPr>
          <w:rFonts w:ascii="Arial" w:hAnsi="Arial" w:eastAsia="Arial" w:cs="Arial"/>
          <w:i w:val="1"/>
          <w:iCs w:val="1"/>
          <w:noProof w:val="0"/>
          <w:color w:val="000000" w:themeColor="text1" w:themeTint="FF" w:themeShade="FF"/>
          <w:sz w:val="24"/>
          <w:szCs w:val="24"/>
          <w:lang w:val="en-US"/>
        </w:rPr>
        <w:t>27</w:t>
      </w:r>
      <w:r w:rsidRPr="5011185B" w:rsidR="17AA364D">
        <w:rPr>
          <w:rFonts w:ascii="Arial" w:hAnsi="Arial" w:eastAsia="Arial" w:cs="Arial"/>
          <w:noProof w:val="0"/>
          <w:color w:val="000000" w:themeColor="text1" w:themeTint="FF" w:themeShade="FF"/>
          <w:sz w:val="24"/>
          <w:szCs w:val="24"/>
          <w:lang w:val="en-US"/>
        </w:rPr>
        <w:t>(6), pp.1165-1180.</w:t>
      </w:r>
    </w:p>
    <w:p xmlns:wp14="http://schemas.microsoft.com/office/word/2010/wordml" w:rsidP="5011185B" w14:paraId="2CE81BDC" wp14:textId="58BACF58">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 xml:space="preserve">Armstrong, M. and Taylor, S., 2020. </w:t>
      </w:r>
      <w:r w:rsidRPr="5011185B" w:rsidR="17AA364D">
        <w:rPr>
          <w:rFonts w:ascii="Arial" w:hAnsi="Arial" w:eastAsia="Arial" w:cs="Arial"/>
          <w:i w:val="1"/>
          <w:iCs w:val="1"/>
          <w:noProof w:val="0"/>
          <w:color w:val="000000" w:themeColor="text1" w:themeTint="FF" w:themeShade="FF"/>
          <w:sz w:val="24"/>
          <w:szCs w:val="24"/>
          <w:lang w:val="en-US"/>
        </w:rPr>
        <w:t>Armstrong's handbook of human resource management practice</w:t>
      </w:r>
      <w:r w:rsidRPr="5011185B" w:rsidR="17AA364D">
        <w:rPr>
          <w:rFonts w:ascii="Arial" w:hAnsi="Arial" w:eastAsia="Arial" w:cs="Arial"/>
          <w:noProof w:val="0"/>
          <w:color w:val="000000" w:themeColor="text1" w:themeTint="FF" w:themeShade="FF"/>
          <w:sz w:val="24"/>
          <w:szCs w:val="24"/>
          <w:lang w:val="en-US"/>
        </w:rPr>
        <w:t>. Kogan Page Publishers</w:t>
      </w:r>
    </w:p>
    <w:p xmlns:wp14="http://schemas.microsoft.com/office/word/2010/wordml" w:rsidP="5011185B" w14:paraId="52B2E8B5" wp14:textId="504DC1D9">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 xml:space="preserve">Bova, T. 2020. </w:t>
      </w:r>
      <w:r w:rsidRPr="5011185B" w:rsidR="17AA364D">
        <w:rPr>
          <w:rFonts w:ascii="Arial" w:hAnsi="Arial" w:eastAsia="Arial" w:cs="Arial"/>
          <w:i w:val="1"/>
          <w:iCs w:val="1"/>
          <w:noProof w:val="0"/>
          <w:color w:val="000000" w:themeColor="text1" w:themeTint="FF" w:themeShade="FF"/>
          <w:sz w:val="24"/>
          <w:szCs w:val="24"/>
          <w:lang w:val="en-US"/>
        </w:rPr>
        <w:t>Salesforce Brandvoice: How Hilton uses the Golden Rule to drive commercial success</w:t>
      </w:r>
      <w:r w:rsidRPr="5011185B" w:rsidR="17AA364D">
        <w:rPr>
          <w:rFonts w:ascii="Arial" w:hAnsi="Arial" w:eastAsia="Arial" w:cs="Arial"/>
          <w:noProof w:val="0"/>
          <w:color w:val="000000" w:themeColor="text1" w:themeTint="FF" w:themeShade="FF"/>
          <w:sz w:val="24"/>
          <w:szCs w:val="24"/>
          <w:lang w:val="en-US"/>
        </w:rPr>
        <w:t xml:space="preserve">, </w:t>
      </w:r>
      <w:r w:rsidRPr="5011185B" w:rsidR="17AA364D">
        <w:rPr>
          <w:rFonts w:ascii="Arial" w:hAnsi="Arial" w:eastAsia="Arial" w:cs="Arial"/>
          <w:i w:val="1"/>
          <w:iCs w:val="1"/>
          <w:noProof w:val="0"/>
          <w:color w:val="000000" w:themeColor="text1" w:themeTint="FF" w:themeShade="FF"/>
          <w:sz w:val="24"/>
          <w:szCs w:val="24"/>
          <w:lang w:val="en-US"/>
        </w:rPr>
        <w:t>Forbes</w:t>
      </w:r>
      <w:r w:rsidRPr="5011185B" w:rsidR="17AA364D">
        <w:rPr>
          <w:rFonts w:ascii="Arial" w:hAnsi="Arial" w:eastAsia="Arial" w:cs="Arial"/>
          <w:noProof w:val="0"/>
          <w:color w:val="000000" w:themeColor="text1" w:themeTint="FF" w:themeShade="FF"/>
          <w:sz w:val="24"/>
          <w:szCs w:val="24"/>
          <w:lang w:val="en-US"/>
        </w:rPr>
        <w:t>. Forbes Magazine. Available at:</w:t>
      </w:r>
      <w:r w:rsidRPr="5011185B" w:rsidR="17AA364D">
        <w:rPr>
          <w:rFonts w:ascii="Arial" w:hAnsi="Arial" w:eastAsia="Arial" w:cs="Arial"/>
          <w:i w:val="1"/>
          <w:iCs w:val="1"/>
          <w:noProof w:val="0"/>
          <w:color w:val="000000" w:themeColor="text1" w:themeTint="FF" w:themeShade="FF"/>
          <w:sz w:val="24"/>
          <w:szCs w:val="24"/>
          <w:lang w:val="en-US"/>
        </w:rPr>
        <w:t xml:space="preserve"> </w:t>
      </w:r>
      <w:hyperlink r:id="Ra6a84ca8a38e4477">
        <w:r w:rsidRPr="5011185B" w:rsidR="17AA364D">
          <w:rPr>
            <w:rStyle w:val="Hyperlink"/>
            <w:rFonts w:ascii="Arial" w:hAnsi="Arial" w:eastAsia="Arial" w:cs="Arial"/>
            <w:strike w:val="0"/>
            <w:dstrike w:val="0"/>
            <w:noProof w:val="0"/>
            <w:sz w:val="24"/>
            <w:szCs w:val="24"/>
            <w:lang w:val="en-US"/>
          </w:rPr>
          <w:t>https://www.forbes.com/sites/salesforce/2020/11/05/how-hilton-uses-the-golden-ruleto-</w:t>
        </w:r>
      </w:hyperlink>
      <w:r w:rsidRPr="5011185B" w:rsidR="17AA364D">
        <w:rPr>
          <w:rFonts w:ascii="Arial" w:hAnsi="Arial" w:eastAsia="Arial" w:cs="Arial"/>
          <w:i w:val="1"/>
          <w:iCs w:val="1"/>
          <w:noProof w:val="0"/>
          <w:color w:val="000000" w:themeColor="text1" w:themeTint="FF" w:themeShade="FF"/>
          <w:sz w:val="24"/>
          <w:szCs w:val="24"/>
          <w:lang w:val="en-US"/>
        </w:rPr>
        <w:t xml:space="preserve"> </w:t>
      </w:r>
      <w:r w:rsidRPr="5011185B" w:rsidR="17AA364D">
        <w:rPr>
          <w:rFonts w:ascii="Arial" w:hAnsi="Arial" w:eastAsia="Arial" w:cs="Arial"/>
          <w:noProof w:val="0"/>
          <w:color w:val="000000" w:themeColor="text1" w:themeTint="FF" w:themeShade="FF"/>
          <w:sz w:val="24"/>
          <w:szCs w:val="24"/>
          <w:lang w:val="en-US"/>
        </w:rPr>
        <w:t>drive-commercial-success/?sh=12a36c8b733c (Accessed: June 11, 2023</w:t>
      </w:r>
    </w:p>
    <w:p xmlns:wp14="http://schemas.microsoft.com/office/word/2010/wordml" w:rsidP="5011185B" w14:paraId="0B12BFE4" wp14:textId="025BAC07">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 xml:space="preserve">Cattermole, G., 2019. Developing the employee lifecycle to keep top talent. </w:t>
      </w:r>
      <w:r w:rsidRPr="5011185B" w:rsidR="17AA364D">
        <w:rPr>
          <w:rFonts w:ascii="Arial" w:hAnsi="Arial" w:eastAsia="Arial" w:cs="Arial"/>
          <w:i w:val="1"/>
          <w:iCs w:val="1"/>
          <w:noProof w:val="0"/>
          <w:color w:val="000000" w:themeColor="text1" w:themeTint="FF" w:themeShade="FF"/>
          <w:sz w:val="24"/>
          <w:szCs w:val="24"/>
          <w:lang w:val="en-US"/>
        </w:rPr>
        <w:t>Strategic HR review</w:t>
      </w:r>
      <w:r w:rsidRPr="5011185B" w:rsidR="17AA364D">
        <w:rPr>
          <w:rFonts w:ascii="Arial" w:hAnsi="Arial" w:eastAsia="Arial" w:cs="Arial"/>
          <w:noProof w:val="0"/>
          <w:color w:val="000000" w:themeColor="text1" w:themeTint="FF" w:themeShade="FF"/>
          <w:sz w:val="24"/>
          <w:szCs w:val="24"/>
          <w:lang w:val="en-US"/>
        </w:rPr>
        <w:t xml:space="preserve">, </w:t>
      </w:r>
      <w:r w:rsidRPr="5011185B" w:rsidR="17AA364D">
        <w:rPr>
          <w:rFonts w:ascii="Arial" w:hAnsi="Arial" w:eastAsia="Arial" w:cs="Arial"/>
          <w:i w:val="1"/>
          <w:iCs w:val="1"/>
          <w:noProof w:val="0"/>
          <w:color w:val="000000" w:themeColor="text1" w:themeTint="FF" w:themeShade="FF"/>
          <w:sz w:val="24"/>
          <w:szCs w:val="24"/>
          <w:lang w:val="en-US"/>
        </w:rPr>
        <w:t>18</w:t>
      </w:r>
      <w:r w:rsidRPr="5011185B" w:rsidR="17AA364D">
        <w:rPr>
          <w:rFonts w:ascii="Arial" w:hAnsi="Arial" w:eastAsia="Arial" w:cs="Arial"/>
          <w:noProof w:val="0"/>
          <w:color w:val="000000" w:themeColor="text1" w:themeTint="FF" w:themeShade="FF"/>
          <w:sz w:val="24"/>
          <w:szCs w:val="24"/>
          <w:lang w:val="en-US"/>
        </w:rPr>
        <w:t>(6), pp.258-262.</w:t>
      </w:r>
    </w:p>
    <w:p xmlns:wp14="http://schemas.microsoft.com/office/word/2010/wordml" w:rsidP="5011185B" w14:paraId="07B9DFE8" wp14:textId="67D577D7">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Chaudhary, R., 2020. Green human resource management and employee green behavior: an empirical analysis. Corporate Social Responsibility and Environmental Management, 27(2), pp.630-641.</w:t>
      </w:r>
    </w:p>
    <w:p xmlns:wp14="http://schemas.microsoft.com/office/word/2010/wordml" w:rsidP="5011185B" w14:paraId="236588D1" wp14:textId="634D76FB">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 xml:space="preserve">Crane, B. and Hartwell, C.J., 2019. Global talent management: A life cycle view of the interaction between human and social capital. </w:t>
      </w:r>
      <w:r w:rsidRPr="5011185B" w:rsidR="17AA364D">
        <w:rPr>
          <w:rFonts w:ascii="Arial" w:hAnsi="Arial" w:eastAsia="Arial" w:cs="Arial"/>
          <w:i w:val="1"/>
          <w:iCs w:val="1"/>
          <w:noProof w:val="0"/>
          <w:color w:val="000000" w:themeColor="text1" w:themeTint="FF" w:themeShade="FF"/>
          <w:sz w:val="24"/>
          <w:szCs w:val="24"/>
          <w:lang w:val="en-US"/>
        </w:rPr>
        <w:t>Journal of World Business</w:t>
      </w:r>
      <w:r w:rsidRPr="5011185B" w:rsidR="17AA364D">
        <w:rPr>
          <w:rFonts w:ascii="Arial" w:hAnsi="Arial" w:eastAsia="Arial" w:cs="Arial"/>
          <w:noProof w:val="0"/>
          <w:color w:val="000000" w:themeColor="text1" w:themeTint="FF" w:themeShade="FF"/>
          <w:sz w:val="24"/>
          <w:szCs w:val="24"/>
          <w:lang w:val="en-US"/>
        </w:rPr>
        <w:t xml:space="preserve">, </w:t>
      </w:r>
      <w:r w:rsidRPr="5011185B" w:rsidR="17AA364D">
        <w:rPr>
          <w:rFonts w:ascii="Arial" w:hAnsi="Arial" w:eastAsia="Arial" w:cs="Arial"/>
          <w:i w:val="1"/>
          <w:iCs w:val="1"/>
          <w:noProof w:val="0"/>
          <w:color w:val="000000" w:themeColor="text1" w:themeTint="FF" w:themeShade="FF"/>
          <w:sz w:val="24"/>
          <w:szCs w:val="24"/>
          <w:lang w:val="en-US"/>
        </w:rPr>
        <w:t>54</w:t>
      </w:r>
      <w:r w:rsidRPr="5011185B" w:rsidR="17AA364D">
        <w:rPr>
          <w:rFonts w:ascii="Arial" w:hAnsi="Arial" w:eastAsia="Arial" w:cs="Arial"/>
          <w:noProof w:val="0"/>
          <w:color w:val="000000" w:themeColor="text1" w:themeTint="FF" w:themeShade="FF"/>
          <w:sz w:val="24"/>
          <w:szCs w:val="24"/>
          <w:lang w:val="en-US"/>
        </w:rPr>
        <w:t>(2), pp.82-92.</w:t>
      </w:r>
    </w:p>
    <w:p xmlns:wp14="http://schemas.microsoft.com/office/word/2010/wordml" w:rsidP="5011185B" w14:paraId="6F1A7AC1" wp14:textId="0FDBECA3">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 xml:space="preserve">Fechter, 2023. </w:t>
      </w:r>
      <w:r w:rsidRPr="5011185B" w:rsidR="17AA364D">
        <w:rPr>
          <w:rFonts w:ascii="Arial" w:hAnsi="Arial" w:eastAsia="Arial" w:cs="Arial"/>
          <w:i w:val="1"/>
          <w:iCs w:val="1"/>
          <w:noProof w:val="0"/>
          <w:color w:val="000000" w:themeColor="text1" w:themeTint="FF" w:themeShade="FF"/>
          <w:sz w:val="24"/>
          <w:szCs w:val="24"/>
          <w:lang w:val="en-US"/>
        </w:rPr>
        <w:t>What is the employee life cycle?</w:t>
      </w:r>
      <w:r w:rsidRPr="5011185B" w:rsidR="17AA364D">
        <w:rPr>
          <w:rFonts w:ascii="Arial" w:hAnsi="Arial" w:eastAsia="Arial" w:cs="Arial"/>
          <w:noProof w:val="0"/>
          <w:color w:val="000000" w:themeColor="text1" w:themeTint="FF" w:themeShade="FF"/>
          <w:sz w:val="24"/>
          <w:szCs w:val="24"/>
          <w:lang w:val="en-US"/>
        </w:rPr>
        <w:t xml:space="preserve">, </w:t>
      </w:r>
      <w:r w:rsidRPr="5011185B" w:rsidR="17AA364D">
        <w:rPr>
          <w:rFonts w:ascii="Arial" w:hAnsi="Arial" w:eastAsia="Arial" w:cs="Arial"/>
          <w:i w:val="1"/>
          <w:iCs w:val="1"/>
          <w:noProof w:val="0"/>
          <w:color w:val="000000" w:themeColor="text1" w:themeTint="FF" w:themeShade="FF"/>
          <w:sz w:val="24"/>
          <w:szCs w:val="24"/>
          <w:lang w:val="en-US"/>
        </w:rPr>
        <w:t>HR University</w:t>
      </w:r>
      <w:r w:rsidRPr="5011185B" w:rsidR="17AA364D">
        <w:rPr>
          <w:rFonts w:ascii="Arial" w:hAnsi="Arial" w:eastAsia="Arial" w:cs="Arial"/>
          <w:noProof w:val="0"/>
          <w:color w:val="000000" w:themeColor="text1" w:themeTint="FF" w:themeShade="FF"/>
          <w:sz w:val="24"/>
          <w:szCs w:val="24"/>
          <w:lang w:val="en-US"/>
        </w:rPr>
        <w:t xml:space="preserve">. Available at: </w:t>
      </w:r>
      <w:hyperlink r:id="Re5b70de5506b4f10">
        <w:r w:rsidRPr="5011185B" w:rsidR="17AA364D">
          <w:rPr>
            <w:rStyle w:val="Hyperlink"/>
            <w:rFonts w:ascii="Arial" w:hAnsi="Arial" w:eastAsia="Arial" w:cs="Arial"/>
            <w:noProof w:val="0"/>
            <w:sz w:val="24"/>
            <w:szCs w:val="24"/>
            <w:lang w:val="en-US"/>
          </w:rPr>
          <w:t>https://hr.university/shrm/talent-management/employee-life-cycle/</w:t>
        </w:r>
      </w:hyperlink>
      <w:r w:rsidRPr="5011185B" w:rsidR="17AA364D">
        <w:rPr>
          <w:rFonts w:ascii="Arial" w:hAnsi="Arial" w:eastAsia="Arial" w:cs="Arial"/>
          <w:noProof w:val="0"/>
          <w:color w:val="000000" w:themeColor="text1" w:themeTint="FF" w:themeShade="FF"/>
          <w:sz w:val="24"/>
          <w:szCs w:val="24"/>
          <w:lang w:val="en-US"/>
        </w:rPr>
        <w:t xml:space="preserve"> (Accessed:June 11, 2023).</w:t>
      </w:r>
    </w:p>
    <w:p xmlns:wp14="http://schemas.microsoft.com/office/word/2010/wordml" w:rsidP="5011185B" w14:paraId="0A9A567D" wp14:textId="7101F8EB">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Fenech, R., Baguant, P. and Ivanov, D., 2019. The changing role of human resource management in an era of digital transformation. Journal of Management Information &amp; Decision Sciences, 22(2).</w:t>
      </w:r>
    </w:p>
    <w:p xmlns:wp14="http://schemas.microsoft.com/office/word/2010/wordml" w:rsidP="5011185B" w14:paraId="638DCAE4" wp14:textId="5C1B7442">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 xml:space="preserve">Half, R. 2022. </w:t>
      </w:r>
      <w:r w:rsidRPr="5011185B" w:rsidR="17AA364D">
        <w:rPr>
          <w:rFonts w:ascii="Arial" w:hAnsi="Arial" w:eastAsia="Arial" w:cs="Arial"/>
          <w:i w:val="1"/>
          <w:iCs w:val="1"/>
          <w:noProof w:val="0"/>
          <w:color w:val="000000" w:themeColor="text1" w:themeTint="FF" w:themeShade="FF"/>
          <w:sz w:val="24"/>
          <w:szCs w:val="24"/>
          <w:lang w:val="en-US"/>
        </w:rPr>
        <w:t>Motivating your team: 25 ways to increase employee engagement</w:t>
      </w:r>
      <w:r w:rsidRPr="5011185B" w:rsidR="17AA364D">
        <w:rPr>
          <w:rFonts w:ascii="Arial" w:hAnsi="Arial" w:eastAsia="Arial" w:cs="Arial"/>
          <w:noProof w:val="0"/>
          <w:color w:val="000000" w:themeColor="text1" w:themeTint="FF" w:themeShade="FF"/>
          <w:sz w:val="24"/>
          <w:szCs w:val="24"/>
          <w:lang w:val="en-US"/>
        </w:rPr>
        <w:t xml:space="preserve">, </w:t>
      </w:r>
      <w:r w:rsidRPr="5011185B" w:rsidR="17AA364D">
        <w:rPr>
          <w:rFonts w:ascii="Arial" w:hAnsi="Arial" w:eastAsia="Arial" w:cs="Arial"/>
          <w:i w:val="1"/>
          <w:iCs w:val="1"/>
          <w:noProof w:val="0"/>
          <w:color w:val="000000" w:themeColor="text1" w:themeTint="FF" w:themeShade="FF"/>
          <w:sz w:val="24"/>
          <w:szCs w:val="24"/>
          <w:lang w:val="en-US"/>
        </w:rPr>
        <w:t>25 Ways to Motivate &amp; Engage Your Team | Robert Half UK</w:t>
      </w:r>
      <w:r w:rsidRPr="5011185B" w:rsidR="17AA364D">
        <w:rPr>
          <w:rFonts w:ascii="Arial" w:hAnsi="Arial" w:eastAsia="Arial" w:cs="Arial"/>
          <w:noProof w:val="0"/>
          <w:color w:val="000000" w:themeColor="text1" w:themeTint="FF" w:themeShade="FF"/>
          <w:sz w:val="24"/>
          <w:szCs w:val="24"/>
          <w:lang w:val="en-US"/>
        </w:rPr>
        <w:t>. Available at:</w:t>
      </w:r>
      <w:r w:rsidRPr="5011185B" w:rsidR="17AA364D">
        <w:rPr>
          <w:rFonts w:ascii="Arial" w:hAnsi="Arial" w:eastAsia="Arial" w:cs="Arial"/>
          <w:i w:val="1"/>
          <w:iCs w:val="1"/>
          <w:noProof w:val="0"/>
          <w:color w:val="000000" w:themeColor="text1" w:themeTint="FF" w:themeShade="FF"/>
          <w:sz w:val="24"/>
          <w:szCs w:val="24"/>
          <w:lang w:val="en-US"/>
        </w:rPr>
        <w:t xml:space="preserve"> </w:t>
      </w:r>
      <w:hyperlink r:id="R7a27c5e8784244b8">
        <w:r w:rsidRPr="5011185B" w:rsidR="17AA364D">
          <w:rPr>
            <w:rStyle w:val="Hyperlink"/>
            <w:rFonts w:ascii="Arial" w:hAnsi="Arial" w:eastAsia="Arial" w:cs="Arial"/>
            <w:strike w:val="0"/>
            <w:dstrike w:val="0"/>
            <w:noProof w:val="0"/>
            <w:sz w:val="24"/>
            <w:szCs w:val="24"/>
            <w:lang w:val="en-US"/>
          </w:rPr>
          <w:t>https://www.roberthalf.co.uk/advice/people-management/motivating-your-team-25-</w:t>
        </w:r>
      </w:hyperlink>
      <w:r w:rsidRPr="5011185B" w:rsidR="17AA364D">
        <w:rPr>
          <w:rFonts w:ascii="Arial" w:hAnsi="Arial" w:eastAsia="Arial" w:cs="Arial"/>
          <w:i w:val="1"/>
          <w:iCs w:val="1"/>
          <w:noProof w:val="0"/>
          <w:color w:val="000000" w:themeColor="text1" w:themeTint="FF" w:themeShade="FF"/>
          <w:sz w:val="24"/>
          <w:szCs w:val="24"/>
          <w:lang w:val="en-US"/>
        </w:rPr>
        <w:t xml:space="preserve"> </w:t>
      </w:r>
      <w:r w:rsidRPr="5011185B" w:rsidR="17AA364D">
        <w:rPr>
          <w:rFonts w:ascii="Arial" w:hAnsi="Arial" w:eastAsia="Arial" w:cs="Arial"/>
          <w:noProof w:val="0"/>
          <w:color w:val="000000" w:themeColor="text1" w:themeTint="FF" w:themeShade="FF"/>
          <w:sz w:val="24"/>
          <w:szCs w:val="24"/>
          <w:lang w:val="en-US"/>
        </w:rPr>
        <w:t>ways-increase-employee-engagement (Accessed: June 11, 2023).</w:t>
      </w:r>
    </w:p>
    <w:p xmlns:wp14="http://schemas.microsoft.com/office/word/2010/wordml" w:rsidP="5011185B" w14:paraId="53CF1E55" wp14:textId="689598E1">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He, J., Mao, Y., Morrison, A.M. and Coca-Stefaniak, J.A., 2021. On being warm and friendly: the effect of socially responsible human resource management on employee fears of the threats of COVID-19. International Journal of Contemporary Hospitality Management, 33(1), pp.346-366.</w:t>
      </w:r>
    </w:p>
    <w:p xmlns:wp14="http://schemas.microsoft.com/office/word/2010/wordml" w:rsidP="5011185B" w14:paraId="296CDD90" wp14:textId="22734B06">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He, J., Mao, Y., Morrison, A.M. and Coca-Stefaniak, J.A., 2021. On being warm and friendly: the effect of socially responsible human resource management on employee fears of the threats of COVID-19. International Journal of Contemporary Hospitality Management, 33(1), pp.346-366.</w:t>
      </w:r>
    </w:p>
    <w:p xmlns:wp14="http://schemas.microsoft.com/office/word/2010/wordml" w:rsidP="5011185B" w14:paraId="55B22CEA" wp14:textId="517648D5">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Hussainy, S.S., 2020. Review on motivational theories &amp; models: Its application for employees’ retention in organizations. International Journal of Business and Applied Social Science, 6(1),</w:t>
      </w:r>
    </w:p>
    <w:p xmlns:wp14="http://schemas.microsoft.com/office/word/2010/wordml" w:rsidP="5011185B" w14:paraId="1847D63A" wp14:textId="6A4E4285">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 xml:space="preserve">Kim, W.G., McGinley, S., Choi, H.M. and Agmapisarn, C., 2020. Hotels’ environmental leadership and employees’ organizational citizenship behavior. </w:t>
      </w:r>
      <w:r w:rsidRPr="5011185B" w:rsidR="17AA364D">
        <w:rPr>
          <w:rFonts w:ascii="Arial" w:hAnsi="Arial" w:eastAsia="Arial" w:cs="Arial"/>
          <w:i w:val="1"/>
          <w:iCs w:val="1"/>
          <w:noProof w:val="0"/>
          <w:color w:val="000000" w:themeColor="text1" w:themeTint="FF" w:themeShade="FF"/>
          <w:sz w:val="24"/>
          <w:szCs w:val="24"/>
          <w:lang w:val="en-US"/>
        </w:rPr>
        <w:t>International Journal of Hospitality Management</w:t>
      </w:r>
      <w:r w:rsidRPr="5011185B" w:rsidR="17AA364D">
        <w:rPr>
          <w:rFonts w:ascii="Arial" w:hAnsi="Arial" w:eastAsia="Arial" w:cs="Arial"/>
          <w:noProof w:val="0"/>
          <w:color w:val="000000" w:themeColor="text1" w:themeTint="FF" w:themeShade="FF"/>
          <w:sz w:val="24"/>
          <w:szCs w:val="24"/>
          <w:lang w:val="en-US"/>
        </w:rPr>
        <w:t xml:space="preserve">, </w:t>
      </w:r>
      <w:r w:rsidRPr="5011185B" w:rsidR="17AA364D">
        <w:rPr>
          <w:rFonts w:ascii="Arial" w:hAnsi="Arial" w:eastAsia="Arial" w:cs="Arial"/>
          <w:i w:val="1"/>
          <w:iCs w:val="1"/>
          <w:noProof w:val="0"/>
          <w:color w:val="000000" w:themeColor="text1" w:themeTint="FF" w:themeShade="FF"/>
          <w:sz w:val="24"/>
          <w:szCs w:val="24"/>
          <w:lang w:val="en-US"/>
        </w:rPr>
        <w:t>87</w:t>
      </w:r>
      <w:r w:rsidRPr="5011185B" w:rsidR="17AA364D">
        <w:rPr>
          <w:rFonts w:ascii="Arial" w:hAnsi="Arial" w:eastAsia="Arial" w:cs="Arial"/>
          <w:noProof w:val="0"/>
          <w:color w:val="000000" w:themeColor="text1" w:themeTint="FF" w:themeShade="FF"/>
          <w:sz w:val="24"/>
          <w:szCs w:val="24"/>
          <w:lang w:val="en-US"/>
        </w:rPr>
        <w:t>, p.102375</w:t>
      </w:r>
    </w:p>
    <w:p xmlns:wp14="http://schemas.microsoft.com/office/word/2010/wordml" w:rsidP="5011185B" w14:paraId="28771053" wp14:textId="4E170414">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Nasution, H. and Absah, Y., 2019, October. Effective Employee Engagement Using SWOT Analysis. In 2019 International Conference on Organizational Innovation (ICOI 2019) (pp. 336-340). Atlantis Press.</w:t>
      </w:r>
    </w:p>
    <w:p xmlns:wp14="http://schemas.microsoft.com/office/word/2010/wordml" w:rsidP="5011185B" w14:paraId="49E6788E" wp14:textId="646EA111">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pp.40-46.</w:t>
      </w:r>
    </w:p>
    <w:p xmlns:wp14="http://schemas.microsoft.com/office/word/2010/wordml" w:rsidP="5011185B" w14:paraId="688B21E8" wp14:textId="0BE84BE0">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Saeed, B.B., Afsar, B., Hafeez, S., Khan, I., Tahir, M. and Afridi, M.A., 2019. Promoting employee's proenvironmental behavior through green human resource management practices. Corporate Social Responsibility and Environmental Management, 26(2), pp.424-438.</w:t>
      </w:r>
    </w:p>
    <w:p xmlns:wp14="http://schemas.microsoft.com/office/word/2010/wordml" w:rsidP="5011185B" w14:paraId="6A619433" wp14:textId="75563FDB">
      <w:pPr>
        <w:spacing w:before="0" w:beforeAutospacing="off" w:after="0" w:afterAutospacing="off" w:line="360" w:lineRule="auto"/>
        <w:ind w:left="720" w:hanging="720"/>
        <w:jc w:val="both"/>
      </w:pPr>
      <w:r w:rsidRPr="5011185B" w:rsidR="17AA364D">
        <w:rPr>
          <w:rFonts w:ascii="Arial" w:hAnsi="Arial" w:eastAsia="Arial" w:cs="Arial"/>
          <w:noProof w:val="0"/>
          <w:color w:val="000000" w:themeColor="text1" w:themeTint="FF" w:themeShade="FF"/>
          <w:sz w:val="24"/>
          <w:szCs w:val="24"/>
          <w:lang w:val="en-US"/>
        </w:rPr>
        <w:t>Stahl, G.K., Brewster, C.J., Collings, D.G. and Hajro, A., 2020. Enhancing the role of human resource management in corporate sustainability and social responsibility: A multi-stakeholder, multidimensional approach to HRM. Human Resource Management Review, 30(3), p.100708</w:t>
      </w:r>
    </w:p>
    <w:p xmlns:wp14="http://schemas.microsoft.com/office/word/2010/wordml" w:rsidP="5011185B" w14:paraId="24A11AB5" wp14:textId="41E65CA2">
      <w:p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5011185B" w14:paraId="5E5787A5" wp14:textId="3F2D8F4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CD45C2"/>
    <w:rsid w:val="0F3C0B40"/>
    <w:rsid w:val="123CF43F"/>
    <w:rsid w:val="17AA364D"/>
    <w:rsid w:val="2FE998A7"/>
    <w:rsid w:val="4B3DA738"/>
    <w:rsid w:val="4BCD45C2"/>
    <w:rsid w:val="4CD97799"/>
    <w:rsid w:val="4E7547FA"/>
    <w:rsid w:val="5011185B"/>
    <w:rsid w:val="5097260E"/>
    <w:rsid w:val="54BFD536"/>
    <w:rsid w:val="654B516C"/>
    <w:rsid w:val="7144B375"/>
    <w:rsid w:val="79604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D45C2"/>
  <w15:chartTrackingRefBased/>
  <w15:docId w15:val="{E7E4BEB9-3C3C-4944-90FC-9BA5C1F210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rbes.com/sites/salesforce/2020/11/05/how-hilton-uses-the-golden-ruleto-" TargetMode="External" Id="Ra6a84ca8a38e4477" /><Relationship Type="http://schemas.openxmlformats.org/officeDocument/2006/relationships/hyperlink" Target="https://hr.university/shrm/talent-management/employee-life-cycle/" TargetMode="External" Id="Re5b70de5506b4f10" /><Relationship Type="http://schemas.openxmlformats.org/officeDocument/2006/relationships/hyperlink" Target="https://www.roberthalf.co.uk/advice/people-management/motivating-your-team-25-" TargetMode="External" Id="R7a27c5e8784244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Andrei Curelaru (1918109)</dc:creator>
  <keywords/>
  <dc:description/>
  <lastModifiedBy>Andrei Curelaru (1918109)</lastModifiedBy>
  <revision>2</revision>
  <dcterms:created xsi:type="dcterms:W3CDTF">2023-06-12T11:23:23.5480243Z</dcterms:created>
  <dcterms:modified xsi:type="dcterms:W3CDTF">2023-06-12T11:31:30.7797885Z</dcterms:modified>
</coreProperties>
</file>