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56863" w14:textId="77777777" w:rsidR="00D01758" w:rsidRPr="000756A5" w:rsidRDefault="00D01758" w:rsidP="00D01758">
      <w:pPr>
        <w:rPr>
          <w:rFonts w:ascii="Arial" w:hAnsi="Arial" w:cs="Arial"/>
          <w:b/>
          <w:bCs/>
          <w:sz w:val="22"/>
          <w:szCs w:val="22"/>
        </w:rPr>
      </w:pPr>
    </w:p>
    <w:p w14:paraId="33C27BC7" w14:textId="77777777" w:rsidR="00D01758" w:rsidRPr="000756A5" w:rsidRDefault="00D01758" w:rsidP="00D01758">
      <w:pPr>
        <w:rPr>
          <w:rFonts w:ascii="Arial" w:hAnsi="Arial" w:cs="Arial"/>
          <w:sz w:val="22"/>
          <w:szCs w:val="22"/>
          <w:lang w:val="it-IT"/>
        </w:rPr>
      </w:pPr>
      <w:r w:rsidRPr="000756A5">
        <w:rPr>
          <w:rFonts w:ascii="Arial" w:hAnsi="Arial" w:cs="Arial"/>
          <w:b/>
          <w:bCs/>
          <w:sz w:val="22"/>
          <w:szCs w:val="22"/>
          <w:lang w:val="it-IT"/>
        </w:rPr>
        <w:t>Student Name:</w:t>
      </w:r>
      <w:r w:rsidRPr="000756A5">
        <w:rPr>
          <w:rFonts w:ascii="Arial" w:hAnsi="Arial" w:cs="Arial"/>
          <w:sz w:val="22"/>
          <w:szCs w:val="22"/>
          <w:lang w:val="it-IT"/>
        </w:rPr>
        <w:t xml:space="preserve"> Ana Maria Codrina Stanciu</w:t>
      </w:r>
    </w:p>
    <w:p w14:paraId="7D55A739" w14:textId="3EDABB5B" w:rsidR="00F708FC" w:rsidRDefault="00D75FD6" w:rsidP="0049090E">
      <w:pPr>
        <w:rPr>
          <w:rFonts w:ascii="Arial" w:hAnsi="Arial" w:cs="Arial"/>
          <w:b/>
          <w:bCs/>
          <w:sz w:val="22"/>
          <w:szCs w:val="22"/>
          <w:lang w:val="it-IT"/>
        </w:rPr>
      </w:pPr>
      <w:r>
        <w:rPr>
          <w:rFonts w:ascii="Arial" w:hAnsi="Arial" w:cs="Arial"/>
          <w:b/>
          <w:bCs/>
          <w:sz w:val="22"/>
          <w:szCs w:val="22"/>
          <w:lang w:val="it-IT"/>
        </w:rPr>
        <w:t>Student Id Number:2438025</w:t>
      </w:r>
    </w:p>
    <w:p w14:paraId="3BEE34A4" w14:textId="16718F79" w:rsidR="00D75FD6" w:rsidRDefault="009019A3" w:rsidP="0049090E">
      <w:pPr>
        <w:rPr>
          <w:rFonts w:ascii="Arial" w:hAnsi="Arial" w:cs="Arial"/>
        </w:rPr>
      </w:pPr>
      <w:r>
        <w:rPr>
          <w:rFonts w:ascii="Arial" w:hAnsi="Arial" w:cs="Arial"/>
          <w:b/>
          <w:bCs/>
          <w:sz w:val="22"/>
          <w:szCs w:val="22"/>
          <w:lang w:val="it-IT"/>
        </w:rPr>
        <w:t>Module code :</w:t>
      </w:r>
      <w:r w:rsidR="006B006E" w:rsidRPr="006B006E">
        <w:t xml:space="preserve"> </w:t>
      </w:r>
      <w:r w:rsidR="006B006E">
        <w:t>LCLM5001</w:t>
      </w:r>
      <w:r w:rsidR="006B006E">
        <w:rPr>
          <w:rFonts w:ascii="Arial" w:hAnsi="Arial" w:cs="Arial"/>
        </w:rPr>
        <w:t> </w:t>
      </w:r>
    </w:p>
    <w:p w14:paraId="0A805A4C" w14:textId="739E1431" w:rsidR="006B006E" w:rsidRDefault="006B006E" w:rsidP="0049090E">
      <w:pPr>
        <w:rPr>
          <w:rFonts w:ascii="Arial" w:hAnsi="Arial" w:cs="Arial"/>
        </w:rPr>
      </w:pPr>
      <w:r w:rsidRPr="006B006E">
        <w:rPr>
          <w:rFonts w:ascii="Arial" w:hAnsi="Arial" w:cs="Arial"/>
          <w:b/>
          <w:bCs/>
        </w:rPr>
        <w:t>Module title:</w:t>
      </w:r>
      <w:r w:rsidR="008E2DB4" w:rsidRPr="008E2DB4">
        <w:t xml:space="preserve"> </w:t>
      </w:r>
      <w:r w:rsidR="008E2DB4">
        <w:t>Understanding and Engaging Stakeholders</w:t>
      </w:r>
      <w:r w:rsidR="008E2DB4">
        <w:rPr>
          <w:rFonts w:ascii="Arial" w:hAnsi="Arial" w:cs="Arial"/>
        </w:rPr>
        <w:t>  </w:t>
      </w:r>
    </w:p>
    <w:p w14:paraId="14DBF59D" w14:textId="58ACC2DB" w:rsidR="008E2DB4" w:rsidRPr="00A30B25" w:rsidRDefault="008E2DB4" w:rsidP="0049090E">
      <w:pPr>
        <w:rPr>
          <w:rFonts w:ascii="Arial" w:hAnsi="Arial" w:cs="Arial"/>
          <w:b/>
          <w:bCs/>
          <w:sz w:val="22"/>
          <w:szCs w:val="22"/>
          <w:lang w:val="fr-FR"/>
        </w:rPr>
      </w:pPr>
      <w:r w:rsidRPr="00032150">
        <w:rPr>
          <w:rFonts w:ascii="Arial" w:hAnsi="Arial" w:cs="Arial"/>
          <w:b/>
          <w:bCs/>
          <w:lang w:val="fr-FR"/>
        </w:rPr>
        <w:t xml:space="preserve">Module </w:t>
      </w:r>
      <w:proofErr w:type="spellStart"/>
      <w:r w:rsidRPr="00032150">
        <w:rPr>
          <w:rFonts w:ascii="Arial" w:hAnsi="Arial" w:cs="Arial"/>
          <w:b/>
          <w:bCs/>
          <w:lang w:val="fr-FR"/>
        </w:rPr>
        <w:t>lecturer</w:t>
      </w:r>
      <w:proofErr w:type="spellEnd"/>
      <w:r w:rsidR="00A43D2B">
        <w:rPr>
          <w:rFonts w:ascii="Arial" w:hAnsi="Arial" w:cs="Arial"/>
          <w:b/>
          <w:bCs/>
          <w:lang w:val="fr-FR"/>
        </w:rPr>
        <w:t xml:space="preserve"> </w:t>
      </w:r>
      <w:r w:rsidRPr="00A30B25">
        <w:rPr>
          <w:rFonts w:ascii="Arial" w:hAnsi="Arial" w:cs="Arial"/>
          <w:lang w:val="fr-FR"/>
        </w:rPr>
        <w:t>:</w:t>
      </w:r>
      <w:r w:rsidR="00790268" w:rsidRPr="00A30B25">
        <w:rPr>
          <w:rFonts w:ascii="Arial" w:hAnsi="Arial" w:cs="Arial"/>
          <w:lang w:val="fr-FR"/>
        </w:rPr>
        <w:t>La</w:t>
      </w:r>
      <w:r w:rsidR="00A30B25" w:rsidRPr="00A30B25">
        <w:rPr>
          <w:rFonts w:ascii="Arial" w:hAnsi="Arial" w:cs="Arial"/>
          <w:lang w:val="fr-FR"/>
        </w:rPr>
        <w:t xml:space="preserve">kshani </w:t>
      </w:r>
      <w:proofErr w:type="spellStart"/>
      <w:r w:rsidR="00A30B25" w:rsidRPr="00A30B25">
        <w:rPr>
          <w:rFonts w:ascii="Arial" w:hAnsi="Arial" w:cs="Arial"/>
          <w:lang w:val="fr-FR"/>
        </w:rPr>
        <w:t>Nissanga</w:t>
      </w:r>
      <w:proofErr w:type="spellEnd"/>
      <w:r w:rsidR="00A30B25" w:rsidRPr="00A30B25">
        <w:rPr>
          <w:rFonts w:ascii="Arial" w:hAnsi="Arial" w:cs="Arial"/>
          <w:lang w:val="fr-FR"/>
        </w:rPr>
        <w:t xml:space="preserve"> M</w:t>
      </w:r>
      <w:r w:rsidR="00A30B25">
        <w:rPr>
          <w:rFonts w:ascii="Arial" w:hAnsi="Arial" w:cs="Arial"/>
          <w:lang w:val="fr-FR"/>
        </w:rPr>
        <w:t>endis</w:t>
      </w:r>
    </w:p>
    <w:p w14:paraId="5F553CA2" w14:textId="77777777" w:rsidR="00F708FC" w:rsidRPr="00A30B25" w:rsidRDefault="00F708FC" w:rsidP="0049090E">
      <w:pPr>
        <w:rPr>
          <w:rFonts w:ascii="Arial" w:hAnsi="Arial" w:cs="Arial"/>
          <w:b/>
          <w:bCs/>
          <w:sz w:val="22"/>
          <w:szCs w:val="22"/>
          <w:lang w:val="fr-FR"/>
        </w:rPr>
      </w:pPr>
    </w:p>
    <w:p w14:paraId="06FDA412" w14:textId="77777777" w:rsidR="00F708FC" w:rsidRPr="00A30B25" w:rsidRDefault="00F708FC" w:rsidP="0049090E">
      <w:pPr>
        <w:rPr>
          <w:rFonts w:ascii="Arial" w:hAnsi="Arial" w:cs="Arial"/>
          <w:b/>
          <w:bCs/>
          <w:sz w:val="22"/>
          <w:szCs w:val="22"/>
          <w:lang w:val="fr-FR"/>
        </w:rPr>
      </w:pPr>
    </w:p>
    <w:p w14:paraId="52B8ABFF" w14:textId="77777777" w:rsidR="00F708FC" w:rsidRPr="00A30B25" w:rsidRDefault="00F708FC" w:rsidP="0049090E">
      <w:pPr>
        <w:rPr>
          <w:rFonts w:ascii="Arial" w:hAnsi="Arial" w:cs="Arial"/>
          <w:b/>
          <w:bCs/>
          <w:sz w:val="22"/>
          <w:szCs w:val="22"/>
          <w:lang w:val="fr-FR"/>
        </w:rPr>
      </w:pPr>
    </w:p>
    <w:p w14:paraId="7140365C" w14:textId="77777777" w:rsidR="00F708FC" w:rsidRPr="00A30B25" w:rsidRDefault="00F708FC" w:rsidP="0049090E">
      <w:pPr>
        <w:rPr>
          <w:rFonts w:ascii="Arial" w:hAnsi="Arial" w:cs="Arial"/>
          <w:b/>
          <w:bCs/>
          <w:sz w:val="22"/>
          <w:szCs w:val="22"/>
          <w:lang w:val="fr-FR"/>
        </w:rPr>
      </w:pPr>
    </w:p>
    <w:p w14:paraId="06A5C37C" w14:textId="11AB3C97" w:rsidR="0049090E" w:rsidRPr="00F708FC" w:rsidRDefault="0049090E" w:rsidP="0049090E">
      <w:pPr>
        <w:rPr>
          <w:rFonts w:ascii="Arial" w:hAnsi="Arial" w:cs="Arial"/>
          <w:b/>
          <w:bCs/>
          <w:sz w:val="22"/>
          <w:szCs w:val="22"/>
        </w:rPr>
      </w:pPr>
      <w:r w:rsidRPr="00F708FC">
        <w:rPr>
          <w:rFonts w:ascii="Arial" w:hAnsi="Arial" w:cs="Arial"/>
          <w:b/>
          <w:bCs/>
          <w:sz w:val="22"/>
          <w:szCs w:val="22"/>
        </w:rPr>
        <w:t xml:space="preserve">Stakeholder Engagement Strategy for the Global Launch of </w:t>
      </w:r>
      <w:proofErr w:type="spellStart"/>
      <w:r w:rsidRPr="00F708FC">
        <w:rPr>
          <w:rFonts w:ascii="Arial" w:hAnsi="Arial" w:cs="Arial"/>
          <w:b/>
          <w:bCs/>
          <w:sz w:val="22"/>
          <w:szCs w:val="22"/>
        </w:rPr>
        <w:t>ConnectPlus</w:t>
      </w:r>
      <w:proofErr w:type="spellEnd"/>
      <w:r w:rsidRPr="00F708FC">
        <w:rPr>
          <w:rFonts w:ascii="Arial" w:hAnsi="Arial" w:cs="Arial"/>
          <w:b/>
          <w:bCs/>
          <w:sz w:val="22"/>
          <w:szCs w:val="22"/>
        </w:rPr>
        <w:t xml:space="preserve"> at TK Maxx</w:t>
      </w:r>
    </w:p>
    <w:p w14:paraId="20491EA0"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Executive Summary</w:t>
      </w:r>
    </w:p>
    <w:p w14:paraId="3028AAE8"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This report critically evaluates stakeholder identification, engagement and relationship management for the proposed launch of </w:t>
      </w:r>
      <w:proofErr w:type="spellStart"/>
      <w:r w:rsidRPr="00F708FC">
        <w:rPr>
          <w:rFonts w:ascii="Arial" w:hAnsi="Arial" w:cs="Arial"/>
          <w:b/>
          <w:bCs/>
          <w:sz w:val="22"/>
          <w:szCs w:val="22"/>
        </w:rPr>
        <w:t>ConnectPlus</w:t>
      </w:r>
      <w:proofErr w:type="spellEnd"/>
      <w:r w:rsidRPr="00F708FC">
        <w:rPr>
          <w:rFonts w:ascii="Arial" w:hAnsi="Arial" w:cs="Arial"/>
          <w:sz w:val="22"/>
          <w:szCs w:val="22"/>
        </w:rPr>
        <w:t>, a digitally enhanced customer loyalty and engagement platform for TK Maxx. The platform is assumed to combine artificial-intelligence (AI) driven personalised recommendations, mobile rewards and data-driven customer insight. The implementation will commence in selected international markets six months from project initiation.</w:t>
      </w:r>
    </w:p>
    <w:p w14:paraId="23314466" w14:textId="77777777" w:rsidR="0049090E" w:rsidRPr="00F708FC" w:rsidRDefault="0049090E" w:rsidP="0049090E">
      <w:pPr>
        <w:rPr>
          <w:rFonts w:ascii="Arial" w:hAnsi="Arial" w:cs="Arial"/>
          <w:sz w:val="22"/>
          <w:szCs w:val="22"/>
        </w:rPr>
      </w:pPr>
      <w:r w:rsidRPr="00F708FC">
        <w:rPr>
          <w:rFonts w:ascii="Arial" w:hAnsi="Arial" w:cs="Arial"/>
          <w:sz w:val="22"/>
          <w:szCs w:val="22"/>
        </w:rPr>
        <w:t>TK Maxx provides an appropriate context for examining stakeholder engagement because it operates within a large, international retail organisation while retaining a strong customer-facing identity. TK Maxx is part of The TJX Companies, Inc. (TJX), whose mission centres on delivering value through a rapidly changing assortment of branded and designer merchandise. As at 31 January 2026, TJX reported more than 5,200 stores across ten countries, approximately 377,000 Associates and six e-commerce websites. TK Maxx Europe had 673 stores at the end of fiscal 2026, compared with 655 the previous year, while TJX International generated approximately $8.0 billion in sales. TK Maxx currently operates e-commerce sites in the UK, Germany and Austria and expanded into Spain in 2026 (TJX, 2026a; TJX, 2026b).</w:t>
      </w:r>
    </w:p>
    <w:p w14:paraId="3419C6C9"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report applies Freeman's (1984) stakeholder theory as its principal theoretical foundation. Stakeholders are then prioritised using a </w:t>
      </w:r>
      <w:r w:rsidRPr="00F708FC">
        <w:rPr>
          <w:rFonts w:ascii="Arial" w:hAnsi="Arial" w:cs="Arial"/>
          <w:b/>
          <w:bCs/>
          <w:sz w:val="22"/>
          <w:szCs w:val="22"/>
        </w:rPr>
        <w:t>power-interest matrix</w:t>
      </w:r>
      <w:r w:rsidRPr="00F708FC">
        <w:rPr>
          <w:rFonts w:ascii="Arial" w:hAnsi="Arial" w:cs="Arial"/>
          <w:sz w:val="22"/>
          <w:szCs w:val="22"/>
        </w:rPr>
        <w:t xml:space="preserve"> and </w:t>
      </w:r>
      <w:r w:rsidRPr="00F708FC">
        <w:rPr>
          <w:rFonts w:ascii="Arial" w:hAnsi="Arial" w:cs="Arial"/>
          <w:b/>
          <w:bCs/>
          <w:sz w:val="22"/>
          <w:szCs w:val="22"/>
        </w:rPr>
        <w:t>Mitchell, Agle and Wood's (1997) salience model</w:t>
      </w:r>
      <w:r w:rsidRPr="00F708FC">
        <w:rPr>
          <w:rFonts w:ascii="Arial" w:hAnsi="Arial" w:cs="Arial"/>
          <w:sz w:val="22"/>
          <w:szCs w:val="22"/>
        </w:rPr>
        <w:t>, which evaluates stakeholder power, legitimacy and urgency. The analysis demonstrates that stakeholder importance cannot be determined solely by formal organisational authority. Customers, employees and regulators may possess different forms of influence that become particularly significant during implementation, especially where privacy, trust or adoption are concerned.</w:t>
      </w:r>
    </w:p>
    <w:p w14:paraId="5BEBDCAB"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 stakeholder engagement strategy based on </w:t>
      </w:r>
      <w:r w:rsidRPr="00F708FC">
        <w:rPr>
          <w:rFonts w:ascii="Arial" w:hAnsi="Arial" w:cs="Arial"/>
          <w:b/>
          <w:bCs/>
          <w:sz w:val="22"/>
          <w:szCs w:val="22"/>
        </w:rPr>
        <w:t>communication, collaboration, consultation and commitment (4Cs)</w:t>
      </w:r>
      <w:r w:rsidRPr="00F708FC">
        <w:rPr>
          <w:rFonts w:ascii="Arial" w:hAnsi="Arial" w:cs="Arial"/>
          <w:sz w:val="22"/>
          <w:szCs w:val="22"/>
        </w:rPr>
        <w:t xml:space="preserve"> is proposed, supported by a RACI governance framework, six-month engagement programme and structured conflict-resolution process. Particular emphasis is placed on two-way engagement, reflecting Morsing and Schultz's </w:t>
      </w:r>
      <w:r w:rsidRPr="00F708FC">
        <w:rPr>
          <w:rFonts w:ascii="Arial" w:hAnsi="Arial" w:cs="Arial"/>
          <w:sz w:val="22"/>
          <w:szCs w:val="22"/>
        </w:rPr>
        <w:lastRenderedPageBreak/>
        <w:t>(2006) argument that organisations should move beyond informing stakeholders towards involving them in an iterative process. However, Greenwood (2007) provides an important critical qualification: stakeholder engagement is not automatically responsible, and organisations can engage stakeholders instrumentally without genuinely sharing decision-making power.</w:t>
      </w:r>
    </w:p>
    <w:p w14:paraId="027D6930" w14:textId="77777777" w:rsidR="0049090E" w:rsidRPr="00F708FC" w:rsidRDefault="0049090E" w:rsidP="0049090E">
      <w:pPr>
        <w:rPr>
          <w:rFonts w:ascii="Arial" w:hAnsi="Arial" w:cs="Arial"/>
          <w:sz w:val="22"/>
          <w:szCs w:val="22"/>
        </w:rPr>
      </w:pPr>
      <w:r w:rsidRPr="00F708FC">
        <w:rPr>
          <w:rFonts w:ascii="Arial" w:hAnsi="Arial" w:cs="Arial"/>
          <w:sz w:val="22"/>
          <w:szCs w:val="22"/>
        </w:rPr>
        <w:t>The report identifies major ethical and strategic risks, including data privacy, AI bias, cybersecurity, digital exclusion, employee resistance, cultural differences and tension between commercial personalisation and customer autonomy. It argues that sustainable stakeholder engagement should therefore be embedded in governance and measured through financial, customer, employee, ethical and operational indicators.</w:t>
      </w:r>
    </w:p>
    <w:p w14:paraId="2038FA7B"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report concludes that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should be implemented through a </w:t>
      </w:r>
      <w:r w:rsidRPr="00F708FC">
        <w:rPr>
          <w:rFonts w:ascii="Arial" w:hAnsi="Arial" w:cs="Arial"/>
          <w:b/>
          <w:bCs/>
          <w:sz w:val="22"/>
          <w:szCs w:val="22"/>
        </w:rPr>
        <w:t>phased, stakeholder-led international rollout</w:t>
      </w:r>
      <w:r w:rsidRPr="00F708FC">
        <w:rPr>
          <w:rFonts w:ascii="Arial" w:hAnsi="Arial" w:cs="Arial"/>
          <w:sz w:val="22"/>
          <w:szCs w:val="22"/>
        </w:rPr>
        <w:t xml:space="preserve"> rather than a standardised technology deployment. Privacy-by-design, country-level stakeholder councils, employee co-design, customer testing and a stakeholder performance dashboard are recommended to ensure that commercial innovation is accompanied by trust, legitimacy and sustainable value creation.</w:t>
      </w:r>
    </w:p>
    <w:p w14:paraId="44EE0253"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3E2C86A8">
          <v:rect id="_x0000_i1025" style="width:0;height:1.5pt" o:hralign="center" o:hrstd="t" o:hr="t" fillcolor="#a0a0a0" stroked="f"/>
        </w:pict>
      </w:r>
    </w:p>
    <w:p w14:paraId="79DBF920"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 xml:space="preserve">1. Introduction: TK Maxx and the </w:t>
      </w:r>
      <w:proofErr w:type="spellStart"/>
      <w:r w:rsidRPr="00F708FC">
        <w:rPr>
          <w:rFonts w:ascii="Arial" w:hAnsi="Arial" w:cs="Arial"/>
          <w:b/>
          <w:bCs/>
          <w:sz w:val="22"/>
          <w:szCs w:val="22"/>
        </w:rPr>
        <w:t>ConnectPlus</w:t>
      </w:r>
      <w:proofErr w:type="spellEnd"/>
      <w:r w:rsidRPr="00F708FC">
        <w:rPr>
          <w:rFonts w:ascii="Arial" w:hAnsi="Arial" w:cs="Arial"/>
          <w:b/>
          <w:bCs/>
          <w:sz w:val="22"/>
          <w:szCs w:val="22"/>
        </w:rPr>
        <w:t xml:space="preserve"> Project</w:t>
      </w:r>
    </w:p>
    <w:p w14:paraId="06F12BB4" w14:textId="77777777" w:rsidR="0049090E" w:rsidRPr="00F708FC" w:rsidRDefault="0049090E" w:rsidP="0049090E">
      <w:pPr>
        <w:rPr>
          <w:rFonts w:ascii="Arial" w:hAnsi="Arial" w:cs="Arial"/>
          <w:sz w:val="22"/>
          <w:szCs w:val="22"/>
        </w:rPr>
      </w:pPr>
      <w:r w:rsidRPr="00F708FC">
        <w:rPr>
          <w:rFonts w:ascii="Arial" w:hAnsi="Arial" w:cs="Arial"/>
          <w:sz w:val="22"/>
          <w:szCs w:val="22"/>
        </w:rPr>
        <w:t>TK Maxx is a major international off-price retailer operating as part of TJX International. The business was launched in the UK and Ireland in 1994 and subsequently expanded into Germany, Poland, Austria, the Netherlands and Spain. TJX describes TK Maxx as Europe's largest off-price family apparel and home fashions retailer. Its distinctive proposition is based on offering customers branded, designer and family apparel and home merchandise at substantially lower prices, supported by a rapidly changing assortment that creates a "treasure hunt" shopping experience (TJX, 2026a).</w:t>
      </w:r>
    </w:p>
    <w:p w14:paraId="6D263B3B" w14:textId="77777777" w:rsidR="0049090E" w:rsidRPr="00F708FC" w:rsidRDefault="0049090E" w:rsidP="0049090E">
      <w:pPr>
        <w:rPr>
          <w:rFonts w:ascii="Arial" w:hAnsi="Arial" w:cs="Arial"/>
          <w:sz w:val="22"/>
          <w:szCs w:val="22"/>
        </w:rPr>
      </w:pPr>
      <w:r w:rsidRPr="00F708FC">
        <w:rPr>
          <w:rFonts w:ascii="Arial" w:hAnsi="Arial" w:cs="Arial"/>
          <w:sz w:val="22"/>
          <w:szCs w:val="22"/>
        </w:rPr>
        <w:t>The organisation's international scale makes digital transformation strategically significant. TJX reported 673 TK Maxx stores in Europe at the end of fiscal 2026, compared with 655 in fiscal 2025. TJX International sales increased from approximately $7.2 billion to $8.0 billion, while comparable sales increased by 4%, with the company reporting that the increase was driven by higher customer transactions. Nevertheless, e-commerce represented approximately 3% of TJX International sales in both fiscal years, indicating that digital commerce and customer engagement remain an area with significant potential for development (TJX, 2026b).</w:t>
      </w:r>
    </w:p>
    <w:p w14:paraId="6EBB3207"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Within this context, </w:t>
      </w:r>
      <w:proofErr w:type="spellStart"/>
      <w:r w:rsidRPr="00F708FC">
        <w:rPr>
          <w:rFonts w:ascii="Arial" w:hAnsi="Arial" w:cs="Arial"/>
          <w:b/>
          <w:bCs/>
          <w:sz w:val="22"/>
          <w:szCs w:val="22"/>
        </w:rPr>
        <w:t>ConnectPlus</w:t>
      </w:r>
      <w:proofErr w:type="spellEnd"/>
      <w:r w:rsidRPr="00F708FC">
        <w:rPr>
          <w:rFonts w:ascii="Arial" w:hAnsi="Arial" w:cs="Arial"/>
          <w:sz w:val="22"/>
          <w:szCs w:val="22"/>
        </w:rPr>
        <w:t xml:space="preserve"> is proposed as a strategic digital platform rather than simply a loyalty card replacement. It would integrate three capabilities. First, AI-driven personalisation would use appropriate customer information to provide more relevant product recommendations. Second, mobile rewards would provide customers with digital incentives, offers and benefits. Third, customer insight capabilities would allow TK Maxx to use aggregated and appropriately governed information to improve marketing, merchandise and service decisions.</w:t>
      </w:r>
    </w:p>
    <w:p w14:paraId="1E7B3074"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business case for such a platform is potentially strong. Personalisation can improve relevance and customer experience, while digital loyalty mechanisms can provide more frequent customer interaction. However,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also changes the relationship between TK Maxx and its stakeholders. Customers become not only purchasers but sources of </w:t>
      </w:r>
      <w:r w:rsidRPr="00F708FC">
        <w:rPr>
          <w:rFonts w:ascii="Arial" w:hAnsi="Arial" w:cs="Arial"/>
          <w:sz w:val="22"/>
          <w:szCs w:val="22"/>
        </w:rPr>
        <w:lastRenderedPageBreak/>
        <w:t>behavioural data; employees become change agents; technology suppliers become important partners; and regulators become significant participants in determining what the organisation can legitimately do.</w:t>
      </w:r>
    </w:p>
    <w:p w14:paraId="76FE99FE" w14:textId="77777777" w:rsidR="0049090E" w:rsidRPr="00F708FC" w:rsidRDefault="0049090E" w:rsidP="0049090E">
      <w:pPr>
        <w:rPr>
          <w:rFonts w:ascii="Arial" w:hAnsi="Arial" w:cs="Arial"/>
          <w:sz w:val="22"/>
          <w:szCs w:val="22"/>
        </w:rPr>
      </w:pPr>
      <w:r w:rsidRPr="00F708FC">
        <w:rPr>
          <w:rFonts w:ascii="Arial" w:hAnsi="Arial" w:cs="Arial"/>
          <w:sz w:val="22"/>
          <w:szCs w:val="22"/>
        </w:rPr>
        <w:t>This makes stakeholder theory particularly relevant. Freeman (1984) argues that organisations should be understood through the relationships between the firm and those who can affect or are affected by its objectives. Donaldson and Preston (1995) subsequently identify descriptive, instrumental and normative dimensions of stakeholder theory, demonstrating that stakeholder management is not simply a public-relations exercise but can also influence organisational performance and ethical legitimacy.</w:t>
      </w:r>
    </w:p>
    <w:p w14:paraId="2066ACE5"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For </w:t>
      </w:r>
      <w:proofErr w:type="spellStart"/>
      <w:r w:rsidRPr="00F708FC">
        <w:rPr>
          <w:rFonts w:ascii="Arial" w:hAnsi="Arial" w:cs="Arial"/>
          <w:sz w:val="22"/>
          <w:szCs w:val="22"/>
        </w:rPr>
        <w:t>ConnectPlus</w:t>
      </w:r>
      <w:proofErr w:type="spellEnd"/>
      <w:r w:rsidRPr="00F708FC">
        <w:rPr>
          <w:rFonts w:ascii="Arial" w:hAnsi="Arial" w:cs="Arial"/>
          <w:sz w:val="22"/>
          <w:szCs w:val="22"/>
        </w:rPr>
        <w:t>, therefore, project success should not be defined solely as delivering the software on time and within budget. A successful launch must also achieve customer adoption, employee readiness, regulatory compliance, stakeholder trust and sustainable commercial value.</w:t>
      </w:r>
    </w:p>
    <w:p w14:paraId="1E039E57"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4D36A210">
          <v:rect id="_x0000_i1026" style="width:0;height:1.5pt" o:hralign="center" o:hrstd="t" o:hr="t" fillcolor="#a0a0a0" stroked="f"/>
        </w:pict>
      </w:r>
    </w:p>
    <w:p w14:paraId="0BDE3E9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2. SMART Objectives</w:t>
      </w:r>
    </w:p>
    <w:p w14:paraId="68139ED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following SMART objectives are proposed for the first six months of the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programme:</w:t>
      </w:r>
    </w:p>
    <w:p w14:paraId="53C1673C"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Customer adoption:</w:t>
      </w:r>
      <w:r w:rsidRPr="00F708FC">
        <w:rPr>
          <w:rFonts w:ascii="Arial" w:hAnsi="Arial" w:cs="Arial"/>
          <w:sz w:val="22"/>
          <w:szCs w:val="22"/>
        </w:rPr>
        <w:t xml:space="preserve"> achieve at least 25% registration among eligible customers in pilot markets within six months of launch.</w:t>
      </w:r>
    </w:p>
    <w:p w14:paraId="3DA24D6D"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Customer engagement:</w:t>
      </w:r>
      <w:r w:rsidRPr="00F708FC">
        <w:rPr>
          <w:rFonts w:ascii="Arial" w:hAnsi="Arial" w:cs="Arial"/>
          <w:sz w:val="22"/>
          <w:szCs w:val="22"/>
        </w:rPr>
        <w:t xml:space="preserve"> achieve a minimum 30% monthly active-user rate among registered customers within six months.</w:t>
      </w:r>
    </w:p>
    <w:p w14:paraId="16812644"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Personalisation effectiveness:</w:t>
      </w:r>
      <w:r w:rsidRPr="00F708FC">
        <w:rPr>
          <w:rFonts w:ascii="Arial" w:hAnsi="Arial" w:cs="Arial"/>
          <w:sz w:val="22"/>
          <w:szCs w:val="22"/>
        </w:rPr>
        <w:t xml:space="preserve"> achieve a statistically measurable improvement in engagement with personalised recommendations compared with non-personalised communications during the pilot.</w:t>
      </w:r>
    </w:p>
    <w:p w14:paraId="73A5C61B"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Employee readiness:</w:t>
      </w:r>
      <w:r w:rsidRPr="00F708FC">
        <w:rPr>
          <w:rFonts w:ascii="Arial" w:hAnsi="Arial" w:cs="Arial"/>
          <w:sz w:val="22"/>
          <w:szCs w:val="22"/>
        </w:rPr>
        <w:t xml:space="preserve"> train at least 95% of relevant store and customer-service colleagues before each market launch.</w:t>
      </w:r>
    </w:p>
    <w:p w14:paraId="39ADFDFC"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Stakeholder readiness:</w:t>
      </w:r>
      <w:r w:rsidRPr="00F708FC">
        <w:rPr>
          <w:rFonts w:ascii="Arial" w:hAnsi="Arial" w:cs="Arial"/>
          <w:sz w:val="22"/>
          <w:szCs w:val="22"/>
        </w:rPr>
        <w:t xml:space="preserve"> achieve at least 80% positive stakeholder-readiness scores before each market goes live.</w:t>
      </w:r>
    </w:p>
    <w:p w14:paraId="62F56FE8" w14:textId="77777777" w:rsidR="0049090E" w:rsidRPr="00F708FC" w:rsidRDefault="0049090E" w:rsidP="0049090E">
      <w:pPr>
        <w:numPr>
          <w:ilvl w:val="0"/>
          <w:numId w:val="1"/>
        </w:numPr>
        <w:rPr>
          <w:rFonts w:ascii="Arial" w:hAnsi="Arial" w:cs="Arial"/>
          <w:sz w:val="22"/>
          <w:szCs w:val="22"/>
        </w:rPr>
      </w:pPr>
      <w:r w:rsidRPr="00F708FC">
        <w:rPr>
          <w:rFonts w:ascii="Arial" w:hAnsi="Arial" w:cs="Arial"/>
          <w:b/>
          <w:bCs/>
          <w:sz w:val="22"/>
          <w:szCs w:val="22"/>
        </w:rPr>
        <w:t>Responsible technology:</w:t>
      </w:r>
      <w:r w:rsidRPr="00F708FC">
        <w:rPr>
          <w:rFonts w:ascii="Arial" w:hAnsi="Arial" w:cs="Arial"/>
          <w:sz w:val="22"/>
          <w:szCs w:val="22"/>
        </w:rPr>
        <w:t xml:space="preserve"> complete data-protection, cybersecurity and AI-ethics assurance before launch, with no unresolved high-risk findings.</w:t>
      </w:r>
    </w:p>
    <w:p w14:paraId="7CD2FC6E" w14:textId="77777777" w:rsidR="0049090E" w:rsidRPr="00F708FC" w:rsidRDefault="0049090E" w:rsidP="0049090E">
      <w:pPr>
        <w:rPr>
          <w:rFonts w:ascii="Arial" w:hAnsi="Arial" w:cs="Arial"/>
          <w:sz w:val="22"/>
          <w:szCs w:val="22"/>
        </w:rPr>
      </w:pPr>
      <w:r w:rsidRPr="00F708FC">
        <w:rPr>
          <w:rFonts w:ascii="Arial" w:hAnsi="Arial" w:cs="Arial"/>
          <w:sz w:val="22"/>
          <w:szCs w:val="22"/>
        </w:rPr>
        <w:t>These objectives deliberately combine financial, customer, employee and ethical outcomes. This reflects stakeholder theory because organisational success is treated as multidimensional rather than being reduced to short-term revenue.</w:t>
      </w:r>
    </w:p>
    <w:p w14:paraId="452B1068"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43F42125">
          <v:rect id="_x0000_i1027" style="width:0;height:1.5pt" o:hralign="center" o:hrstd="t" o:hr="t" fillcolor="#a0a0a0" stroked="f"/>
        </w:pict>
      </w:r>
    </w:p>
    <w:p w14:paraId="202136C8"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3. Identification and Categorisation of Key Stakeholders</w:t>
      </w:r>
    </w:p>
    <w:p w14:paraId="353F57B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3.1 Stakeholder Theory and Strategic Relevance</w:t>
      </w:r>
    </w:p>
    <w:p w14:paraId="5A14149D"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Freeman's (1984) stakeholder theory provides the starting point for identifying the parties whose interests must be considered. The theory is valuable because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involves relationships that extend beyond traditional organisational boundaries. Customers provide </w:t>
      </w:r>
      <w:r w:rsidRPr="00F708FC">
        <w:rPr>
          <w:rFonts w:ascii="Arial" w:hAnsi="Arial" w:cs="Arial"/>
          <w:sz w:val="22"/>
          <w:szCs w:val="22"/>
        </w:rPr>
        <w:lastRenderedPageBreak/>
        <w:t>data and generate revenue; employees implement the service; technology partners provide infrastructure; regulators establish legal boundaries; and management allocates resources.</w:t>
      </w:r>
    </w:p>
    <w:p w14:paraId="4F67B9C7" w14:textId="77777777" w:rsidR="0049090E" w:rsidRPr="00F708FC" w:rsidRDefault="0049090E" w:rsidP="0049090E">
      <w:pPr>
        <w:rPr>
          <w:rFonts w:ascii="Arial" w:hAnsi="Arial" w:cs="Arial"/>
          <w:sz w:val="22"/>
          <w:szCs w:val="22"/>
        </w:rPr>
      </w:pPr>
      <w:r w:rsidRPr="00F708FC">
        <w:rPr>
          <w:rFonts w:ascii="Arial" w:hAnsi="Arial" w:cs="Arial"/>
          <w:sz w:val="22"/>
          <w:szCs w:val="22"/>
        </w:rPr>
        <w:t>However, identifying stakeholders is not sufficient. Bryson (2004) argues that stakeholder analysis should help managers determine how stakeholders can participate in problem definition, solution development, implementation and evaluation. Consequently, stakeholder mapping should be dynamic rather than a one-off exercise.</w:t>
      </w:r>
    </w:p>
    <w:p w14:paraId="594EF2F7"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Clarkson (1995) also distinguishes between primary stakeholders, whose continuing participation is necessary for organisational survival, and wider stakeholder relationships. This distinction is useful for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because customers, employees, managers, technology providers and regulators have direct implications for implementation, while wider community and reputational stakeholders can influence legitimacy.</w:t>
      </w:r>
    </w:p>
    <w:p w14:paraId="44CBC83E"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Internal stakeholders</w:t>
      </w:r>
    </w:p>
    <w:p w14:paraId="58CDDC8C" w14:textId="77777777" w:rsidR="0049090E" w:rsidRPr="00F708FC" w:rsidRDefault="0049090E" w:rsidP="0049090E">
      <w:pPr>
        <w:rPr>
          <w:rFonts w:ascii="Arial" w:hAnsi="Arial" w:cs="Arial"/>
          <w:sz w:val="22"/>
          <w:szCs w:val="22"/>
        </w:rPr>
      </w:pPr>
      <w:r w:rsidRPr="00F708FC">
        <w:rPr>
          <w:rFonts w:ascii="Arial" w:hAnsi="Arial" w:cs="Arial"/>
          <w:sz w:val="22"/>
          <w:szCs w:val="22"/>
        </w:rPr>
        <w:t>The principal internal stakeholders are:</w:t>
      </w:r>
    </w:p>
    <w:p w14:paraId="6C92C185"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Board and executive leadership;</w:t>
      </w:r>
    </w:p>
    <w:p w14:paraId="55170347"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Project sponsor;</w:t>
      </w:r>
    </w:p>
    <w:p w14:paraId="6EE58D49"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Project manager and PMO;</w:t>
      </w:r>
    </w:p>
    <w:p w14:paraId="776A2932"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Product and digital development;</w:t>
      </w:r>
    </w:p>
    <w:p w14:paraId="3EBB50C9"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IT and enterprise architecture;</w:t>
      </w:r>
    </w:p>
    <w:p w14:paraId="3316FEF8"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AI and data analytics;</w:t>
      </w:r>
    </w:p>
    <w:p w14:paraId="144042AB"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Cybersecurity;</w:t>
      </w:r>
    </w:p>
    <w:p w14:paraId="004A540B"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Marketing and CRM;</w:t>
      </w:r>
    </w:p>
    <w:p w14:paraId="3E86ED22"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E-commerce and mobile teams;</w:t>
      </w:r>
    </w:p>
    <w:p w14:paraId="5944019A"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Store operations;</w:t>
      </w:r>
    </w:p>
    <w:p w14:paraId="20FE476A"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Store managers and Associates;</w:t>
      </w:r>
    </w:p>
    <w:p w14:paraId="56067883"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Customer-service teams;</w:t>
      </w:r>
    </w:p>
    <w:p w14:paraId="514A0C9C"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Human Resources;</w:t>
      </w:r>
    </w:p>
    <w:p w14:paraId="20D2A067"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Finance;</w:t>
      </w:r>
    </w:p>
    <w:p w14:paraId="4B606031"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Procurement;</w:t>
      </w:r>
    </w:p>
    <w:p w14:paraId="4B570A4C"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Legal and compliance;</w:t>
      </w:r>
    </w:p>
    <w:p w14:paraId="6532DEEC"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Data Protection Officer;</w:t>
      </w:r>
    </w:p>
    <w:p w14:paraId="6B9EF15A"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Country managers;</w:t>
      </w:r>
    </w:p>
    <w:p w14:paraId="4B9DFFEF" w14:textId="77777777" w:rsidR="0049090E" w:rsidRPr="00F708FC" w:rsidRDefault="0049090E" w:rsidP="0049090E">
      <w:pPr>
        <w:numPr>
          <w:ilvl w:val="0"/>
          <w:numId w:val="2"/>
        </w:numPr>
        <w:rPr>
          <w:rFonts w:ascii="Arial" w:hAnsi="Arial" w:cs="Arial"/>
          <w:sz w:val="22"/>
          <w:szCs w:val="22"/>
        </w:rPr>
      </w:pPr>
      <w:r w:rsidRPr="00F708FC">
        <w:rPr>
          <w:rFonts w:ascii="Arial" w:hAnsi="Arial" w:cs="Arial"/>
          <w:sz w:val="22"/>
          <w:szCs w:val="22"/>
        </w:rPr>
        <w:t>Corporate responsibility and sustainability teams.</w:t>
      </w:r>
    </w:p>
    <w:p w14:paraId="07703F9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External stakeholders</w:t>
      </w:r>
    </w:p>
    <w:p w14:paraId="7843DCBD" w14:textId="77777777" w:rsidR="0049090E" w:rsidRPr="00F708FC" w:rsidRDefault="0049090E" w:rsidP="0049090E">
      <w:pPr>
        <w:rPr>
          <w:rFonts w:ascii="Arial" w:hAnsi="Arial" w:cs="Arial"/>
          <w:sz w:val="22"/>
          <w:szCs w:val="22"/>
        </w:rPr>
      </w:pPr>
      <w:r w:rsidRPr="00F708FC">
        <w:rPr>
          <w:rFonts w:ascii="Arial" w:hAnsi="Arial" w:cs="Arial"/>
          <w:sz w:val="22"/>
          <w:szCs w:val="22"/>
        </w:rPr>
        <w:t>The major external stakeholders are:</w:t>
      </w:r>
    </w:p>
    <w:p w14:paraId="5E7845E7"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lastRenderedPageBreak/>
        <w:t>Existing TK Maxx customers;</w:t>
      </w:r>
    </w:p>
    <w:p w14:paraId="471EA9E0"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Prospective customers;</w:t>
      </w:r>
    </w:p>
    <w:p w14:paraId="7E67D2FC"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Loyalty/rewards users;</w:t>
      </w:r>
    </w:p>
    <w:p w14:paraId="7015FADD"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Technology suppliers;</w:t>
      </w:r>
    </w:p>
    <w:p w14:paraId="1645F117"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Cloud and data-processing providers;</w:t>
      </w:r>
    </w:p>
    <w:p w14:paraId="143EBC20"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AI and analytics suppliers;</w:t>
      </w:r>
    </w:p>
    <w:p w14:paraId="45C3D704"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Cybersecurity providers;</w:t>
      </w:r>
    </w:p>
    <w:p w14:paraId="051C818F"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Marketing agencies;</w:t>
      </w:r>
    </w:p>
    <w:p w14:paraId="31A2FAE8"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Payment and mobile partners;</w:t>
      </w:r>
    </w:p>
    <w:p w14:paraId="54805359"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Merchandise brands and suppliers;</w:t>
      </w:r>
    </w:p>
    <w:p w14:paraId="5A0A5898"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Data-protection regulators;</w:t>
      </w:r>
    </w:p>
    <w:p w14:paraId="59F5A233"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Consumer organisations;</w:t>
      </w:r>
    </w:p>
    <w:p w14:paraId="3F5C5658"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Local communities;</w:t>
      </w:r>
    </w:p>
    <w:p w14:paraId="54694350"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Investors;</w:t>
      </w:r>
    </w:p>
    <w:p w14:paraId="654829A1" w14:textId="77777777" w:rsidR="0049090E" w:rsidRPr="00F708FC" w:rsidRDefault="0049090E" w:rsidP="0049090E">
      <w:pPr>
        <w:numPr>
          <w:ilvl w:val="0"/>
          <w:numId w:val="3"/>
        </w:numPr>
        <w:rPr>
          <w:rFonts w:ascii="Arial" w:hAnsi="Arial" w:cs="Arial"/>
          <w:sz w:val="22"/>
          <w:szCs w:val="22"/>
        </w:rPr>
      </w:pPr>
      <w:r w:rsidRPr="00F708FC">
        <w:rPr>
          <w:rFonts w:ascii="Arial" w:hAnsi="Arial" w:cs="Arial"/>
          <w:sz w:val="22"/>
          <w:szCs w:val="22"/>
        </w:rPr>
        <w:t>Industry bodies.</w:t>
      </w:r>
    </w:p>
    <w:p w14:paraId="1C71EFF7"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07A86069">
          <v:rect id="_x0000_i1028" style="width:0;height:1.5pt" o:hralign="center" o:hrstd="t" o:hr="t" fillcolor="#a0a0a0" stroked="f"/>
        </w:pict>
      </w:r>
    </w:p>
    <w:p w14:paraId="5A0F8E7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3.2 Power-Interest Matrix</w:t>
      </w:r>
    </w:p>
    <w:p w14:paraId="21D9BD8E" w14:textId="77777777" w:rsidR="0049090E" w:rsidRPr="00F708FC" w:rsidRDefault="0049090E" w:rsidP="0049090E">
      <w:pPr>
        <w:rPr>
          <w:rFonts w:ascii="Arial" w:hAnsi="Arial" w:cs="Arial"/>
          <w:sz w:val="22"/>
          <w:szCs w:val="22"/>
        </w:rPr>
      </w:pPr>
      <w:r w:rsidRPr="00F708FC">
        <w:rPr>
          <w:rFonts w:ascii="Arial" w:hAnsi="Arial" w:cs="Arial"/>
          <w:sz w:val="22"/>
          <w:szCs w:val="22"/>
        </w:rPr>
        <w:t>A power-interest matrix provides a practical method for determining the intensity of engagement required.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65"/>
        <w:gridCol w:w="1964"/>
        <w:gridCol w:w="1330"/>
        <w:gridCol w:w="2967"/>
      </w:tblGrid>
      <w:tr w:rsidR="0049090E" w:rsidRPr="00F708FC" w14:paraId="08CA603B" w14:textId="77777777">
        <w:trPr>
          <w:tblHeader/>
          <w:tblCellSpacing w:w="15" w:type="dxa"/>
        </w:trPr>
        <w:tc>
          <w:tcPr>
            <w:tcW w:w="0" w:type="auto"/>
            <w:vAlign w:val="center"/>
            <w:hideMark/>
          </w:tcPr>
          <w:p w14:paraId="3949C541"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Stakeholder</w:t>
            </w:r>
          </w:p>
        </w:tc>
        <w:tc>
          <w:tcPr>
            <w:tcW w:w="0" w:type="auto"/>
            <w:vAlign w:val="center"/>
            <w:hideMark/>
          </w:tcPr>
          <w:p w14:paraId="5E213231"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Power</w:t>
            </w:r>
          </w:p>
        </w:tc>
        <w:tc>
          <w:tcPr>
            <w:tcW w:w="0" w:type="auto"/>
            <w:vAlign w:val="center"/>
            <w:hideMark/>
          </w:tcPr>
          <w:p w14:paraId="3A8F6B00"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Interest</w:t>
            </w:r>
          </w:p>
        </w:tc>
        <w:tc>
          <w:tcPr>
            <w:tcW w:w="0" w:type="auto"/>
            <w:vAlign w:val="center"/>
            <w:hideMark/>
          </w:tcPr>
          <w:p w14:paraId="2B08B9BD"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Engagement approach</w:t>
            </w:r>
          </w:p>
        </w:tc>
      </w:tr>
      <w:tr w:rsidR="0049090E" w:rsidRPr="00F708FC" w14:paraId="1687C719" w14:textId="77777777">
        <w:trPr>
          <w:tblCellSpacing w:w="15" w:type="dxa"/>
        </w:trPr>
        <w:tc>
          <w:tcPr>
            <w:tcW w:w="0" w:type="auto"/>
            <w:vAlign w:val="center"/>
            <w:hideMark/>
          </w:tcPr>
          <w:p w14:paraId="56DA5F5F" w14:textId="77777777" w:rsidR="0049090E" w:rsidRPr="00F708FC" w:rsidRDefault="0049090E" w:rsidP="0049090E">
            <w:pPr>
              <w:rPr>
                <w:rFonts w:ascii="Arial" w:hAnsi="Arial" w:cs="Arial"/>
                <w:sz w:val="22"/>
                <w:szCs w:val="22"/>
              </w:rPr>
            </w:pPr>
            <w:r w:rsidRPr="00F708FC">
              <w:rPr>
                <w:rFonts w:ascii="Arial" w:hAnsi="Arial" w:cs="Arial"/>
                <w:sz w:val="22"/>
                <w:szCs w:val="22"/>
              </w:rPr>
              <w:t>Board/executive leadership</w:t>
            </w:r>
          </w:p>
        </w:tc>
        <w:tc>
          <w:tcPr>
            <w:tcW w:w="0" w:type="auto"/>
            <w:vAlign w:val="center"/>
            <w:hideMark/>
          </w:tcPr>
          <w:p w14:paraId="1289923C"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42BBCFA7"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3A1A1AED"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4A0F4946" w14:textId="77777777">
        <w:trPr>
          <w:tblCellSpacing w:w="15" w:type="dxa"/>
        </w:trPr>
        <w:tc>
          <w:tcPr>
            <w:tcW w:w="0" w:type="auto"/>
            <w:vAlign w:val="center"/>
            <w:hideMark/>
          </w:tcPr>
          <w:p w14:paraId="71EDCB1E" w14:textId="77777777" w:rsidR="0049090E" w:rsidRPr="00F708FC" w:rsidRDefault="0049090E" w:rsidP="0049090E">
            <w:pPr>
              <w:rPr>
                <w:rFonts w:ascii="Arial" w:hAnsi="Arial" w:cs="Arial"/>
                <w:sz w:val="22"/>
                <w:szCs w:val="22"/>
              </w:rPr>
            </w:pPr>
            <w:r w:rsidRPr="00F708FC">
              <w:rPr>
                <w:rFonts w:ascii="Arial" w:hAnsi="Arial" w:cs="Arial"/>
                <w:sz w:val="22"/>
                <w:szCs w:val="22"/>
              </w:rPr>
              <w:t>Project sponsor</w:t>
            </w:r>
          </w:p>
        </w:tc>
        <w:tc>
          <w:tcPr>
            <w:tcW w:w="0" w:type="auto"/>
            <w:vAlign w:val="center"/>
            <w:hideMark/>
          </w:tcPr>
          <w:p w14:paraId="4A963136"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7EEAD36F"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11BE3BF8"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55699049" w14:textId="77777777">
        <w:trPr>
          <w:tblCellSpacing w:w="15" w:type="dxa"/>
        </w:trPr>
        <w:tc>
          <w:tcPr>
            <w:tcW w:w="0" w:type="auto"/>
            <w:vAlign w:val="center"/>
            <w:hideMark/>
          </w:tcPr>
          <w:p w14:paraId="477AD467" w14:textId="77777777" w:rsidR="0049090E" w:rsidRPr="00F708FC" w:rsidRDefault="0049090E" w:rsidP="0049090E">
            <w:pPr>
              <w:rPr>
                <w:rFonts w:ascii="Arial" w:hAnsi="Arial" w:cs="Arial"/>
                <w:sz w:val="22"/>
                <w:szCs w:val="22"/>
              </w:rPr>
            </w:pPr>
            <w:r w:rsidRPr="00F708FC">
              <w:rPr>
                <w:rFonts w:ascii="Arial" w:hAnsi="Arial" w:cs="Arial"/>
                <w:sz w:val="22"/>
                <w:szCs w:val="22"/>
              </w:rPr>
              <w:t>IT/AI/data teams</w:t>
            </w:r>
          </w:p>
        </w:tc>
        <w:tc>
          <w:tcPr>
            <w:tcW w:w="0" w:type="auto"/>
            <w:vAlign w:val="center"/>
            <w:hideMark/>
          </w:tcPr>
          <w:p w14:paraId="4E334251"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1F840188"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263B8BA9"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5A74FC73" w14:textId="77777777">
        <w:trPr>
          <w:tblCellSpacing w:w="15" w:type="dxa"/>
        </w:trPr>
        <w:tc>
          <w:tcPr>
            <w:tcW w:w="0" w:type="auto"/>
            <w:vAlign w:val="center"/>
            <w:hideMark/>
          </w:tcPr>
          <w:p w14:paraId="4DD11BB5" w14:textId="77777777" w:rsidR="0049090E" w:rsidRPr="00F708FC" w:rsidRDefault="0049090E" w:rsidP="0049090E">
            <w:pPr>
              <w:rPr>
                <w:rFonts w:ascii="Arial" w:hAnsi="Arial" w:cs="Arial"/>
                <w:sz w:val="22"/>
                <w:szCs w:val="22"/>
              </w:rPr>
            </w:pPr>
            <w:r w:rsidRPr="00F708FC">
              <w:rPr>
                <w:rFonts w:ascii="Arial" w:hAnsi="Arial" w:cs="Arial"/>
                <w:sz w:val="22"/>
                <w:szCs w:val="22"/>
              </w:rPr>
              <w:t>DPO/legal/compliance</w:t>
            </w:r>
          </w:p>
        </w:tc>
        <w:tc>
          <w:tcPr>
            <w:tcW w:w="0" w:type="auto"/>
            <w:vAlign w:val="center"/>
            <w:hideMark/>
          </w:tcPr>
          <w:p w14:paraId="6A20CAC3"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070F9D25"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7D0C430B"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43E80B86" w14:textId="77777777">
        <w:trPr>
          <w:tblCellSpacing w:w="15" w:type="dxa"/>
        </w:trPr>
        <w:tc>
          <w:tcPr>
            <w:tcW w:w="0" w:type="auto"/>
            <w:vAlign w:val="center"/>
            <w:hideMark/>
          </w:tcPr>
          <w:p w14:paraId="5505A091" w14:textId="77777777" w:rsidR="0049090E" w:rsidRPr="00F708FC" w:rsidRDefault="0049090E" w:rsidP="0049090E">
            <w:pPr>
              <w:rPr>
                <w:rFonts w:ascii="Arial" w:hAnsi="Arial" w:cs="Arial"/>
                <w:sz w:val="22"/>
                <w:szCs w:val="22"/>
              </w:rPr>
            </w:pPr>
            <w:r w:rsidRPr="00F708FC">
              <w:rPr>
                <w:rFonts w:ascii="Arial" w:hAnsi="Arial" w:cs="Arial"/>
                <w:sz w:val="22"/>
                <w:szCs w:val="22"/>
              </w:rPr>
              <w:t>Country managers</w:t>
            </w:r>
          </w:p>
        </w:tc>
        <w:tc>
          <w:tcPr>
            <w:tcW w:w="0" w:type="auto"/>
            <w:vAlign w:val="center"/>
            <w:hideMark/>
          </w:tcPr>
          <w:p w14:paraId="53EDBDE1"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629A4D75"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549A70D9"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6A18E02B" w14:textId="77777777">
        <w:trPr>
          <w:tblCellSpacing w:w="15" w:type="dxa"/>
        </w:trPr>
        <w:tc>
          <w:tcPr>
            <w:tcW w:w="0" w:type="auto"/>
            <w:vAlign w:val="center"/>
            <w:hideMark/>
          </w:tcPr>
          <w:p w14:paraId="380EF397" w14:textId="77777777" w:rsidR="0049090E" w:rsidRPr="00F708FC" w:rsidRDefault="0049090E" w:rsidP="0049090E">
            <w:pPr>
              <w:rPr>
                <w:rFonts w:ascii="Arial" w:hAnsi="Arial" w:cs="Arial"/>
                <w:sz w:val="22"/>
                <w:szCs w:val="22"/>
              </w:rPr>
            </w:pPr>
            <w:r w:rsidRPr="00F708FC">
              <w:rPr>
                <w:rFonts w:ascii="Arial" w:hAnsi="Arial" w:cs="Arial"/>
                <w:sz w:val="22"/>
                <w:szCs w:val="22"/>
              </w:rPr>
              <w:t>Marketing/CRM</w:t>
            </w:r>
          </w:p>
        </w:tc>
        <w:tc>
          <w:tcPr>
            <w:tcW w:w="0" w:type="auto"/>
            <w:vAlign w:val="center"/>
            <w:hideMark/>
          </w:tcPr>
          <w:p w14:paraId="30A3AE84" w14:textId="77777777" w:rsidR="0049090E" w:rsidRPr="00F708FC" w:rsidRDefault="0049090E" w:rsidP="0049090E">
            <w:pPr>
              <w:rPr>
                <w:rFonts w:ascii="Arial" w:hAnsi="Arial" w:cs="Arial"/>
                <w:sz w:val="22"/>
                <w:szCs w:val="22"/>
              </w:rPr>
            </w:pPr>
            <w:r w:rsidRPr="00F708FC">
              <w:rPr>
                <w:rFonts w:ascii="Arial" w:hAnsi="Arial" w:cs="Arial"/>
                <w:sz w:val="22"/>
                <w:szCs w:val="22"/>
              </w:rPr>
              <w:t>Medium-high</w:t>
            </w:r>
          </w:p>
        </w:tc>
        <w:tc>
          <w:tcPr>
            <w:tcW w:w="0" w:type="auto"/>
            <w:vAlign w:val="center"/>
            <w:hideMark/>
          </w:tcPr>
          <w:p w14:paraId="126ABC72"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23CC27A0" w14:textId="77777777" w:rsidR="0049090E" w:rsidRPr="00F708FC" w:rsidRDefault="0049090E" w:rsidP="0049090E">
            <w:pPr>
              <w:rPr>
                <w:rFonts w:ascii="Arial" w:hAnsi="Arial" w:cs="Arial"/>
                <w:sz w:val="22"/>
                <w:szCs w:val="22"/>
              </w:rPr>
            </w:pPr>
            <w:r w:rsidRPr="00F708FC">
              <w:rPr>
                <w:rFonts w:ascii="Arial" w:hAnsi="Arial" w:cs="Arial"/>
                <w:sz w:val="22"/>
                <w:szCs w:val="22"/>
              </w:rPr>
              <w:t>Manage closely</w:t>
            </w:r>
          </w:p>
        </w:tc>
      </w:tr>
      <w:tr w:rsidR="0049090E" w:rsidRPr="00F708FC" w14:paraId="3871F920" w14:textId="77777777">
        <w:trPr>
          <w:tblCellSpacing w:w="15" w:type="dxa"/>
        </w:trPr>
        <w:tc>
          <w:tcPr>
            <w:tcW w:w="0" w:type="auto"/>
            <w:vAlign w:val="center"/>
            <w:hideMark/>
          </w:tcPr>
          <w:p w14:paraId="575CB08E" w14:textId="77777777" w:rsidR="0049090E" w:rsidRPr="00F708FC" w:rsidRDefault="0049090E" w:rsidP="0049090E">
            <w:pPr>
              <w:rPr>
                <w:rFonts w:ascii="Arial" w:hAnsi="Arial" w:cs="Arial"/>
                <w:sz w:val="22"/>
                <w:szCs w:val="22"/>
              </w:rPr>
            </w:pPr>
            <w:r w:rsidRPr="00F708FC">
              <w:rPr>
                <w:rFonts w:ascii="Arial" w:hAnsi="Arial" w:cs="Arial"/>
                <w:sz w:val="22"/>
                <w:szCs w:val="22"/>
              </w:rPr>
              <w:t>Store managers/Associates</w:t>
            </w:r>
          </w:p>
        </w:tc>
        <w:tc>
          <w:tcPr>
            <w:tcW w:w="0" w:type="auto"/>
            <w:vAlign w:val="center"/>
            <w:hideMark/>
          </w:tcPr>
          <w:p w14:paraId="19EE16BF" w14:textId="77777777" w:rsidR="0049090E" w:rsidRPr="00F708FC" w:rsidRDefault="0049090E" w:rsidP="0049090E">
            <w:pPr>
              <w:rPr>
                <w:rFonts w:ascii="Arial" w:hAnsi="Arial" w:cs="Arial"/>
                <w:sz w:val="22"/>
                <w:szCs w:val="22"/>
              </w:rPr>
            </w:pPr>
            <w:r w:rsidRPr="00F708FC">
              <w:rPr>
                <w:rFonts w:ascii="Arial" w:hAnsi="Arial" w:cs="Arial"/>
                <w:sz w:val="22"/>
                <w:szCs w:val="22"/>
              </w:rPr>
              <w:t>Medium</w:t>
            </w:r>
          </w:p>
        </w:tc>
        <w:tc>
          <w:tcPr>
            <w:tcW w:w="0" w:type="auto"/>
            <w:vAlign w:val="center"/>
            <w:hideMark/>
          </w:tcPr>
          <w:p w14:paraId="5DEB6B16"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2B7812B2" w14:textId="77777777" w:rsidR="0049090E" w:rsidRPr="00F708FC" w:rsidRDefault="0049090E" w:rsidP="0049090E">
            <w:pPr>
              <w:rPr>
                <w:rFonts w:ascii="Arial" w:hAnsi="Arial" w:cs="Arial"/>
                <w:sz w:val="22"/>
                <w:szCs w:val="22"/>
              </w:rPr>
            </w:pPr>
            <w:r w:rsidRPr="00F708FC">
              <w:rPr>
                <w:rFonts w:ascii="Arial" w:hAnsi="Arial" w:cs="Arial"/>
                <w:sz w:val="22"/>
                <w:szCs w:val="22"/>
              </w:rPr>
              <w:t>Involve and empower</w:t>
            </w:r>
          </w:p>
        </w:tc>
      </w:tr>
      <w:tr w:rsidR="0049090E" w:rsidRPr="00F708FC" w14:paraId="1F206DA0" w14:textId="77777777">
        <w:trPr>
          <w:tblCellSpacing w:w="15" w:type="dxa"/>
        </w:trPr>
        <w:tc>
          <w:tcPr>
            <w:tcW w:w="0" w:type="auto"/>
            <w:vAlign w:val="center"/>
            <w:hideMark/>
          </w:tcPr>
          <w:p w14:paraId="076F1EE3" w14:textId="77777777" w:rsidR="0049090E" w:rsidRPr="00F708FC" w:rsidRDefault="0049090E" w:rsidP="0049090E">
            <w:pPr>
              <w:rPr>
                <w:rFonts w:ascii="Arial" w:hAnsi="Arial" w:cs="Arial"/>
                <w:sz w:val="22"/>
                <w:szCs w:val="22"/>
              </w:rPr>
            </w:pPr>
            <w:r w:rsidRPr="00F708FC">
              <w:rPr>
                <w:rFonts w:ascii="Arial" w:hAnsi="Arial" w:cs="Arial"/>
                <w:sz w:val="22"/>
                <w:szCs w:val="22"/>
              </w:rPr>
              <w:t>Customers</w:t>
            </w:r>
          </w:p>
        </w:tc>
        <w:tc>
          <w:tcPr>
            <w:tcW w:w="0" w:type="auto"/>
            <w:vAlign w:val="center"/>
            <w:hideMark/>
          </w:tcPr>
          <w:p w14:paraId="4D00B146" w14:textId="77777777" w:rsidR="0049090E" w:rsidRPr="00F708FC" w:rsidRDefault="0049090E" w:rsidP="0049090E">
            <w:pPr>
              <w:rPr>
                <w:rFonts w:ascii="Arial" w:hAnsi="Arial" w:cs="Arial"/>
                <w:sz w:val="22"/>
                <w:szCs w:val="22"/>
              </w:rPr>
            </w:pPr>
            <w:r w:rsidRPr="00F708FC">
              <w:rPr>
                <w:rFonts w:ascii="Arial" w:hAnsi="Arial" w:cs="Arial"/>
                <w:sz w:val="22"/>
                <w:szCs w:val="22"/>
              </w:rPr>
              <w:t>Medium collectively</w:t>
            </w:r>
          </w:p>
        </w:tc>
        <w:tc>
          <w:tcPr>
            <w:tcW w:w="0" w:type="auto"/>
            <w:vAlign w:val="center"/>
            <w:hideMark/>
          </w:tcPr>
          <w:p w14:paraId="2E9D96DC"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6EB133E3" w14:textId="77777777" w:rsidR="0049090E" w:rsidRPr="00F708FC" w:rsidRDefault="0049090E" w:rsidP="0049090E">
            <w:pPr>
              <w:rPr>
                <w:rFonts w:ascii="Arial" w:hAnsi="Arial" w:cs="Arial"/>
                <w:sz w:val="22"/>
                <w:szCs w:val="22"/>
              </w:rPr>
            </w:pPr>
            <w:r w:rsidRPr="00F708FC">
              <w:rPr>
                <w:rFonts w:ascii="Arial" w:hAnsi="Arial" w:cs="Arial"/>
                <w:sz w:val="22"/>
                <w:szCs w:val="22"/>
              </w:rPr>
              <w:t>Consult and involve</w:t>
            </w:r>
          </w:p>
        </w:tc>
      </w:tr>
      <w:tr w:rsidR="0049090E" w:rsidRPr="00F708FC" w14:paraId="135BB792" w14:textId="77777777">
        <w:trPr>
          <w:tblCellSpacing w:w="15" w:type="dxa"/>
        </w:trPr>
        <w:tc>
          <w:tcPr>
            <w:tcW w:w="0" w:type="auto"/>
            <w:vAlign w:val="center"/>
            <w:hideMark/>
          </w:tcPr>
          <w:p w14:paraId="3A1A44CE" w14:textId="77777777" w:rsidR="0049090E" w:rsidRPr="00F708FC" w:rsidRDefault="0049090E" w:rsidP="0049090E">
            <w:pPr>
              <w:rPr>
                <w:rFonts w:ascii="Arial" w:hAnsi="Arial" w:cs="Arial"/>
                <w:sz w:val="22"/>
                <w:szCs w:val="22"/>
              </w:rPr>
            </w:pPr>
            <w:r w:rsidRPr="00F708FC">
              <w:rPr>
                <w:rFonts w:ascii="Arial" w:hAnsi="Arial" w:cs="Arial"/>
                <w:sz w:val="22"/>
                <w:szCs w:val="22"/>
              </w:rPr>
              <w:lastRenderedPageBreak/>
              <w:t>Regulators</w:t>
            </w:r>
          </w:p>
        </w:tc>
        <w:tc>
          <w:tcPr>
            <w:tcW w:w="0" w:type="auto"/>
            <w:vAlign w:val="center"/>
            <w:hideMark/>
          </w:tcPr>
          <w:p w14:paraId="1CCE56B9"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32E1C06A" w14:textId="77777777" w:rsidR="0049090E" w:rsidRPr="00F708FC" w:rsidRDefault="0049090E" w:rsidP="0049090E">
            <w:pPr>
              <w:rPr>
                <w:rFonts w:ascii="Arial" w:hAnsi="Arial" w:cs="Arial"/>
                <w:sz w:val="22"/>
                <w:szCs w:val="22"/>
              </w:rPr>
            </w:pPr>
            <w:r w:rsidRPr="00F708FC">
              <w:rPr>
                <w:rFonts w:ascii="Arial" w:hAnsi="Arial" w:cs="Arial"/>
                <w:sz w:val="22"/>
                <w:szCs w:val="22"/>
              </w:rPr>
              <w:t>Medium-high</w:t>
            </w:r>
          </w:p>
        </w:tc>
        <w:tc>
          <w:tcPr>
            <w:tcW w:w="0" w:type="auto"/>
            <w:vAlign w:val="center"/>
            <w:hideMark/>
          </w:tcPr>
          <w:p w14:paraId="199F67BF" w14:textId="77777777" w:rsidR="0049090E" w:rsidRPr="00F708FC" w:rsidRDefault="0049090E" w:rsidP="0049090E">
            <w:pPr>
              <w:rPr>
                <w:rFonts w:ascii="Arial" w:hAnsi="Arial" w:cs="Arial"/>
                <w:sz w:val="22"/>
                <w:szCs w:val="22"/>
              </w:rPr>
            </w:pPr>
            <w:r w:rsidRPr="00F708FC">
              <w:rPr>
                <w:rFonts w:ascii="Arial" w:hAnsi="Arial" w:cs="Arial"/>
                <w:sz w:val="22"/>
                <w:szCs w:val="22"/>
              </w:rPr>
              <w:t>Maintain compliance dialogue</w:t>
            </w:r>
          </w:p>
        </w:tc>
      </w:tr>
      <w:tr w:rsidR="0049090E" w:rsidRPr="00F708FC" w14:paraId="10611277" w14:textId="77777777">
        <w:trPr>
          <w:tblCellSpacing w:w="15" w:type="dxa"/>
        </w:trPr>
        <w:tc>
          <w:tcPr>
            <w:tcW w:w="0" w:type="auto"/>
            <w:vAlign w:val="center"/>
            <w:hideMark/>
          </w:tcPr>
          <w:p w14:paraId="409E23D2" w14:textId="77777777" w:rsidR="0049090E" w:rsidRPr="00F708FC" w:rsidRDefault="0049090E" w:rsidP="0049090E">
            <w:pPr>
              <w:rPr>
                <w:rFonts w:ascii="Arial" w:hAnsi="Arial" w:cs="Arial"/>
                <w:sz w:val="22"/>
                <w:szCs w:val="22"/>
              </w:rPr>
            </w:pPr>
            <w:r w:rsidRPr="00F708FC">
              <w:rPr>
                <w:rFonts w:ascii="Arial" w:hAnsi="Arial" w:cs="Arial"/>
                <w:sz w:val="22"/>
                <w:szCs w:val="22"/>
              </w:rPr>
              <w:t>Technology suppliers</w:t>
            </w:r>
          </w:p>
        </w:tc>
        <w:tc>
          <w:tcPr>
            <w:tcW w:w="0" w:type="auto"/>
            <w:vAlign w:val="center"/>
            <w:hideMark/>
          </w:tcPr>
          <w:p w14:paraId="0DD10995" w14:textId="77777777" w:rsidR="0049090E" w:rsidRPr="00F708FC" w:rsidRDefault="0049090E" w:rsidP="0049090E">
            <w:pPr>
              <w:rPr>
                <w:rFonts w:ascii="Arial" w:hAnsi="Arial" w:cs="Arial"/>
                <w:sz w:val="22"/>
                <w:szCs w:val="22"/>
              </w:rPr>
            </w:pPr>
            <w:r w:rsidRPr="00F708FC">
              <w:rPr>
                <w:rFonts w:ascii="Arial" w:hAnsi="Arial" w:cs="Arial"/>
                <w:sz w:val="22"/>
                <w:szCs w:val="22"/>
              </w:rPr>
              <w:t>Medium-high</w:t>
            </w:r>
          </w:p>
        </w:tc>
        <w:tc>
          <w:tcPr>
            <w:tcW w:w="0" w:type="auto"/>
            <w:vAlign w:val="center"/>
            <w:hideMark/>
          </w:tcPr>
          <w:p w14:paraId="276947E3"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0CF79022" w14:textId="77777777" w:rsidR="0049090E" w:rsidRPr="00F708FC" w:rsidRDefault="0049090E" w:rsidP="0049090E">
            <w:pPr>
              <w:rPr>
                <w:rFonts w:ascii="Arial" w:hAnsi="Arial" w:cs="Arial"/>
                <w:sz w:val="22"/>
                <w:szCs w:val="22"/>
              </w:rPr>
            </w:pPr>
            <w:r w:rsidRPr="00F708FC">
              <w:rPr>
                <w:rFonts w:ascii="Arial" w:hAnsi="Arial" w:cs="Arial"/>
                <w:sz w:val="22"/>
                <w:szCs w:val="22"/>
              </w:rPr>
              <w:t>Partnership management</w:t>
            </w:r>
          </w:p>
        </w:tc>
      </w:tr>
      <w:tr w:rsidR="0049090E" w:rsidRPr="00F708FC" w14:paraId="3BDE9CD6" w14:textId="77777777">
        <w:trPr>
          <w:tblCellSpacing w:w="15" w:type="dxa"/>
        </w:trPr>
        <w:tc>
          <w:tcPr>
            <w:tcW w:w="0" w:type="auto"/>
            <w:vAlign w:val="center"/>
            <w:hideMark/>
          </w:tcPr>
          <w:p w14:paraId="770E15DA" w14:textId="77777777" w:rsidR="0049090E" w:rsidRPr="00F708FC" w:rsidRDefault="0049090E" w:rsidP="0049090E">
            <w:pPr>
              <w:rPr>
                <w:rFonts w:ascii="Arial" w:hAnsi="Arial" w:cs="Arial"/>
                <w:sz w:val="22"/>
                <w:szCs w:val="22"/>
              </w:rPr>
            </w:pPr>
            <w:r w:rsidRPr="00F708FC">
              <w:rPr>
                <w:rFonts w:ascii="Arial" w:hAnsi="Arial" w:cs="Arial"/>
                <w:sz w:val="22"/>
                <w:szCs w:val="22"/>
              </w:rPr>
              <w:t>Finance</w:t>
            </w:r>
          </w:p>
        </w:tc>
        <w:tc>
          <w:tcPr>
            <w:tcW w:w="0" w:type="auto"/>
            <w:vAlign w:val="center"/>
            <w:hideMark/>
          </w:tcPr>
          <w:p w14:paraId="726935FE" w14:textId="77777777" w:rsidR="0049090E" w:rsidRPr="00F708FC" w:rsidRDefault="0049090E" w:rsidP="0049090E">
            <w:pPr>
              <w:rPr>
                <w:rFonts w:ascii="Arial" w:hAnsi="Arial" w:cs="Arial"/>
                <w:sz w:val="22"/>
                <w:szCs w:val="22"/>
              </w:rPr>
            </w:pPr>
            <w:r w:rsidRPr="00F708FC">
              <w:rPr>
                <w:rFonts w:ascii="Arial" w:hAnsi="Arial" w:cs="Arial"/>
                <w:sz w:val="22"/>
                <w:szCs w:val="22"/>
              </w:rPr>
              <w:t>High</w:t>
            </w:r>
          </w:p>
        </w:tc>
        <w:tc>
          <w:tcPr>
            <w:tcW w:w="0" w:type="auto"/>
            <w:vAlign w:val="center"/>
            <w:hideMark/>
          </w:tcPr>
          <w:p w14:paraId="49493D65" w14:textId="77777777" w:rsidR="0049090E" w:rsidRPr="00F708FC" w:rsidRDefault="0049090E" w:rsidP="0049090E">
            <w:pPr>
              <w:rPr>
                <w:rFonts w:ascii="Arial" w:hAnsi="Arial" w:cs="Arial"/>
                <w:sz w:val="22"/>
                <w:szCs w:val="22"/>
              </w:rPr>
            </w:pPr>
            <w:r w:rsidRPr="00F708FC">
              <w:rPr>
                <w:rFonts w:ascii="Arial" w:hAnsi="Arial" w:cs="Arial"/>
                <w:sz w:val="22"/>
                <w:szCs w:val="22"/>
              </w:rPr>
              <w:t>Medium</w:t>
            </w:r>
          </w:p>
        </w:tc>
        <w:tc>
          <w:tcPr>
            <w:tcW w:w="0" w:type="auto"/>
            <w:vAlign w:val="center"/>
            <w:hideMark/>
          </w:tcPr>
          <w:p w14:paraId="19C529BB" w14:textId="77777777" w:rsidR="0049090E" w:rsidRPr="00F708FC" w:rsidRDefault="0049090E" w:rsidP="0049090E">
            <w:pPr>
              <w:rPr>
                <w:rFonts w:ascii="Arial" w:hAnsi="Arial" w:cs="Arial"/>
                <w:sz w:val="22"/>
                <w:szCs w:val="22"/>
              </w:rPr>
            </w:pPr>
            <w:r w:rsidRPr="00F708FC">
              <w:rPr>
                <w:rFonts w:ascii="Arial" w:hAnsi="Arial" w:cs="Arial"/>
                <w:sz w:val="22"/>
                <w:szCs w:val="22"/>
              </w:rPr>
              <w:t>Keep satisfied</w:t>
            </w:r>
          </w:p>
        </w:tc>
      </w:tr>
      <w:tr w:rsidR="0049090E" w:rsidRPr="00F708FC" w14:paraId="2AC43B2E" w14:textId="77777777">
        <w:trPr>
          <w:tblCellSpacing w:w="15" w:type="dxa"/>
        </w:trPr>
        <w:tc>
          <w:tcPr>
            <w:tcW w:w="0" w:type="auto"/>
            <w:vAlign w:val="center"/>
            <w:hideMark/>
          </w:tcPr>
          <w:p w14:paraId="66339688" w14:textId="77777777" w:rsidR="0049090E" w:rsidRPr="00F708FC" w:rsidRDefault="0049090E" w:rsidP="0049090E">
            <w:pPr>
              <w:rPr>
                <w:rFonts w:ascii="Arial" w:hAnsi="Arial" w:cs="Arial"/>
                <w:sz w:val="22"/>
                <w:szCs w:val="22"/>
              </w:rPr>
            </w:pPr>
            <w:r w:rsidRPr="00F708FC">
              <w:rPr>
                <w:rFonts w:ascii="Arial" w:hAnsi="Arial" w:cs="Arial"/>
                <w:sz w:val="22"/>
                <w:szCs w:val="22"/>
              </w:rPr>
              <w:t>Wider communities</w:t>
            </w:r>
          </w:p>
        </w:tc>
        <w:tc>
          <w:tcPr>
            <w:tcW w:w="0" w:type="auto"/>
            <w:vAlign w:val="center"/>
            <w:hideMark/>
          </w:tcPr>
          <w:p w14:paraId="6422C29C" w14:textId="77777777" w:rsidR="0049090E" w:rsidRPr="00F708FC" w:rsidRDefault="0049090E" w:rsidP="0049090E">
            <w:pPr>
              <w:rPr>
                <w:rFonts w:ascii="Arial" w:hAnsi="Arial" w:cs="Arial"/>
                <w:sz w:val="22"/>
                <w:szCs w:val="22"/>
              </w:rPr>
            </w:pPr>
            <w:r w:rsidRPr="00F708FC">
              <w:rPr>
                <w:rFonts w:ascii="Arial" w:hAnsi="Arial" w:cs="Arial"/>
                <w:sz w:val="22"/>
                <w:szCs w:val="22"/>
              </w:rPr>
              <w:t>Low-medium</w:t>
            </w:r>
          </w:p>
        </w:tc>
        <w:tc>
          <w:tcPr>
            <w:tcW w:w="0" w:type="auto"/>
            <w:vAlign w:val="center"/>
            <w:hideMark/>
          </w:tcPr>
          <w:p w14:paraId="2490C765" w14:textId="77777777" w:rsidR="0049090E" w:rsidRPr="00F708FC" w:rsidRDefault="0049090E" w:rsidP="0049090E">
            <w:pPr>
              <w:rPr>
                <w:rFonts w:ascii="Arial" w:hAnsi="Arial" w:cs="Arial"/>
                <w:sz w:val="22"/>
                <w:szCs w:val="22"/>
              </w:rPr>
            </w:pPr>
            <w:r w:rsidRPr="00F708FC">
              <w:rPr>
                <w:rFonts w:ascii="Arial" w:hAnsi="Arial" w:cs="Arial"/>
                <w:sz w:val="22"/>
                <w:szCs w:val="22"/>
              </w:rPr>
              <w:t>Medium</w:t>
            </w:r>
          </w:p>
        </w:tc>
        <w:tc>
          <w:tcPr>
            <w:tcW w:w="0" w:type="auto"/>
            <w:vAlign w:val="center"/>
            <w:hideMark/>
          </w:tcPr>
          <w:p w14:paraId="613E36AB" w14:textId="77777777" w:rsidR="0049090E" w:rsidRPr="00F708FC" w:rsidRDefault="0049090E" w:rsidP="0049090E">
            <w:pPr>
              <w:rPr>
                <w:rFonts w:ascii="Arial" w:hAnsi="Arial" w:cs="Arial"/>
                <w:sz w:val="22"/>
                <w:szCs w:val="22"/>
              </w:rPr>
            </w:pPr>
            <w:r w:rsidRPr="00F708FC">
              <w:rPr>
                <w:rFonts w:ascii="Arial" w:hAnsi="Arial" w:cs="Arial"/>
                <w:sz w:val="22"/>
                <w:szCs w:val="22"/>
              </w:rPr>
              <w:t>Keep informed</w:t>
            </w:r>
          </w:p>
        </w:tc>
      </w:tr>
      <w:tr w:rsidR="0049090E" w:rsidRPr="00F708FC" w14:paraId="2171A1C7" w14:textId="77777777">
        <w:trPr>
          <w:tblCellSpacing w:w="15" w:type="dxa"/>
        </w:trPr>
        <w:tc>
          <w:tcPr>
            <w:tcW w:w="0" w:type="auto"/>
            <w:vAlign w:val="center"/>
            <w:hideMark/>
          </w:tcPr>
          <w:p w14:paraId="451F0D42" w14:textId="77777777" w:rsidR="0049090E" w:rsidRPr="00F708FC" w:rsidRDefault="0049090E" w:rsidP="0049090E">
            <w:pPr>
              <w:rPr>
                <w:rFonts w:ascii="Arial" w:hAnsi="Arial" w:cs="Arial"/>
                <w:sz w:val="22"/>
                <w:szCs w:val="22"/>
              </w:rPr>
            </w:pPr>
            <w:r w:rsidRPr="00F708FC">
              <w:rPr>
                <w:rFonts w:ascii="Arial" w:hAnsi="Arial" w:cs="Arial"/>
                <w:sz w:val="22"/>
                <w:szCs w:val="22"/>
              </w:rPr>
              <w:t>Competitors</w:t>
            </w:r>
          </w:p>
        </w:tc>
        <w:tc>
          <w:tcPr>
            <w:tcW w:w="0" w:type="auto"/>
            <w:vAlign w:val="center"/>
            <w:hideMark/>
          </w:tcPr>
          <w:p w14:paraId="534C63A2" w14:textId="77777777" w:rsidR="0049090E" w:rsidRPr="00F708FC" w:rsidRDefault="0049090E" w:rsidP="0049090E">
            <w:pPr>
              <w:rPr>
                <w:rFonts w:ascii="Arial" w:hAnsi="Arial" w:cs="Arial"/>
                <w:sz w:val="22"/>
                <w:szCs w:val="22"/>
              </w:rPr>
            </w:pPr>
            <w:r w:rsidRPr="00F708FC">
              <w:rPr>
                <w:rFonts w:ascii="Arial" w:hAnsi="Arial" w:cs="Arial"/>
                <w:sz w:val="22"/>
                <w:szCs w:val="22"/>
              </w:rPr>
              <w:t>Low direct</w:t>
            </w:r>
          </w:p>
        </w:tc>
        <w:tc>
          <w:tcPr>
            <w:tcW w:w="0" w:type="auto"/>
            <w:vAlign w:val="center"/>
            <w:hideMark/>
          </w:tcPr>
          <w:p w14:paraId="349722B5" w14:textId="77777777" w:rsidR="0049090E" w:rsidRPr="00F708FC" w:rsidRDefault="0049090E" w:rsidP="0049090E">
            <w:pPr>
              <w:rPr>
                <w:rFonts w:ascii="Arial" w:hAnsi="Arial" w:cs="Arial"/>
                <w:sz w:val="22"/>
                <w:szCs w:val="22"/>
              </w:rPr>
            </w:pPr>
            <w:r w:rsidRPr="00F708FC">
              <w:rPr>
                <w:rFonts w:ascii="Arial" w:hAnsi="Arial" w:cs="Arial"/>
                <w:sz w:val="22"/>
                <w:szCs w:val="22"/>
              </w:rPr>
              <w:t>Medium</w:t>
            </w:r>
          </w:p>
        </w:tc>
        <w:tc>
          <w:tcPr>
            <w:tcW w:w="0" w:type="auto"/>
            <w:vAlign w:val="center"/>
            <w:hideMark/>
          </w:tcPr>
          <w:p w14:paraId="251B3FF7" w14:textId="77777777" w:rsidR="0049090E" w:rsidRPr="00F708FC" w:rsidRDefault="0049090E" w:rsidP="0049090E">
            <w:pPr>
              <w:rPr>
                <w:rFonts w:ascii="Arial" w:hAnsi="Arial" w:cs="Arial"/>
                <w:sz w:val="22"/>
                <w:szCs w:val="22"/>
              </w:rPr>
            </w:pPr>
            <w:r w:rsidRPr="00F708FC">
              <w:rPr>
                <w:rFonts w:ascii="Arial" w:hAnsi="Arial" w:cs="Arial"/>
                <w:sz w:val="22"/>
                <w:szCs w:val="22"/>
              </w:rPr>
              <w:t>Monitor</w:t>
            </w:r>
          </w:p>
        </w:tc>
      </w:tr>
    </w:tbl>
    <w:p w14:paraId="1F5807DE"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matrix suggests that executive leadership, the project sponsor, technology teams, legal specialists and country managers should receive intensive engagement. Nevertheless, the framework has a limitation: </w:t>
      </w:r>
      <w:r w:rsidRPr="00F708FC">
        <w:rPr>
          <w:rFonts w:ascii="Arial" w:hAnsi="Arial" w:cs="Arial"/>
          <w:b/>
          <w:bCs/>
          <w:sz w:val="22"/>
          <w:szCs w:val="22"/>
        </w:rPr>
        <w:t>collective customer power can be underestimated</w:t>
      </w:r>
      <w:r w:rsidRPr="00F708FC">
        <w:rPr>
          <w:rFonts w:ascii="Arial" w:hAnsi="Arial" w:cs="Arial"/>
          <w:sz w:val="22"/>
          <w:szCs w:val="22"/>
        </w:rPr>
        <w:t>. An individual customer may possess little formal power, but customers collectively determine adoption, provide reputational feedback and can withdraw participation. Therefore, customer stakeholders should not be treated as low-power stakeholders simply because they do not control organisational resources.</w:t>
      </w:r>
    </w:p>
    <w:p w14:paraId="0F328873" w14:textId="77777777" w:rsidR="0049090E" w:rsidRPr="00F708FC" w:rsidRDefault="0049090E" w:rsidP="0049090E">
      <w:pPr>
        <w:rPr>
          <w:rFonts w:ascii="Arial" w:hAnsi="Arial" w:cs="Arial"/>
          <w:sz w:val="22"/>
          <w:szCs w:val="22"/>
        </w:rPr>
      </w:pPr>
      <w:r w:rsidRPr="00F708FC">
        <w:rPr>
          <w:rFonts w:ascii="Arial" w:hAnsi="Arial" w:cs="Arial"/>
          <w:sz w:val="22"/>
          <w:szCs w:val="22"/>
        </w:rPr>
        <w:t>This illustrates why the power-interest matrix should be combined with stakeholder salience rather than used in isolation.</w:t>
      </w:r>
    </w:p>
    <w:p w14:paraId="20A94B1E"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6187590F">
          <v:rect id="_x0000_i1029" style="width:0;height:1.5pt" o:hralign="center" o:hrstd="t" o:hr="t" fillcolor="#a0a0a0" stroked="f"/>
        </w:pict>
      </w:r>
    </w:p>
    <w:p w14:paraId="19B37F3D"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3.3 Stakeholder Salience Model</w:t>
      </w:r>
    </w:p>
    <w:p w14:paraId="162509A0"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Mitchell, Agle and Wood (1997) propose that stakeholder salience is determined by three attributes: </w:t>
      </w:r>
      <w:r w:rsidRPr="00F708FC">
        <w:rPr>
          <w:rFonts w:ascii="Arial" w:hAnsi="Arial" w:cs="Arial"/>
          <w:b/>
          <w:bCs/>
          <w:sz w:val="22"/>
          <w:szCs w:val="22"/>
        </w:rPr>
        <w:t>power, legitimacy and urgency</w:t>
      </w:r>
      <w:r w:rsidRPr="00F708FC">
        <w:rPr>
          <w:rFonts w:ascii="Arial" w:hAnsi="Arial" w:cs="Arial"/>
          <w:sz w:val="22"/>
          <w:szCs w:val="22"/>
        </w:rPr>
        <w:t>.</w:t>
      </w:r>
    </w:p>
    <w:p w14:paraId="25EEF70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For </w:t>
      </w:r>
      <w:proofErr w:type="spellStart"/>
      <w:r w:rsidRPr="00F708FC">
        <w:rPr>
          <w:rFonts w:ascii="Arial" w:hAnsi="Arial" w:cs="Arial"/>
          <w:sz w:val="22"/>
          <w:szCs w:val="22"/>
        </w:rPr>
        <w:t>ConnectPlus</w:t>
      </w:r>
      <w:proofErr w:type="spellEnd"/>
      <w:r w:rsidRPr="00F708FC">
        <w:rPr>
          <w:rFonts w:ascii="Arial" w:hAnsi="Arial" w:cs="Arial"/>
          <w:sz w:val="22"/>
          <w:szCs w:val="22"/>
        </w:rPr>
        <w:t>, the executive sponsor possesses power and legitimacy, while the urgency of strategic decisions increases as launch approaches. Regulators possess high legitimacy and potentially significant power, particularly where data protection is concerned. Customers possess high legitimacy and potentially high urgency when they have concerns about privacy, unfair recommendations or inaccessible rewards.</w:t>
      </w:r>
    </w:p>
    <w:p w14:paraId="5B8767FC"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 particularly important insight is that stakeholder salience is </w:t>
      </w:r>
      <w:r w:rsidRPr="00F708FC">
        <w:rPr>
          <w:rFonts w:ascii="Arial" w:hAnsi="Arial" w:cs="Arial"/>
          <w:b/>
          <w:bCs/>
          <w:sz w:val="22"/>
          <w:szCs w:val="22"/>
        </w:rPr>
        <w:t>dynamic</w:t>
      </w:r>
      <w:r w:rsidRPr="00F708FC">
        <w:rPr>
          <w:rFonts w:ascii="Arial" w:hAnsi="Arial" w:cs="Arial"/>
          <w:sz w:val="22"/>
          <w:szCs w:val="22"/>
        </w:rPr>
        <w:t>. A customer group may initially have low organisational power but become highly salient following a major privacy concern. Similarly, a technology supplier may become more salient following a cybersecurity incident.</w:t>
      </w:r>
    </w:p>
    <w:p w14:paraId="74AD2156" w14:textId="77777777" w:rsidR="0049090E" w:rsidRPr="00F708FC" w:rsidRDefault="0049090E" w:rsidP="0049090E">
      <w:pPr>
        <w:rPr>
          <w:rFonts w:ascii="Arial" w:hAnsi="Arial" w:cs="Arial"/>
          <w:sz w:val="22"/>
          <w:szCs w:val="22"/>
        </w:rPr>
      </w:pPr>
      <w:r w:rsidRPr="00F708FC">
        <w:rPr>
          <w:rFonts w:ascii="Arial" w:hAnsi="Arial" w:cs="Arial"/>
          <w:sz w:val="22"/>
          <w:szCs w:val="22"/>
        </w:rPr>
        <w:t>The project manager should therefore conduct a stakeholder review at every major stage gate rather than relying on the initial analysis.</w:t>
      </w:r>
    </w:p>
    <w:p w14:paraId="30E4C493"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20708824">
          <v:rect id="_x0000_i1030" style="width:0;height:1.5pt" o:hralign="center" o:hrstd="t" o:hr="t" fillcolor="#a0a0a0" stroked="f"/>
        </w:pict>
      </w:r>
    </w:p>
    <w:p w14:paraId="5355F74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 Roles, Responsibilities, Benefits and Challenges</w:t>
      </w:r>
    </w:p>
    <w:p w14:paraId="23FBF0ED"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4.1 Executive Leadership and Project Sponsor</w:t>
      </w:r>
    </w:p>
    <w:p w14:paraId="13568C4B"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sponsor establishes strategic direction, approves investment and resolves high-level conflicts. Executive involvement gives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organisational legitimacy and ensures that stakeholder concerns are considered at board level. However, executives may prioritise </w:t>
      </w:r>
      <w:r w:rsidRPr="00F708FC">
        <w:rPr>
          <w:rFonts w:ascii="Arial" w:hAnsi="Arial" w:cs="Arial"/>
          <w:sz w:val="22"/>
          <w:szCs w:val="22"/>
        </w:rPr>
        <w:lastRenderedPageBreak/>
        <w:t>rapid commercial returns, creating potential tension with longer-term investment in privacy, accessibility and employee capability.</w:t>
      </w:r>
    </w:p>
    <w:p w14:paraId="7A50C4B4"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4.2 Product, Technology and AI Teams</w:t>
      </w:r>
    </w:p>
    <w:p w14:paraId="079714B8" w14:textId="77777777" w:rsidR="0049090E" w:rsidRPr="00F708FC" w:rsidRDefault="0049090E" w:rsidP="0049090E">
      <w:pPr>
        <w:rPr>
          <w:rFonts w:ascii="Arial" w:hAnsi="Arial" w:cs="Arial"/>
          <w:sz w:val="22"/>
          <w:szCs w:val="22"/>
        </w:rPr>
      </w:pPr>
      <w:r w:rsidRPr="00F708FC">
        <w:rPr>
          <w:rFonts w:ascii="Arial" w:hAnsi="Arial" w:cs="Arial"/>
          <w:sz w:val="22"/>
          <w:szCs w:val="22"/>
        </w:rPr>
        <w:t>Technology teams are responsible for architecture, integration, mobile functionality, recommendation models, cybersecurity, testing and technical performance. Their involvement can accelerate innovation and create reusable digital capabilities. However, they face legacy-system constraints, data-quality issues, technical debt and the pressure of a six-month timetable.</w:t>
      </w:r>
    </w:p>
    <w:p w14:paraId="4A029CE7"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4.3 Marketing and CRM</w:t>
      </w:r>
    </w:p>
    <w:p w14:paraId="614A1D63"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Marketing determines the customer proposition, segmentation and campaign strategy.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could enable more relevant customer communications and better measurement of campaign outcomes. The principal challenge is the possibility of conflict between commercial personalisation and responsible data use.</w:t>
      </w:r>
    </w:p>
    <w:p w14:paraId="73564623"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4.4 Employees and Store Operations</w:t>
      </w:r>
    </w:p>
    <w:p w14:paraId="4FCDB17D"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Store employees are critical because TK Maxx's physical stores remain central to the customer experience. Employees will explain the programme, help customers use rewards and resolve basic problems. Their involvement can create internal ownership, but resistance may emerge if employees perceive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as increasing workload, monitoring performance or replacing human interaction.</w:t>
      </w:r>
    </w:p>
    <w:p w14:paraId="211EDD28"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4.5 Customers</w:t>
      </w:r>
    </w:p>
    <w:p w14:paraId="38170BB8" w14:textId="77777777" w:rsidR="0049090E" w:rsidRPr="00F708FC" w:rsidRDefault="0049090E" w:rsidP="0049090E">
      <w:pPr>
        <w:rPr>
          <w:rFonts w:ascii="Arial" w:hAnsi="Arial" w:cs="Arial"/>
          <w:sz w:val="22"/>
          <w:szCs w:val="22"/>
        </w:rPr>
      </w:pPr>
      <w:r w:rsidRPr="00F708FC">
        <w:rPr>
          <w:rFonts w:ascii="Arial" w:hAnsi="Arial" w:cs="Arial"/>
          <w:sz w:val="22"/>
          <w:szCs w:val="22"/>
        </w:rPr>
        <w:t>Customers are both beneficiaries and contributors. They may receive more relevant recommendations and convenient rewards while providing behavioural information. Their principal concerns are likely to include privacy, transparency, excessive notifications, inaccurate recommendations and unequal treatment.</w:t>
      </w:r>
    </w:p>
    <w:p w14:paraId="6729508F"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4.6 Regulators and DPO</w:t>
      </w:r>
    </w:p>
    <w:p w14:paraId="37045910" w14:textId="77777777" w:rsidR="0049090E" w:rsidRPr="00F708FC" w:rsidRDefault="0049090E" w:rsidP="0049090E">
      <w:pPr>
        <w:rPr>
          <w:rFonts w:ascii="Arial" w:hAnsi="Arial" w:cs="Arial"/>
          <w:sz w:val="22"/>
          <w:szCs w:val="22"/>
        </w:rPr>
      </w:pPr>
      <w:r w:rsidRPr="00F708FC">
        <w:rPr>
          <w:rFonts w:ascii="Arial" w:hAnsi="Arial" w:cs="Arial"/>
          <w:sz w:val="22"/>
          <w:szCs w:val="22"/>
        </w:rPr>
        <w:t>Legal and data-protection stakeholders provide assurance that data collection, profiling and AI use remain lawful and proportionate. Their involvement reduces compliance risk but can be perceived by commercial teams as slowing innovation. The project manager should therefore involve them early rather than treating compliance as a final approval stage.</w:t>
      </w:r>
    </w:p>
    <w:p w14:paraId="3CD98FDB"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4.7 Technology Partners</w:t>
      </w:r>
    </w:p>
    <w:p w14:paraId="0170A49F" w14:textId="77777777" w:rsidR="0049090E" w:rsidRPr="00F708FC" w:rsidRDefault="0049090E" w:rsidP="0049090E">
      <w:pPr>
        <w:rPr>
          <w:rFonts w:ascii="Arial" w:hAnsi="Arial" w:cs="Arial"/>
          <w:sz w:val="22"/>
          <w:szCs w:val="22"/>
        </w:rPr>
      </w:pPr>
      <w:r w:rsidRPr="00F708FC">
        <w:rPr>
          <w:rFonts w:ascii="Arial" w:hAnsi="Arial" w:cs="Arial"/>
          <w:sz w:val="22"/>
          <w:szCs w:val="22"/>
        </w:rPr>
        <w:t>External suppliers provide specialist technology and expertise. They can reduce development time but create dependency, cybersecurity and data-processing risks. Contractual responsibilities, service levels, audit rights and exit arrangements should therefore be established before implementation.</w:t>
      </w:r>
    </w:p>
    <w:p w14:paraId="596815FE"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182391F1">
          <v:rect id="_x0000_i1031" style="width:0;height:1.5pt" o:hralign="center" o:hrstd="t" o:hr="t" fillcolor="#a0a0a0" stroked="f"/>
        </w:pict>
      </w:r>
    </w:p>
    <w:p w14:paraId="09208DE4"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5. Stakeholder Engagement Process</w:t>
      </w:r>
    </w:p>
    <w:p w14:paraId="40F00FE3"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5.1 From Identification to Relationship Management</w:t>
      </w:r>
    </w:p>
    <w:p w14:paraId="549E49CF" w14:textId="77777777" w:rsidR="0049090E" w:rsidRPr="00F708FC" w:rsidRDefault="0049090E" w:rsidP="0049090E">
      <w:pPr>
        <w:rPr>
          <w:rFonts w:ascii="Arial" w:hAnsi="Arial" w:cs="Arial"/>
          <w:sz w:val="22"/>
          <w:szCs w:val="22"/>
        </w:rPr>
      </w:pPr>
      <w:r w:rsidRPr="00F708FC">
        <w:rPr>
          <w:rFonts w:ascii="Arial" w:hAnsi="Arial" w:cs="Arial"/>
          <w:sz w:val="22"/>
          <w:szCs w:val="22"/>
        </w:rPr>
        <w:t>The project manager should use a continuous process:</w:t>
      </w:r>
    </w:p>
    <w:p w14:paraId="57827BF0" w14:textId="77777777" w:rsidR="0049090E" w:rsidRPr="00F708FC" w:rsidRDefault="0049090E" w:rsidP="0049090E">
      <w:pPr>
        <w:rPr>
          <w:rFonts w:ascii="Arial" w:hAnsi="Arial" w:cs="Arial"/>
          <w:sz w:val="22"/>
          <w:szCs w:val="22"/>
        </w:rPr>
      </w:pPr>
      <w:r w:rsidRPr="00F708FC">
        <w:rPr>
          <w:rFonts w:ascii="Arial" w:hAnsi="Arial" w:cs="Arial"/>
          <w:b/>
          <w:bCs/>
          <w:sz w:val="22"/>
          <w:szCs w:val="22"/>
        </w:rPr>
        <w:lastRenderedPageBreak/>
        <w:t>Identify → Analyse → Prioritise → Engage → Decide → Monitor → Adapt</w:t>
      </w:r>
    </w:p>
    <w:p w14:paraId="43D99C0D" w14:textId="77777777" w:rsidR="0049090E" w:rsidRPr="00F708FC" w:rsidRDefault="0049090E" w:rsidP="0049090E">
      <w:pPr>
        <w:rPr>
          <w:rFonts w:ascii="Arial" w:hAnsi="Arial" w:cs="Arial"/>
          <w:sz w:val="22"/>
          <w:szCs w:val="22"/>
        </w:rPr>
      </w:pPr>
      <w:r w:rsidRPr="00F708FC">
        <w:rPr>
          <w:rFonts w:ascii="Arial" w:hAnsi="Arial" w:cs="Arial"/>
          <w:sz w:val="22"/>
          <w:szCs w:val="22"/>
        </w:rPr>
        <w:t>This process reflects Bryson's (2004) argument that stakeholder analysis should support strategic intervention, implementation and evaluation rather than simply identify interested parties.</w:t>
      </w:r>
    </w:p>
    <w:p w14:paraId="0E446DDA"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Ashcroft et al. (2017) similarly emphasise the importance of understanding stakeholder relationships rather than viewing stakeholders as isolated categories. A relational approach is particularly suitable for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because trust is cumulative. Customers may accept data use when they perceive a fair exchange of value, but trust can deteriorate rapidly if recommendations appear intrusive or data is mishandled.</w:t>
      </w:r>
    </w:p>
    <w:p w14:paraId="7236F07A"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27A27B42">
          <v:rect id="_x0000_i1032" style="width:0;height:1.5pt" o:hralign="center" o:hrstd="t" o:hr="t" fillcolor="#a0a0a0" stroked="f"/>
        </w:pict>
      </w:r>
    </w:p>
    <w:p w14:paraId="40B45F9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5.2 Six-Month Engagement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35"/>
        <w:gridCol w:w="1544"/>
        <w:gridCol w:w="4601"/>
        <w:gridCol w:w="2146"/>
      </w:tblGrid>
      <w:tr w:rsidR="0049090E" w:rsidRPr="00F708FC" w14:paraId="1E4577D3" w14:textId="77777777">
        <w:trPr>
          <w:tblHeader/>
          <w:tblCellSpacing w:w="15" w:type="dxa"/>
        </w:trPr>
        <w:tc>
          <w:tcPr>
            <w:tcW w:w="0" w:type="auto"/>
            <w:vAlign w:val="center"/>
            <w:hideMark/>
          </w:tcPr>
          <w:p w14:paraId="62C34991"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Month</w:t>
            </w:r>
          </w:p>
        </w:tc>
        <w:tc>
          <w:tcPr>
            <w:tcW w:w="0" w:type="auto"/>
            <w:vAlign w:val="center"/>
            <w:hideMark/>
          </w:tcPr>
          <w:p w14:paraId="78EA1E3B"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Project stage</w:t>
            </w:r>
          </w:p>
        </w:tc>
        <w:tc>
          <w:tcPr>
            <w:tcW w:w="0" w:type="auto"/>
            <w:vAlign w:val="center"/>
            <w:hideMark/>
          </w:tcPr>
          <w:p w14:paraId="4896C67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Stakeholder activity</w:t>
            </w:r>
          </w:p>
        </w:tc>
        <w:tc>
          <w:tcPr>
            <w:tcW w:w="0" w:type="auto"/>
            <w:vAlign w:val="center"/>
            <w:hideMark/>
          </w:tcPr>
          <w:p w14:paraId="5B4918B3"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Main output</w:t>
            </w:r>
          </w:p>
        </w:tc>
      </w:tr>
      <w:tr w:rsidR="0049090E" w:rsidRPr="00F708FC" w14:paraId="53A17DDB" w14:textId="77777777">
        <w:trPr>
          <w:tblCellSpacing w:w="15" w:type="dxa"/>
        </w:trPr>
        <w:tc>
          <w:tcPr>
            <w:tcW w:w="0" w:type="auto"/>
            <w:vAlign w:val="center"/>
            <w:hideMark/>
          </w:tcPr>
          <w:p w14:paraId="6A12A999" w14:textId="77777777" w:rsidR="0049090E" w:rsidRPr="00F708FC" w:rsidRDefault="0049090E" w:rsidP="0049090E">
            <w:pPr>
              <w:rPr>
                <w:rFonts w:ascii="Arial" w:hAnsi="Arial" w:cs="Arial"/>
                <w:sz w:val="22"/>
                <w:szCs w:val="22"/>
              </w:rPr>
            </w:pPr>
            <w:r w:rsidRPr="00F708FC">
              <w:rPr>
                <w:rFonts w:ascii="Arial" w:hAnsi="Arial" w:cs="Arial"/>
                <w:sz w:val="22"/>
                <w:szCs w:val="22"/>
              </w:rPr>
              <w:t>1</w:t>
            </w:r>
          </w:p>
        </w:tc>
        <w:tc>
          <w:tcPr>
            <w:tcW w:w="0" w:type="auto"/>
            <w:vAlign w:val="center"/>
            <w:hideMark/>
          </w:tcPr>
          <w:p w14:paraId="69014B84" w14:textId="77777777" w:rsidR="0049090E" w:rsidRPr="00F708FC" w:rsidRDefault="0049090E" w:rsidP="0049090E">
            <w:pPr>
              <w:rPr>
                <w:rFonts w:ascii="Arial" w:hAnsi="Arial" w:cs="Arial"/>
                <w:sz w:val="22"/>
                <w:szCs w:val="22"/>
              </w:rPr>
            </w:pPr>
            <w:r w:rsidRPr="00F708FC">
              <w:rPr>
                <w:rFonts w:ascii="Arial" w:hAnsi="Arial" w:cs="Arial"/>
                <w:sz w:val="22"/>
                <w:szCs w:val="22"/>
              </w:rPr>
              <w:t>Discovery</w:t>
            </w:r>
          </w:p>
        </w:tc>
        <w:tc>
          <w:tcPr>
            <w:tcW w:w="0" w:type="auto"/>
            <w:vAlign w:val="center"/>
            <w:hideMark/>
          </w:tcPr>
          <w:p w14:paraId="71BAE73C" w14:textId="77777777" w:rsidR="0049090E" w:rsidRPr="00F708FC" w:rsidRDefault="0049090E" w:rsidP="0049090E">
            <w:pPr>
              <w:rPr>
                <w:rFonts w:ascii="Arial" w:hAnsi="Arial" w:cs="Arial"/>
                <w:sz w:val="22"/>
                <w:szCs w:val="22"/>
              </w:rPr>
            </w:pPr>
            <w:r w:rsidRPr="00F708FC">
              <w:rPr>
                <w:rFonts w:ascii="Arial" w:hAnsi="Arial" w:cs="Arial"/>
                <w:sz w:val="22"/>
                <w:szCs w:val="22"/>
              </w:rPr>
              <w:t>Executive workshops, customer research, employee interviews</w:t>
            </w:r>
          </w:p>
        </w:tc>
        <w:tc>
          <w:tcPr>
            <w:tcW w:w="0" w:type="auto"/>
            <w:vAlign w:val="center"/>
            <w:hideMark/>
          </w:tcPr>
          <w:p w14:paraId="2A45D24C" w14:textId="77777777" w:rsidR="0049090E" w:rsidRPr="00F708FC" w:rsidRDefault="0049090E" w:rsidP="0049090E">
            <w:pPr>
              <w:rPr>
                <w:rFonts w:ascii="Arial" w:hAnsi="Arial" w:cs="Arial"/>
                <w:sz w:val="22"/>
                <w:szCs w:val="22"/>
              </w:rPr>
            </w:pPr>
            <w:r w:rsidRPr="00F708FC">
              <w:rPr>
                <w:rFonts w:ascii="Arial" w:hAnsi="Arial" w:cs="Arial"/>
                <w:sz w:val="22"/>
                <w:szCs w:val="22"/>
              </w:rPr>
              <w:t>Stakeholder register</w:t>
            </w:r>
          </w:p>
        </w:tc>
      </w:tr>
      <w:tr w:rsidR="0049090E" w:rsidRPr="00F708FC" w14:paraId="67B0A434" w14:textId="77777777">
        <w:trPr>
          <w:tblCellSpacing w:w="15" w:type="dxa"/>
        </w:trPr>
        <w:tc>
          <w:tcPr>
            <w:tcW w:w="0" w:type="auto"/>
            <w:vAlign w:val="center"/>
            <w:hideMark/>
          </w:tcPr>
          <w:p w14:paraId="75662900" w14:textId="77777777" w:rsidR="0049090E" w:rsidRPr="00F708FC" w:rsidRDefault="0049090E" w:rsidP="0049090E">
            <w:pPr>
              <w:rPr>
                <w:rFonts w:ascii="Arial" w:hAnsi="Arial" w:cs="Arial"/>
                <w:sz w:val="22"/>
                <w:szCs w:val="22"/>
              </w:rPr>
            </w:pPr>
            <w:r w:rsidRPr="00F708FC">
              <w:rPr>
                <w:rFonts w:ascii="Arial" w:hAnsi="Arial" w:cs="Arial"/>
                <w:sz w:val="22"/>
                <w:szCs w:val="22"/>
              </w:rPr>
              <w:t>2</w:t>
            </w:r>
          </w:p>
        </w:tc>
        <w:tc>
          <w:tcPr>
            <w:tcW w:w="0" w:type="auto"/>
            <w:vAlign w:val="center"/>
            <w:hideMark/>
          </w:tcPr>
          <w:p w14:paraId="6B3FDB29" w14:textId="77777777" w:rsidR="0049090E" w:rsidRPr="00F708FC" w:rsidRDefault="0049090E" w:rsidP="0049090E">
            <w:pPr>
              <w:rPr>
                <w:rFonts w:ascii="Arial" w:hAnsi="Arial" w:cs="Arial"/>
                <w:sz w:val="22"/>
                <w:szCs w:val="22"/>
              </w:rPr>
            </w:pPr>
            <w:r w:rsidRPr="00F708FC">
              <w:rPr>
                <w:rFonts w:ascii="Arial" w:hAnsi="Arial" w:cs="Arial"/>
                <w:sz w:val="22"/>
                <w:szCs w:val="22"/>
              </w:rPr>
              <w:t>Design</w:t>
            </w:r>
          </w:p>
        </w:tc>
        <w:tc>
          <w:tcPr>
            <w:tcW w:w="0" w:type="auto"/>
            <w:vAlign w:val="center"/>
            <w:hideMark/>
          </w:tcPr>
          <w:p w14:paraId="0BC79EF8" w14:textId="77777777" w:rsidR="0049090E" w:rsidRPr="00F708FC" w:rsidRDefault="0049090E" w:rsidP="0049090E">
            <w:pPr>
              <w:rPr>
                <w:rFonts w:ascii="Arial" w:hAnsi="Arial" w:cs="Arial"/>
                <w:sz w:val="22"/>
                <w:szCs w:val="22"/>
              </w:rPr>
            </w:pPr>
            <w:r w:rsidRPr="00F708FC">
              <w:rPr>
                <w:rFonts w:ascii="Arial" w:hAnsi="Arial" w:cs="Arial"/>
                <w:sz w:val="22"/>
                <w:szCs w:val="22"/>
              </w:rPr>
              <w:t>Customer testing, country workshops, DPO review</w:t>
            </w:r>
          </w:p>
        </w:tc>
        <w:tc>
          <w:tcPr>
            <w:tcW w:w="0" w:type="auto"/>
            <w:vAlign w:val="center"/>
            <w:hideMark/>
          </w:tcPr>
          <w:p w14:paraId="042A594D" w14:textId="77777777" w:rsidR="0049090E" w:rsidRPr="00F708FC" w:rsidRDefault="0049090E" w:rsidP="0049090E">
            <w:pPr>
              <w:rPr>
                <w:rFonts w:ascii="Arial" w:hAnsi="Arial" w:cs="Arial"/>
                <w:sz w:val="22"/>
                <w:szCs w:val="22"/>
              </w:rPr>
            </w:pPr>
            <w:r w:rsidRPr="00F708FC">
              <w:rPr>
                <w:rFonts w:ascii="Arial" w:hAnsi="Arial" w:cs="Arial"/>
                <w:sz w:val="22"/>
                <w:szCs w:val="22"/>
              </w:rPr>
              <w:t>Approved design principles</w:t>
            </w:r>
          </w:p>
        </w:tc>
      </w:tr>
      <w:tr w:rsidR="0049090E" w:rsidRPr="00F708FC" w14:paraId="27C2C23B" w14:textId="77777777">
        <w:trPr>
          <w:tblCellSpacing w:w="15" w:type="dxa"/>
        </w:trPr>
        <w:tc>
          <w:tcPr>
            <w:tcW w:w="0" w:type="auto"/>
            <w:vAlign w:val="center"/>
            <w:hideMark/>
          </w:tcPr>
          <w:p w14:paraId="7E9858CC" w14:textId="77777777" w:rsidR="0049090E" w:rsidRPr="00F708FC" w:rsidRDefault="0049090E" w:rsidP="0049090E">
            <w:pPr>
              <w:rPr>
                <w:rFonts w:ascii="Arial" w:hAnsi="Arial" w:cs="Arial"/>
                <w:sz w:val="22"/>
                <w:szCs w:val="22"/>
              </w:rPr>
            </w:pPr>
            <w:r w:rsidRPr="00F708FC">
              <w:rPr>
                <w:rFonts w:ascii="Arial" w:hAnsi="Arial" w:cs="Arial"/>
                <w:sz w:val="22"/>
                <w:szCs w:val="22"/>
              </w:rPr>
              <w:t>3</w:t>
            </w:r>
          </w:p>
        </w:tc>
        <w:tc>
          <w:tcPr>
            <w:tcW w:w="0" w:type="auto"/>
            <w:vAlign w:val="center"/>
            <w:hideMark/>
          </w:tcPr>
          <w:p w14:paraId="35937841" w14:textId="77777777" w:rsidR="0049090E" w:rsidRPr="00F708FC" w:rsidRDefault="0049090E" w:rsidP="0049090E">
            <w:pPr>
              <w:rPr>
                <w:rFonts w:ascii="Arial" w:hAnsi="Arial" w:cs="Arial"/>
                <w:sz w:val="22"/>
                <w:szCs w:val="22"/>
              </w:rPr>
            </w:pPr>
            <w:r w:rsidRPr="00F708FC">
              <w:rPr>
                <w:rFonts w:ascii="Arial" w:hAnsi="Arial" w:cs="Arial"/>
                <w:sz w:val="22"/>
                <w:szCs w:val="22"/>
              </w:rPr>
              <w:t>Development</w:t>
            </w:r>
          </w:p>
        </w:tc>
        <w:tc>
          <w:tcPr>
            <w:tcW w:w="0" w:type="auto"/>
            <w:vAlign w:val="center"/>
            <w:hideMark/>
          </w:tcPr>
          <w:p w14:paraId="7579300C" w14:textId="77777777" w:rsidR="0049090E" w:rsidRPr="00F708FC" w:rsidRDefault="0049090E" w:rsidP="0049090E">
            <w:pPr>
              <w:rPr>
                <w:rFonts w:ascii="Arial" w:hAnsi="Arial" w:cs="Arial"/>
                <w:sz w:val="22"/>
                <w:szCs w:val="22"/>
              </w:rPr>
            </w:pPr>
            <w:r w:rsidRPr="00F708FC">
              <w:rPr>
                <w:rFonts w:ascii="Arial" w:hAnsi="Arial" w:cs="Arial"/>
                <w:sz w:val="22"/>
                <w:szCs w:val="22"/>
              </w:rPr>
              <w:t>Technology collaboration, supplier reviews, AI testing</w:t>
            </w:r>
          </w:p>
        </w:tc>
        <w:tc>
          <w:tcPr>
            <w:tcW w:w="0" w:type="auto"/>
            <w:vAlign w:val="center"/>
            <w:hideMark/>
          </w:tcPr>
          <w:p w14:paraId="453545C7" w14:textId="77777777" w:rsidR="0049090E" w:rsidRPr="00F708FC" w:rsidRDefault="0049090E" w:rsidP="0049090E">
            <w:pPr>
              <w:rPr>
                <w:rFonts w:ascii="Arial" w:hAnsi="Arial" w:cs="Arial"/>
                <w:sz w:val="22"/>
                <w:szCs w:val="22"/>
              </w:rPr>
            </w:pPr>
            <w:r w:rsidRPr="00F708FC">
              <w:rPr>
                <w:rFonts w:ascii="Arial" w:hAnsi="Arial" w:cs="Arial"/>
                <w:sz w:val="22"/>
                <w:szCs w:val="22"/>
              </w:rPr>
              <w:t>Prototype</w:t>
            </w:r>
          </w:p>
        </w:tc>
      </w:tr>
      <w:tr w:rsidR="0049090E" w:rsidRPr="00F708FC" w14:paraId="08163503" w14:textId="77777777">
        <w:trPr>
          <w:tblCellSpacing w:w="15" w:type="dxa"/>
        </w:trPr>
        <w:tc>
          <w:tcPr>
            <w:tcW w:w="0" w:type="auto"/>
            <w:vAlign w:val="center"/>
            <w:hideMark/>
          </w:tcPr>
          <w:p w14:paraId="75A20A3A" w14:textId="77777777" w:rsidR="0049090E" w:rsidRPr="00F708FC" w:rsidRDefault="0049090E" w:rsidP="0049090E">
            <w:pPr>
              <w:rPr>
                <w:rFonts w:ascii="Arial" w:hAnsi="Arial" w:cs="Arial"/>
                <w:sz w:val="22"/>
                <w:szCs w:val="22"/>
              </w:rPr>
            </w:pPr>
            <w:r w:rsidRPr="00F708FC">
              <w:rPr>
                <w:rFonts w:ascii="Arial" w:hAnsi="Arial" w:cs="Arial"/>
                <w:sz w:val="22"/>
                <w:szCs w:val="22"/>
              </w:rPr>
              <w:t>4</w:t>
            </w:r>
          </w:p>
        </w:tc>
        <w:tc>
          <w:tcPr>
            <w:tcW w:w="0" w:type="auto"/>
            <w:vAlign w:val="center"/>
            <w:hideMark/>
          </w:tcPr>
          <w:p w14:paraId="646F4722" w14:textId="77777777" w:rsidR="0049090E" w:rsidRPr="00F708FC" w:rsidRDefault="0049090E" w:rsidP="0049090E">
            <w:pPr>
              <w:rPr>
                <w:rFonts w:ascii="Arial" w:hAnsi="Arial" w:cs="Arial"/>
                <w:sz w:val="22"/>
                <w:szCs w:val="22"/>
              </w:rPr>
            </w:pPr>
            <w:r w:rsidRPr="00F708FC">
              <w:rPr>
                <w:rFonts w:ascii="Arial" w:hAnsi="Arial" w:cs="Arial"/>
                <w:sz w:val="22"/>
                <w:szCs w:val="22"/>
              </w:rPr>
              <w:t>Pilot preparation</w:t>
            </w:r>
          </w:p>
        </w:tc>
        <w:tc>
          <w:tcPr>
            <w:tcW w:w="0" w:type="auto"/>
            <w:vAlign w:val="center"/>
            <w:hideMark/>
          </w:tcPr>
          <w:p w14:paraId="1C08CB21" w14:textId="77777777" w:rsidR="0049090E" w:rsidRPr="00F708FC" w:rsidRDefault="0049090E" w:rsidP="0049090E">
            <w:pPr>
              <w:rPr>
                <w:rFonts w:ascii="Arial" w:hAnsi="Arial" w:cs="Arial"/>
                <w:sz w:val="22"/>
                <w:szCs w:val="22"/>
              </w:rPr>
            </w:pPr>
            <w:r w:rsidRPr="00F708FC">
              <w:rPr>
                <w:rFonts w:ascii="Arial" w:hAnsi="Arial" w:cs="Arial"/>
                <w:sz w:val="22"/>
                <w:szCs w:val="22"/>
              </w:rPr>
              <w:t>Employee training, privacy testing, accessibility testing</w:t>
            </w:r>
          </w:p>
        </w:tc>
        <w:tc>
          <w:tcPr>
            <w:tcW w:w="0" w:type="auto"/>
            <w:vAlign w:val="center"/>
            <w:hideMark/>
          </w:tcPr>
          <w:p w14:paraId="18657A6C" w14:textId="77777777" w:rsidR="0049090E" w:rsidRPr="00F708FC" w:rsidRDefault="0049090E" w:rsidP="0049090E">
            <w:pPr>
              <w:rPr>
                <w:rFonts w:ascii="Arial" w:hAnsi="Arial" w:cs="Arial"/>
                <w:sz w:val="22"/>
                <w:szCs w:val="22"/>
              </w:rPr>
            </w:pPr>
            <w:r w:rsidRPr="00F708FC">
              <w:rPr>
                <w:rFonts w:ascii="Arial" w:hAnsi="Arial" w:cs="Arial"/>
                <w:sz w:val="22"/>
                <w:szCs w:val="22"/>
              </w:rPr>
              <w:t>Launch readiness</w:t>
            </w:r>
          </w:p>
        </w:tc>
      </w:tr>
      <w:tr w:rsidR="0049090E" w:rsidRPr="00F708FC" w14:paraId="53ED751F" w14:textId="77777777">
        <w:trPr>
          <w:tblCellSpacing w:w="15" w:type="dxa"/>
        </w:trPr>
        <w:tc>
          <w:tcPr>
            <w:tcW w:w="0" w:type="auto"/>
            <w:vAlign w:val="center"/>
            <w:hideMark/>
          </w:tcPr>
          <w:p w14:paraId="56FC7B45" w14:textId="77777777" w:rsidR="0049090E" w:rsidRPr="00F708FC" w:rsidRDefault="0049090E" w:rsidP="0049090E">
            <w:pPr>
              <w:rPr>
                <w:rFonts w:ascii="Arial" w:hAnsi="Arial" w:cs="Arial"/>
                <w:sz w:val="22"/>
                <w:szCs w:val="22"/>
              </w:rPr>
            </w:pPr>
            <w:r w:rsidRPr="00F708FC">
              <w:rPr>
                <w:rFonts w:ascii="Arial" w:hAnsi="Arial" w:cs="Arial"/>
                <w:sz w:val="22"/>
                <w:szCs w:val="22"/>
              </w:rPr>
              <w:t>5</w:t>
            </w:r>
          </w:p>
        </w:tc>
        <w:tc>
          <w:tcPr>
            <w:tcW w:w="0" w:type="auto"/>
            <w:vAlign w:val="center"/>
            <w:hideMark/>
          </w:tcPr>
          <w:p w14:paraId="2F11F556" w14:textId="77777777" w:rsidR="0049090E" w:rsidRPr="00F708FC" w:rsidRDefault="0049090E" w:rsidP="0049090E">
            <w:pPr>
              <w:rPr>
                <w:rFonts w:ascii="Arial" w:hAnsi="Arial" w:cs="Arial"/>
                <w:sz w:val="22"/>
                <w:szCs w:val="22"/>
              </w:rPr>
            </w:pPr>
            <w:r w:rsidRPr="00F708FC">
              <w:rPr>
                <w:rFonts w:ascii="Arial" w:hAnsi="Arial" w:cs="Arial"/>
                <w:sz w:val="22"/>
                <w:szCs w:val="22"/>
              </w:rPr>
              <w:t>Pilot</w:t>
            </w:r>
          </w:p>
        </w:tc>
        <w:tc>
          <w:tcPr>
            <w:tcW w:w="0" w:type="auto"/>
            <w:vAlign w:val="center"/>
            <w:hideMark/>
          </w:tcPr>
          <w:p w14:paraId="5EFDB3F7" w14:textId="77777777" w:rsidR="0049090E" w:rsidRPr="00F708FC" w:rsidRDefault="0049090E" w:rsidP="0049090E">
            <w:pPr>
              <w:rPr>
                <w:rFonts w:ascii="Arial" w:hAnsi="Arial" w:cs="Arial"/>
                <w:sz w:val="22"/>
                <w:szCs w:val="22"/>
              </w:rPr>
            </w:pPr>
            <w:r w:rsidRPr="00F708FC">
              <w:rPr>
                <w:rFonts w:ascii="Arial" w:hAnsi="Arial" w:cs="Arial"/>
                <w:sz w:val="22"/>
                <w:szCs w:val="22"/>
              </w:rPr>
              <w:t>Customer feedback, employee feedback, performance monitoring</w:t>
            </w:r>
          </w:p>
        </w:tc>
        <w:tc>
          <w:tcPr>
            <w:tcW w:w="0" w:type="auto"/>
            <w:vAlign w:val="center"/>
            <w:hideMark/>
          </w:tcPr>
          <w:p w14:paraId="45EDEEC2" w14:textId="77777777" w:rsidR="0049090E" w:rsidRPr="00F708FC" w:rsidRDefault="0049090E" w:rsidP="0049090E">
            <w:pPr>
              <w:rPr>
                <w:rFonts w:ascii="Arial" w:hAnsi="Arial" w:cs="Arial"/>
                <w:sz w:val="22"/>
                <w:szCs w:val="22"/>
              </w:rPr>
            </w:pPr>
            <w:r w:rsidRPr="00F708FC">
              <w:rPr>
                <w:rFonts w:ascii="Arial" w:hAnsi="Arial" w:cs="Arial"/>
                <w:sz w:val="22"/>
                <w:szCs w:val="22"/>
              </w:rPr>
              <w:t>Pilot evaluation</w:t>
            </w:r>
          </w:p>
        </w:tc>
      </w:tr>
      <w:tr w:rsidR="0049090E" w:rsidRPr="00F708FC" w14:paraId="44A50FA9" w14:textId="77777777">
        <w:trPr>
          <w:tblCellSpacing w:w="15" w:type="dxa"/>
        </w:trPr>
        <w:tc>
          <w:tcPr>
            <w:tcW w:w="0" w:type="auto"/>
            <w:vAlign w:val="center"/>
            <w:hideMark/>
          </w:tcPr>
          <w:p w14:paraId="57B30EA3" w14:textId="77777777" w:rsidR="0049090E" w:rsidRPr="00F708FC" w:rsidRDefault="0049090E" w:rsidP="0049090E">
            <w:pPr>
              <w:rPr>
                <w:rFonts w:ascii="Arial" w:hAnsi="Arial" w:cs="Arial"/>
                <w:sz w:val="22"/>
                <w:szCs w:val="22"/>
              </w:rPr>
            </w:pPr>
            <w:r w:rsidRPr="00F708FC">
              <w:rPr>
                <w:rFonts w:ascii="Arial" w:hAnsi="Arial" w:cs="Arial"/>
                <w:sz w:val="22"/>
                <w:szCs w:val="22"/>
              </w:rPr>
              <w:t>6</w:t>
            </w:r>
          </w:p>
        </w:tc>
        <w:tc>
          <w:tcPr>
            <w:tcW w:w="0" w:type="auto"/>
            <w:vAlign w:val="center"/>
            <w:hideMark/>
          </w:tcPr>
          <w:p w14:paraId="0B455E08" w14:textId="77777777" w:rsidR="0049090E" w:rsidRPr="00F708FC" w:rsidRDefault="0049090E" w:rsidP="0049090E">
            <w:pPr>
              <w:rPr>
                <w:rFonts w:ascii="Arial" w:hAnsi="Arial" w:cs="Arial"/>
                <w:sz w:val="22"/>
                <w:szCs w:val="22"/>
              </w:rPr>
            </w:pPr>
            <w:r w:rsidRPr="00F708FC">
              <w:rPr>
                <w:rFonts w:ascii="Arial" w:hAnsi="Arial" w:cs="Arial"/>
                <w:sz w:val="22"/>
                <w:szCs w:val="22"/>
              </w:rPr>
              <w:t>Launch</w:t>
            </w:r>
          </w:p>
        </w:tc>
        <w:tc>
          <w:tcPr>
            <w:tcW w:w="0" w:type="auto"/>
            <w:vAlign w:val="center"/>
            <w:hideMark/>
          </w:tcPr>
          <w:p w14:paraId="7F351213" w14:textId="77777777" w:rsidR="0049090E" w:rsidRPr="00F708FC" w:rsidRDefault="0049090E" w:rsidP="0049090E">
            <w:pPr>
              <w:rPr>
                <w:rFonts w:ascii="Arial" w:hAnsi="Arial" w:cs="Arial"/>
                <w:sz w:val="22"/>
                <w:szCs w:val="22"/>
              </w:rPr>
            </w:pPr>
            <w:r w:rsidRPr="00F708FC">
              <w:rPr>
                <w:rFonts w:ascii="Arial" w:hAnsi="Arial" w:cs="Arial"/>
                <w:sz w:val="22"/>
                <w:szCs w:val="22"/>
              </w:rPr>
              <w:t>Market communications, readiness review, escalation process</w:t>
            </w:r>
          </w:p>
        </w:tc>
        <w:tc>
          <w:tcPr>
            <w:tcW w:w="0" w:type="auto"/>
            <w:vAlign w:val="center"/>
            <w:hideMark/>
          </w:tcPr>
          <w:p w14:paraId="32035372" w14:textId="77777777" w:rsidR="0049090E" w:rsidRPr="00F708FC" w:rsidRDefault="0049090E" w:rsidP="0049090E">
            <w:pPr>
              <w:rPr>
                <w:rFonts w:ascii="Arial" w:hAnsi="Arial" w:cs="Arial"/>
                <w:sz w:val="22"/>
                <w:szCs w:val="22"/>
              </w:rPr>
            </w:pPr>
            <w:r w:rsidRPr="00F708FC">
              <w:rPr>
                <w:rFonts w:ascii="Arial" w:hAnsi="Arial" w:cs="Arial"/>
                <w:sz w:val="22"/>
                <w:szCs w:val="22"/>
              </w:rPr>
              <w:t>Controlled launch</w:t>
            </w:r>
          </w:p>
        </w:tc>
      </w:tr>
    </w:tbl>
    <w:p w14:paraId="0B5698AB" w14:textId="77777777" w:rsidR="0049090E" w:rsidRPr="00F708FC" w:rsidRDefault="0049090E" w:rsidP="0049090E">
      <w:pPr>
        <w:rPr>
          <w:rFonts w:ascii="Arial" w:hAnsi="Arial" w:cs="Arial"/>
          <w:sz w:val="22"/>
          <w:szCs w:val="22"/>
        </w:rPr>
      </w:pPr>
      <w:r w:rsidRPr="00F708FC">
        <w:rPr>
          <w:rFonts w:ascii="Arial" w:hAnsi="Arial" w:cs="Arial"/>
          <w:sz w:val="22"/>
          <w:szCs w:val="22"/>
        </w:rPr>
        <w:t>This approach deliberately prevents the common mistake of engaging stakeholders only after major design decisions have already been made.</w:t>
      </w:r>
    </w:p>
    <w:p w14:paraId="142B9C89"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1F5F4901">
          <v:rect id="_x0000_i1033" style="width:0;height:1.5pt" o:hralign="center" o:hrstd="t" o:hr="t" fillcolor="#a0a0a0" stroked="f"/>
        </w:pict>
      </w:r>
    </w:p>
    <w:p w14:paraId="6820E106"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6. The 4Cs of Stakeholder Engagement</w:t>
      </w:r>
    </w:p>
    <w:p w14:paraId="5065984B"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6.1 Communication</w:t>
      </w:r>
    </w:p>
    <w:p w14:paraId="64904B69"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Communication should ensure that stakeholders understand what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is, why it is being introduced and how decisions affect them.</w:t>
      </w:r>
    </w:p>
    <w:p w14:paraId="0EA9F701" w14:textId="77777777" w:rsidR="0049090E" w:rsidRPr="00F708FC" w:rsidRDefault="0049090E" w:rsidP="0049090E">
      <w:pPr>
        <w:rPr>
          <w:rFonts w:ascii="Arial" w:hAnsi="Arial" w:cs="Arial"/>
          <w:sz w:val="22"/>
          <w:szCs w:val="22"/>
        </w:rPr>
      </w:pPr>
      <w:r w:rsidRPr="00F708FC">
        <w:rPr>
          <w:rFonts w:ascii="Arial" w:hAnsi="Arial" w:cs="Arial"/>
          <w:sz w:val="22"/>
          <w:szCs w:val="22"/>
        </w:rPr>
        <w:t>Senior management should receive monthly dashboards containing cost, benefits, risks, stakeholder readiness and adoption forecasts. Country managers should receive fortnightly implementation updates. Employees should receive practical training, demonstrations and FAQs. Customers should receive clear information about rewards, recommendations and data use.</w:t>
      </w:r>
    </w:p>
    <w:p w14:paraId="29759E82" w14:textId="77777777" w:rsidR="0049090E" w:rsidRPr="00F708FC" w:rsidRDefault="0049090E" w:rsidP="0049090E">
      <w:pPr>
        <w:rPr>
          <w:rFonts w:ascii="Arial" w:hAnsi="Arial" w:cs="Arial"/>
          <w:sz w:val="22"/>
          <w:szCs w:val="22"/>
        </w:rPr>
      </w:pPr>
      <w:r w:rsidRPr="00F708FC">
        <w:rPr>
          <w:rFonts w:ascii="Arial" w:hAnsi="Arial" w:cs="Arial"/>
          <w:sz w:val="22"/>
          <w:szCs w:val="22"/>
        </w:rPr>
        <w:lastRenderedPageBreak/>
        <w:t>However, communication must not become one-way persuasion. Morsing and Schultz (2006) argue that effective stakeholder communication should develop from informing and responding towards involving stakeholders in an iterative two-way process.</w:t>
      </w:r>
    </w:p>
    <w:p w14:paraId="204E9D19"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6.2 Collaboration</w:t>
      </w:r>
    </w:p>
    <w:p w14:paraId="02ED8095" w14:textId="77777777" w:rsidR="0049090E" w:rsidRPr="00F708FC" w:rsidRDefault="0049090E" w:rsidP="0049090E">
      <w:pPr>
        <w:rPr>
          <w:rFonts w:ascii="Arial" w:hAnsi="Arial" w:cs="Arial"/>
          <w:sz w:val="22"/>
          <w:szCs w:val="22"/>
        </w:rPr>
      </w:pPr>
      <w:r w:rsidRPr="00F708FC">
        <w:rPr>
          <w:rFonts w:ascii="Arial" w:hAnsi="Arial" w:cs="Arial"/>
          <w:sz w:val="22"/>
          <w:szCs w:val="22"/>
        </w:rPr>
        <w:t>Collaboration should occur during product design rather than after development.</w:t>
      </w:r>
    </w:p>
    <w:p w14:paraId="6C6A85F4"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 cross-functional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Design Council should include:</w:t>
      </w:r>
    </w:p>
    <w:p w14:paraId="4DA1D9D4"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product management;</w:t>
      </w:r>
    </w:p>
    <w:p w14:paraId="552E720E"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technology;</w:t>
      </w:r>
    </w:p>
    <w:p w14:paraId="71DA6D55"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AI/data;</w:t>
      </w:r>
    </w:p>
    <w:p w14:paraId="63A14572"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marketing;</w:t>
      </w:r>
    </w:p>
    <w:p w14:paraId="3CF21216"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customer service;</w:t>
      </w:r>
    </w:p>
    <w:p w14:paraId="2DACB082"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store operations;</w:t>
      </w:r>
    </w:p>
    <w:p w14:paraId="54FC2EE3"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HR;</w:t>
      </w:r>
    </w:p>
    <w:p w14:paraId="699F9520"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legal/DPO;</w:t>
      </w:r>
    </w:p>
    <w:p w14:paraId="2A28E496"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cybersecurity;</w:t>
      </w:r>
    </w:p>
    <w:p w14:paraId="7DD620E9"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country representatives;</w:t>
      </w:r>
    </w:p>
    <w:p w14:paraId="1AB9835B" w14:textId="77777777" w:rsidR="0049090E" w:rsidRPr="00F708FC" w:rsidRDefault="0049090E" w:rsidP="0049090E">
      <w:pPr>
        <w:numPr>
          <w:ilvl w:val="0"/>
          <w:numId w:val="4"/>
        </w:numPr>
        <w:rPr>
          <w:rFonts w:ascii="Arial" w:hAnsi="Arial" w:cs="Arial"/>
          <w:sz w:val="22"/>
          <w:szCs w:val="22"/>
        </w:rPr>
      </w:pPr>
      <w:r w:rsidRPr="00F708FC">
        <w:rPr>
          <w:rFonts w:ascii="Arial" w:hAnsi="Arial" w:cs="Arial"/>
          <w:sz w:val="22"/>
          <w:szCs w:val="22"/>
        </w:rPr>
        <w:t>customer representatives.</w:t>
      </w:r>
    </w:p>
    <w:p w14:paraId="59F10583" w14:textId="77777777" w:rsidR="0049090E" w:rsidRPr="00F708FC" w:rsidRDefault="0049090E" w:rsidP="0049090E">
      <w:pPr>
        <w:rPr>
          <w:rFonts w:ascii="Arial" w:hAnsi="Arial" w:cs="Arial"/>
          <w:sz w:val="22"/>
          <w:szCs w:val="22"/>
        </w:rPr>
      </w:pPr>
      <w:r w:rsidRPr="00F708FC">
        <w:rPr>
          <w:rFonts w:ascii="Arial" w:hAnsi="Arial" w:cs="Arial"/>
          <w:sz w:val="22"/>
          <w:szCs w:val="22"/>
        </w:rPr>
        <w:t>This structure recognises that different stakeholders hold different forms of knowledge. A developer understands technical limitations, while a store colleague understands customer behaviour and operational reality.</w:t>
      </w:r>
    </w:p>
    <w:p w14:paraId="0E6D490F"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6.3 Consultation</w:t>
      </w:r>
    </w:p>
    <w:p w14:paraId="11988F75" w14:textId="77777777" w:rsidR="0049090E" w:rsidRPr="00F708FC" w:rsidRDefault="0049090E" w:rsidP="0049090E">
      <w:pPr>
        <w:rPr>
          <w:rFonts w:ascii="Arial" w:hAnsi="Arial" w:cs="Arial"/>
          <w:sz w:val="22"/>
          <w:szCs w:val="22"/>
        </w:rPr>
      </w:pPr>
      <w:r w:rsidRPr="00F708FC">
        <w:rPr>
          <w:rFonts w:ascii="Arial" w:hAnsi="Arial" w:cs="Arial"/>
          <w:sz w:val="22"/>
          <w:szCs w:val="22"/>
        </w:rPr>
        <w:t>Customer and employee consultation should include:</w:t>
      </w:r>
    </w:p>
    <w:p w14:paraId="24C4282A"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focus groups;</w:t>
      </w:r>
    </w:p>
    <w:p w14:paraId="144590A1"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usability testing;</w:t>
      </w:r>
    </w:p>
    <w:p w14:paraId="4BCA1AE6"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pilot stores;</w:t>
      </w:r>
    </w:p>
    <w:p w14:paraId="2376BC0E"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privacy research;</w:t>
      </w:r>
    </w:p>
    <w:p w14:paraId="1D19180A"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accessibility testing;</w:t>
      </w:r>
    </w:p>
    <w:p w14:paraId="66BBFEE3"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employee workshops;</w:t>
      </w:r>
    </w:p>
    <w:p w14:paraId="552E40B3" w14:textId="77777777" w:rsidR="0049090E" w:rsidRPr="00F708FC" w:rsidRDefault="0049090E" w:rsidP="0049090E">
      <w:pPr>
        <w:numPr>
          <w:ilvl w:val="0"/>
          <w:numId w:val="5"/>
        </w:numPr>
        <w:rPr>
          <w:rFonts w:ascii="Arial" w:hAnsi="Arial" w:cs="Arial"/>
          <w:sz w:val="22"/>
          <w:szCs w:val="22"/>
        </w:rPr>
      </w:pPr>
      <w:r w:rsidRPr="00F708FC">
        <w:rPr>
          <w:rFonts w:ascii="Arial" w:hAnsi="Arial" w:cs="Arial"/>
          <w:sz w:val="22"/>
          <w:szCs w:val="22"/>
        </w:rPr>
        <w:t>country-level cultural reviews.</w:t>
      </w:r>
    </w:p>
    <w:p w14:paraId="6A7504FE" w14:textId="77777777" w:rsidR="0049090E" w:rsidRPr="00F708FC" w:rsidRDefault="0049090E" w:rsidP="0049090E">
      <w:pPr>
        <w:rPr>
          <w:rFonts w:ascii="Arial" w:hAnsi="Arial" w:cs="Arial"/>
          <w:sz w:val="22"/>
          <w:szCs w:val="22"/>
        </w:rPr>
      </w:pPr>
      <w:r w:rsidRPr="00F708FC">
        <w:rPr>
          <w:rFonts w:ascii="Arial" w:hAnsi="Arial" w:cs="Arial"/>
          <w:sz w:val="22"/>
          <w:szCs w:val="22"/>
        </w:rPr>
        <w:t>Importantly, consultation should have a documented "you said, we did" mechanism. Stakeholders should be able to see which suggestions were adopted, rejected or deferred and why.</w:t>
      </w:r>
    </w:p>
    <w:p w14:paraId="264D68AE" w14:textId="77777777" w:rsidR="0049090E" w:rsidRPr="00F708FC" w:rsidRDefault="0049090E" w:rsidP="0049090E">
      <w:pPr>
        <w:rPr>
          <w:rFonts w:ascii="Arial" w:hAnsi="Arial" w:cs="Arial"/>
          <w:sz w:val="22"/>
          <w:szCs w:val="22"/>
        </w:rPr>
      </w:pPr>
      <w:r w:rsidRPr="00F708FC">
        <w:rPr>
          <w:rFonts w:ascii="Arial" w:hAnsi="Arial" w:cs="Arial"/>
          <w:sz w:val="22"/>
          <w:szCs w:val="22"/>
        </w:rPr>
        <w:t>Without this feedback loop, consultation risks becoming symbolic.</w:t>
      </w:r>
    </w:p>
    <w:p w14:paraId="02B59DF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lastRenderedPageBreak/>
        <w:t>6.4 Commitment</w:t>
      </w:r>
    </w:p>
    <w:p w14:paraId="0C7A2D3B" w14:textId="77777777" w:rsidR="0049090E" w:rsidRPr="00F708FC" w:rsidRDefault="0049090E" w:rsidP="0049090E">
      <w:pPr>
        <w:rPr>
          <w:rFonts w:ascii="Arial" w:hAnsi="Arial" w:cs="Arial"/>
          <w:sz w:val="22"/>
          <w:szCs w:val="22"/>
        </w:rPr>
      </w:pPr>
      <w:r w:rsidRPr="00F708FC">
        <w:rPr>
          <w:rFonts w:ascii="Arial" w:hAnsi="Arial" w:cs="Arial"/>
          <w:sz w:val="22"/>
          <w:szCs w:val="22"/>
        </w:rPr>
        <w:t>Commitment represents the highest level of engagement. It means that stakeholders understand both what TK Maxx promises and what they themselves are responsible for.</w:t>
      </w:r>
    </w:p>
    <w:p w14:paraId="4625E6C2" w14:textId="77777777" w:rsidR="0049090E" w:rsidRPr="00F708FC" w:rsidRDefault="0049090E" w:rsidP="0049090E">
      <w:pPr>
        <w:rPr>
          <w:rFonts w:ascii="Arial" w:hAnsi="Arial" w:cs="Arial"/>
          <w:sz w:val="22"/>
          <w:szCs w:val="22"/>
        </w:rPr>
      </w:pPr>
      <w:r w:rsidRPr="00F708FC">
        <w:rPr>
          <w:rFonts w:ascii="Arial" w:hAnsi="Arial" w:cs="Arial"/>
          <w:sz w:val="22"/>
          <w:szCs w:val="22"/>
        </w:rPr>
        <w:t>For customers, commitment means transparent rewards and meaningful data controls. For employees, it means training and support. For suppliers, it means contractual service and security obligations. For country teams, it means clear authority and accountability.</w:t>
      </w:r>
    </w:p>
    <w:p w14:paraId="37128565"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25805D6B">
          <v:rect id="_x0000_i1034" style="width:0;height:1.5pt" o:hralign="center" o:hrstd="t" o:hr="t" fillcolor="#a0a0a0" stroked="f"/>
        </w:pict>
      </w:r>
    </w:p>
    <w:p w14:paraId="5C9457F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7. RACI Governance Framework</w:t>
      </w:r>
    </w:p>
    <w:p w14:paraId="41FEBA1A" w14:textId="77777777" w:rsidR="0049090E" w:rsidRPr="00F708FC" w:rsidRDefault="0049090E" w:rsidP="0049090E">
      <w:pPr>
        <w:rPr>
          <w:rFonts w:ascii="Arial" w:hAnsi="Arial" w:cs="Arial"/>
          <w:sz w:val="22"/>
          <w:szCs w:val="22"/>
        </w:rPr>
      </w:pPr>
      <w:r w:rsidRPr="00F708FC">
        <w:rPr>
          <w:rFonts w:ascii="Arial" w:hAnsi="Arial" w:cs="Arial"/>
          <w:sz w:val="22"/>
          <w:szCs w:val="22"/>
        </w:rPr>
        <w:t>A RACI model can reduce ambiguity in the global programme.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4"/>
        <w:gridCol w:w="953"/>
        <w:gridCol w:w="1266"/>
        <w:gridCol w:w="537"/>
        <w:gridCol w:w="1100"/>
        <w:gridCol w:w="1173"/>
        <w:gridCol w:w="1303"/>
        <w:gridCol w:w="760"/>
      </w:tblGrid>
      <w:tr w:rsidR="0049090E" w:rsidRPr="00F708FC" w14:paraId="24B0838C" w14:textId="77777777">
        <w:trPr>
          <w:tblHeader/>
          <w:tblCellSpacing w:w="15" w:type="dxa"/>
        </w:trPr>
        <w:tc>
          <w:tcPr>
            <w:tcW w:w="0" w:type="auto"/>
            <w:vAlign w:val="center"/>
            <w:hideMark/>
          </w:tcPr>
          <w:p w14:paraId="6436537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Activity</w:t>
            </w:r>
          </w:p>
        </w:tc>
        <w:tc>
          <w:tcPr>
            <w:tcW w:w="0" w:type="auto"/>
            <w:vAlign w:val="center"/>
            <w:hideMark/>
          </w:tcPr>
          <w:p w14:paraId="132C8B7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Sponsor</w:t>
            </w:r>
          </w:p>
        </w:tc>
        <w:tc>
          <w:tcPr>
            <w:tcW w:w="0" w:type="auto"/>
            <w:vAlign w:val="center"/>
            <w:hideMark/>
          </w:tcPr>
          <w:p w14:paraId="2EEE430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Project Manager</w:t>
            </w:r>
          </w:p>
        </w:tc>
        <w:tc>
          <w:tcPr>
            <w:tcW w:w="0" w:type="auto"/>
            <w:vAlign w:val="center"/>
            <w:hideMark/>
          </w:tcPr>
          <w:p w14:paraId="058DEFE9"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IT/AI</w:t>
            </w:r>
          </w:p>
        </w:tc>
        <w:tc>
          <w:tcPr>
            <w:tcW w:w="0" w:type="auto"/>
            <w:vAlign w:val="center"/>
            <w:hideMark/>
          </w:tcPr>
          <w:p w14:paraId="31396FFF"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Marketing</w:t>
            </w:r>
          </w:p>
        </w:tc>
        <w:tc>
          <w:tcPr>
            <w:tcW w:w="0" w:type="auto"/>
            <w:vAlign w:val="center"/>
            <w:hideMark/>
          </w:tcPr>
          <w:p w14:paraId="038A65E1"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DPO/Legal</w:t>
            </w:r>
          </w:p>
        </w:tc>
        <w:tc>
          <w:tcPr>
            <w:tcW w:w="0" w:type="auto"/>
            <w:vAlign w:val="center"/>
            <w:hideMark/>
          </w:tcPr>
          <w:p w14:paraId="6F730CD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Country Manager</w:t>
            </w:r>
          </w:p>
        </w:tc>
        <w:tc>
          <w:tcPr>
            <w:tcW w:w="0" w:type="auto"/>
            <w:vAlign w:val="center"/>
            <w:hideMark/>
          </w:tcPr>
          <w:p w14:paraId="2BC0F62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Stores</w:t>
            </w:r>
          </w:p>
        </w:tc>
      </w:tr>
      <w:tr w:rsidR="0049090E" w:rsidRPr="00F708FC" w14:paraId="431EFABC" w14:textId="77777777">
        <w:trPr>
          <w:tblCellSpacing w:w="15" w:type="dxa"/>
        </w:trPr>
        <w:tc>
          <w:tcPr>
            <w:tcW w:w="0" w:type="auto"/>
            <w:vAlign w:val="center"/>
            <w:hideMark/>
          </w:tcPr>
          <w:p w14:paraId="22B366FB" w14:textId="77777777" w:rsidR="0049090E" w:rsidRPr="00F708FC" w:rsidRDefault="0049090E" w:rsidP="0049090E">
            <w:pPr>
              <w:rPr>
                <w:rFonts w:ascii="Arial" w:hAnsi="Arial" w:cs="Arial"/>
                <w:sz w:val="22"/>
                <w:szCs w:val="22"/>
              </w:rPr>
            </w:pPr>
            <w:r w:rsidRPr="00F708FC">
              <w:rPr>
                <w:rFonts w:ascii="Arial" w:hAnsi="Arial" w:cs="Arial"/>
                <w:sz w:val="22"/>
                <w:szCs w:val="22"/>
              </w:rPr>
              <w:t>Business case</w:t>
            </w:r>
          </w:p>
        </w:tc>
        <w:tc>
          <w:tcPr>
            <w:tcW w:w="0" w:type="auto"/>
            <w:vAlign w:val="center"/>
            <w:hideMark/>
          </w:tcPr>
          <w:p w14:paraId="57826BD8"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4170344E"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08937153"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1B6F4097"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160DA69E"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24BDB2FF"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1C88B1F0"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r>
      <w:tr w:rsidR="0049090E" w:rsidRPr="00F708FC" w14:paraId="534BF22D" w14:textId="77777777">
        <w:trPr>
          <w:tblCellSpacing w:w="15" w:type="dxa"/>
        </w:trPr>
        <w:tc>
          <w:tcPr>
            <w:tcW w:w="0" w:type="auto"/>
            <w:vAlign w:val="center"/>
            <w:hideMark/>
          </w:tcPr>
          <w:p w14:paraId="1685E121" w14:textId="77777777" w:rsidR="0049090E" w:rsidRPr="00F708FC" w:rsidRDefault="0049090E" w:rsidP="0049090E">
            <w:pPr>
              <w:rPr>
                <w:rFonts w:ascii="Arial" w:hAnsi="Arial" w:cs="Arial"/>
                <w:sz w:val="22"/>
                <w:szCs w:val="22"/>
              </w:rPr>
            </w:pPr>
            <w:r w:rsidRPr="00F708FC">
              <w:rPr>
                <w:rFonts w:ascii="Arial" w:hAnsi="Arial" w:cs="Arial"/>
                <w:sz w:val="22"/>
                <w:szCs w:val="22"/>
              </w:rPr>
              <w:t>Platform design</w:t>
            </w:r>
          </w:p>
        </w:tc>
        <w:tc>
          <w:tcPr>
            <w:tcW w:w="0" w:type="auto"/>
            <w:vAlign w:val="center"/>
            <w:hideMark/>
          </w:tcPr>
          <w:p w14:paraId="291A78DF"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c>
          <w:tcPr>
            <w:tcW w:w="0" w:type="auto"/>
            <w:vAlign w:val="center"/>
            <w:hideMark/>
          </w:tcPr>
          <w:p w14:paraId="779BBA3B"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2C44649E"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56D4CC8D"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3CB81E2E"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7E6AA632"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5C76C40C"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r>
      <w:tr w:rsidR="0049090E" w:rsidRPr="00F708FC" w14:paraId="062D299B" w14:textId="77777777">
        <w:trPr>
          <w:tblCellSpacing w:w="15" w:type="dxa"/>
        </w:trPr>
        <w:tc>
          <w:tcPr>
            <w:tcW w:w="0" w:type="auto"/>
            <w:vAlign w:val="center"/>
            <w:hideMark/>
          </w:tcPr>
          <w:p w14:paraId="23967ED1" w14:textId="77777777" w:rsidR="0049090E" w:rsidRPr="00F708FC" w:rsidRDefault="0049090E" w:rsidP="0049090E">
            <w:pPr>
              <w:rPr>
                <w:rFonts w:ascii="Arial" w:hAnsi="Arial" w:cs="Arial"/>
                <w:sz w:val="22"/>
                <w:szCs w:val="22"/>
              </w:rPr>
            </w:pPr>
            <w:r w:rsidRPr="00F708FC">
              <w:rPr>
                <w:rFonts w:ascii="Arial" w:hAnsi="Arial" w:cs="Arial"/>
                <w:sz w:val="22"/>
                <w:szCs w:val="22"/>
              </w:rPr>
              <w:t>AI approval</w:t>
            </w:r>
          </w:p>
        </w:tc>
        <w:tc>
          <w:tcPr>
            <w:tcW w:w="0" w:type="auto"/>
            <w:vAlign w:val="center"/>
            <w:hideMark/>
          </w:tcPr>
          <w:p w14:paraId="5F8BE2ED"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c>
          <w:tcPr>
            <w:tcW w:w="0" w:type="auto"/>
            <w:vAlign w:val="center"/>
            <w:hideMark/>
          </w:tcPr>
          <w:p w14:paraId="148D977C"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16F92D6A"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70500C47"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9F3F8A7"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2F96F80F"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DB725AD"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r>
      <w:tr w:rsidR="0049090E" w:rsidRPr="00F708FC" w14:paraId="02ED0A7D" w14:textId="77777777">
        <w:trPr>
          <w:tblCellSpacing w:w="15" w:type="dxa"/>
        </w:trPr>
        <w:tc>
          <w:tcPr>
            <w:tcW w:w="0" w:type="auto"/>
            <w:vAlign w:val="center"/>
            <w:hideMark/>
          </w:tcPr>
          <w:p w14:paraId="0DA1C4ED" w14:textId="77777777" w:rsidR="0049090E" w:rsidRPr="00F708FC" w:rsidRDefault="0049090E" w:rsidP="0049090E">
            <w:pPr>
              <w:rPr>
                <w:rFonts w:ascii="Arial" w:hAnsi="Arial" w:cs="Arial"/>
                <w:sz w:val="22"/>
                <w:szCs w:val="22"/>
              </w:rPr>
            </w:pPr>
            <w:r w:rsidRPr="00F708FC">
              <w:rPr>
                <w:rFonts w:ascii="Arial" w:hAnsi="Arial" w:cs="Arial"/>
                <w:sz w:val="22"/>
                <w:szCs w:val="22"/>
              </w:rPr>
              <w:t>Privacy assessment</w:t>
            </w:r>
          </w:p>
        </w:tc>
        <w:tc>
          <w:tcPr>
            <w:tcW w:w="0" w:type="auto"/>
            <w:vAlign w:val="center"/>
            <w:hideMark/>
          </w:tcPr>
          <w:p w14:paraId="120C729F"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c>
          <w:tcPr>
            <w:tcW w:w="0" w:type="auto"/>
            <w:vAlign w:val="center"/>
            <w:hideMark/>
          </w:tcPr>
          <w:p w14:paraId="0295EBEC"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C886C04"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28A4A089"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EAF7266" w14:textId="77777777" w:rsidR="0049090E" w:rsidRPr="00F708FC" w:rsidRDefault="0049090E" w:rsidP="0049090E">
            <w:pPr>
              <w:rPr>
                <w:rFonts w:ascii="Arial" w:hAnsi="Arial" w:cs="Arial"/>
                <w:sz w:val="22"/>
                <w:szCs w:val="22"/>
              </w:rPr>
            </w:pPr>
            <w:r w:rsidRPr="00F708FC">
              <w:rPr>
                <w:rFonts w:ascii="Arial" w:hAnsi="Arial" w:cs="Arial"/>
                <w:sz w:val="22"/>
                <w:szCs w:val="22"/>
              </w:rPr>
              <w:t>A/R</w:t>
            </w:r>
          </w:p>
        </w:tc>
        <w:tc>
          <w:tcPr>
            <w:tcW w:w="0" w:type="auto"/>
            <w:vAlign w:val="center"/>
            <w:hideMark/>
          </w:tcPr>
          <w:p w14:paraId="3BC48999"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7DDF848D"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r>
      <w:tr w:rsidR="0049090E" w:rsidRPr="00F708FC" w14:paraId="688F1239" w14:textId="77777777">
        <w:trPr>
          <w:tblCellSpacing w:w="15" w:type="dxa"/>
        </w:trPr>
        <w:tc>
          <w:tcPr>
            <w:tcW w:w="0" w:type="auto"/>
            <w:vAlign w:val="center"/>
            <w:hideMark/>
          </w:tcPr>
          <w:p w14:paraId="5AB81B3A" w14:textId="77777777" w:rsidR="0049090E" w:rsidRPr="00F708FC" w:rsidRDefault="0049090E" w:rsidP="0049090E">
            <w:pPr>
              <w:rPr>
                <w:rFonts w:ascii="Arial" w:hAnsi="Arial" w:cs="Arial"/>
                <w:sz w:val="22"/>
                <w:szCs w:val="22"/>
              </w:rPr>
            </w:pPr>
            <w:r w:rsidRPr="00F708FC">
              <w:rPr>
                <w:rFonts w:ascii="Arial" w:hAnsi="Arial" w:cs="Arial"/>
                <w:sz w:val="22"/>
                <w:szCs w:val="22"/>
              </w:rPr>
              <w:t>Pilot</w:t>
            </w:r>
          </w:p>
        </w:tc>
        <w:tc>
          <w:tcPr>
            <w:tcW w:w="0" w:type="auto"/>
            <w:vAlign w:val="center"/>
            <w:hideMark/>
          </w:tcPr>
          <w:p w14:paraId="63F9544A"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6F239204"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42A59C50"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666A8273"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1F1B6A5E"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79CC63E6"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312160E6"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r>
      <w:tr w:rsidR="0049090E" w:rsidRPr="00F708FC" w14:paraId="24482539" w14:textId="77777777">
        <w:trPr>
          <w:tblCellSpacing w:w="15" w:type="dxa"/>
        </w:trPr>
        <w:tc>
          <w:tcPr>
            <w:tcW w:w="0" w:type="auto"/>
            <w:vAlign w:val="center"/>
            <w:hideMark/>
          </w:tcPr>
          <w:p w14:paraId="53BAF729" w14:textId="77777777" w:rsidR="0049090E" w:rsidRPr="00F708FC" w:rsidRDefault="0049090E" w:rsidP="0049090E">
            <w:pPr>
              <w:rPr>
                <w:rFonts w:ascii="Arial" w:hAnsi="Arial" w:cs="Arial"/>
                <w:sz w:val="22"/>
                <w:szCs w:val="22"/>
              </w:rPr>
            </w:pPr>
            <w:r w:rsidRPr="00F708FC">
              <w:rPr>
                <w:rFonts w:ascii="Arial" w:hAnsi="Arial" w:cs="Arial"/>
                <w:sz w:val="22"/>
                <w:szCs w:val="22"/>
              </w:rPr>
              <w:t>Training</w:t>
            </w:r>
          </w:p>
        </w:tc>
        <w:tc>
          <w:tcPr>
            <w:tcW w:w="0" w:type="auto"/>
            <w:vAlign w:val="center"/>
            <w:hideMark/>
          </w:tcPr>
          <w:p w14:paraId="46A8D3A9"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c>
          <w:tcPr>
            <w:tcW w:w="0" w:type="auto"/>
            <w:vAlign w:val="center"/>
            <w:hideMark/>
          </w:tcPr>
          <w:p w14:paraId="55CCC639"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2BDD4BA7"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63AC226D"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5DB1AADA"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03F465AF"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51EDA10C"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r>
      <w:tr w:rsidR="0049090E" w:rsidRPr="00F708FC" w14:paraId="7D8A0A35" w14:textId="77777777">
        <w:trPr>
          <w:tblCellSpacing w:w="15" w:type="dxa"/>
        </w:trPr>
        <w:tc>
          <w:tcPr>
            <w:tcW w:w="0" w:type="auto"/>
            <w:vAlign w:val="center"/>
            <w:hideMark/>
          </w:tcPr>
          <w:p w14:paraId="7EC8C9B4" w14:textId="77777777" w:rsidR="0049090E" w:rsidRPr="00F708FC" w:rsidRDefault="0049090E" w:rsidP="0049090E">
            <w:pPr>
              <w:rPr>
                <w:rFonts w:ascii="Arial" w:hAnsi="Arial" w:cs="Arial"/>
                <w:sz w:val="22"/>
                <w:szCs w:val="22"/>
              </w:rPr>
            </w:pPr>
            <w:r w:rsidRPr="00F708FC">
              <w:rPr>
                <w:rFonts w:ascii="Arial" w:hAnsi="Arial" w:cs="Arial"/>
                <w:sz w:val="22"/>
                <w:szCs w:val="22"/>
              </w:rPr>
              <w:t>Customer communication</w:t>
            </w:r>
          </w:p>
        </w:tc>
        <w:tc>
          <w:tcPr>
            <w:tcW w:w="0" w:type="auto"/>
            <w:vAlign w:val="center"/>
            <w:hideMark/>
          </w:tcPr>
          <w:p w14:paraId="77EF01F6"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272B3913"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4039475F"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7073ED90"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2A6D964A"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92B5ACA"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1F46E348" w14:textId="77777777" w:rsidR="0049090E" w:rsidRPr="00F708FC" w:rsidRDefault="0049090E" w:rsidP="0049090E">
            <w:pPr>
              <w:rPr>
                <w:rFonts w:ascii="Arial" w:hAnsi="Arial" w:cs="Arial"/>
                <w:sz w:val="22"/>
                <w:szCs w:val="22"/>
              </w:rPr>
            </w:pPr>
            <w:r w:rsidRPr="00F708FC">
              <w:rPr>
                <w:rFonts w:ascii="Arial" w:hAnsi="Arial" w:cs="Arial"/>
                <w:sz w:val="22"/>
                <w:szCs w:val="22"/>
              </w:rPr>
              <w:t>I</w:t>
            </w:r>
          </w:p>
        </w:tc>
      </w:tr>
      <w:tr w:rsidR="0049090E" w:rsidRPr="00F708FC" w14:paraId="613F8693" w14:textId="77777777">
        <w:trPr>
          <w:tblCellSpacing w:w="15" w:type="dxa"/>
        </w:trPr>
        <w:tc>
          <w:tcPr>
            <w:tcW w:w="0" w:type="auto"/>
            <w:vAlign w:val="center"/>
            <w:hideMark/>
          </w:tcPr>
          <w:p w14:paraId="33B69747" w14:textId="77777777" w:rsidR="0049090E" w:rsidRPr="00F708FC" w:rsidRDefault="0049090E" w:rsidP="0049090E">
            <w:pPr>
              <w:rPr>
                <w:rFonts w:ascii="Arial" w:hAnsi="Arial" w:cs="Arial"/>
                <w:sz w:val="22"/>
                <w:szCs w:val="22"/>
              </w:rPr>
            </w:pPr>
            <w:r w:rsidRPr="00F708FC">
              <w:rPr>
                <w:rFonts w:ascii="Arial" w:hAnsi="Arial" w:cs="Arial"/>
                <w:sz w:val="22"/>
                <w:szCs w:val="22"/>
              </w:rPr>
              <w:t>Launch</w:t>
            </w:r>
          </w:p>
        </w:tc>
        <w:tc>
          <w:tcPr>
            <w:tcW w:w="0" w:type="auto"/>
            <w:vAlign w:val="center"/>
            <w:hideMark/>
          </w:tcPr>
          <w:p w14:paraId="7ED65ABA"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00638CE8"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06215329"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47800C2F"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16604972"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06EE49FF"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7E997C39"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r>
      <w:tr w:rsidR="0049090E" w:rsidRPr="00F708FC" w14:paraId="06B9229C" w14:textId="77777777">
        <w:trPr>
          <w:tblCellSpacing w:w="15" w:type="dxa"/>
        </w:trPr>
        <w:tc>
          <w:tcPr>
            <w:tcW w:w="0" w:type="auto"/>
            <w:vAlign w:val="center"/>
            <w:hideMark/>
          </w:tcPr>
          <w:p w14:paraId="5D1A9695" w14:textId="77777777" w:rsidR="0049090E" w:rsidRPr="00F708FC" w:rsidRDefault="0049090E" w:rsidP="0049090E">
            <w:pPr>
              <w:rPr>
                <w:rFonts w:ascii="Arial" w:hAnsi="Arial" w:cs="Arial"/>
                <w:sz w:val="22"/>
                <w:szCs w:val="22"/>
              </w:rPr>
            </w:pPr>
            <w:r w:rsidRPr="00F708FC">
              <w:rPr>
                <w:rFonts w:ascii="Arial" w:hAnsi="Arial" w:cs="Arial"/>
                <w:sz w:val="22"/>
                <w:szCs w:val="22"/>
              </w:rPr>
              <w:t>Post-launch evaluation</w:t>
            </w:r>
          </w:p>
        </w:tc>
        <w:tc>
          <w:tcPr>
            <w:tcW w:w="0" w:type="auto"/>
            <w:vAlign w:val="center"/>
            <w:hideMark/>
          </w:tcPr>
          <w:p w14:paraId="600FC285" w14:textId="77777777" w:rsidR="0049090E" w:rsidRPr="00F708FC" w:rsidRDefault="0049090E" w:rsidP="0049090E">
            <w:pPr>
              <w:rPr>
                <w:rFonts w:ascii="Arial" w:hAnsi="Arial" w:cs="Arial"/>
                <w:sz w:val="22"/>
                <w:szCs w:val="22"/>
              </w:rPr>
            </w:pPr>
            <w:r w:rsidRPr="00F708FC">
              <w:rPr>
                <w:rFonts w:ascii="Arial" w:hAnsi="Arial" w:cs="Arial"/>
                <w:sz w:val="22"/>
                <w:szCs w:val="22"/>
              </w:rPr>
              <w:t>A</w:t>
            </w:r>
          </w:p>
        </w:tc>
        <w:tc>
          <w:tcPr>
            <w:tcW w:w="0" w:type="auto"/>
            <w:vAlign w:val="center"/>
            <w:hideMark/>
          </w:tcPr>
          <w:p w14:paraId="57A653D6"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22EB2BAF"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32F7A47A"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616DB63C"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c>
          <w:tcPr>
            <w:tcW w:w="0" w:type="auto"/>
            <w:vAlign w:val="center"/>
            <w:hideMark/>
          </w:tcPr>
          <w:p w14:paraId="48F4F470" w14:textId="77777777" w:rsidR="0049090E" w:rsidRPr="00F708FC" w:rsidRDefault="0049090E" w:rsidP="0049090E">
            <w:pPr>
              <w:rPr>
                <w:rFonts w:ascii="Arial" w:hAnsi="Arial" w:cs="Arial"/>
                <w:sz w:val="22"/>
                <w:szCs w:val="22"/>
              </w:rPr>
            </w:pPr>
            <w:r w:rsidRPr="00F708FC">
              <w:rPr>
                <w:rFonts w:ascii="Arial" w:hAnsi="Arial" w:cs="Arial"/>
                <w:sz w:val="22"/>
                <w:szCs w:val="22"/>
              </w:rPr>
              <w:t>R</w:t>
            </w:r>
          </w:p>
        </w:tc>
        <w:tc>
          <w:tcPr>
            <w:tcW w:w="0" w:type="auto"/>
            <w:vAlign w:val="center"/>
            <w:hideMark/>
          </w:tcPr>
          <w:p w14:paraId="785241F4" w14:textId="77777777" w:rsidR="0049090E" w:rsidRPr="00F708FC" w:rsidRDefault="0049090E" w:rsidP="0049090E">
            <w:pPr>
              <w:rPr>
                <w:rFonts w:ascii="Arial" w:hAnsi="Arial" w:cs="Arial"/>
                <w:sz w:val="22"/>
                <w:szCs w:val="22"/>
              </w:rPr>
            </w:pPr>
            <w:r w:rsidRPr="00F708FC">
              <w:rPr>
                <w:rFonts w:ascii="Arial" w:hAnsi="Arial" w:cs="Arial"/>
                <w:sz w:val="22"/>
                <w:szCs w:val="22"/>
              </w:rPr>
              <w:t>C</w:t>
            </w:r>
          </w:p>
        </w:tc>
      </w:tr>
    </w:tbl>
    <w:p w14:paraId="07715C9E" w14:textId="77777777" w:rsidR="0049090E" w:rsidRPr="00F708FC" w:rsidRDefault="0049090E" w:rsidP="0049090E">
      <w:pPr>
        <w:rPr>
          <w:rFonts w:ascii="Arial" w:hAnsi="Arial" w:cs="Arial"/>
          <w:sz w:val="22"/>
          <w:szCs w:val="22"/>
        </w:rPr>
      </w:pPr>
      <w:r w:rsidRPr="00F708FC">
        <w:rPr>
          <w:rFonts w:ascii="Arial" w:hAnsi="Arial" w:cs="Arial"/>
          <w:b/>
          <w:bCs/>
          <w:sz w:val="22"/>
          <w:szCs w:val="22"/>
        </w:rPr>
        <w:t>R = Responsible; A = Accountable; C = Consulted; I = Informed.</w:t>
      </w:r>
    </w:p>
    <w:p w14:paraId="22FAD7BE" w14:textId="77777777" w:rsidR="0049090E" w:rsidRPr="00F708FC" w:rsidRDefault="0049090E" w:rsidP="0049090E">
      <w:pPr>
        <w:rPr>
          <w:rFonts w:ascii="Arial" w:hAnsi="Arial" w:cs="Arial"/>
          <w:sz w:val="22"/>
          <w:szCs w:val="22"/>
        </w:rPr>
      </w:pPr>
      <w:r w:rsidRPr="00F708FC">
        <w:rPr>
          <w:rFonts w:ascii="Arial" w:hAnsi="Arial" w:cs="Arial"/>
          <w:sz w:val="22"/>
          <w:szCs w:val="22"/>
        </w:rPr>
        <w:t>The RACI model should not become excessively bureaucratic. Its purpose is to clarify accountability, particularly where global and local teams overlap.</w:t>
      </w:r>
    </w:p>
    <w:p w14:paraId="0C334C4C"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488C923C">
          <v:rect id="_x0000_i1035" style="width:0;height:1.5pt" o:hralign="center" o:hrstd="t" o:hr="t" fillcolor="#a0a0a0" stroked="f"/>
        </w:pict>
      </w:r>
    </w:p>
    <w:p w14:paraId="2702C2E6"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8. Managing International and Cultural Differences</w:t>
      </w:r>
    </w:p>
    <w:p w14:paraId="2FFBA961"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international nature of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means that stakeholder engagement cannot be based on a purely UK-centric model.</w:t>
      </w:r>
    </w:p>
    <w:p w14:paraId="649DAE13" w14:textId="77777777" w:rsidR="0049090E" w:rsidRPr="00F708FC" w:rsidRDefault="0049090E" w:rsidP="0049090E">
      <w:pPr>
        <w:rPr>
          <w:rFonts w:ascii="Arial" w:hAnsi="Arial" w:cs="Arial"/>
          <w:sz w:val="22"/>
          <w:szCs w:val="22"/>
        </w:rPr>
      </w:pPr>
      <w:r w:rsidRPr="00F708FC">
        <w:rPr>
          <w:rFonts w:ascii="Arial" w:hAnsi="Arial" w:cs="Arial"/>
          <w:sz w:val="22"/>
          <w:szCs w:val="22"/>
        </w:rPr>
        <w:t>TK Maxx currently operates across the UK, Ireland, Germany, Poland, Austria, the Netherlands and Spain, with e-commerce in the UK, Germany and Austria (TJX, 2026a).</w:t>
      </w:r>
    </w:p>
    <w:p w14:paraId="102C05D1" w14:textId="77777777" w:rsidR="0049090E" w:rsidRPr="00F708FC" w:rsidRDefault="0049090E" w:rsidP="0049090E">
      <w:pPr>
        <w:rPr>
          <w:rFonts w:ascii="Arial" w:hAnsi="Arial" w:cs="Arial"/>
          <w:sz w:val="22"/>
          <w:szCs w:val="22"/>
        </w:rPr>
      </w:pPr>
      <w:r w:rsidRPr="00F708FC">
        <w:rPr>
          <w:rFonts w:ascii="Arial" w:hAnsi="Arial" w:cs="Arial"/>
          <w:sz w:val="22"/>
          <w:szCs w:val="22"/>
        </w:rPr>
        <w:lastRenderedPageBreak/>
        <w:t>Customers across these markets may differ in their expectations of privacy, digital communication, loyalty rewards and customer service. Consequently, a standardised global product should not mean a completely standardised stakeholder experience.</w:t>
      </w:r>
    </w:p>
    <w:p w14:paraId="03E7E085"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recommended approach is </w:t>
      </w:r>
      <w:r w:rsidRPr="00F708FC">
        <w:rPr>
          <w:rFonts w:ascii="Arial" w:hAnsi="Arial" w:cs="Arial"/>
          <w:b/>
          <w:bCs/>
          <w:sz w:val="22"/>
          <w:szCs w:val="22"/>
        </w:rPr>
        <w:t>"global principles, local adaptation."</w:t>
      </w:r>
    </w:p>
    <w:p w14:paraId="719D0DA1" w14:textId="77777777" w:rsidR="0049090E" w:rsidRPr="00F708FC" w:rsidRDefault="0049090E" w:rsidP="0049090E">
      <w:pPr>
        <w:rPr>
          <w:rFonts w:ascii="Arial" w:hAnsi="Arial" w:cs="Arial"/>
          <w:sz w:val="22"/>
          <w:szCs w:val="22"/>
        </w:rPr>
      </w:pPr>
      <w:r w:rsidRPr="00F708FC">
        <w:rPr>
          <w:rFonts w:ascii="Arial" w:hAnsi="Arial" w:cs="Arial"/>
          <w:sz w:val="22"/>
          <w:szCs w:val="22"/>
        </w:rPr>
        <w:t>Global principles should cover:</w:t>
      </w:r>
    </w:p>
    <w:p w14:paraId="3120C5FC"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cybersecurity;</w:t>
      </w:r>
    </w:p>
    <w:p w14:paraId="51582EFC"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privacy;</w:t>
      </w:r>
    </w:p>
    <w:p w14:paraId="3F0F5C9A"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AI governance;</w:t>
      </w:r>
    </w:p>
    <w:p w14:paraId="4B605EBB"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brand standards;</w:t>
      </w:r>
    </w:p>
    <w:p w14:paraId="4B1EFD28"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core technology architecture;</w:t>
      </w:r>
    </w:p>
    <w:p w14:paraId="7EE2BD78"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accessibility requirements;</w:t>
      </w:r>
    </w:p>
    <w:p w14:paraId="5B8BB1E8" w14:textId="77777777" w:rsidR="0049090E" w:rsidRPr="00F708FC" w:rsidRDefault="0049090E" w:rsidP="0049090E">
      <w:pPr>
        <w:numPr>
          <w:ilvl w:val="0"/>
          <w:numId w:val="6"/>
        </w:numPr>
        <w:rPr>
          <w:rFonts w:ascii="Arial" w:hAnsi="Arial" w:cs="Arial"/>
          <w:sz w:val="22"/>
          <w:szCs w:val="22"/>
        </w:rPr>
      </w:pPr>
      <w:r w:rsidRPr="00F708FC">
        <w:rPr>
          <w:rFonts w:ascii="Arial" w:hAnsi="Arial" w:cs="Arial"/>
          <w:sz w:val="22"/>
          <w:szCs w:val="22"/>
        </w:rPr>
        <w:t>minimum customer protections.</w:t>
      </w:r>
    </w:p>
    <w:p w14:paraId="1935014D" w14:textId="77777777" w:rsidR="0049090E" w:rsidRPr="00F708FC" w:rsidRDefault="0049090E" w:rsidP="0049090E">
      <w:pPr>
        <w:rPr>
          <w:rFonts w:ascii="Arial" w:hAnsi="Arial" w:cs="Arial"/>
          <w:sz w:val="22"/>
          <w:szCs w:val="22"/>
        </w:rPr>
      </w:pPr>
      <w:r w:rsidRPr="00F708FC">
        <w:rPr>
          <w:rFonts w:ascii="Arial" w:hAnsi="Arial" w:cs="Arial"/>
          <w:sz w:val="22"/>
          <w:szCs w:val="22"/>
        </w:rPr>
        <w:t>Local teams should have influence over:</w:t>
      </w:r>
    </w:p>
    <w:p w14:paraId="217FAFA8"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communication style;</w:t>
      </w:r>
    </w:p>
    <w:p w14:paraId="3A827ADA"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language;</w:t>
      </w:r>
    </w:p>
    <w:p w14:paraId="3AAFC73A"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reward presentation;</w:t>
      </w:r>
    </w:p>
    <w:p w14:paraId="047AC13C"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campaign timing;</w:t>
      </w:r>
    </w:p>
    <w:p w14:paraId="7453C102"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customer-service processes;</w:t>
      </w:r>
    </w:p>
    <w:p w14:paraId="4C205BFE"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cultural imagery;</w:t>
      </w:r>
    </w:p>
    <w:p w14:paraId="1075F944" w14:textId="77777777" w:rsidR="0049090E" w:rsidRPr="00F708FC" w:rsidRDefault="0049090E" w:rsidP="0049090E">
      <w:pPr>
        <w:numPr>
          <w:ilvl w:val="0"/>
          <w:numId w:val="7"/>
        </w:numPr>
        <w:rPr>
          <w:rFonts w:ascii="Arial" w:hAnsi="Arial" w:cs="Arial"/>
          <w:sz w:val="22"/>
          <w:szCs w:val="22"/>
        </w:rPr>
      </w:pPr>
      <w:r w:rsidRPr="00F708FC">
        <w:rPr>
          <w:rFonts w:ascii="Arial" w:hAnsi="Arial" w:cs="Arial"/>
          <w:sz w:val="22"/>
          <w:szCs w:val="22"/>
        </w:rPr>
        <w:t>market-specific usability requirements.</w:t>
      </w:r>
    </w:p>
    <w:p w14:paraId="18E85EF3"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Country-level </w:t>
      </w:r>
      <w:r w:rsidRPr="00F708FC">
        <w:rPr>
          <w:rFonts w:ascii="Arial" w:hAnsi="Arial" w:cs="Arial"/>
          <w:b/>
          <w:bCs/>
          <w:sz w:val="22"/>
          <w:szCs w:val="22"/>
        </w:rPr>
        <w:t>Market Stakeholder Councils</w:t>
      </w:r>
      <w:r w:rsidRPr="00F708FC">
        <w:rPr>
          <w:rFonts w:ascii="Arial" w:hAnsi="Arial" w:cs="Arial"/>
          <w:sz w:val="22"/>
          <w:szCs w:val="22"/>
        </w:rPr>
        <w:t xml:space="preserve"> should review these issues before launch.</w:t>
      </w:r>
    </w:p>
    <w:p w14:paraId="258F616D" w14:textId="77777777" w:rsidR="0049090E" w:rsidRPr="00F708FC" w:rsidRDefault="0049090E" w:rsidP="0049090E">
      <w:pPr>
        <w:rPr>
          <w:rFonts w:ascii="Arial" w:hAnsi="Arial" w:cs="Arial"/>
          <w:sz w:val="22"/>
          <w:szCs w:val="22"/>
        </w:rPr>
      </w:pPr>
      <w:r w:rsidRPr="00F708FC">
        <w:rPr>
          <w:rFonts w:ascii="Arial" w:hAnsi="Arial" w:cs="Arial"/>
          <w:sz w:val="22"/>
          <w:szCs w:val="22"/>
        </w:rPr>
        <w:t>This balances global integration with local responsiveness. Excessive standardisation risks cultural misalignment, whereas excessive localisation increases cost and technical complexity.</w:t>
      </w:r>
    </w:p>
    <w:p w14:paraId="08996193"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53D2E2C2">
          <v:rect id="_x0000_i1036" style="width:0;height:1.5pt" o:hralign="center" o:hrstd="t" o:hr="t" fillcolor="#a0a0a0" stroked="f"/>
        </w:pict>
      </w:r>
    </w:p>
    <w:p w14:paraId="7F41091C"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9. Conflict Management</w:t>
      </w:r>
    </w:p>
    <w:p w14:paraId="7D0766A9" w14:textId="77777777" w:rsidR="0049090E" w:rsidRPr="00F708FC" w:rsidRDefault="0049090E" w:rsidP="0049090E">
      <w:pPr>
        <w:rPr>
          <w:rFonts w:ascii="Arial" w:hAnsi="Arial" w:cs="Arial"/>
          <w:sz w:val="22"/>
          <w:szCs w:val="22"/>
        </w:rPr>
      </w:pPr>
      <w:r w:rsidRPr="00F708FC">
        <w:rPr>
          <w:rFonts w:ascii="Arial" w:hAnsi="Arial" w:cs="Arial"/>
          <w:sz w:val="22"/>
          <w:szCs w:val="22"/>
        </w:rPr>
        <w:t>Conflict should be anticipated rather than treated as project failure.</w:t>
      </w:r>
    </w:p>
    <w:p w14:paraId="1FFA6C64"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Marketing versus Data Protection</w:t>
      </w:r>
    </w:p>
    <w:p w14:paraId="651CE9B4" w14:textId="77777777" w:rsidR="0049090E" w:rsidRPr="00F708FC" w:rsidRDefault="0049090E" w:rsidP="0049090E">
      <w:pPr>
        <w:rPr>
          <w:rFonts w:ascii="Arial" w:hAnsi="Arial" w:cs="Arial"/>
          <w:sz w:val="22"/>
          <w:szCs w:val="22"/>
        </w:rPr>
      </w:pPr>
      <w:r w:rsidRPr="00F708FC">
        <w:rPr>
          <w:rFonts w:ascii="Arial" w:hAnsi="Arial" w:cs="Arial"/>
          <w:sz w:val="22"/>
          <w:szCs w:val="22"/>
        </w:rPr>
        <w:t>Marketing may request additional customer information to improve personalisation, while the DPO may recommend data minimisation.</w:t>
      </w:r>
    </w:p>
    <w:p w14:paraId="213E9322"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project manager should use a </w:t>
      </w:r>
      <w:r w:rsidRPr="00F708FC">
        <w:rPr>
          <w:rFonts w:ascii="Arial" w:hAnsi="Arial" w:cs="Arial"/>
          <w:b/>
          <w:bCs/>
          <w:sz w:val="22"/>
          <w:szCs w:val="22"/>
        </w:rPr>
        <w:t>risk-benefit decision framework</w:t>
      </w:r>
      <w:r w:rsidRPr="00F708FC">
        <w:rPr>
          <w:rFonts w:ascii="Arial" w:hAnsi="Arial" w:cs="Arial"/>
          <w:sz w:val="22"/>
          <w:szCs w:val="22"/>
        </w:rPr>
        <w:t>. Every proposed data field should have a defined purpose and customer benefit. If the commercial benefit is marginal but privacy risk is substantial, the data should not be collected.</w:t>
      </w:r>
    </w:p>
    <w:p w14:paraId="789F32AD"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lastRenderedPageBreak/>
        <w:t>Headquarters versus Country Teams</w:t>
      </w:r>
    </w:p>
    <w:p w14:paraId="0E6800F3" w14:textId="77777777" w:rsidR="0049090E" w:rsidRPr="00F708FC" w:rsidRDefault="0049090E" w:rsidP="0049090E">
      <w:pPr>
        <w:rPr>
          <w:rFonts w:ascii="Arial" w:hAnsi="Arial" w:cs="Arial"/>
          <w:sz w:val="22"/>
          <w:szCs w:val="22"/>
        </w:rPr>
      </w:pPr>
      <w:r w:rsidRPr="00F708FC">
        <w:rPr>
          <w:rFonts w:ascii="Arial" w:hAnsi="Arial" w:cs="Arial"/>
          <w:sz w:val="22"/>
          <w:szCs w:val="22"/>
        </w:rPr>
        <w:t>Headquarters may want one global platform, whereas country teams may request local modifications.</w:t>
      </w:r>
    </w:p>
    <w:p w14:paraId="46F9258C" w14:textId="77777777" w:rsidR="0049090E" w:rsidRPr="00F708FC" w:rsidRDefault="0049090E" w:rsidP="0049090E">
      <w:pPr>
        <w:rPr>
          <w:rFonts w:ascii="Arial" w:hAnsi="Arial" w:cs="Arial"/>
          <w:sz w:val="22"/>
          <w:szCs w:val="22"/>
        </w:rPr>
      </w:pPr>
      <w:r w:rsidRPr="00F708FC">
        <w:rPr>
          <w:rFonts w:ascii="Arial" w:hAnsi="Arial" w:cs="Arial"/>
          <w:sz w:val="22"/>
          <w:szCs w:val="22"/>
        </w:rPr>
        <w:t>A decision-rights framework should identify which features are globally mandatory and which can be locally adapted. This avoids both extremes: uncontrolled localisation and inappropriate centralisation.</w:t>
      </w:r>
    </w:p>
    <w:p w14:paraId="5F22395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Employees versus Technology</w:t>
      </w:r>
    </w:p>
    <w:p w14:paraId="3EFE6B0A" w14:textId="77777777" w:rsidR="0049090E" w:rsidRPr="00F708FC" w:rsidRDefault="0049090E" w:rsidP="0049090E">
      <w:pPr>
        <w:rPr>
          <w:rFonts w:ascii="Arial" w:hAnsi="Arial" w:cs="Arial"/>
          <w:sz w:val="22"/>
          <w:szCs w:val="22"/>
        </w:rPr>
      </w:pPr>
      <w:r w:rsidRPr="00F708FC">
        <w:rPr>
          <w:rFonts w:ascii="Arial" w:hAnsi="Arial" w:cs="Arial"/>
          <w:sz w:val="22"/>
          <w:szCs w:val="22"/>
        </w:rPr>
        <w:t>Employees may fear that AI will reduce the value of human service.</w:t>
      </w:r>
    </w:p>
    <w:p w14:paraId="415D2D75" w14:textId="77777777" w:rsidR="0049090E" w:rsidRPr="00F708FC" w:rsidRDefault="0049090E" w:rsidP="0049090E">
      <w:pPr>
        <w:rPr>
          <w:rFonts w:ascii="Arial" w:hAnsi="Arial" w:cs="Arial"/>
          <w:sz w:val="22"/>
          <w:szCs w:val="22"/>
        </w:rPr>
      </w:pPr>
      <w:r w:rsidRPr="00F708FC">
        <w:rPr>
          <w:rFonts w:ascii="Arial" w:hAnsi="Arial" w:cs="Arial"/>
          <w:sz w:val="22"/>
          <w:szCs w:val="22"/>
        </w:rPr>
        <w:t>Management should position AI as an augmentation tool. Employees should be involved in testing and given opportunities to influence functionality. Training should focus on how technology supports, rather than eliminates, customer relationships.</w:t>
      </w:r>
    </w:p>
    <w:p w14:paraId="2EA5BEA4"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Customers versus Commercial Objectives</w:t>
      </w:r>
    </w:p>
    <w:p w14:paraId="278F6AF4" w14:textId="77777777" w:rsidR="0049090E" w:rsidRPr="00F708FC" w:rsidRDefault="0049090E" w:rsidP="0049090E">
      <w:pPr>
        <w:rPr>
          <w:rFonts w:ascii="Arial" w:hAnsi="Arial" w:cs="Arial"/>
          <w:sz w:val="22"/>
          <w:szCs w:val="22"/>
        </w:rPr>
      </w:pPr>
      <w:r w:rsidRPr="00F708FC">
        <w:rPr>
          <w:rFonts w:ascii="Arial" w:hAnsi="Arial" w:cs="Arial"/>
          <w:sz w:val="22"/>
          <w:szCs w:val="22"/>
        </w:rPr>
        <w:t>A highly personalised marketing system could maximise short-term conversion while increasing customer discomfort.</w:t>
      </w:r>
    </w:p>
    <w:p w14:paraId="4406D028" w14:textId="77777777" w:rsidR="0049090E" w:rsidRPr="00F708FC" w:rsidRDefault="0049090E" w:rsidP="0049090E">
      <w:pPr>
        <w:rPr>
          <w:rFonts w:ascii="Arial" w:hAnsi="Arial" w:cs="Arial"/>
          <w:sz w:val="22"/>
          <w:szCs w:val="22"/>
        </w:rPr>
      </w:pPr>
      <w:r w:rsidRPr="00F708FC">
        <w:rPr>
          <w:rFonts w:ascii="Arial" w:hAnsi="Arial" w:cs="Arial"/>
          <w:sz w:val="22"/>
          <w:szCs w:val="22"/>
        </w:rPr>
        <w:t>The project should therefore monitor both commercial and relationship outcomes. If click-through rates increase but opt-outs and complaints also increase, the strategy should not automatically be considered successful.</w:t>
      </w:r>
    </w:p>
    <w:p w14:paraId="546C6D3D"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5C5219F2">
          <v:rect id="_x0000_i1037" style="width:0;height:1.5pt" o:hralign="center" o:hrstd="t" o:hr="t" fillcolor="#a0a0a0" stroked="f"/>
        </w:pict>
      </w:r>
    </w:p>
    <w:p w14:paraId="5EA7ADC7"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 Critical Evaluation of Sustainable Stakeholder Engagement</w:t>
      </w:r>
    </w:p>
    <w:p w14:paraId="61C2855B"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10.1 Commercial Performance</w:t>
      </w:r>
    </w:p>
    <w:p w14:paraId="7E82DAA2" w14:textId="77777777" w:rsidR="0049090E" w:rsidRPr="00F708FC" w:rsidRDefault="0049090E" w:rsidP="0049090E">
      <w:pPr>
        <w:rPr>
          <w:rFonts w:ascii="Arial" w:hAnsi="Arial" w:cs="Arial"/>
          <w:sz w:val="22"/>
          <w:szCs w:val="22"/>
        </w:rPr>
      </w:pPr>
      <w:r w:rsidRPr="00F708FC">
        <w:rPr>
          <w:rFonts w:ascii="Arial" w:hAnsi="Arial" w:cs="Arial"/>
          <w:sz w:val="22"/>
          <w:szCs w:val="22"/>
        </w:rPr>
        <w:t>Effective stakeholder engagement can contribute to customer retention, increased purchase frequency and higher customer lifetime value. Personalised recommendations can improve relevance and potentially increase engagement.</w:t>
      </w:r>
    </w:p>
    <w:p w14:paraId="7D0A6C3D" w14:textId="77777777" w:rsidR="0049090E" w:rsidRPr="00F708FC" w:rsidRDefault="0049090E" w:rsidP="0049090E">
      <w:pPr>
        <w:rPr>
          <w:rFonts w:ascii="Arial" w:hAnsi="Arial" w:cs="Arial"/>
          <w:sz w:val="22"/>
          <w:szCs w:val="22"/>
        </w:rPr>
      </w:pPr>
      <w:r w:rsidRPr="00F708FC">
        <w:rPr>
          <w:rFonts w:ascii="Arial" w:hAnsi="Arial" w:cs="Arial"/>
          <w:sz w:val="22"/>
          <w:szCs w:val="22"/>
        </w:rPr>
        <w:t>However, the relationship is not guaranteed. Personalisation can fail when customer data is inaccurate or recommendations appear intrusive. Therefore, engagement must be measured through customer outcomes rather than assuming that more data automatically creates more value.</w:t>
      </w:r>
    </w:p>
    <w:p w14:paraId="13E755E0"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10.2 Customer Experience and Trust</w:t>
      </w:r>
    </w:p>
    <w:p w14:paraId="2CD633A4" w14:textId="77777777" w:rsidR="0049090E" w:rsidRPr="00F708FC" w:rsidRDefault="0049090E" w:rsidP="0049090E">
      <w:pPr>
        <w:rPr>
          <w:rFonts w:ascii="Arial" w:hAnsi="Arial" w:cs="Arial"/>
          <w:sz w:val="22"/>
          <w:szCs w:val="22"/>
        </w:rPr>
      </w:pP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could make interactions more convenient by bringing rewards and recommendations into a single mobile environment.</w:t>
      </w:r>
    </w:p>
    <w:p w14:paraId="3087D613" w14:textId="77777777" w:rsidR="0049090E" w:rsidRPr="00F708FC" w:rsidRDefault="0049090E" w:rsidP="0049090E">
      <w:pPr>
        <w:rPr>
          <w:rFonts w:ascii="Arial" w:hAnsi="Arial" w:cs="Arial"/>
          <w:sz w:val="22"/>
          <w:szCs w:val="22"/>
        </w:rPr>
      </w:pPr>
      <w:r w:rsidRPr="00F708FC">
        <w:rPr>
          <w:rFonts w:ascii="Arial" w:hAnsi="Arial" w:cs="Arial"/>
          <w:sz w:val="22"/>
          <w:szCs w:val="22"/>
        </w:rPr>
        <w:t>Nevertheless, trust is central. The ICO states that personal-data processing using AI must be lawful, fair and transparent and that organisations need to consider whether processing falls within reasonable customer expectations. AI-generated inferences should also be sufficiently accurate and should avoid unjustified discrimination.</w:t>
      </w:r>
    </w:p>
    <w:p w14:paraId="662C52EB" w14:textId="77777777" w:rsidR="0049090E" w:rsidRPr="00F708FC" w:rsidRDefault="0049090E" w:rsidP="0049090E">
      <w:pPr>
        <w:rPr>
          <w:rFonts w:ascii="Arial" w:hAnsi="Arial" w:cs="Arial"/>
          <w:sz w:val="22"/>
          <w:szCs w:val="22"/>
        </w:rPr>
      </w:pPr>
      <w:r w:rsidRPr="00F708FC">
        <w:rPr>
          <w:rFonts w:ascii="Arial" w:hAnsi="Arial" w:cs="Arial"/>
          <w:sz w:val="22"/>
          <w:szCs w:val="22"/>
        </w:rPr>
        <w:t>Therefore, customer trust should be treated as an economic asset rather than merely an ethical consideration.</w:t>
      </w:r>
    </w:p>
    <w:p w14:paraId="4D75EE2B"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10.3 Data Privacy</w:t>
      </w:r>
    </w:p>
    <w:p w14:paraId="403EB792" w14:textId="77777777" w:rsidR="0049090E" w:rsidRPr="00F708FC" w:rsidRDefault="0049090E" w:rsidP="0049090E">
      <w:pPr>
        <w:rPr>
          <w:rFonts w:ascii="Arial" w:hAnsi="Arial" w:cs="Arial"/>
          <w:sz w:val="22"/>
          <w:szCs w:val="22"/>
        </w:rPr>
      </w:pPr>
      <w:proofErr w:type="spellStart"/>
      <w:r w:rsidRPr="00F708FC">
        <w:rPr>
          <w:rFonts w:ascii="Arial" w:hAnsi="Arial" w:cs="Arial"/>
          <w:sz w:val="22"/>
          <w:szCs w:val="22"/>
        </w:rPr>
        <w:lastRenderedPageBreak/>
        <w:t>ConnectPlus</w:t>
      </w:r>
      <w:proofErr w:type="spellEnd"/>
      <w:r w:rsidRPr="00F708FC">
        <w:rPr>
          <w:rFonts w:ascii="Arial" w:hAnsi="Arial" w:cs="Arial"/>
          <w:sz w:val="22"/>
          <w:szCs w:val="22"/>
        </w:rPr>
        <w:t xml:space="preserve"> creates a tension between </w:t>
      </w:r>
      <w:r w:rsidRPr="00F708FC">
        <w:rPr>
          <w:rFonts w:ascii="Arial" w:hAnsi="Arial" w:cs="Arial"/>
          <w:b/>
          <w:bCs/>
          <w:sz w:val="22"/>
          <w:szCs w:val="22"/>
        </w:rPr>
        <w:t>personalisation and privacy</w:t>
      </w:r>
      <w:r w:rsidRPr="00F708FC">
        <w:rPr>
          <w:rFonts w:ascii="Arial" w:hAnsi="Arial" w:cs="Arial"/>
          <w:sz w:val="22"/>
          <w:szCs w:val="22"/>
        </w:rPr>
        <w:t>.</w:t>
      </w:r>
    </w:p>
    <w:p w14:paraId="41152E9C" w14:textId="77777777" w:rsidR="0049090E" w:rsidRPr="00F708FC" w:rsidRDefault="0049090E" w:rsidP="0049090E">
      <w:pPr>
        <w:rPr>
          <w:rFonts w:ascii="Arial" w:hAnsi="Arial" w:cs="Arial"/>
          <w:sz w:val="22"/>
          <w:szCs w:val="22"/>
        </w:rPr>
      </w:pPr>
      <w:r w:rsidRPr="00F708FC">
        <w:rPr>
          <w:rFonts w:ascii="Arial" w:hAnsi="Arial" w:cs="Arial"/>
          <w:sz w:val="22"/>
          <w:szCs w:val="22"/>
        </w:rPr>
        <w:t>The commercial argument is that more relevant data can produce better recommendations. The stakeholder argument is that customers should retain meaningful control over how their information is used.</w:t>
      </w:r>
    </w:p>
    <w:p w14:paraId="64A9F6F4" w14:textId="77777777" w:rsidR="0049090E" w:rsidRPr="00F708FC" w:rsidRDefault="0049090E" w:rsidP="0049090E">
      <w:pPr>
        <w:rPr>
          <w:rFonts w:ascii="Arial" w:hAnsi="Arial" w:cs="Arial"/>
          <w:sz w:val="22"/>
          <w:szCs w:val="22"/>
        </w:rPr>
      </w:pPr>
      <w:r w:rsidRPr="00F708FC">
        <w:rPr>
          <w:rFonts w:ascii="Arial" w:hAnsi="Arial" w:cs="Arial"/>
          <w:sz w:val="22"/>
          <w:szCs w:val="22"/>
        </w:rPr>
        <w:t>A responsible design should therefore incorporate:</w:t>
      </w:r>
    </w:p>
    <w:p w14:paraId="6773D823"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data minimisation;</w:t>
      </w:r>
    </w:p>
    <w:p w14:paraId="6237AD53"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clear purposes;</w:t>
      </w:r>
    </w:p>
    <w:p w14:paraId="0D01379A"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appropriate lawful bases;</w:t>
      </w:r>
    </w:p>
    <w:p w14:paraId="02BEB862"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transparent privacy information;</w:t>
      </w:r>
    </w:p>
    <w:p w14:paraId="69B44C3C"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appropriate consent mechanisms where required;</w:t>
      </w:r>
    </w:p>
    <w:p w14:paraId="44DD8253"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retention controls;</w:t>
      </w:r>
    </w:p>
    <w:p w14:paraId="00DD838C"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customer access and control;</w:t>
      </w:r>
    </w:p>
    <w:p w14:paraId="4D0C39B9"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security;</w:t>
      </w:r>
    </w:p>
    <w:p w14:paraId="690F39F5" w14:textId="77777777" w:rsidR="0049090E" w:rsidRPr="00F708FC" w:rsidRDefault="0049090E" w:rsidP="0049090E">
      <w:pPr>
        <w:numPr>
          <w:ilvl w:val="0"/>
          <w:numId w:val="8"/>
        </w:numPr>
        <w:rPr>
          <w:rFonts w:ascii="Arial" w:hAnsi="Arial" w:cs="Arial"/>
          <w:sz w:val="22"/>
          <w:szCs w:val="22"/>
        </w:rPr>
      </w:pPr>
      <w:r w:rsidRPr="00F708FC">
        <w:rPr>
          <w:rFonts w:ascii="Arial" w:hAnsi="Arial" w:cs="Arial"/>
          <w:sz w:val="22"/>
          <w:szCs w:val="22"/>
        </w:rPr>
        <w:t>data-quality procedures.</w:t>
      </w:r>
    </w:p>
    <w:p w14:paraId="082F69D0" w14:textId="77777777" w:rsidR="0049090E" w:rsidRPr="00F708FC" w:rsidRDefault="0049090E" w:rsidP="0049090E">
      <w:pPr>
        <w:rPr>
          <w:rFonts w:ascii="Arial" w:hAnsi="Arial" w:cs="Arial"/>
          <w:sz w:val="22"/>
          <w:szCs w:val="22"/>
        </w:rPr>
      </w:pPr>
      <w:r w:rsidRPr="00F708FC">
        <w:rPr>
          <w:rFonts w:ascii="Arial" w:hAnsi="Arial" w:cs="Arial"/>
          <w:sz w:val="22"/>
          <w:szCs w:val="22"/>
        </w:rPr>
        <w:t>The ICO also identifies profiling and automated decision-making as areas requiring particular attention, including restrictions where solely automated decisions have legal or similarly significant effects.</w:t>
      </w:r>
    </w:p>
    <w:p w14:paraId="1DFB0311" w14:textId="77777777" w:rsidR="0049090E" w:rsidRPr="00F708FC" w:rsidRDefault="0049090E" w:rsidP="0049090E">
      <w:pPr>
        <w:rPr>
          <w:rFonts w:ascii="Arial" w:hAnsi="Arial" w:cs="Arial"/>
          <w:sz w:val="22"/>
          <w:szCs w:val="22"/>
        </w:rPr>
      </w:pPr>
      <w:r w:rsidRPr="00F708FC">
        <w:rPr>
          <w:rFonts w:ascii="Arial" w:hAnsi="Arial" w:cs="Arial"/>
          <w:sz w:val="22"/>
          <w:szCs w:val="22"/>
        </w:rPr>
        <w:t>Although product recommendations may not normally create legal or similarly significant effects, the project should still apply strong governance because seemingly harmless recommendations can influence customer opportunities, pricing perceptions and treatment.</w:t>
      </w:r>
    </w:p>
    <w:p w14:paraId="41B166FC"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10.4 AI Bias and Fairness</w:t>
      </w:r>
    </w:p>
    <w:p w14:paraId="4DC8BA25" w14:textId="77777777" w:rsidR="0049090E" w:rsidRPr="00F708FC" w:rsidRDefault="0049090E" w:rsidP="0049090E">
      <w:pPr>
        <w:rPr>
          <w:rFonts w:ascii="Arial" w:hAnsi="Arial" w:cs="Arial"/>
          <w:sz w:val="22"/>
          <w:szCs w:val="22"/>
        </w:rPr>
      </w:pPr>
      <w:r w:rsidRPr="00F708FC">
        <w:rPr>
          <w:rFonts w:ascii="Arial" w:hAnsi="Arial" w:cs="Arial"/>
          <w:sz w:val="22"/>
          <w:szCs w:val="22"/>
        </w:rPr>
        <w:t>AI systems learn from data. If historical customer data contains bias, the algorithm may reproduce it.</w:t>
      </w:r>
    </w:p>
    <w:p w14:paraId="289A0D29" w14:textId="77777777" w:rsidR="0049090E" w:rsidRPr="00F708FC" w:rsidRDefault="0049090E" w:rsidP="0049090E">
      <w:pPr>
        <w:rPr>
          <w:rFonts w:ascii="Arial" w:hAnsi="Arial" w:cs="Arial"/>
          <w:sz w:val="22"/>
          <w:szCs w:val="22"/>
        </w:rPr>
      </w:pPr>
      <w:r w:rsidRPr="00F708FC">
        <w:rPr>
          <w:rFonts w:ascii="Arial" w:hAnsi="Arial" w:cs="Arial"/>
          <w:sz w:val="22"/>
          <w:szCs w:val="22"/>
        </w:rPr>
        <w:t>For example, customers who have previously interacted with digital marketing may generate more data and consequently receive better recommendations, while less digitally engaged customers receive fewer opportunities.</w:t>
      </w:r>
    </w:p>
    <w:p w14:paraId="38F7B111" w14:textId="77777777" w:rsidR="0049090E" w:rsidRPr="00F708FC" w:rsidRDefault="0049090E" w:rsidP="0049090E">
      <w:pPr>
        <w:rPr>
          <w:rFonts w:ascii="Arial" w:hAnsi="Arial" w:cs="Arial"/>
          <w:sz w:val="22"/>
          <w:szCs w:val="22"/>
        </w:rPr>
      </w:pPr>
      <w:r w:rsidRPr="00F708FC">
        <w:rPr>
          <w:rFonts w:ascii="Arial" w:hAnsi="Arial" w:cs="Arial"/>
          <w:sz w:val="22"/>
          <w:szCs w:val="22"/>
        </w:rPr>
        <w:t>This can create a feedback loop:</w:t>
      </w:r>
    </w:p>
    <w:p w14:paraId="1150A47B" w14:textId="77777777" w:rsidR="0049090E" w:rsidRPr="00F708FC" w:rsidRDefault="0049090E" w:rsidP="0049090E">
      <w:pPr>
        <w:rPr>
          <w:rFonts w:ascii="Arial" w:hAnsi="Arial" w:cs="Arial"/>
          <w:sz w:val="22"/>
          <w:szCs w:val="22"/>
        </w:rPr>
      </w:pPr>
      <w:r w:rsidRPr="00F708FC">
        <w:rPr>
          <w:rFonts w:ascii="Arial" w:hAnsi="Arial" w:cs="Arial"/>
          <w:b/>
          <w:bCs/>
          <w:sz w:val="22"/>
          <w:szCs w:val="22"/>
        </w:rPr>
        <w:t>More data → better recommendations → more engagement → more data.</w:t>
      </w:r>
    </w:p>
    <w:p w14:paraId="5DC2CB36" w14:textId="77777777" w:rsidR="0049090E" w:rsidRPr="00F708FC" w:rsidRDefault="0049090E" w:rsidP="0049090E">
      <w:pPr>
        <w:rPr>
          <w:rFonts w:ascii="Arial" w:hAnsi="Arial" w:cs="Arial"/>
          <w:sz w:val="22"/>
          <w:szCs w:val="22"/>
        </w:rPr>
      </w:pPr>
      <w:r w:rsidRPr="00F708FC">
        <w:rPr>
          <w:rFonts w:ascii="Arial" w:hAnsi="Arial" w:cs="Arial"/>
          <w:sz w:val="22"/>
          <w:szCs w:val="22"/>
        </w:rPr>
        <w:t>Conversely:</w:t>
      </w:r>
    </w:p>
    <w:p w14:paraId="14FAD03B" w14:textId="77777777" w:rsidR="0049090E" w:rsidRPr="00F708FC" w:rsidRDefault="0049090E" w:rsidP="0049090E">
      <w:pPr>
        <w:rPr>
          <w:rFonts w:ascii="Arial" w:hAnsi="Arial" w:cs="Arial"/>
          <w:sz w:val="22"/>
          <w:szCs w:val="22"/>
        </w:rPr>
      </w:pPr>
      <w:r w:rsidRPr="00F708FC">
        <w:rPr>
          <w:rFonts w:ascii="Arial" w:hAnsi="Arial" w:cs="Arial"/>
          <w:b/>
          <w:bCs/>
          <w:sz w:val="22"/>
          <w:szCs w:val="22"/>
        </w:rPr>
        <w:t>Less data → weaker recommendations → less engagement → less data.</w:t>
      </w:r>
    </w:p>
    <w:p w14:paraId="75131357" w14:textId="77777777" w:rsidR="0049090E" w:rsidRPr="00F708FC" w:rsidRDefault="0049090E" w:rsidP="0049090E">
      <w:pPr>
        <w:rPr>
          <w:rFonts w:ascii="Arial" w:hAnsi="Arial" w:cs="Arial"/>
          <w:sz w:val="22"/>
          <w:szCs w:val="22"/>
        </w:rPr>
      </w:pPr>
      <w:r w:rsidRPr="00F708FC">
        <w:rPr>
          <w:rFonts w:ascii="Arial" w:hAnsi="Arial" w:cs="Arial"/>
          <w:sz w:val="22"/>
          <w:szCs w:val="22"/>
        </w:rPr>
        <w:t>The project should therefore test model performance across relevant customer groups and regularly monitor accuracy and fairness.</w:t>
      </w:r>
    </w:p>
    <w:p w14:paraId="77D9DB60" w14:textId="77777777" w:rsidR="0049090E" w:rsidRPr="00F708FC" w:rsidRDefault="0049090E" w:rsidP="0049090E">
      <w:pPr>
        <w:rPr>
          <w:rFonts w:ascii="Arial" w:hAnsi="Arial" w:cs="Arial"/>
          <w:sz w:val="22"/>
          <w:szCs w:val="22"/>
        </w:rPr>
      </w:pPr>
      <w:r w:rsidRPr="00F708FC">
        <w:rPr>
          <w:rFonts w:ascii="Arial" w:hAnsi="Arial" w:cs="Arial"/>
          <w:sz w:val="22"/>
          <w:szCs w:val="22"/>
        </w:rPr>
        <w:t>The ICO explicitly states that AI processing that produces unjust discrimination can violate the fairness principle and that data-protection-by-design measures should address risks to individuals.</w:t>
      </w:r>
    </w:p>
    <w:p w14:paraId="7BC1EBEE"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lastRenderedPageBreak/>
        <w:t>10.5 Cybersecurity</w:t>
      </w:r>
    </w:p>
    <w:p w14:paraId="5985059E" w14:textId="77777777" w:rsidR="0049090E" w:rsidRPr="00F708FC" w:rsidRDefault="0049090E" w:rsidP="0049090E">
      <w:pPr>
        <w:rPr>
          <w:rFonts w:ascii="Arial" w:hAnsi="Arial" w:cs="Arial"/>
          <w:sz w:val="22"/>
          <w:szCs w:val="22"/>
        </w:rPr>
      </w:pPr>
      <w:r w:rsidRPr="00F708FC">
        <w:rPr>
          <w:rFonts w:ascii="Arial" w:hAnsi="Arial" w:cs="Arial"/>
          <w:sz w:val="22"/>
          <w:szCs w:val="22"/>
        </w:rPr>
        <w:t>A loyalty platform creates a concentrated repository of valuable customer information. A cybersecurity incident could undermine customer trust and produce legal and financial consequences.</w:t>
      </w:r>
    </w:p>
    <w:p w14:paraId="5F35577D" w14:textId="77777777" w:rsidR="0049090E" w:rsidRPr="00F708FC" w:rsidRDefault="0049090E" w:rsidP="0049090E">
      <w:pPr>
        <w:rPr>
          <w:rFonts w:ascii="Arial" w:hAnsi="Arial" w:cs="Arial"/>
          <w:sz w:val="22"/>
          <w:szCs w:val="22"/>
        </w:rPr>
      </w:pPr>
      <w:r w:rsidRPr="00F708FC">
        <w:rPr>
          <w:rFonts w:ascii="Arial" w:hAnsi="Arial" w:cs="Arial"/>
          <w:sz w:val="22"/>
          <w:szCs w:val="22"/>
        </w:rPr>
        <w:t>Security should therefore be designed into the architecture. External suppliers should be subject to security due diligence, contractual requirements, incident-reporting obligations and ongoing monitoring.</w:t>
      </w:r>
    </w:p>
    <w:p w14:paraId="1C6A2F21"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10.6 Employee Engagement</w:t>
      </w:r>
    </w:p>
    <w:p w14:paraId="309EBADD" w14:textId="77777777" w:rsidR="0049090E" w:rsidRPr="00F708FC" w:rsidRDefault="0049090E" w:rsidP="0049090E">
      <w:pPr>
        <w:rPr>
          <w:rFonts w:ascii="Arial" w:hAnsi="Arial" w:cs="Arial"/>
          <w:sz w:val="22"/>
          <w:szCs w:val="22"/>
        </w:rPr>
      </w:pPr>
      <w:r w:rsidRPr="00F708FC">
        <w:rPr>
          <w:rFonts w:ascii="Arial" w:hAnsi="Arial" w:cs="Arial"/>
          <w:sz w:val="22"/>
          <w:szCs w:val="22"/>
        </w:rPr>
        <w:t>Employees are a critical stakeholder because they translate the digital strategy into customer experience.</w:t>
      </w:r>
    </w:p>
    <w:p w14:paraId="54737AC3" w14:textId="77777777" w:rsidR="0049090E" w:rsidRPr="00F708FC" w:rsidRDefault="0049090E" w:rsidP="0049090E">
      <w:pPr>
        <w:rPr>
          <w:rFonts w:ascii="Arial" w:hAnsi="Arial" w:cs="Arial"/>
          <w:sz w:val="22"/>
          <w:szCs w:val="22"/>
        </w:rPr>
      </w:pPr>
      <w:r w:rsidRPr="00F708FC">
        <w:rPr>
          <w:rFonts w:ascii="Arial" w:hAnsi="Arial" w:cs="Arial"/>
          <w:sz w:val="22"/>
          <w:szCs w:val="22"/>
        </w:rPr>
        <w:t>Employee engagement can produce several benefits:</w:t>
      </w:r>
    </w:p>
    <w:p w14:paraId="6D3979CE" w14:textId="77777777" w:rsidR="0049090E" w:rsidRPr="00F708FC" w:rsidRDefault="0049090E" w:rsidP="0049090E">
      <w:pPr>
        <w:numPr>
          <w:ilvl w:val="0"/>
          <w:numId w:val="9"/>
        </w:numPr>
        <w:rPr>
          <w:rFonts w:ascii="Arial" w:hAnsi="Arial" w:cs="Arial"/>
          <w:sz w:val="22"/>
          <w:szCs w:val="22"/>
        </w:rPr>
      </w:pPr>
      <w:r w:rsidRPr="00F708FC">
        <w:rPr>
          <w:rFonts w:ascii="Arial" w:hAnsi="Arial" w:cs="Arial"/>
          <w:sz w:val="22"/>
          <w:szCs w:val="22"/>
        </w:rPr>
        <w:t>better adoption;</w:t>
      </w:r>
    </w:p>
    <w:p w14:paraId="5102D46A" w14:textId="77777777" w:rsidR="0049090E" w:rsidRPr="00F708FC" w:rsidRDefault="0049090E" w:rsidP="0049090E">
      <w:pPr>
        <w:numPr>
          <w:ilvl w:val="0"/>
          <w:numId w:val="9"/>
        </w:numPr>
        <w:rPr>
          <w:rFonts w:ascii="Arial" w:hAnsi="Arial" w:cs="Arial"/>
          <w:sz w:val="22"/>
          <w:szCs w:val="22"/>
        </w:rPr>
      </w:pPr>
      <w:r w:rsidRPr="00F708FC">
        <w:rPr>
          <w:rFonts w:ascii="Arial" w:hAnsi="Arial" w:cs="Arial"/>
          <w:sz w:val="22"/>
          <w:szCs w:val="22"/>
        </w:rPr>
        <w:t>greater understanding;</w:t>
      </w:r>
    </w:p>
    <w:p w14:paraId="749BB4A8" w14:textId="77777777" w:rsidR="0049090E" w:rsidRPr="00F708FC" w:rsidRDefault="0049090E" w:rsidP="0049090E">
      <w:pPr>
        <w:numPr>
          <w:ilvl w:val="0"/>
          <w:numId w:val="9"/>
        </w:numPr>
        <w:rPr>
          <w:rFonts w:ascii="Arial" w:hAnsi="Arial" w:cs="Arial"/>
          <w:sz w:val="22"/>
          <w:szCs w:val="22"/>
        </w:rPr>
      </w:pPr>
      <w:r w:rsidRPr="00F708FC">
        <w:rPr>
          <w:rFonts w:ascii="Arial" w:hAnsi="Arial" w:cs="Arial"/>
          <w:sz w:val="22"/>
          <w:szCs w:val="22"/>
        </w:rPr>
        <w:t>earlier identification of problems;</w:t>
      </w:r>
    </w:p>
    <w:p w14:paraId="146E7C2F" w14:textId="77777777" w:rsidR="0049090E" w:rsidRPr="00F708FC" w:rsidRDefault="0049090E" w:rsidP="0049090E">
      <w:pPr>
        <w:numPr>
          <w:ilvl w:val="0"/>
          <w:numId w:val="9"/>
        </w:numPr>
        <w:rPr>
          <w:rFonts w:ascii="Arial" w:hAnsi="Arial" w:cs="Arial"/>
          <w:sz w:val="22"/>
          <w:szCs w:val="22"/>
        </w:rPr>
      </w:pPr>
      <w:r w:rsidRPr="00F708FC">
        <w:rPr>
          <w:rFonts w:ascii="Arial" w:hAnsi="Arial" w:cs="Arial"/>
          <w:sz w:val="22"/>
          <w:szCs w:val="22"/>
        </w:rPr>
        <w:t>reduced resistance;</w:t>
      </w:r>
    </w:p>
    <w:p w14:paraId="6D9EC0F5" w14:textId="77777777" w:rsidR="0049090E" w:rsidRPr="00F708FC" w:rsidRDefault="0049090E" w:rsidP="0049090E">
      <w:pPr>
        <w:numPr>
          <w:ilvl w:val="0"/>
          <w:numId w:val="9"/>
        </w:numPr>
        <w:rPr>
          <w:rFonts w:ascii="Arial" w:hAnsi="Arial" w:cs="Arial"/>
          <w:sz w:val="22"/>
          <w:szCs w:val="22"/>
        </w:rPr>
      </w:pPr>
      <w:r w:rsidRPr="00F708FC">
        <w:rPr>
          <w:rFonts w:ascii="Arial" w:hAnsi="Arial" w:cs="Arial"/>
          <w:sz w:val="22"/>
          <w:szCs w:val="22"/>
        </w:rPr>
        <w:t>stronger customer support.</w:t>
      </w:r>
    </w:p>
    <w:p w14:paraId="7E5D6572" w14:textId="77777777" w:rsidR="0049090E" w:rsidRPr="00F708FC" w:rsidRDefault="0049090E" w:rsidP="0049090E">
      <w:pPr>
        <w:rPr>
          <w:rFonts w:ascii="Arial" w:hAnsi="Arial" w:cs="Arial"/>
          <w:sz w:val="22"/>
          <w:szCs w:val="22"/>
        </w:rPr>
      </w:pPr>
      <w:r w:rsidRPr="00F708FC">
        <w:rPr>
          <w:rFonts w:ascii="Arial" w:hAnsi="Arial" w:cs="Arial"/>
          <w:sz w:val="22"/>
          <w:szCs w:val="22"/>
        </w:rPr>
        <w:t>However, engagement requires organisational investment. If employees are asked to participate while simultaneously being given unrealistic workloads, engagement becomes another source of dissatisfaction.</w:t>
      </w:r>
    </w:p>
    <w:p w14:paraId="6009BCB9" w14:textId="77777777" w:rsidR="0049090E" w:rsidRPr="00F708FC" w:rsidRDefault="0049090E" w:rsidP="0049090E">
      <w:pPr>
        <w:rPr>
          <w:rFonts w:ascii="Arial" w:hAnsi="Arial" w:cs="Arial"/>
          <w:sz w:val="22"/>
          <w:szCs w:val="22"/>
        </w:rPr>
      </w:pPr>
      <w:r w:rsidRPr="00F708FC">
        <w:rPr>
          <w:rFonts w:ascii="Arial" w:hAnsi="Arial" w:cs="Arial"/>
          <w:sz w:val="22"/>
          <w:szCs w:val="22"/>
        </w:rPr>
        <w:t>The project should therefore allocate protected training time, provide clear role expectations and recognise employee contributions.</w:t>
      </w:r>
    </w:p>
    <w:p w14:paraId="7099FE37"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10.7 Digital Inclusion</w:t>
      </w:r>
    </w:p>
    <w:p w14:paraId="5EBA6B3B" w14:textId="77777777" w:rsidR="0049090E" w:rsidRPr="00F708FC" w:rsidRDefault="0049090E" w:rsidP="0049090E">
      <w:pPr>
        <w:rPr>
          <w:rFonts w:ascii="Arial" w:hAnsi="Arial" w:cs="Arial"/>
          <w:sz w:val="22"/>
          <w:szCs w:val="22"/>
        </w:rPr>
      </w:pPr>
      <w:r w:rsidRPr="00F708FC">
        <w:rPr>
          <w:rFonts w:ascii="Arial" w:hAnsi="Arial" w:cs="Arial"/>
          <w:sz w:val="22"/>
          <w:szCs w:val="22"/>
        </w:rPr>
        <w:t>A mobile-first loyalty platform could disadvantage customers who do not own smartphones, have limited digital literacy or prefer physical interaction.</w:t>
      </w:r>
    </w:p>
    <w:p w14:paraId="30B09BF6" w14:textId="77777777" w:rsidR="0049090E" w:rsidRPr="00F708FC" w:rsidRDefault="0049090E" w:rsidP="0049090E">
      <w:pPr>
        <w:rPr>
          <w:rFonts w:ascii="Arial" w:hAnsi="Arial" w:cs="Arial"/>
          <w:sz w:val="22"/>
          <w:szCs w:val="22"/>
        </w:rPr>
      </w:pPr>
      <w:r w:rsidRPr="00F708FC">
        <w:rPr>
          <w:rFonts w:ascii="Arial" w:hAnsi="Arial" w:cs="Arial"/>
          <w:sz w:val="22"/>
          <w:szCs w:val="22"/>
        </w:rPr>
        <w:t>TK Maxx should therefore avoid making digital participation a prerequisite for receiving basic customer service. Where commercially and operationally appropriate, customers should have alternative ways to access relevant benefits.</w:t>
      </w:r>
    </w:p>
    <w:p w14:paraId="025C0AEE" w14:textId="77777777" w:rsidR="0049090E" w:rsidRPr="00F708FC" w:rsidRDefault="0049090E" w:rsidP="0049090E">
      <w:pPr>
        <w:rPr>
          <w:rFonts w:ascii="Arial" w:hAnsi="Arial" w:cs="Arial"/>
          <w:sz w:val="22"/>
          <w:szCs w:val="22"/>
        </w:rPr>
      </w:pPr>
      <w:r w:rsidRPr="00F708FC">
        <w:rPr>
          <w:rFonts w:ascii="Arial" w:hAnsi="Arial" w:cs="Arial"/>
          <w:sz w:val="22"/>
          <w:szCs w:val="22"/>
        </w:rPr>
        <w:t>This is both an ethical and strategic issue: excluding customers reduces the potential reach of the programme.</w:t>
      </w:r>
    </w:p>
    <w:p w14:paraId="201C08C8"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54BA4137">
          <v:rect id="_x0000_i1038" style="width:0;height:1.5pt" o:hralign="center" o:hrstd="t" o:hr="t" fillcolor="#a0a0a0" stroked="f"/>
        </w:pict>
      </w:r>
    </w:p>
    <w:p w14:paraId="6E899C99"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11. Stakeholder Engagement and Business Performance</w:t>
      </w:r>
    </w:p>
    <w:p w14:paraId="3049966A" w14:textId="77777777" w:rsidR="0049090E" w:rsidRPr="00F708FC" w:rsidRDefault="0049090E" w:rsidP="0049090E">
      <w:pPr>
        <w:rPr>
          <w:rFonts w:ascii="Arial" w:hAnsi="Arial" w:cs="Arial"/>
          <w:sz w:val="22"/>
          <w:szCs w:val="22"/>
        </w:rPr>
      </w:pPr>
      <w:r w:rsidRPr="00F708FC">
        <w:rPr>
          <w:rFonts w:ascii="Arial" w:hAnsi="Arial" w:cs="Arial"/>
          <w:sz w:val="22"/>
          <w:szCs w:val="22"/>
        </w:rPr>
        <w:t>Sustainable engagement should ultimately contribute to organisational performance, but the relationship should be assessed through a balanced set of measures.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4"/>
        <w:gridCol w:w="2433"/>
        <w:gridCol w:w="3023"/>
      </w:tblGrid>
      <w:tr w:rsidR="0049090E" w:rsidRPr="00F708FC" w14:paraId="7B3D7F98" w14:textId="77777777">
        <w:trPr>
          <w:tblHeader/>
          <w:tblCellSpacing w:w="15" w:type="dxa"/>
        </w:trPr>
        <w:tc>
          <w:tcPr>
            <w:tcW w:w="0" w:type="auto"/>
            <w:vAlign w:val="center"/>
            <w:hideMark/>
          </w:tcPr>
          <w:p w14:paraId="121C2BA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Performance area</w:t>
            </w:r>
          </w:p>
        </w:tc>
        <w:tc>
          <w:tcPr>
            <w:tcW w:w="0" w:type="auto"/>
            <w:vAlign w:val="center"/>
            <w:hideMark/>
          </w:tcPr>
          <w:p w14:paraId="5DC3D35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KPI</w:t>
            </w:r>
          </w:p>
        </w:tc>
        <w:tc>
          <w:tcPr>
            <w:tcW w:w="0" w:type="auto"/>
            <w:vAlign w:val="center"/>
            <w:hideMark/>
          </w:tcPr>
          <w:p w14:paraId="3C8FFF2F"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Strategic purpose</w:t>
            </w:r>
          </w:p>
        </w:tc>
      </w:tr>
      <w:tr w:rsidR="0049090E" w:rsidRPr="00F708FC" w14:paraId="70087E2B" w14:textId="77777777">
        <w:trPr>
          <w:tblCellSpacing w:w="15" w:type="dxa"/>
        </w:trPr>
        <w:tc>
          <w:tcPr>
            <w:tcW w:w="0" w:type="auto"/>
            <w:vAlign w:val="center"/>
            <w:hideMark/>
          </w:tcPr>
          <w:p w14:paraId="0154DC0A" w14:textId="77777777" w:rsidR="0049090E" w:rsidRPr="00F708FC" w:rsidRDefault="0049090E" w:rsidP="0049090E">
            <w:pPr>
              <w:rPr>
                <w:rFonts w:ascii="Arial" w:hAnsi="Arial" w:cs="Arial"/>
                <w:sz w:val="22"/>
                <w:szCs w:val="22"/>
              </w:rPr>
            </w:pPr>
            <w:r w:rsidRPr="00F708FC">
              <w:rPr>
                <w:rFonts w:ascii="Arial" w:hAnsi="Arial" w:cs="Arial"/>
                <w:sz w:val="22"/>
                <w:szCs w:val="22"/>
              </w:rPr>
              <w:t>Financial</w:t>
            </w:r>
          </w:p>
        </w:tc>
        <w:tc>
          <w:tcPr>
            <w:tcW w:w="0" w:type="auto"/>
            <w:vAlign w:val="center"/>
            <w:hideMark/>
          </w:tcPr>
          <w:p w14:paraId="2F8A1BD0" w14:textId="77777777" w:rsidR="0049090E" w:rsidRPr="00F708FC" w:rsidRDefault="0049090E" w:rsidP="0049090E">
            <w:pPr>
              <w:rPr>
                <w:rFonts w:ascii="Arial" w:hAnsi="Arial" w:cs="Arial"/>
                <w:sz w:val="22"/>
                <w:szCs w:val="22"/>
              </w:rPr>
            </w:pPr>
            <w:r w:rsidRPr="00F708FC">
              <w:rPr>
                <w:rFonts w:ascii="Arial" w:hAnsi="Arial" w:cs="Arial"/>
                <w:sz w:val="22"/>
                <w:szCs w:val="22"/>
              </w:rPr>
              <w:t>Incremental sales</w:t>
            </w:r>
          </w:p>
        </w:tc>
        <w:tc>
          <w:tcPr>
            <w:tcW w:w="0" w:type="auto"/>
            <w:vAlign w:val="center"/>
            <w:hideMark/>
          </w:tcPr>
          <w:p w14:paraId="6059CC89" w14:textId="77777777" w:rsidR="0049090E" w:rsidRPr="00F708FC" w:rsidRDefault="0049090E" w:rsidP="0049090E">
            <w:pPr>
              <w:rPr>
                <w:rFonts w:ascii="Arial" w:hAnsi="Arial" w:cs="Arial"/>
                <w:sz w:val="22"/>
                <w:szCs w:val="22"/>
              </w:rPr>
            </w:pPr>
            <w:r w:rsidRPr="00F708FC">
              <w:rPr>
                <w:rFonts w:ascii="Arial" w:hAnsi="Arial" w:cs="Arial"/>
                <w:sz w:val="22"/>
                <w:szCs w:val="22"/>
              </w:rPr>
              <w:t>Measure commercial impact</w:t>
            </w:r>
          </w:p>
        </w:tc>
      </w:tr>
      <w:tr w:rsidR="0049090E" w:rsidRPr="00F708FC" w14:paraId="16A9166E" w14:textId="77777777">
        <w:trPr>
          <w:tblCellSpacing w:w="15" w:type="dxa"/>
        </w:trPr>
        <w:tc>
          <w:tcPr>
            <w:tcW w:w="0" w:type="auto"/>
            <w:vAlign w:val="center"/>
            <w:hideMark/>
          </w:tcPr>
          <w:p w14:paraId="10DD2A6A" w14:textId="77777777" w:rsidR="0049090E" w:rsidRPr="00F708FC" w:rsidRDefault="0049090E" w:rsidP="0049090E">
            <w:pPr>
              <w:rPr>
                <w:rFonts w:ascii="Arial" w:hAnsi="Arial" w:cs="Arial"/>
                <w:sz w:val="22"/>
                <w:szCs w:val="22"/>
              </w:rPr>
            </w:pPr>
            <w:r w:rsidRPr="00F708FC">
              <w:rPr>
                <w:rFonts w:ascii="Arial" w:hAnsi="Arial" w:cs="Arial"/>
                <w:sz w:val="22"/>
                <w:szCs w:val="22"/>
              </w:rPr>
              <w:lastRenderedPageBreak/>
              <w:t>Customer</w:t>
            </w:r>
          </w:p>
        </w:tc>
        <w:tc>
          <w:tcPr>
            <w:tcW w:w="0" w:type="auto"/>
            <w:vAlign w:val="center"/>
            <w:hideMark/>
          </w:tcPr>
          <w:p w14:paraId="0FB0E27A" w14:textId="77777777" w:rsidR="0049090E" w:rsidRPr="00F708FC" w:rsidRDefault="0049090E" w:rsidP="0049090E">
            <w:pPr>
              <w:rPr>
                <w:rFonts w:ascii="Arial" w:hAnsi="Arial" w:cs="Arial"/>
                <w:sz w:val="22"/>
                <w:szCs w:val="22"/>
              </w:rPr>
            </w:pPr>
            <w:r w:rsidRPr="00F708FC">
              <w:rPr>
                <w:rFonts w:ascii="Arial" w:hAnsi="Arial" w:cs="Arial"/>
                <w:sz w:val="22"/>
                <w:szCs w:val="22"/>
              </w:rPr>
              <w:t>Retention rate</w:t>
            </w:r>
          </w:p>
        </w:tc>
        <w:tc>
          <w:tcPr>
            <w:tcW w:w="0" w:type="auto"/>
            <w:vAlign w:val="center"/>
            <w:hideMark/>
          </w:tcPr>
          <w:p w14:paraId="0FED1E1E" w14:textId="77777777" w:rsidR="0049090E" w:rsidRPr="00F708FC" w:rsidRDefault="0049090E" w:rsidP="0049090E">
            <w:pPr>
              <w:rPr>
                <w:rFonts w:ascii="Arial" w:hAnsi="Arial" w:cs="Arial"/>
                <w:sz w:val="22"/>
                <w:szCs w:val="22"/>
              </w:rPr>
            </w:pPr>
            <w:r w:rsidRPr="00F708FC">
              <w:rPr>
                <w:rFonts w:ascii="Arial" w:hAnsi="Arial" w:cs="Arial"/>
                <w:sz w:val="22"/>
                <w:szCs w:val="22"/>
              </w:rPr>
              <w:t>Measure loyalty</w:t>
            </w:r>
          </w:p>
        </w:tc>
      </w:tr>
      <w:tr w:rsidR="0049090E" w:rsidRPr="00F708FC" w14:paraId="38DCD55A" w14:textId="77777777">
        <w:trPr>
          <w:tblCellSpacing w:w="15" w:type="dxa"/>
        </w:trPr>
        <w:tc>
          <w:tcPr>
            <w:tcW w:w="0" w:type="auto"/>
            <w:vAlign w:val="center"/>
            <w:hideMark/>
          </w:tcPr>
          <w:p w14:paraId="6FCE2FE8" w14:textId="77777777" w:rsidR="0049090E" w:rsidRPr="00F708FC" w:rsidRDefault="0049090E" w:rsidP="0049090E">
            <w:pPr>
              <w:rPr>
                <w:rFonts w:ascii="Arial" w:hAnsi="Arial" w:cs="Arial"/>
                <w:sz w:val="22"/>
                <w:szCs w:val="22"/>
              </w:rPr>
            </w:pPr>
            <w:r w:rsidRPr="00F708FC">
              <w:rPr>
                <w:rFonts w:ascii="Arial" w:hAnsi="Arial" w:cs="Arial"/>
                <w:sz w:val="22"/>
                <w:szCs w:val="22"/>
              </w:rPr>
              <w:t>Customer</w:t>
            </w:r>
          </w:p>
        </w:tc>
        <w:tc>
          <w:tcPr>
            <w:tcW w:w="0" w:type="auto"/>
            <w:vAlign w:val="center"/>
            <w:hideMark/>
          </w:tcPr>
          <w:p w14:paraId="5410CF17" w14:textId="77777777" w:rsidR="0049090E" w:rsidRPr="00F708FC" w:rsidRDefault="0049090E" w:rsidP="0049090E">
            <w:pPr>
              <w:rPr>
                <w:rFonts w:ascii="Arial" w:hAnsi="Arial" w:cs="Arial"/>
                <w:sz w:val="22"/>
                <w:szCs w:val="22"/>
              </w:rPr>
            </w:pPr>
            <w:r w:rsidRPr="00F708FC">
              <w:rPr>
                <w:rFonts w:ascii="Arial" w:hAnsi="Arial" w:cs="Arial"/>
                <w:sz w:val="22"/>
                <w:szCs w:val="22"/>
              </w:rPr>
              <w:t>Active-user rate</w:t>
            </w:r>
          </w:p>
        </w:tc>
        <w:tc>
          <w:tcPr>
            <w:tcW w:w="0" w:type="auto"/>
            <w:vAlign w:val="center"/>
            <w:hideMark/>
          </w:tcPr>
          <w:p w14:paraId="23E59048" w14:textId="77777777" w:rsidR="0049090E" w:rsidRPr="00F708FC" w:rsidRDefault="0049090E" w:rsidP="0049090E">
            <w:pPr>
              <w:rPr>
                <w:rFonts w:ascii="Arial" w:hAnsi="Arial" w:cs="Arial"/>
                <w:sz w:val="22"/>
                <w:szCs w:val="22"/>
              </w:rPr>
            </w:pPr>
            <w:r w:rsidRPr="00F708FC">
              <w:rPr>
                <w:rFonts w:ascii="Arial" w:hAnsi="Arial" w:cs="Arial"/>
                <w:sz w:val="22"/>
                <w:szCs w:val="22"/>
              </w:rPr>
              <w:t>Measure platform adoption</w:t>
            </w:r>
          </w:p>
        </w:tc>
      </w:tr>
      <w:tr w:rsidR="0049090E" w:rsidRPr="00F708FC" w14:paraId="434B050A" w14:textId="77777777">
        <w:trPr>
          <w:tblCellSpacing w:w="15" w:type="dxa"/>
        </w:trPr>
        <w:tc>
          <w:tcPr>
            <w:tcW w:w="0" w:type="auto"/>
            <w:vAlign w:val="center"/>
            <w:hideMark/>
          </w:tcPr>
          <w:p w14:paraId="0AF1A435" w14:textId="77777777" w:rsidR="0049090E" w:rsidRPr="00F708FC" w:rsidRDefault="0049090E" w:rsidP="0049090E">
            <w:pPr>
              <w:rPr>
                <w:rFonts w:ascii="Arial" w:hAnsi="Arial" w:cs="Arial"/>
                <w:sz w:val="22"/>
                <w:szCs w:val="22"/>
              </w:rPr>
            </w:pPr>
            <w:r w:rsidRPr="00F708FC">
              <w:rPr>
                <w:rFonts w:ascii="Arial" w:hAnsi="Arial" w:cs="Arial"/>
                <w:sz w:val="22"/>
                <w:szCs w:val="22"/>
              </w:rPr>
              <w:t>Customer</w:t>
            </w:r>
          </w:p>
        </w:tc>
        <w:tc>
          <w:tcPr>
            <w:tcW w:w="0" w:type="auto"/>
            <w:vAlign w:val="center"/>
            <w:hideMark/>
          </w:tcPr>
          <w:p w14:paraId="733535CE" w14:textId="77777777" w:rsidR="0049090E" w:rsidRPr="00F708FC" w:rsidRDefault="0049090E" w:rsidP="0049090E">
            <w:pPr>
              <w:rPr>
                <w:rFonts w:ascii="Arial" w:hAnsi="Arial" w:cs="Arial"/>
                <w:sz w:val="22"/>
                <w:szCs w:val="22"/>
              </w:rPr>
            </w:pPr>
            <w:r w:rsidRPr="00F708FC">
              <w:rPr>
                <w:rFonts w:ascii="Arial" w:hAnsi="Arial" w:cs="Arial"/>
                <w:sz w:val="22"/>
                <w:szCs w:val="22"/>
              </w:rPr>
              <w:t>Reward redemption</w:t>
            </w:r>
          </w:p>
        </w:tc>
        <w:tc>
          <w:tcPr>
            <w:tcW w:w="0" w:type="auto"/>
            <w:vAlign w:val="center"/>
            <w:hideMark/>
          </w:tcPr>
          <w:p w14:paraId="5B5E14A6" w14:textId="77777777" w:rsidR="0049090E" w:rsidRPr="00F708FC" w:rsidRDefault="0049090E" w:rsidP="0049090E">
            <w:pPr>
              <w:rPr>
                <w:rFonts w:ascii="Arial" w:hAnsi="Arial" w:cs="Arial"/>
                <w:sz w:val="22"/>
                <w:szCs w:val="22"/>
              </w:rPr>
            </w:pPr>
            <w:r w:rsidRPr="00F708FC">
              <w:rPr>
                <w:rFonts w:ascii="Arial" w:hAnsi="Arial" w:cs="Arial"/>
                <w:sz w:val="22"/>
                <w:szCs w:val="22"/>
              </w:rPr>
              <w:t>Measure proposition value</w:t>
            </w:r>
          </w:p>
        </w:tc>
      </w:tr>
      <w:tr w:rsidR="0049090E" w:rsidRPr="00F708FC" w14:paraId="6DBC13DA" w14:textId="77777777">
        <w:trPr>
          <w:tblCellSpacing w:w="15" w:type="dxa"/>
        </w:trPr>
        <w:tc>
          <w:tcPr>
            <w:tcW w:w="0" w:type="auto"/>
            <w:vAlign w:val="center"/>
            <w:hideMark/>
          </w:tcPr>
          <w:p w14:paraId="300D1737" w14:textId="77777777" w:rsidR="0049090E" w:rsidRPr="00F708FC" w:rsidRDefault="0049090E" w:rsidP="0049090E">
            <w:pPr>
              <w:rPr>
                <w:rFonts w:ascii="Arial" w:hAnsi="Arial" w:cs="Arial"/>
                <w:sz w:val="22"/>
                <w:szCs w:val="22"/>
              </w:rPr>
            </w:pPr>
            <w:r w:rsidRPr="00F708FC">
              <w:rPr>
                <w:rFonts w:ascii="Arial" w:hAnsi="Arial" w:cs="Arial"/>
                <w:sz w:val="22"/>
                <w:szCs w:val="22"/>
              </w:rPr>
              <w:t>Customer</w:t>
            </w:r>
          </w:p>
        </w:tc>
        <w:tc>
          <w:tcPr>
            <w:tcW w:w="0" w:type="auto"/>
            <w:vAlign w:val="center"/>
            <w:hideMark/>
          </w:tcPr>
          <w:p w14:paraId="014076DF" w14:textId="77777777" w:rsidR="0049090E" w:rsidRPr="00F708FC" w:rsidRDefault="0049090E" w:rsidP="0049090E">
            <w:pPr>
              <w:rPr>
                <w:rFonts w:ascii="Arial" w:hAnsi="Arial" w:cs="Arial"/>
                <w:sz w:val="22"/>
                <w:szCs w:val="22"/>
              </w:rPr>
            </w:pPr>
            <w:r w:rsidRPr="00F708FC">
              <w:rPr>
                <w:rFonts w:ascii="Arial" w:hAnsi="Arial" w:cs="Arial"/>
                <w:sz w:val="22"/>
                <w:szCs w:val="22"/>
              </w:rPr>
              <w:t>Complaints/opt-outs</w:t>
            </w:r>
          </w:p>
        </w:tc>
        <w:tc>
          <w:tcPr>
            <w:tcW w:w="0" w:type="auto"/>
            <w:vAlign w:val="center"/>
            <w:hideMark/>
          </w:tcPr>
          <w:p w14:paraId="211CECFB" w14:textId="77777777" w:rsidR="0049090E" w:rsidRPr="00F708FC" w:rsidRDefault="0049090E" w:rsidP="0049090E">
            <w:pPr>
              <w:rPr>
                <w:rFonts w:ascii="Arial" w:hAnsi="Arial" w:cs="Arial"/>
                <w:sz w:val="22"/>
                <w:szCs w:val="22"/>
              </w:rPr>
            </w:pPr>
            <w:r w:rsidRPr="00F708FC">
              <w:rPr>
                <w:rFonts w:ascii="Arial" w:hAnsi="Arial" w:cs="Arial"/>
                <w:sz w:val="22"/>
                <w:szCs w:val="22"/>
              </w:rPr>
              <w:t>Identify trust problems</w:t>
            </w:r>
          </w:p>
        </w:tc>
      </w:tr>
      <w:tr w:rsidR="0049090E" w:rsidRPr="00F708FC" w14:paraId="0F48B32B" w14:textId="77777777">
        <w:trPr>
          <w:tblCellSpacing w:w="15" w:type="dxa"/>
        </w:trPr>
        <w:tc>
          <w:tcPr>
            <w:tcW w:w="0" w:type="auto"/>
            <w:vAlign w:val="center"/>
            <w:hideMark/>
          </w:tcPr>
          <w:p w14:paraId="63528027" w14:textId="77777777" w:rsidR="0049090E" w:rsidRPr="00F708FC" w:rsidRDefault="0049090E" w:rsidP="0049090E">
            <w:pPr>
              <w:rPr>
                <w:rFonts w:ascii="Arial" w:hAnsi="Arial" w:cs="Arial"/>
                <w:sz w:val="22"/>
                <w:szCs w:val="22"/>
              </w:rPr>
            </w:pPr>
            <w:r w:rsidRPr="00F708FC">
              <w:rPr>
                <w:rFonts w:ascii="Arial" w:hAnsi="Arial" w:cs="Arial"/>
                <w:sz w:val="22"/>
                <w:szCs w:val="22"/>
              </w:rPr>
              <w:t>Employee</w:t>
            </w:r>
          </w:p>
        </w:tc>
        <w:tc>
          <w:tcPr>
            <w:tcW w:w="0" w:type="auto"/>
            <w:vAlign w:val="center"/>
            <w:hideMark/>
          </w:tcPr>
          <w:p w14:paraId="6F0B3441" w14:textId="77777777" w:rsidR="0049090E" w:rsidRPr="00F708FC" w:rsidRDefault="0049090E" w:rsidP="0049090E">
            <w:pPr>
              <w:rPr>
                <w:rFonts w:ascii="Arial" w:hAnsi="Arial" w:cs="Arial"/>
                <w:sz w:val="22"/>
                <w:szCs w:val="22"/>
              </w:rPr>
            </w:pPr>
            <w:r w:rsidRPr="00F708FC">
              <w:rPr>
                <w:rFonts w:ascii="Arial" w:hAnsi="Arial" w:cs="Arial"/>
                <w:sz w:val="22"/>
                <w:szCs w:val="22"/>
              </w:rPr>
              <w:t>Training completion</w:t>
            </w:r>
          </w:p>
        </w:tc>
        <w:tc>
          <w:tcPr>
            <w:tcW w:w="0" w:type="auto"/>
            <w:vAlign w:val="center"/>
            <w:hideMark/>
          </w:tcPr>
          <w:p w14:paraId="1BE08485" w14:textId="77777777" w:rsidR="0049090E" w:rsidRPr="00F708FC" w:rsidRDefault="0049090E" w:rsidP="0049090E">
            <w:pPr>
              <w:rPr>
                <w:rFonts w:ascii="Arial" w:hAnsi="Arial" w:cs="Arial"/>
                <w:sz w:val="22"/>
                <w:szCs w:val="22"/>
              </w:rPr>
            </w:pPr>
            <w:r w:rsidRPr="00F708FC">
              <w:rPr>
                <w:rFonts w:ascii="Arial" w:hAnsi="Arial" w:cs="Arial"/>
                <w:sz w:val="22"/>
                <w:szCs w:val="22"/>
              </w:rPr>
              <w:t>Measure readiness</w:t>
            </w:r>
          </w:p>
        </w:tc>
      </w:tr>
      <w:tr w:rsidR="0049090E" w:rsidRPr="00F708FC" w14:paraId="1C07EEF3" w14:textId="77777777">
        <w:trPr>
          <w:tblCellSpacing w:w="15" w:type="dxa"/>
        </w:trPr>
        <w:tc>
          <w:tcPr>
            <w:tcW w:w="0" w:type="auto"/>
            <w:vAlign w:val="center"/>
            <w:hideMark/>
          </w:tcPr>
          <w:p w14:paraId="730E2BB8" w14:textId="77777777" w:rsidR="0049090E" w:rsidRPr="00F708FC" w:rsidRDefault="0049090E" w:rsidP="0049090E">
            <w:pPr>
              <w:rPr>
                <w:rFonts w:ascii="Arial" w:hAnsi="Arial" w:cs="Arial"/>
                <w:sz w:val="22"/>
                <w:szCs w:val="22"/>
              </w:rPr>
            </w:pPr>
            <w:r w:rsidRPr="00F708FC">
              <w:rPr>
                <w:rFonts w:ascii="Arial" w:hAnsi="Arial" w:cs="Arial"/>
                <w:sz w:val="22"/>
                <w:szCs w:val="22"/>
              </w:rPr>
              <w:t>Employee</w:t>
            </w:r>
          </w:p>
        </w:tc>
        <w:tc>
          <w:tcPr>
            <w:tcW w:w="0" w:type="auto"/>
            <w:vAlign w:val="center"/>
            <w:hideMark/>
          </w:tcPr>
          <w:p w14:paraId="01B02D68" w14:textId="77777777" w:rsidR="0049090E" w:rsidRPr="00F708FC" w:rsidRDefault="0049090E" w:rsidP="0049090E">
            <w:pPr>
              <w:rPr>
                <w:rFonts w:ascii="Arial" w:hAnsi="Arial" w:cs="Arial"/>
                <w:sz w:val="22"/>
                <w:szCs w:val="22"/>
              </w:rPr>
            </w:pPr>
            <w:r w:rsidRPr="00F708FC">
              <w:rPr>
                <w:rFonts w:ascii="Arial" w:hAnsi="Arial" w:cs="Arial"/>
                <w:sz w:val="22"/>
                <w:szCs w:val="22"/>
              </w:rPr>
              <w:t>Adoption confidence</w:t>
            </w:r>
          </w:p>
        </w:tc>
        <w:tc>
          <w:tcPr>
            <w:tcW w:w="0" w:type="auto"/>
            <w:vAlign w:val="center"/>
            <w:hideMark/>
          </w:tcPr>
          <w:p w14:paraId="5ECA901F" w14:textId="77777777" w:rsidR="0049090E" w:rsidRPr="00F708FC" w:rsidRDefault="0049090E" w:rsidP="0049090E">
            <w:pPr>
              <w:rPr>
                <w:rFonts w:ascii="Arial" w:hAnsi="Arial" w:cs="Arial"/>
                <w:sz w:val="22"/>
                <w:szCs w:val="22"/>
              </w:rPr>
            </w:pPr>
            <w:r w:rsidRPr="00F708FC">
              <w:rPr>
                <w:rFonts w:ascii="Arial" w:hAnsi="Arial" w:cs="Arial"/>
                <w:sz w:val="22"/>
                <w:szCs w:val="22"/>
              </w:rPr>
              <w:t>Measure change acceptance</w:t>
            </w:r>
          </w:p>
        </w:tc>
      </w:tr>
      <w:tr w:rsidR="0049090E" w:rsidRPr="00F708FC" w14:paraId="7CD472DD" w14:textId="77777777">
        <w:trPr>
          <w:tblCellSpacing w:w="15" w:type="dxa"/>
        </w:trPr>
        <w:tc>
          <w:tcPr>
            <w:tcW w:w="0" w:type="auto"/>
            <w:vAlign w:val="center"/>
            <w:hideMark/>
          </w:tcPr>
          <w:p w14:paraId="7766AA27" w14:textId="77777777" w:rsidR="0049090E" w:rsidRPr="00F708FC" w:rsidRDefault="0049090E" w:rsidP="0049090E">
            <w:pPr>
              <w:rPr>
                <w:rFonts w:ascii="Arial" w:hAnsi="Arial" w:cs="Arial"/>
                <w:sz w:val="22"/>
                <w:szCs w:val="22"/>
              </w:rPr>
            </w:pPr>
            <w:r w:rsidRPr="00F708FC">
              <w:rPr>
                <w:rFonts w:ascii="Arial" w:hAnsi="Arial" w:cs="Arial"/>
                <w:sz w:val="22"/>
                <w:szCs w:val="22"/>
              </w:rPr>
              <w:t>Technology</w:t>
            </w:r>
          </w:p>
        </w:tc>
        <w:tc>
          <w:tcPr>
            <w:tcW w:w="0" w:type="auto"/>
            <w:vAlign w:val="center"/>
            <w:hideMark/>
          </w:tcPr>
          <w:p w14:paraId="389A9E1E" w14:textId="77777777" w:rsidR="0049090E" w:rsidRPr="00F708FC" w:rsidRDefault="0049090E" w:rsidP="0049090E">
            <w:pPr>
              <w:rPr>
                <w:rFonts w:ascii="Arial" w:hAnsi="Arial" w:cs="Arial"/>
                <w:sz w:val="22"/>
                <w:szCs w:val="22"/>
              </w:rPr>
            </w:pPr>
            <w:r w:rsidRPr="00F708FC">
              <w:rPr>
                <w:rFonts w:ascii="Arial" w:hAnsi="Arial" w:cs="Arial"/>
                <w:sz w:val="22"/>
                <w:szCs w:val="22"/>
              </w:rPr>
              <w:t>System availability</w:t>
            </w:r>
          </w:p>
        </w:tc>
        <w:tc>
          <w:tcPr>
            <w:tcW w:w="0" w:type="auto"/>
            <w:vAlign w:val="center"/>
            <w:hideMark/>
          </w:tcPr>
          <w:p w14:paraId="1EB0B9CB" w14:textId="77777777" w:rsidR="0049090E" w:rsidRPr="00F708FC" w:rsidRDefault="0049090E" w:rsidP="0049090E">
            <w:pPr>
              <w:rPr>
                <w:rFonts w:ascii="Arial" w:hAnsi="Arial" w:cs="Arial"/>
                <w:sz w:val="22"/>
                <w:szCs w:val="22"/>
              </w:rPr>
            </w:pPr>
            <w:r w:rsidRPr="00F708FC">
              <w:rPr>
                <w:rFonts w:ascii="Arial" w:hAnsi="Arial" w:cs="Arial"/>
                <w:sz w:val="22"/>
                <w:szCs w:val="22"/>
              </w:rPr>
              <w:t>Measure reliability</w:t>
            </w:r>
          </w:p>
        </w:tc>
      </w:tr>
      <w:tr w:rsidR="0049090E" w:rsidRPr="00F708FC" w14:paraId="78715FE9" w14:textId="77777777">
        <w:trPr>
          <w:tblCellSpacing w:w="15" w:type="dxa"/>
        </w:trPr>
        <w:tc>
          <w:tcPr>
            <w:tcW w:w="0" w:type="auto"/>
            <w:vAlign w:val="center"/>
            <w:hideMark/>
          </w:tcPr>
          <w:p w14:paraId="7D478B7B" w14:textId="77777777" w:rsidR="0049090E" w:rsidRPr="00F708FC" w:rsidRDefault="0049090E" w:rsidP="0049090E">
            <w:pPr>
              <w:rPr>
                <w:rFonts w:ascii="Arial" w:hAnsi="Arial" w:cs="Arial"/>
                <w:sz w:val="22"/>
                <w:szCs w:val="22"/>
              </w:rPr>
            </w:pPr>
            <w:r w:rsidRPr="00F708FC">
              <w:rPr>
                <w:rFonts w:ascii="Arial" w:hAnsi="Arial" w:cs="Arial"/>
                <w:sz w:val="22"/>
                <w:szCs w:val="22"/>
              </w:rPr>
              <w:t>Technology</w:t>
            </w:r>
          </w:p>
        </w:tc>
        <w:tc>
          <w:tcPr>
            <w:tcW w:w="0" w:type="auto"/>
            <w:vAlign w:val="center"/>
            <w:hideMark/>
          </w:tcPr>
          <w:p w14:paraId="3CBEEFFC" w14:textId="77777777" w:rsidR="0049090E" w:rsidRPr="00F708FC" w:rsidRDefault="0049090E" w:rsidP="0049090E">
            <w:pPr>
              <w:rPr>
                <w:rFonts w:ascii="Arial" w:hAnsi="Arial" w:cs="Arial"/>
                <w:sz w:val="22"/>
                <w:szCs w:val="22"/>
              </w:rPr>
            </w:pPr>
            <w:r w:rsidRPr="00F708FC">
              <w:rPr>
                <w:rFonts w:ascii="Arial" w:hAnsi="Arial" w:cs="Arial"/>
                <w:sz w:val="22"/>
                <w:szCs w:val="22"/>
              </w:rPr>
              <w:t>Defect rate</w:t>
            </w:r>
          </w:p>
        </w:tc>
        <w:tc>
          <w:tcPr>
            <w:tcW w:w="0" w:type="auto"/>
            <w:vAlign w:val="center"/>
            <w:hideMark/>
          </w:tcPr>
          <w:p w14:paraId="04096B98" w14:textId="77777777" w:rsidR="0049090E" w:rsidRPr="00F708FC" w:rsidRDefault="0049090E" w:rsidP="0049090E">
            <w:pPr>
              <w:rPr>
                <w:rFonts w:ascii="Arial" w:hAnsi="Arial" w:cs="Arial"/>
                <w:sz w:val="22"/>
                <w:szCs w:val="22"/>
              </w:rPr>
            </w:pPr>
            <w:r w:rsidRPr="00F708FC">
              <w:rPr>
                <w:rFonts w:ascii="Arial" w:hAnsi="Arial" w:cs="Arial"/>
                <w:sz w:val="22"/>
                <w:szCs w:val="22"/>
              </w:rPr>
              <w:t>Measure quality</w:t>
            </w:r>
          </w:p>
        </w:tc>
      </w:tr>
      <w:tr w:rsidR="0049090E" w:rsidRPr="00F708FC" w14:paraId="63A16489" w14:textId="77777777">
        <w:trPr>
          <w:tblCellSpacing w:w="15" w:type="dxa"/>
        </w:trPr>
        <w:tc>
          <w:tcPr>
            <w:tcW w:w="0" w:type="auto"/>
            <w:vAlign w:val="center"/>
            <w:hideMark/>
          </w:tcPr>
          <w:p w14:paraId="3079689A" w14:textId="77777777" w:rsidR="0049090E" w:rsidRPr="00F708FC" w:rsidRDefault="0049090E" w:rsidP="0049090E">
            <w:pPr>
              <w:rPr>
                <w:rFonts w:ascii="Arial" w:hAnsi="Arial" w:cs="Arial"/>
                <w:sz w:val="22"/>
                <w:szCs w:val="22"/>
              </w:rPr>
            </w:pPr>
            <w:r w:rsidRPr="00F708FC">
              <w:rPr>
                <w:rFonts w:ascii="Arial" w:hAnsi="Arial" w:cs="Arial"/>
                <w:sz w:val="22"/>
                <w:szCs w:val="22"/>
              </w:rPr>
              <w:t>Ethics</w:t>
            </w:r>
          </w:p>
        </w:tc>
        <w:tc>
          <w:tcPr>
            <w:tcW w:w="0" w:type="auto"/>
            <w:vAlign w:val="center"/>
            <w:hideMark/>
          </w:tcPr>
          <w:p w14:paraId="3CAEB8A2" w14:textId="77777777" w:rsidR="0049090E" w:rsidRPr="00F708FC" w:rsidRDefault="0049090E" w:rsidP="0049090E">
            <w:pPr>
              <w:rPr>
                <w:rFonts w:ascii="Arial" w:hAnsi="Arial" w:cs="Arial"/>
                <w:sz w:val="22"/>
                <w:szCs w:val="22"/>
              </w:rPr>
            </w:pPr>
            <w:r w:rsidRPr="00F708FC">
              <w:rPr>
                <w:rFonts w:ascii="Arial" w:hAnsi="Arial" w:cs="Arial"/>
                <w:sz w:val="22"/>
                <w:szCs w:val="22"/>
              </w:rPr>
              <w:t>Privacy incidents</w:t>
            </w:r>
          </w:p>
        </w:tc>
        <w:tc>
          <w:tcPr>
            <w:tcW w:w="0" w:type="auto"/>
            <w:vAlign w:val="center"/>
            <w:hideMark/>
          </w:tcPr>
          <w:p w14:paraId="15EDECC8" w14:textId="77777777" w:rsidR="0049090E" w:rsidRPr="00F708FC" w:rsidRDefault="0049090E" w:rsidP="0049090E">
            <w:pPr>
              <w:rPr>
                <w:rFonts w:ascii="Arial" w:hAnsi="Arial" w:cs="Arial"/>
                <w:sz w:val="22"/>
                <w:szCs w:val="22"/>
              </w:rPr>
            </w:pPr>
            <w:r w:rsidRPr="00F708FC">
              <w:rPr>
                <w:rFonts w:ascii="Arial" w:hAnsi="Arial" w:cs="Arial"/>
                <w:sz w:val="22"/>
                <w:szCs w:val="22"/>
              </w:rPr>
              <w:t>Measure responsible data use</w:t>
            </w:r>
          </w:p>
        </w:tc>
      </w:tr>
      <w:tr w:rsidR="0049090E" w:rsidRPr="00F708FC" w14:paraId="6F179EBE" w14:textId="77777777">
        <w:trPr>
          <w:tblCellSpacing w:w="15" w:type="dxa"/>
        </w:trPr>
        <w:tc>
          <w:tcPr>
            <w:tcW w:w="0" w:type="auto"/>
            <w:vAlign w:val="center"/>
            <w:hideMark/>
          </w:tcPr>
          <w:p w14:paraId="419AB83B" w14:textId="77777777" w:rsidR="0049090E" w:rsidRPr="00F708FC" w:rsidRDefault="0049090E" w:rsidP="0049090E">
            <w:pPr>
              <w:rPr>
                <w:rFonts w:ascii="Arial" w:hAnsi="Arial" w:cs="Arial"/>
                <w:sz w:val="22"/>
                <w:szCs w:val="22"/>
              </w:rPr>
            </w:pPr>
            <w:r w:rsidRPr="00F708FC">
              <w:rPr>
                <w:rFonts w:ascii="Arial" w:hAnsi="Arial" w:cs="Arial"/>
                <w:sz w:val="22"/>
                <w:szCs w:val="22"/>
              </w:rPr>
              <w:t>AI</w:t>
            </w:r>
          </w:p>
        </w:tc>
        <w:tc>
          <w:tcPr>
            <w:tcW w:w="0" w:type="auto"/>
            <w:vAlign w:val="center"/>
            <w:hideMark/>
          </w:tcPr>
          <w:p w14:paraId="679A8ED1" w14:textId="77777777" w:rsidR="0049090E" w:rsidRPr="00F708FC" w:rsidRDefault="0049090E" w:rsidP="0049090E">
            <w:pPr>
              <w:rPr>
                <w:rFonts w:ascii="Arial" w:hAnsi="Arial" w:cs="Arial"/>
                <w:sz w:val="22"/>
                <w:szCs w:val="22"/>
              </w:rPr>
            </w:pPr>
            <w:r w:rsidRPr="00F708FC">
              <w:rPr>
                <w:rFonts w:ascii="Arial" w:hAnsi="Arial" w:cs="Arial"/>
                <w:sz w:val="22"/>
                <w:szCs w:val="22"/>
              </w:rPr>
              <w:t>Bias/accuracy indicators</w:t>
            </w:r>
          </w:p>
        </w:tc>
        <w:tc>
          <w:tcPr>
            <w:tcW w:w="0" w:type="auto"/>
            <w:vAlign w:val="center"/>
            <w:hideMark/>
          </w:tcPr>
          <w:p w14:paraId="2F65CA88" w14:textId="77777777" w:rsidR="0049090E" w:rsidRPr="00F708FC" w:rsidRDefault="0049090E" w:rsidP="0049090E">
            <w:pPr>
              <w:rPr>
                <w:rFonts w:ascii="Arial" w:hAnsi="Arial" w:cs="Arial"/>
                <w:sz w:val="22"/>
                <w:szCs w:val="22"/>
              </w:rPr>
            </w:pPr>
            <w:r w:rsidRPr="00F708FC">
              <w:rPr>
                <w:rFonts w:ascii="Arial" w:hAnsi="Arial" w:cs="Arial"/>
                <w:sz w:val="22"/>
                <w:szCs w:val="22"/>
              </w:rPr>
              <w:t>Monitor model performance</w:t>
            </w:r>
          </w:p>
        </w:tc>
      </w:tr>
      <w:tr w:rsidR="0049090E" w:rsidRPr="00F708FC" w14:paraId="63608F29" w14:textId="77777777">
        <w:trPr>
          <w:tblCellSpacing w:w="15" w:type="dxa"/>
        </w:trPr>
        <w:tc>
          <w:tcPr>
            <w:tcW w:w="0" w:type="auto"/>
            <w:vAlign w:val="center"/>
            <w:hideMark/>
          </w:tcPr>
          <w:p w14:paraId="7831C8F8" w14:textId="77777777" w:rsidR="0049090E" w:rsidRPr="00F708FC" w:rsidRDefault="0049090E" w:rsidP="0049090E">
            <w:pPr>
              <w:rPr>
                <w:rFonts w:ascii="Arial" w:hAnsi="Arial" w:cs="Arial"/>
                <w:sz w:val="22"/>
                <w:szCs w:val="22"/>
              </w:rPr>
            </w:pPr>
            <w:r w:rsidRPr="00F708FC">
              <w:rPr>
                <w:rFonts w:ascii="Arial" w:hAnsi="Arial" w:cs="Arial"/>
                <w:sz w:val="22"/>
                <w:szCs w:val="22"/>
              </w:rPr>
              <w:t>Stakeholder</w:t>
            </w:r>
          </w:p>
        </w:tc>
        <w:tc>
          <w:tcPr>
            <w:tcW w:w="0" w:type="auto"/>
            <w:vAlign w:val="center"/>
            <w:hideMark/>
          </w:tcPr>
          <w:p w14:paraId="28F7CC4E" w14:textId="77777777" w:rsidR="0049090E" w:rsidRPr="00F708FC" w:rsidRDefault="0049090E" w:rsidP="0049090E">
            <w:pPr>
              <w:rPr>
                <w:rFonts w:ascii="Arial" w:hAnsi="Arial" w:cs="Arial"/>
                <w:sz w:val="22"/>
                <w:szCs w:val="22"/>
              </w:rPr>
            </w:pPr>
            <w:r w:rsidRPr="00F708FC">
              <w:rPr>
                <w:rFonts w:ascii="Arial" w:hAnsi="Arial" w:cs="Arial"/>
                <w:sz w:val="22"/>
                <w:szCs w:val="22"/>
              </w:rPr>
              <w:t>Engagement score</w:t>
            </w:r>
          </w:p>
        </w:tc>
        <w:tc>
          <w:tcPr>
            <w:tcW w:w="0" w:type="auto"/>
            <w:vAlign w:val="center"/>
            <w:hideMark/>
          </w:tcPr>
          <w:p w14:paraId="456589B4" w14:textId="77777777" w:rsidR="0049090E" w:rsidRPr="00F708FC" w:rsidRDefault="0049090E" w:rsidP="0049090E">
            <w:pPr>
              <w:rPr>
                <w:rFonts w:ascii="Arial" w:hAnsi="Arial" w:cs="Arial"/>
                <w:sz w:val="22"/>
                <w:szCs w:val="22"/>
              </w:rPr>
            </w:pPr>
            <w:r w:rsidRPr="00F708FC">
              <w:rPr>
                <w:rFonts w:ascii="Arial" w:hAnsi="Arial" w:cs="Arial"/>
                <w:sz w:val="22"/>
                <w:szCs w:val="22"/>
              </w:rPr>
              <w:t>Measure relationship quality</w:t>
            </w:r>
          </w:p>
        </w:tc>
      </w:tr>
    </w:tbl>
    <w:p w14:paraId="0A6110C2" w14:textId="77777777" w:rsidR="0049090E" w:rsidRPr="00F708FC" w:rsidRDefault="0049090E" w:rsidP="0049090E">
      <w:pPr>
        <w:rPr>
          <w:rFonts w:ascii="Arial" w:hAnsi="Arial" w:cs="Arial"/>
          <w:sz w:val="22"/>
          <w:szCs w:val="22"/>
        </w:rPr>
      </w:pPr>
      <w:r w:rsidRPr="00F708FC">
        <w:rPr>
          <w:rFonts w:ascii="Arial" w:hAnsi="Arial" w:cs="Arial"/>
          <w:sz w:val="22"/>
          <w:szCs w:val="22"/>
        </w:rPr>
        <w:t>This approach is consistent with stakeholder theory because performance is evaluated across multiple relationships rather than through financial results alone.</w:t>
      </w:r>
    </w:p>
    <w:p w14:paraId="48CC956D"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However, a critical distinction must be made between </w:t>
      </w:r>
      <w:r w:rsidRPr="00F708FC">
        <w:rPr>
          <w:rFonts w:ascii="Arial" w:hAnsi="Arial" w:cs="Arial"/>
          <w:b/>
          <w:bCs/>
          <w:sz w:val="22"/>
          <w:szCs w:val="22"/>
        </w:rPr>
        <w:t>engagement activity</w:t>
      </w:r>
      <w:r w:rsidRPr="00F708FC">
        <w:rPr>
          <w:rFonts w:ascii="Arial" w:hAnsi="Arial" w:cs="Arial"/>
          <w:sz w:val="22"/>
          <w:szCs w:val="22"/>
        </w:rPr>
        <w:t xml:space="preserve"> and </w:t>
      </w:r>
      <w:r w:rsidRPr="00F708FC">
        <w:rPr>
          <w:rFonts w:ascii="Arial" w:hAnsi="Arial" w:cs="Arial"/>
          <w:b/>
          <w:bCs/>
          <w:sz w:val="22"/>
          <w:szCs w:val="22"/>
        </w:rPr>
        <w:t>engagement effectiveness</w:t>
      </w:r>
      <w:r w:rsidRPr="00F708FC">
        <w:rPr>
          <w:rFonts w:ascii="Arial" w:hAnsi="Arial" w:cs="Arial"/>
          <w:sz w:val="22"/>
          <w:szCs w:val="22"/>
        </w:rPr>
        <w:t>.</w:t>
      </w:r>
    </w:p>
    <w:p w14:paraId="6B8D6437" w14:textId="77777777" w:rsidR="0049090E" w:rsidRPr="00F708FC" w:rsidRDefault="0049090E" w:rsidP="0049090E">
      <w:pPr>
        <w:rPr>
          <w:rFonts w:ascii="Arial" w:hAnsi="Arial" w:cs="Arial"/>
          <w:sz w:val="22"/>
          <w:szCs w:val="22"/>
        </w:rPr>
      </w:pPr>
      <w:r w:rsidRPr="00F708FC">
        <w:rPr>
          <w:rFonts w:ascii="Arial" w:hAnsi="Arial" w:cs="Arial"/>
          <w:sz w:val="22"/>
          <w:szCs w:val="22"/>
        </w:rPr>
        <w:t>Counting the number of stakeholder meetings is not sufficient.</w:t>
      </w:r>
    </w:p>
    <w:p w14:paraId="2A4A8838" w14:textId="77777777" w:rsidR="0049090E" w:rsidRPr="00F708FC" w:rsidRDefault="0049090E" w:rsidP="0049090E">
      <w:pPr>
        <w:rPr>
          <w:rFonts w:ascii="Arial" w:hAnsi="Arial" w:cs="Arial"/>
          <w:sz w:val="22"/>
          <w:szCs w:val="22"/>
        </w:rPr>
      </w:pPr>
      <w:r w:rsidRPr="00F708FC">
        <w:rPr>
          <w:rFonts w:ascii="Arial" w:hAnsi="Arial" w:cs="Arial"/>
          <w:sz w:val="22"/>
          <w:szCs w:val="22"/>
        </w:rPr>
        <w:t>For example:</w:t>
      </w:r>
    </w:p>
    <w:p w14:paraId="0858981A" w14:textId="77777777" w:rsidR="0049090E" w:rsidRPr="00F708FC" w:rsidRDefault="0049090E" w:rsidP="0049090E">
      <w:pPr>
        <w:numPr>
          <w:ilvl w:val="0"/>
          <w:numId w:val="10"/>
        </w:numPr>
        <w:rPr>
          <w:rFonts w:ascii="Arial" w:hAnsi="Arial" w:cs="Arial"/>
          <w:sz w:val="22"/>
          <w:szCs w:val="22"/>
        </w:rPr>
      </w:pPr>
      <w:r w:rsidRPr="00F708FC">
        <w:rPr>
          <w:rFonts w:ascii="Arial" w:hAnsi="Arial" w:cs="Arial"/>
          <w:sz w:val="22"/>
          <w:szCs w:val="22"/>
        </w:rPr>
        <w:t>Ten customer workshops do not necessarily mean customers influenced the design.</w:t>
      </w:r>
    </w:p>
    <w:p w14:paraId="49CFC30F" w14:textId="77777777" w:rsidR="0049090E" w:rsidRPr="00F708FC" w:rsidRDefault="0049090E" w:rsidP="0049090E">
      <w:pPr>
        <w:numPr>
          <w:ilvl w:val="0"/>
          <w:numId w:val="10"/>
        </w:numPr>
        <w:rPr>
          <w:rFonts w:ascii="Arial" w:hAnsi="Arial" w:cs="Arial"/>
          <w:sz w:val="22"/>
          <w:szCs w:val="22"/>
        </w:rPr>
      </w:pPr>
      <w:r w:rsidRPr="00F708FC">
        <w:rPr>
          <w:rFonts w:ascii="Arial" w:hAnsi="Arial" w:cs="Arial"/>
          <w:sz w:val="22"/>
          <w:szCs w:val="22"/>
        </w:rPr>
        <w:t>95% employee training completion does not necessarily mean employees support the system.</w:t>
      </w:r>
    </w:p>
    <w:p w14:paraId="427AF755" w14:textId="77777777" w:rsidR="0049090E" w:rsidRPr="00F708FC" w:rsidRDefault="0049090E" w:rsidP="0049090E">
      <w:pPr>
        <w:numPr>
          <w:ilvl w:val="0"/>
          <w:numId w:val="10"/>
        </w:numPr>
        <w:rPr>
          <w:rFonts w:ascii="Arial" w:hAnsi="Arial" w:cs="Arial"/>
          <w:sz w:val="22"/>
          <w:szCs w:val="22"/>
        </w:rPr>
      </w:pPr>
      <w:r w:rsidRPr="00F708FC">
        <w:rPr>
          <w:rFonts w:ascii="Arial" w:hAnsi="Arial" w:cs="Arial"/>
          <w:sz w:val="22"/>
          <w:szCs w:val="22"/>
        </w:rPr>
        <w:t>A signed supplier contract does not necessarily mean the relationship is effective.</w:t>
      </w:r>
    </w:p>
    <w:p w14:paraId="026F4C67" w14:textId="77777777" w:rsidR="0049090E" w:rsidRPr="00F708FC" w:rsidRDefault="0049090E" w:rsidP="0049090E">
      <w:pPr>
        <w:numPr>
          <w:ilvl w:val="0"/>
          <w:numId w:val="10"/>
        </w:numPr>
        <w:rPr>
          <w:rFonts w:ascii="Arial" w:hAnsi="Arial" w:cs="Arial"/>
          <w:sz w:val="22"/>
          <w:szCs w:val="22"/>
        </w:rPr>
      </w:pPr>
      <w:r w:rsidRPr="00F708FC">
        <w:rPr>
          <w:rFonts w:ascii="Arial" w:hAnsi="Arial" w:cs="Arial"/>
          <w:sz w:val="22"/>
          <w:szCs w:val="22"/>
        </w:rPr>
        <w:t>Regulatory approval does not necessarily mean customers trust the platform.</w:t>
      </w:r>
    </w:p>
    <w:p w14:paraId="02D2BAB4" w14:textId="77777777" w:rsidR="0049090E" w:rsidRPr="00F708FC" w:rsidRDefault="0049090E" w:rsidP="0049090E">
      <w:pPr>
        <w:rPr>
          <w:rFonts w:ascii="Arial" w:hAnsi="Arial" w:cs="Arial"/>
          <w:sz w:val="22"/>
          <w:szCs w:val="22"/>
        </w:rPr>
      </w:pPr>
      <w:r w:rsidRPr="00F708FC">
        <w:rPr>
          <w:rFonts w:ascii="Arial" w:hAnsi="Arial" w:cs="Arial"/>
          <w:sz w:val="22"/>
          <w:szCs w:val="22"/>
        </w:rPr>
        <w:t>Greenwood (2007) provides an important critique here. She argues that stakeholder engagement is not automatically responsible and should not be treated as inherently positive. Engagement can be instrumental, managerial or symbolic.</w:t>
      </w:r>
    </w:p>
    <w:p w14:paraId="6951301B"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Consequently, TK Maxx should measure </w:t>
      </w:r>
      <w:r w:rsidRPr="00F708FC">
        <w:rPr>
          <w:rFonts w:ascii="Arial" w:hAnsi="Arial" w:cs="Arial"/>
          <w:b/>
          <w:bCs/>
          <w:sz w:val="22"/>
          <w:szCs w:val="22"/>
        </w:rPr>
        <w:t>stakeholder outcomes</w:t>
      </w:r>
      <w:r w:rsidRPr="00F708FC">
        <w:rPr>
          <w:rFonts w:ascii="Arial" w:hAnsi="Arial" w:cs="Arial"/>
          <w:sz w:val="22"/>
          <w:szCs w:val="22"/>
        </w:rPr>
        <w:t>, not simply stakeholder activity.</w:t>
      </w:r>
    </w:p>
    <w:p w14:paraId="6AAF6CCB"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 useful measure would be a quarterly </w:t>
      </w:r>
      <w:r w:rsidRPr="00F708FC">
        <w:rPr>
          <w:rFonts w:ascii="Arial" w:hAnsi="Arial" w:cs="Arial"/>
          <w:b/>
          <w:bCs/>
          <w:sz w:val="22"/>
          <w:szCs w:val="22"/>
        </w:rPr>
        <w:t>Stakeholder Trust and Readiness Index</w:t>
      </w:r>
      <w:r w:rsidRPr="00F708FC">
        <w:rPr>
          <w:rFonts w:ascii="Arial" w:hAnsi="Arial" w:cs="Arial"/>
          <w:sz w:val="22"/>
          <w:szCs w:val="22"/>
        </w:rPr>
        <w:t>, combining:</w:t>
      </w:r>
    </w:p>
    <w:p w14:paraId="66ED9D02"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stakeholder satisfaction;</w:t>
      </w:r>
    </w:p>
    <w:p w14:paraId="44AD39D5"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unresolved issues;</w:t>
      </w:r>
    </w:p>
    <w:p w14:paraId="44906DA1"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lastRenderedPageBreak/>
        <w:t>participation;</w:t>
      </w:r>
    </w:p>
    <w:p w14:paraId="73CA9DBD"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confidence;</w:t>
      </w:r>
    </w:p>
    <w:p w14:paraId="3F125D36"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adoption;</w:t>
      </w:r>
    </w:p>
    <w:p w14:paraId="3E8EBCB4"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complaints;</w:t>
      </w:r>
    </w:p>
    <w:p w14:paraId="04EA284D"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privacy concerns;</w:t>
      </w:r>
    </w:p>
    <w:p w14:paraId="2618BC75" w14:textId="77777777" w:rsidR="0049090E" w:rsidRPr="00F708FC" w:rsidRDefault="0049090E" w:rsidP="0049090E">
      <w:pPr>
        <w:numPr>
          <w:ilvl w:val="0"/>
          <w:numId w:val="11"/>
        </w:numPr>
        <w:rPr>
          <w:rFonts w:ascii="Arial" w:hAnsi="Arial" w:cs="Arial"/>
          <w:sz w:val="22"/>
          <w:szCs w:val="22"/>
        </w:rPr>
      </w:pPr>
      <w:r w:rsidRPr="00F708FC">
        <w:rPr>
          <w:rFonts w:ascii="Arial" w:hAnsi="Arial" w:cs="Arial"/>
          <w:sz w:val="22"/>
          <w:szCs w:val="22"/>
        </w:rPr>
        <w:t>employee readiness.</w:t>
      </w:r>
    </w:p>
    <w:p w14:paraId="1E02ADF8" w14:textId="77777777" w:rsidR="0049090E" w:rsidRPr="00F708FC" w:rsidRDefault="0049090E" w:rsidP="0049090E">
      <w:pPr>
        <w:rPr>
          <w:rFonts w:ascii="Arial" w:hAnsi="Arial" w:cs="Arial"/>
          <w:sz w:val="22"/>
          <w:szCs w:val="22"/>
        </w:rPr>
      </w:pPr>
      <w:r w:rsidRPr="00F708FC">
        <w:rPr>
          <w:rFonts w:ascii="Arial" w:hAnsi="Arial" w:cs="Arial"/>
          <w:sz w:val="22"/>
          <w:szCs w:val="22"/>
        </w:rPr>
        <w:t>This would provide senior management with a more meaningful indication of whether stakeholder relationships are strengthening.</w:t>
      </w:r>
    </w:p>
    <w:p w14:paraId="67D8D849"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0864AED4">
          <v:rect id="_x0000_i1039" style="width:0;height:1.5pt" o:hralign="center" o:hrstd="t" o:hr="t" fillcolor="#a0a0a0" stroked="f"/>
        </w:pict>
      </w:r>
    </w:p>
    <w:p w14:paraId="04EE568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12. Recommendations</w:t>
      </w:r>
    </w:p>
    <w:p w14:paraId="4679D24E"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 xml:space="preserve">Recommendation 1: Implement </w:t>
      </w:r>
      <w:proofErr w:type="spellStart"/>
      <w:r w:rsidRPr="00F708FC">
        <w:rPr>
          <w:rFonts w:ascii="Arial" w:hAnsi="Arial" w:cs="Arial"/>
          <w:b/>
          <w:bCs/>
          <w:sz w:val="22"/>
          <w:szCs w:val="22"/>
        </w:rPr>
        <w:t>ConnectPlus</w:t>
      </w:r>
      <w:proofErr w:type="spellEnd"/>
      <w:r w:rsidRPr="00F708FC">
        <w:rPr>
          <w:rFonts w:ascii="Arial" w:hAnsi="Arial" w:cs="Arial"/>
          <w:b/>
          <w:bCs/>
          <w:sz w:val="22"/>
          <w:szCs w:val="22"/>
        </w:rPr>
        <w:t xml:space="preserve"> through a phased international pilot</w:t>
      </w:r>
    </w:p>
    <w:p w14:paraId="4A85D7B2" w14:textId="77777777" w:rsidR="0049090E" w:rsidRPr="00F708FC" w:rsidRDefault="0049090E" w:rsidP="0049090E">
      <w:pPr>
        <w:rPr>
          <w:rFonts w:ascii="Arial" w:hAnsi="Arial" w:cs="Arial"/>
          <w:sz w:val="22"/>
          <w:szCs w:val="22"/>
        </w:rPr>
      </w:pPr>
      <w:r w:rsidRPr="00F708FC">
        <w:rPr>
          <w:rFonts w:ascii="Arial" w:hAnsi="Arial" w:cs="Arial"/>
          <w:sz w:val="22"/>
          <w:szCs w:val="22"/>
        </w:rPr>
        <w:t>TK Maxx should avoid simultaneous global deployment. Selected pilot markets should be used to test customer adoption, employee readiness, technology performance and stakeholder trust.</w:t>
      </w:r>
    </w:p>
    <w:p w14:paraId="0BB0ADF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2: Establish a Global Stakeholder Steering Committee</w:t>
      </w:r>
    </w:p>
    <w:p w14:paraId="140DCE12" w14:textId="77777777" w:rsidR="0049090E" w:rsidRPr="00F708FC" w:rsidRDefault="0049090E" w:rsidP="0049090E">
      <w:pPr>
        <w:rPr>
          <w:rFonts w:ascii="Arial" w:hAnsi="Arial" w:cs="Arial"/>
          <w:sz w:val="22"/>
          <w:szCs w:val="22"/>
        </w:rPr>
      </w:pPr>
      <w:r w:rsidRPr="00F708FC">
        <w:rPr>
          <w:rFonts w:ascii="Arial" w:hAnsi="Arial" w:cs="Arial"/>
          <w:sz w:val="22"/>
          <w:szCs w:val="22"/>
        </w:rPr>
        <w:t>The committee should include executive leadership, the project sponsor, project manager, technology, AI/data, marketing, HR, legal/DPO, cybersecurity and country representatives.</w:t>
      </w:r>
    </w:p>
    <w:p w14:paraId="70A74202"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3: Establish Market Stakeholder Councils</w:t>
      </w:r>
    </w:p>
    <w:p w14:paraId="5B9C2CC7" w14:textId="77777777" w:rsidR="0049090E" w:rsidRPr="00F708FC" w:rsidRDefault="0049090E" w:rsidP="0049090E">
      <w:pPr>
        <w:rPr>
          <w:rFonts w:ascii="Arial" w:hAnsi="Arial" w:cs="Arial"/>
          <w:sz w:val="22"/>
          <w:szCs w:val="22"/>
        </w:rPr>
      </w:pPr>
      <w:r w:rsidRPr="00F708FC">
        <w:rPr>
          <w:rFonts w:ascii="Arial" w:hAnsi="Arial" w:cs="Arial"/>
          <w:sz w:val="22"/>
          <w:szCs w:val="22"/>
        </w:rPr>
        <w:t>Each market should have a local council responsible for identifying cultural, regulatory and customer-experience differences.</w:t>
      </w:r>
    </w:p>
    <w:p w14:paraId="116EB76C"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4: Apply privacy-by-design and AI governance</w:t>
      </w:r>
    </w:p>
    <w:p w14:paraId="5F7F57A4" w14:textId="77777777" w:rsidR="0049090E" w:rsidRPr="00F708FC" w:rsidRDefault="0049090E" w:rsidP="0049090E">
      <w:pPr>
        <w:rPr>
          <w:rFonts w:ascii="Arial" w:hAnsi="Arial" w:cs="Arial"/>
          <w:sz w:val="22"/>
          <w:szCs w:val="22"/>
        </w:rPr>
      </w:pPr>
      <w:r w:rsidRPr="00F708FC">
        <w:rPr>
          <w:rFonts w:ascii="Arial" w:hAnsi="Arial" w:cs="Arial"/>
          <w:sz w:val="22"/>
          <w:szCs w:val="22"/>
        </w:rPr>
        <w:t>Data protection and AI ethics should be embedded into product design rather than treated as final-stage compliance checks. The ICO's current guidance reinforces the importance of fairness, transparency, accuracy and appropriate governance when AI processes personal data.</w:t>
      </w:r>
    </w:p>
    <w:p w14:paraId="33520B44"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5: Make employees co-designers</w:t>
      </w:r>
    </w:p>
    <w:p w14:paraId="6D86FDA0" w14:textId="77777777" w:rsidR="0049090E" w:rsidRPr="00F708FC" w:rsidRDefault="0049090E" w:rsidP="0049090E">
      <w:pPr>
        <w:rPr>
          <w:rFonts w:ascii="Arial" w:hAnsi="Arial" w:cs="Arial"/>
          <w:sz w:val="22"/>
          <w:szCs w:val="22"/>
        </w:rPr>
      </w:pPr>
      <w:r w:rsidRPr="00F708FC">
        <w:rPr>
          <w:rFonts w:ascii="Arial" w:hAnsi="Arial" w:cs="Arial"/>
          <w:sz w:val="22"/>
          <w:szCs w:val="22"/>
        </w:rPr>
        <w:t>Store Associates should participate in pilot testing and provide structured feedback. Training should occur before launch and continue during the adoption period.</w:t>
      </w:r>
    </w:p>
    <w:p w14:paraId="6EBCDFBA"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6: Create a stakeholder performance dashboard</w:t>
      </w:r>
    </w:p>
    <w:p w14:paraId="5EDFE578" w14:textId="77777777" w:rsidR="0049090E" w:rsidRPr="00F708FC" w:rsidRDefault="0049090E" w:rsidP="0049090E">
      <w:pPr>
        <w:rPr>
          <w:rFonts w:ascii="Arial" w:hAnsi="Arial" w:cs="Arial"/>
          <w:sz w:val="22"/>
          <w:szCs w:val="22"/>
        </w:rPr>
      </w:pPr>
      <w:r w:rsidRPr="00F708FC">
        <w:rPr>
          <w:rFonts w:ascii="Arial" w:hAnsi="Arial" w:cs="Arial"/>
          <w:sz w:val="22"/>
          <w:szCs w:val="22"/>
        </w:rPr>
        <w:t>The dashboard should combine financial, customer, employee, technological and ethical indicators.</w:t>
      </w:r>
    </w:p>
    <w:p w14:paraId="4E73130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Recommendation 7: Establish a formal "You Said, We Did" process</w:t>
      </w:r>
    </w:p>
    <w:p w14:paraId="2FAD8C45" w14:textId="77777777" w:rsidR="0049090E" w:rsidRPr="00F708FC" w:rsidRDefault="0049090E" w:rsidP="0049090E">
      <w:pPr>
        <w:rPr>
          <w:rFonts w:ascii="Arial" w:hAnsi="Arial" w:cs="Arial"/>
          <w:sz w:val="22"/>
          <w:szCs w:val="22"/>
        </w:rPr>
      </w:pPr>
      <w:r w:rsidRPr="00F708FC">
        <w:rPr>
          <w:rFonts w:ascii="Arial" w:hAnsi="Arial" w:cs="Arial"/>
          <w:sz w:val="22"/>
          <w:szCs w:val="22"/>
        </w:rPr>
        <w:t>TK Maxx should communicate how stakeholder feedback changed the platform. This would make engagement visible and reduce the risk that consultation becomes symbolic.</w:t>
      </w:r>
    </w:p>
    <w:p w14:paraId="2FEB0AA9"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1993B84F">
          <v:rect id="_x0000_i1040" style="width:0;height:1.5pt" o:hralign="center" o:hrstd="t" o:hr="t" fillcolor="#a0a0a0" stroked="f"/>
        </w:pict>
      </w:r>
    </w:p>
    <w:p w14:paraId="6704B5D5"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lastRenderedPageBreak/>
        <w:t>13. Conclusion</w:t>
      </w:r>
    </w:p>
    <w:p w14:paraId="3AC08E50"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proposed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platform presents TK Maxx with an opportunity to strengthen customer relationships, increase digital engagement and improve the use of customer insight. However, its success depends upon much more than technical delivery. The project involves a complex network of internal and external stakeholders whose interests, levels of influence and expectations differ across markets.</w:t>
      </w:r>
    </w:p>
    <w:p w14:paraId="0820560D" w14:textId="77777777" w:rsidR="0049090E" w:rsidRPr="00F708FC" w:rsidRDefault="0049090E" w:rsidP="0049090E">
      <w:pPr>
        <w:rPr>
          <w:rFonts w:ascii="Arial" w:hAnsi="Arial" w:cs="Arial"/>
          <w:sz w:val="22"/>
          <w:szCs w:val="22"/>
        </w:rPr>
      </w:pPr>
      <w:r w:rsidRPr="00F708FC">
        <w:rPr>
          <w:rFonts w:ascii="Arial" w:hAnsi="Arial" w:cs="Arial"/>
          <w:sz w:val="22"/>
          <w:szCs w:val="22"/>
        </w:rPr>
        <w:t>Stakeholder theory provides a strong basis for managing this complexity. Freeman's (1984) approach establishes that organisational value is created through relationships with multiple stakeholders rather than through a narrow focus on shareholders. Donaldson and Preston (1995) further demonstrate that stakeholder theory has descriptive, instrumental and normative dimensions. Mitchell, Agle and Wood's (1997) salience framework provides a practical mechanism for prioritising stakeholders according to power, legitimacy and urgency.</w:t>
      </w:r>
    </w:p>
    <w:p w14:paraId="5B91F308" w14:textId="77777777" w:rsidR="0049090E" w:rsidRPr="00F708FC" w:rsidRDefault="0049090E" w:rsidP="0049090E">
      <w:pPr>
        <w:rPr>
          <w:rFonts w:ascii="Arial" w:hAnsi="Arial" w:cs="Arial"/>
          <w:sz w:val="22"/>
          <w:szCs w:val="22"/>
        </w:rPr>
      </w:pPr>
      <w:r w:rsidRPr="00F708FC">
        <w:rPr>
          <w:rFonts w:ascii="Arial" w:hAnsi="Arial" w:cs="Arial"/>
          <w:sz w:val="22"/>
          <w:szCs w:val="22"/>
        </w:rPr>
        <w:t>However, stakeholder mapping alone cannot deliver successful engagement. The project manager must convert analysis into relationships through communication, collaboration, consultation and commitment. Morsing and Schultz (2006) demonstrate the importance of two-way involvement, while Greenwood (2007) provides a critical warning that stakeholder engagement can be superficial if organisations retain control while presenting consultation as participation.</w:t>
      </w:r>
    </w:p>
    <w:p w14:paraId="09257099"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For TK Maxx, the most significant challenge will be balancing commercial personalisation with customer autonomy and trust. AI creates potential value but also introduces risks relating to privacy, bias, accuracy, transparency and cybersecurity. These risks are particularly significant because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will operate across different markets and customer groups.</w:t>
      </w:r>
    </w:p>
    <w:p w14:paraId="7C5D4644"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recommended approach is therefore </w:t>
      </w:r>
      <w:r w:rsidRPr="00F708FC">
        <w:rPr>
          <w:rFonts w:ascii="Arial" w:hAnsi="Arial" w:cs="Arial"/>
          <w:b/>
          <w:bCs/>
          <w:sz w:val="22"/>
          <w:szCs w:val="22"/>
        </w:rPr>
        <w:t>global governance with local stakeholder participation</w:t>
      </w:r>
      <w:r w:rsidRPr="00F708FC">
        <w:rPr>
          <w:rFonts w:ascii="Arial" w:hAnsi="Arial" w:cs="Arial"/>
          <w:sz w:val="22"/>
          <w:szCs w:val="22"/>
        </w:rPr>
        <w:t>. A phased rollout, stakeholder steering committee, market councils, employee co-design, privacy-by-design and stakeholder performance dashboard should be implemented before and during launch.</w:t>
      </w:r>
    </w:p>
    <w:p w14:paraId="215D90BF"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Ultimately,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should be managed as an </w:t>
      </w:r>
      <w:r w:rsidRPr="00F708FC">
        <w:rPr>
          <w:rFonts w:ascii="Arial" w:hAnsi="Arial" w:cs="Arial"/>
          <w:b/>
          <w:bCs/>
          <w:sz w:val="22"/>
          <w:szCs w:val="22"/>
        </w:rPr>
        <w:t>organisational change and relationship programme rather than merely an IT project</w:t>
      </w:r>
      <w:r w:rsidRPr="00F708FC">
        <w:rPr>
          <w:rFonts w:ascii="Arial" w:hAnsi="Arial" w:cs="Arial"/>
          <w:sz w:val="22"/>
          <w:szCs w:val="22"/>
        </w:rPr>
        <w:t xml:space="preserve">. Sustainable competitive advantage will depend on whether TK Maxx can use digital technology to create value for customers while maintaining employee commitment, regulatory legitimacy and stakeholder trust. If engagement is genuine, measurable and embedded in strategic decision-making, </w:t>
      </w:r>
      <w:proofErr w:type="spellStart"/>
      <w:r w:rsidRPr="00F708FC">
        <w:rPr>
          <w:rFonts w:ascii="Arial" w:hAnsi="Arial" w:cs="Arial"/>
          <w:sz w:val="22"/>
          <w:szCs w:val="22"/>
        </w:rPr>
        <w:t>ConnectPlus</w:t>
      </w:r>
      <w:proofErr w:type="spellEnd"/>
      <w:r w:rsidRPr="00F708FC">
        <w:rPr>
          <w:rFonts w:ascii="Arial" w:hAnsi="Arial" w:cs="Arial"/>
          <w:sz w:val="22"/>
          <w:szCs w:val="22"/>
        </w:rPr>
        <w:t xml:space="preserve"> has the potential to strengthen both TK Maxx's digital proposition and its long-term stakeholder relationships.</w:t>
      </w:r>
    </w:p>
    <w:p w14:paraId="1D86B48C" w14:textId="77777777" w:rsidR="0049090E" w:rsidRPr="00F708FC" w:rsidRDefault="0049090E" w:rsidP="0049090E">
      <w:pPr>
        <w:rPr>
          <w:rFonts w:ascii="Arial" w:hAnsi="Arial" w:cs="Arial"/>
          <w:sz w:val="22"/>
          <w:szCs w:val="22"/>
        </w:rPr>
      </w:pPr>
      <w:r w:rsidRPr="00F708FC">
        <w:rPr>
          <w:rFonts w:ascii="Arial" w:hAnsi="Arial" w:cs="Arial"/>
          <w:sz w:val="22"/>
          <w:szCs w:val="22"/>
        </w:rPr>
        <w:pict w14:anchorId="53127881">
          <v:rect id="_x0000_i1041" style="width:0;height:1.5pt" o:hralign="center" o:hrstd="t" o:hr="t" fillcolor="#a0a0a0" stroked="f"/>
        </w:pict>
      </w:r>
    </w:p>
    <w:p w14:paraId="53C92B6F" w14:textId="77777777" w:rsidR="0049090E" w:rsidRPr="00F708FC" w:rsidRDefault="0049090E" w:rsidP="0049090E">
      <w:pPr>
        <w:rPr>
          <w:rFonts w:ascii="Arial" w:hAnsi="Arial" w:cs="Arial"/>
          <w:b/>
          <w:bCs/>
          <w:sz w:val="22"/>
          <w:szCs w:val="22"/>
        </w:rPr>
      </w:pPr>
      <w:r w:rsidRPr="00F708FC">
        <w:rPr>
          <w:rFonts w:ascii="Arial" w:hAnsi="Arial" w:cs="Arial"/>
          <w:b/>
          <w:bCs/>
          <w:sz w:val="22"/>
          <w:szCs w:val="22"/>
        </w:rPr>
        <w:t>References</w:t>
      </w:r>
    </w:p>
    <w:p w14:paraId="6794339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Ashcroft, J., Childs, R., Myers, A. and Schluter, M. (2017) </w:t>
      </w:r>
      <w:r w:rsidRPr="00F708FC">
        <w:rPr>
          <w:rFonts w:ascii="Arial" w:hAnsi="Arial" w:cs="Arial"/>
          <w:i/>
          <w:iCs/>
          <w:sz w:val="22"/>
          <w:szCs w:val="22"/>
        </w:rPr>
        <w:t>The Relational Lens: Understanding, Managing and Measuring Stakeholder Relationships</w:t>
      </w:r>
      <w:r w:rsidRPr="00F708FC">
        <w:rPr>
          <w:rFonts w:ascii="Arial" w:hAnsi="Arial" w:cs="Arial"/>
          <w:sz w:val="22"/>
          <w:szCs w:val="22"/>
        </w:rPr>
        <w:t>. Cambridge: Cambridge University Press.</w:t>
      </w:r>
    </w:p>
    <w:p w14:paraId="3B8C01C5"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Bryson, J.M. (2004) 'What to do when stakeholders matter: Stakeholder identification and analysis techniques', </w:t>
      </w:r>
      <w:r w:rsidRPr="00F708FC">
        <w:rPr>
          <w:rFonts w:ascii="Arial" w:hAnsi="Arial" w:cs="Arial"/>
          <w:i/>
          <w:iCs/>
          <w:sz w:val="22"/>
          <w:szCs w:val="22"/>
        </w:rPr>
        <w:t>Public Management Review</w:t>
      </w:r>
      <w:r w:rsidRPr="00F708FC">
        <w:rPr>
          <w:rFonts w:ascii="Arial" w:hAnsi="Arial" w:cs="Arial"/>
          <w:sz w:val="22"/>
          <w:szCs w:val="22"/>
        </w:rPr>
        <w:t>, 6(1), pp. 21–53.</w:t>
      </w:r>
    </w:p>
    <w:p w14:paraId="052CBB36" w14:textId="77777777" w:rsidR="0049090E" w:rsidRPr="00F708FC" w:rsidRDefault="0049090E" w:rsidP="0049090E">
      <w:pPr>
        <w:rPr>
          <w:rFonts w:ascii="Arial" w:hAnsi="Arial" w:cs="Arial"/>
          <w:sz w:val="22"/>
          <w:szCs w:val="22"/>
        </w:rPr>
      </w:pPr>
      <w:r w:rsidRPr="00F708FC">
        <w:rPr>
          <w:rFonts w:ascii="Arial" w:hAnsi="Arial" w:cs="Arial"/>
          <w:sz w:val="22"/>
          <w:szCs w:val="22"/>
        </w:rPr>
        <w:lastRenderedPageBreak/>
        <w:t xml:space="preserve">Clarkson, M.E. (1995) 'A stakeholder framework for </w:t>
      </w:r>
      <w:proofErr w:type="spellStart"/>
      <w:r w:rsidRPr="00F708FC">
        <w:rPr>
          <w:rFonts w:ascii="Arial" w:hAnsi="Arial" w:cs="Arial"/>
          <w:sz w:val="22"/>
          <w:szCs w:val="22"/>
        </w:rPr>
        <w:t>analyzing</w:t>
      </w:r>
      <w:proofErr w:type="spellEnd"/>
      <w:r w:rsidRPr="00F708FC">
        <w:rPr>
          <w:rFonts w:ascii="Arial" w:hAnsi="Arial" w:cs="Arial"/>
          <w:sz w:val="22"/>
          <w:szCs w:val="22"/>
        </w:rPr>
        <w:t xml:space="preserve"> and evaluating corporate social performance', </w:t>
      </w:r>
      <w:r w:rsidRPr="00F708FC">
        <w:rPr>
          <w:rFonts w:ascii="Arial" w:hAnsi="Arial" w:cs="Arial"/>
          <w:i/>
          <w:iCs/>
          <w:sz w:val="22"/>
          <w:szCs w:val="22"/>
        </w:rPr>
        <w:t>Academy of Management Review</w:t>
      </w:r>
      <w:r w:rsidRPr="00F708FC">
        <w:rPr>
          <w:rFonts w:ascii="Arial" w:hAnsi="Arial" w:cs="Arial"/>
          <w:sz w:val="22"/>
          <w:szCs w:val="22"/>
        </w:rPr>
        <w:t>, 20(1), pp. 92–117.</w:t>
      </w:r>
    </w:p>
    <w:p w14:paraId="2016B58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Donaldson, T. and Preston, L.E. (1995) 'The stakeholder theory of the corporation: Concepts, evidence, and implications', </w:t>
      </w:r>
      <w:r w:rsidRPr="00F708FC">
        <w:rPr>
          <w:rFonts w:ascii="Arial" w:hAnsi="Arial" w:cs="Arial"/>
          <w:i/>
          <w:iCs/>
          <w:sz w:val="22"/>
          <w:szCs w:val="22"/>
        </w:rPr>
        <w:t>Academy of Management Review</w:t>
      </w:r>
      <w:r w:rsidRPr="00F708FC">
        <w:rPr>
          <w:rFonts w:ascii="Arial" w:hAnsi="Arial" w:cs="Arial"/>
          <w:sz w:val="22"/>
          <w:szCs w:val="22"/>
        </w:rPr>
        <w:t>, 20(1), pp. 65–91.</w:t>
      </w:r>
    </w:p>
    <w:p w14:paraId="223EA448"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Freeman, R.E. (1984) </w:t>
      </w:r>
      <w:r w:rsidRPr="00F708FC">
        <w:rPr>
          <w:rFonts w:ascii="Arial" w:hAnsi="Arial" w:cs="Arial"/>
          <w:i/>
          <w:iCs/>
          <w:sz w:val="22"/>
          <w:szCs w:val="22"/>
        </w:rPr>
        <w:t>Strategic Management: A Stakeholder Approach</w:t>
      </w:r>
      <w:r w:rsidRPr="00F708FC">
        <w:rPr>
          <w:rFonts w:ascii="Arial" w:hAnsi="Arial" w:cs="Arial"/>
          <w:sz w:val="22"/>
          <w:szCs w:val="22"/>
        </w:rPr>
        <w:t>. Boston: Pitman.</w:t>
      </w:r>
    </w:p>
    <w:p w14:paraId="58312663"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Greenwood, M. (2007) 'Stakeholder engagement: Beyond the myth of corporate responsibility', </w:t>
      </w:r>
      <w:r w:rsidRPr="00F708FC">
        <w:rPr>
          <w:rFonts w:ascii="Arial" w:hAnsi="Arial" w:cs="Arial"/>
          <w:i/>
          <w:iCs/>
          <w:sz w:val="22"/>
          <w:szCs w:val="22"/>
        </w:rPr>
        <w:t>Journal of Business Ethics</w:t>
      </w:r>
      <w:r w:rsidRPr="00F708FC">
        <w:rPr>
          <w:rFonts w:ascii="Arial" w:hAnsi="Arial" w:cs="Arial"/>
          <w:sz w:val="22"/>
          <w:szCs w:val="22"/>
        </w:rPr>
        <w:t>, 74(4), pp. 315–327.</w:t>
      </w:r>
    </w:p>
    <w:p w14:paraId="709A81B3"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Information Commissioner's Office (ICO) (2026a) </w:t>
      </w:r>
      <w:r w:rsidRPr="00F708FC">
        <w:rPr>
          <w:rFonts w:ascii="Arial" w:hAnsi="Arial" w:cs="Arial"/>
          <w:i/>
          <w:iCs/>
          <w:sz w:val="22"/>
          <w:szCs w:val="22"/>
        </w:rPr>
        <w:t>How do we ensure fairness in AI?</w:t>
      </w:r>
      <w:r w:rsidRPr="00F708FC">
        <w:rPr>
          <w:rFonts w:ascii="Arial" w:hAnsi="Arial" w:cs="Arial"/>
          <w:sz w:val="22"/>
          <w:szCs w:val="22"/>
        </w:rPr>
        <w:t xml:space="preserve"> London: ICO.</w:t>
      </w:r>
    </w:p>
    <w:p w14:paraId="726E92C8"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Information Commissioner's Office (ICO) (2026b) </w:t>
      </w:r>
      <w:r w:rsidRPr="00F708FC">
        <w:rPr>
          <w:rFonts w:ascii="Arial" w:hAnsi="Arial" w:cs="Arial"/>
          <w:i/>
          <w:iCs/>
          <w:sz w:val="22"/>
          <w:szCs w:val="22"/>
        </w:rPr>
        <w:t>What about fairness, bias and discrimination?</w:t>
      </w:r>
      <w:r w:rsidRPr="00F708FC">
        <w:rPr>
          <w:rFonts w:ascii="Arial" w:hAnsi="Arial" w:cs="Arial"/>
          <w:sz w:val="22"/>
          <w:szCs w:val="22"/>
        </w:rPr>
        <w:t xml:space="preserve"> London: ICO.</w:t>
      </w:r>
    </w:p>
    <w:p w14:paraId="1701EC15"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Information Commissioner's Office (ICO) (2026c) </w:t>
      </w:r>
      <w:r w:rsidRPr="00F708FC">
        <w:rPr>
          <w:rFonts w:ascii="Arial" w:hAnsi="Arial" w:cs="Arial"/>
          <w:i/>
          <w:iCs/>
          <w:sz w:val="22"/>
          <w:szCs w:val="22"/>
        </w:rPr>
        <w:t>Guidance on AI and data protection</w:t>
      </w:r>
      <w:r w:rsidRPr="00F708FC">
        <w:rPr>
          <w:rFonts w:ascii="Arial" w:hAnsi="Arial" w:cs="Arial"/>
          <w:sz w:val="22"/>
          <w:szCs w:val="22"/>
        </w:rPr>
        <w:t>. London: ICO.</w:t>
      </w:r>
    </w:p>
    <w:p w14:paraId="3FCAAAFC"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Mitchell, R.K., Agle, B.R. and Wood, D.J. (1997) 'Toward a theory of stakeholder identification and salience: Defining the principle of who and what really counts', </w:t>
      </w:r>
      <w:r w:rsidRPr="00F708FC">
        <w:rPr>
          <w:rFonts w:ascii="Arial" w:hAnsi="Arial" w:cs="Arial"/>
          <w:i/>
          <w:iCs/>
          <w:sz w:val="22"/>
          <w:szCs w:val="22"/>
        </w:rPr>
        <w:t>Academy of Management Review</w:t>
      </w:r>
      <w:r w:rsidRPr="00F708FC">
        <w:rPr>
          <w:rFonts w:ascii="Arial" w:hAnsi="Arial" w:cs="Arial"/>
          <w:sz w:val="22"/>
          <w:szCs w:val="22"/>
        </w:rPr>
        <w:t>, 22(4), pp. 853–886.</w:t>
      </w:r>
    </w:p>
    <w:p w14:paraId="5D0E58B7"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Morsing, M. and Schultz, M. (2006) 'Corporate social responsibility communication: Stakeholder information, response and involvement strategies', </w:t>
      </w:r>
      <w:r w:rsidRPr="00F708FC">
        <w:rPr>
          <w:rFonts w:ascii="Arial" w:hAnsi="Arial" w:cs="Arial"/>
          <w:i/>
          <w:iCs/>
          <w:sz w:val="22"/>
          <w:szCs w:val="22"/>
        </w:rPr>
        <w:t>Business Ethics: A European Review</w:t>
      </w:r>
      <w:r w:rsidRPr="00F708FC">
        <w:rPr>
          <w:rFonts w:ascii="Arial" w:hAnsi="Arial" w:cs="Arial"/>
          <w:sz w:val="22"/>
          <w:szCs w:val="22"/>
        </w:rPr>
        <w:t>, 15(4), pp. 323–338.</w:t>
      </w:r>
    </w:p>
    <w:p w14:paraId="0A6E562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TJX Companies, Inc. (TJX) (2026a) </w:t>
      </w:r>
      <w:r w:rsidRPr="00F708FC">
        <w:rPr>
          <w:rFonts w:ascii="Arial" w:hAnsi="Arial" w:cs="Arial"/>
          <w:i/>
          <w:iCs/>
          <w:sz w:val="22"/>
          <w:szCs w:val="22"/>
        </w:rPr>
        <w:t>TK Maxx Europe</w:t>
      </w:r>
      <w:r w:rsidRPr="00F708FC">
        <w:rPr>
          <w:rFonts w:ascii="Arial" w:hAnsi="Arial" w:cs="Arial"/>
          <w:sz w:val="22"/>
          <w:szCs w:val="22"/>
        </w:rPr>
        <w:t>. Framingham, MA: The TJX Companies, Inc.</w:t>
      </w:r>
    </w:p>
    <w:p w14:paraId="45EBB856"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TJX Companies, Inc. (TJX) (2026b) </w:t>
      </w:r>
      <w:r w:rsidRPr="00F708FC">
        <w:rPr>
          <w:rFonts w:ascii="Arial" w:hAnsi="Arial" w:cs="Arial"/>
          <w:i/>
          <w:iCs/>
          <w:sz w:val="22"/>
          <w:szCs w:val="22"/>
        </w:rPr>
        <w:t>Fiscal Year 2026 Form 10-K</w:t>
      </w:r>
      <w:r w:rsidRPr="00F708FC">
        <w:rPr>
          <w:rFonts w:ascii="Arial" w:hAnsi="Arial" w:cs="Arial"/>
          <w:sz w:val="22"/>
          <w:szCs w:val="22"/>
        </w:rPr>
        <w:t>. Framingham, MA: The TJX Companies, Inc.</w:t>
      </w:r>
    </w:p>
    <w:p w14:paraId="7F0B8E7C" w14:textId="77777777" w:rsidR="0049090E" w:rsidRPr="00F708FC" w:rsidRDefault="0049090E" w:rsidP="0049090E">
      <w:pPr>
        <w:rPr>
          <w:rFonts w:ascii="Arial" w:hAnsi="Arial" w:cs="Arial"/>
          <w:sz w:val="22"/>
          <w:szCs w:val="22"/>
        </w:rPr>
      </w:pPr>
      <w:r w:rsidRPr="00F708FC">
        <w:rPr>
          <w:rFonts w:ascii="Arial" w:hAnsi="Arial" w:cs="Arial"/>
          <w:sz w:val="22"/>
          <w:szCs w:val="22"/>
        </w:rPr>
        <w:t xml:space="preserve">The TJX Companies, Inc. (TJX) (2026c) </w:t>
      </w:r>
      <w:r w:rsidRPr="00F708FC">
        <w:rPr>
          <w:rFonts w:ascii="Arial" w:hAnsi="Arial" w:cs="Arial"/>
          <w:i/>
          <w:iCs/>
          <w:sz w:val="22"/>
          <w:szCs w:val="22"/>
        </w:rPr>
        <w:t>About TJX</w:t>
      </w:r>
      <w:r w:rsidRPr="00F708FC">
        <w:rPr>
          <w:rFonts w:ascii="Arial" w:hAnsi="Arial" w:cs="Arial"/>
          <w:sz w:val="22"/>
          <w:szCs w:val="22"/>
        </w:rPr>
        <w:t>. Framingham, MA: The TJX Companies, Inc.</w:t>
      </w:r>
    </w:p>
    <w:p w14:paraId="488F6308" w14:textId="77777777" w:rsidR="006829BD" w:rsidRPr="00F708FC" w:rsidRDefault="006829BD">
      <w:pPr>
        <w:rPr>
          <w:rFonts w:ascii="Arial" w:hAnsi="Arial" w:cs="Arial"/>
          <w:sz w:val="22"/>
          <w:szCs w:val="22"/>
        </w:rPr>
      </w:pPr>
    </w:p>
    <w:sectPr w:rsidR="006829BD" w:rsidRPr="00F708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95B24"/>
    <w:multiLevelType w:val="multilevel"/>
    <w:tmpl w:val="6848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F07F6D"/>
    <w:multiLevelType w:val="multilevel"/>
    <w:tmpl w:val="7CE4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6F782C"/>
    <w:multiLevelType w:val="multilevel"/>
    <w:tmpl w:val="0C240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9F0097"/>
    <w:multiLevelType w:val="multilevel"/>
    <w:tmpl w:val="B5A6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2060DC"/>
    <w:multiLevelType w:val="multilevel"/>
    <w:tmpl w:val="55BED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1042FA"/>
    <w:multiLevelType w:val="multilevel"/>
    <w:tmpl w:val="8AEE3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BB2A07"/>
    <w:multiLevelType w:val="multilevel"/>
    <w:tmpl w:val="EE9C5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D95F9A"/>
    <w:multiLevelType w:val="multilevel"/>
    <w:tmpl w:val="C390F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490B88"/>
    <w:multiLevelType w:val="multilevel"/>
    <w:tmpl w:val="24E6E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FE326D5"/>
    <w:multiLevelType w:val="multilevel"/>
    <w:tmpl w:val="C4D0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6B31BD"/>
    <w:multiLevelType w:val="multilevel"/>
    <w:tmpl w:val="DD3E3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2747211">
    <w:abstractNumId w:val="4"/>
  </w:num>
  <w:num w:numId="2" w16cid:durableId="191117165">
    <w:abstractNumId w:val="7"/>
  </w:num>
  <w:num w:numId="3" w16cid:durableId="145904573">
    <w:abstractNumId w:val="0"/>
  </w:num>
  <w:num w:numId="4" w16cid:durableId="239142842">
    <w:abstractNumId w:val="1"/>
  </w:num>
  <w:num w:numId="5" w16cid:durableId="992950013">
    <w:abstractNumId w:val="2"/>
  </w:num>
  <w:num w:numId="6" w16cid:durableId="1837111778">
    <w:abstractNumId w:val="8"/>
  </w:num>
  <w:num w:numId="7" w16cid:durableId="1969772311">
    <w:abstractNumId w:val="3"/>
  </w:num>
  <w:num w:numId="8" w16cid:durableId="2027442454">
    <w:abstractNumId w:val="5"/>
  </w:num>
  <w:num w:numId="9" w16cid:durableId="1610776348">
    <w:abstractNumId w:val="9"/>
  </w:num>
  <w:num w:numId="10" w16cid:durableId="877620627">
    <w:abstractNumId w:val="6"/>
  </w:num>
  <w:num w:numId="11" w16cid:durableId="182859320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90E"/>
    <w:rsid w:val="00032150"/>
    <w:rsid w:val="002B5A37"/>
    <w:rsid w:val="0049090E"/>
    <w:rsid w:val="006829BD"/>
    <w:rsid w:val="006B006E"/>
    <w:rsid w:val="00790268"/>
    <w:rsid w:val="00822CAD"/>
    <w:rsid w:val="008E2DB4"/>
    <w:rsid w:val="009019A3"/>
    <w:rsid w:val="00A30B25"/>
    <w:rsid w:val="00A43D2B"/>
    <w:rsid w:val="00D01758"/>
    <w:rsid w:val="00D75FD6"/>
    <w:rsid w:val="00F70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32ABC"/>
  <w15:chartTrackingRefBased/>
  <w15:docId w15:val="{FD11A418-9ED9-4E4A-ACF2-A17AFA420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9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9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9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9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9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9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9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9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9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9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9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9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9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9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9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9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9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90E"/>
    <w:rPr>
      <w:rFonts w:eastAsiaTheme="majorEastAsia" w:cstheme="majorBidi"/>
      <w:color w:val="272727" w:themeColor="text1" w:themeTint="D8"/>
    </w:rPr>
  </w:style>
  <w:style w:type="paragraph" w:styleId="Title">
    <w:name w:val="Title"/>
    <w:basedOn w:val="Normal"/>
    <w:next w:val="Normal"/>
    <w:link w:val="TitleChar"/>
    <w:uiPriority w:val="10"/>
    <w:qFormat/>
    <w:rsid w:val="004909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9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9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9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90E"/>
    <w:pPr>
      <w:spacing w:before="160"/>
      <w:jc w:val="center"/>
    </w:pPr>
    <w:rPr>
      <w:i/>
      <w:iCs/>
      <w:color w:val="404040" w:themeColor="text1" w:themeTint="BF"/>
    </w:rPr>
  </w:style>
  <w:style w:type="character" w:customStyle="1" w:styleId="QuoteChar">
    <w:name w:val="Quote Char"/>
    <w:basedOn w:val="DefaultParagraphFont"/>
    <w:link w:val="Quote"/>
    <w:uiPriority w:val="29"/>
    <w:rsid w:val="0049090E"/>
    <w:rPr>
      <w:i/>
      <w:iCs/>
      <w:color w:val="404040" w:themeColor="text1" w:themeTint="BF"/>
    </w:rPr>
  </w:style>
  <w:style w:type="paragraph" w:styleId="ListParagraph">
    <w:name w:val="List Paragraph"/>
    <w:basedOn w:val="Normal"/>
    <w:uiPriority w:val="34"/>
    <w:qFormat/>
    <w:rsid w:val="0049090E"/>
    <w:pPr>
      <w:ind w:left="720"/>
      <w:contextualSpacing/>
    </w:pPr>
  </w:style>
  <w:style w:type="character" w:styleId="IntenseEmphasis">
    <w:name w:val="Intense Emphasis"/>
    <w:basedOn w:val="DefaultParagraphFont"/>
    <w:uiPriority w:val="21"/>
    <w:qFormat/>
    <w:rsid w:val="0049090E"/>
    <w:rPr>
      <w:i/>
      <w:iCs/>
      <w:color w:val="0F4761" w:themeColor="accent1" w:themeShade="BF"/>
    </w:rPr>
  </w:style>
  <w:style w:type="paragraph" w:styleId="IntenseQuote">
    <w:name w:val="Intense Quote"/>
    <w:basedOn w:val="Normal"/>
    <w:next w:val="Normal"/>
    <w:link w:val="IntenseQuoteChar"/>
    <w:uiPriority w:val="30"/>
    <w:qFormat/>
    <w:rsid w:val="004909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90E"/>
    <w:rPr>
      <w:i/>
      <w:iCs/>
      <w:color w:val="0F4761" w:themeColor="accent1" w:themeShade="BF"/>
    </w:rPr>
  </w:style>
  <w:style w:type="character" w:styleId="IntenseReference">
    <w:name w:val="Intense Reference"/>
    <w:basedOn w:val="DefaultParagraphFont"/>
    <w:uiPriority w:val="32"/>
    <w:qFormat/>
    <w:rsid w:val="0049090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04146b282ab643c42e5b25fe1360c18e">
  <xsd:schema xmlns:xsd="http://www.w3.org/2001/XMLSchema" xmlns:xs="http://www.w3.org/2001/XMLSchema" xmlns:p="http://schemas.microsoft.com/office/2006/metadata/properties" xmlns:ns3="04d956d8-1ffd-4dba-87ce-03f615e16f58" targetNamespace="http://schemas.microsoft.com/office/2006/metadata/properties" ma:root="true" ma:fieldsID="72da8b8848bd3ea4b68627ac1941c0fc"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677F0877-0B07-4C27-B620-67F091F58E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60562D-597A-483A-B6C2-CAFF5DFF06D2}">
  <ds:schemaRefs>
    <ds:schemaRef ds:uri="http://schemas.microsoft.com/sharepoint/v3/contenttype/forms"/>
  </ds:schemaRefs>
</ds:datastoreItem>
</file>

<file path=customXml/itemProps3.xml><?xml version="1.0" encoding="utf-8"?>
<ds:datastoreItem xmlns:ds="http://schemas.openxmlformats.org/officeDocument/2006/customXml" ds:itemID="{826475B8-EF3A-4893-AEEC-12A711EEB3C2}">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5031</Words>
  <Characters>30692</Characters>
  <Application>Microsoft Office Word</Application>
  <DocSecurity>0</DocSecurity>
  <Lines>548</Lines>
  <Paragraphs>248</Paragraphs>
  <ScaleCrop>false</ScaleCrop>
  <Company/>
  <LinksUpToDate>false</LinksUpToDate>
  <CharactersWithSpaces>35475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Codrina Stanciu (2438025)</dc:creator>
  <cp:keywords/>
  <dc:description/>
  <cp:lastModifiedBy>Ana Maria Codrina Stanciu (2438025)</cp:lastModifiedBy>
  <cp:revision>11</cp:revision>
  <dcterms:created xsi:type="dcterms:W3CDTF">2026-08-10T12:36:00Z</dcterms:created>
  <dcterms:modified xsi:type="dcterms:W3CDTF">2026-08-10T13:16:00Z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