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375991" w14:textId="77777777" w:rsidR="00DD1993" w:rsidRDefault="00DD1993" w:rsidP="00DD1993">
      <w:pPr>
        <w:spacing w:after="0" w:line="480" w:lineRule="auto"/>
        <w:ind w:firstLine="720"/>
        <w:jc w:val="center"/>
        <w:rPr>
          <w:rFonts w:ascii="Times New Roman" w:eastAsia="Calibri" w:hAnsi="Times New Roman" w:cs="Times New Roman"/>
          <w:b/>
          <w:sz w:val="24"/>
          <w:szCs w:val="24"/>
        </w:rPr>
      </w:pPr>
    </w:p>
    <w:p w14:paraId="5A8D6D3D" w14:textId="77777777" w:rsidR="00DD1993" w:rsidRDefault="00DD1993" w:rsidP="00DD1993">
      <w:pPr>
        <w:spacing w:after="0" w:line="480" w:lineRule="auto"/>
        <w:ind w:firstLine="720"/>
        <w:jc w:val="center"/>
        <w:rPr>
          <w:rFonts w:ascii="Times New Roman" w:eastAsia="Calibri" w:hAnsi="Times New Roman" w:cs="Times New Roman"/>
          <w:b/>
          <w:sz w:val="24"/>
          <w:szCs w:val="24"/>
        </w:rPr>
      </w:pPr>
    </w:p>
    <w:p w14:paraId="0BFC8445" w14:textId="77777777" w:rsidR="00DD1993" w:rsidRDefault="00DD1993" w:rsidP="00DD1993">
      <w:pPr>
        <w:spacing w:after="0" w:line="480" w:lineRule="auto"/>
        <w:ind w:firstLine="720"/>
        <w:jc w:val="center"/>
        <w:rPr>
          <w:rFonts w:ascii="Times New Roman" w:eastAsia="Calibri" w:hAnsi="Times New Roman" w:cs="Times New Roman"/>
          <w:b/>
          <w:sz w:val="24"/>
          <w:szCs w:val="24"/>
        </w:rPr>
      </w:pPr>
    </w:p>
    <w:p w14:paraId="30BF6BA7" w14:textId="77777777" w:rsidR="00DD1993" w:rsidRDefault="00DD1993" w:rsidP="00DD1993">
      <w:pPr>
        <w:spacing w:after="0" w:line="480" w:lineRule="auto"/>
        <w:ind w:firstLine="720"/>
        <w:jc w:val="center"/>
        <w:rPr>
          <w:rFonts w:ascii="Times New Roman" w:eastAsia="Calibri" w:hAnsi="Times New Roman" w:cs="Times New Roman"/>
          <w:b/>
          <w:sz w:val="24"/>
          <w:szCs w:val="24"/>
        </w:rPr>
      </w:pPr>
    </w:p>
    <w:p w14:paraId="66035BB8" w14:textId="77777777" w:rsidR="00DD1993" w:rsidRDefault="00DD1993" w:rsidP="00DD1993">
      <w:pPr>
        <w:spacing w:after="0" w:line="480" w:lineRule="auto"/>
        <w:rPr>
          <w:rFonts w:ascii="Times New Roman" w:eastAsia="Calibri" w:hAnsi="Times New Roman" w:cs="Times New Roman"/>
          <w:b/>
          <w:sz w:val="24"/>
          <w:szCs w:val="24"/>
        </w:rPr>
      </w:pPr>
    </w:p>
    <w:p w14:paraId="7541A59C" w14:textId="77777777" w:rsidR="00DD1993" w:rsidRDefault="00DD1993" w:rsidP="00DD1993">
      <w:pPr>
        <w:spacing w:after="0" w:line="480" w:lineRule="auto"/>
        <w:ind w:firstLine="720"/>
        <w:jc w:val="center"/>
        <w:rPr>
          <w:rFonts w:ascii="Times New Roman" w:eastAsia="Calibri" w:hAnsi="Times New Roman" w:cs="Times New Roman"/>
          <w:b/>
          <w:sz w:val="24"/>
          <w:szCs w:val="24"/>
        </w:rPr>
      </w:pPr>
    </w:p>
    <w:p w14:paraId="7BCAE08A" w14:textId="77777777" w:rsidR="00DD1993" w:rsidRPr="00DD1993" w:rsidRDefault="00DD1993" w:rsidP="00DD1993">
      <w:pPr>
        <w:spacing w:after="0" w:line="480" w:lineRule="auto"/>
        <w:ind w:firstLine="720"/>
        <w:jc w:val="center"/>
        <w:rPr>
          <w:rFonts w:ascii="Times New Roman" w:eastAsia="Calibri" w:hAnsi="Times New Roman" w:cs="Times New Roman"/>
          <w:b/>
          <w:sz w:val="24"/>
          <w:szCs w:val="24"/>
          <w:u w:val="single"/>
        </w:rPr>
      </w:pPr>
    </w:p>
    <w:p w14:paraId="5C3244DC" w14:textId="69FA5E38" w:rsidR="00DD1993" w:rsidRDefault="00DD1993" w:rsidP="00DD1993">
      <w:pPr>
        <w:spacing w:after="0" w:line="480" w:lineRule="auto"/>
        <w:jc w:val="center"/>
        <w:rPr>
          <w:rFonts w:ascii="Arial Black" w:eastAsia="Calibri" w:hAnsi="Arial Black" w:cs="Times New Roman"/>
          <w:b/>
          <w:sz w:val="36"/>
          <w:szCs w:val="36"/>
          <w:u w:val="single"/>
        </w:rPr>
      </w:pPr>
      <w:r w:rsidRPr="00DD1993">
        <w:rPr>
          <w:rFonts w:ascii="Arial Black" w:eastAsia="Calibri" w:hAnsi="Arial Black" w:cs="Times New Roman"/>
          <w:b/>
          <w:sz w:val="36"/>
          <w:szCs w:val="36"/>
          <w:u w:val="single"/>
        </w:rPr>
        <w:t>Red Cross UK</w:t>
      </w:r>
    </w:p>
    <w:p w14:paraId="101D67F2" w14:textId="541D9946" w:rsidR="00DD1993" w:rsidRPr="00DD1993" w:rsidRDefault="00DD1993" w:rsidP="00DD1993">
      <w:pPr>
        <w:spacing w:after="0" w:line="480" w:lineRule="auto"/>
        <w:jc w:val="center"/>
        <w:rPr>
          <w:rFonts w:ascii="Arial Black" w:eastAsia="Calibri" w:hAnsi="Arial Black" w:cs="Times New Roman"/>
          <w:b/>
          <w:sz w:val="24"/>
          <w:szCs w:val="24"/>
        </w:rPr>
      </w:pPr>
      <w:r w:rsidRPr="00DD1993">
        <w:rPr>
          <w:rFonts w:ascii="Arial Black" w:eastAsia="Calibri" w:hAnsi="Arial Black" w:cs="Times New Roman"/>
          <w:b/>
          <w:sz w:val="24"/>
          <w:szCs w:val="24"/>
        </w:rPr>
        <w:t>Assignment 2</w:t>
      </w:r>
    </w:p>
    <w:p w14:paraId="2D4AD3E5" w14:textId="2AAFC239" w:rsidR="00DD1993" w:rsidRDefault="00DD1993" w:rsidP="00DD1993">
      <w:pPr>
        <w:tabs>
          <w:tab w:val="center" w:pos="4680"/>
        </w:tabs>
        <w:spacing w:after="0" w:line="480" w:lineRule="auto"/>
        <w:jc w:val="center"/>
        <w:rPr>
          <w:rFonts w:ascii="Times New Roman" w:eastAsia="Calibri" w:hAnsi="Times New Roman" w:cs="Times New Roman"/>
          <w:b/>
          <w:sz w:val="24"/>
          <w:szCs w:val="24"/>
        </w:rPr>
      </w:pPr>
    </w:p>
    <w:p w14:paraId="33BAC9DE" w14:textId="3DD81EF6" w:rsidR="00DD1993" w:rsidRDefault="00DD1993" w:rsidP="00DD1993">
      <w:pPr>
        <w:tabs>
          <w:tab w:val="center" w:pos="4680"/>
        </w:tabs>
        <w:spacing w:after="0" w:line="480" w:lineRule="auto"/>
        <w:jc w:val="right"/>
        <w:rPr>
          <w:rFonts w:ascii="Times New Roman" w:eastAsia="Calibri" w:hAnsi="Times New Roman" w:cs="Times New Roman"/>
          <w:b/>
          <w:sz w:val="24"/>
          <w:szCs w:val="24"/>
        </w:rPr>
      </w:pPr>
    </w:p>
    <w:p w14:paraId="2728A1DB" w14:textId="5CD603E8" w:rsidR="00DD1993" w:rsidRDefault="00DD1993" w:rsidP="00DD1993">
      <w:pPr>
        <w:tabs>
          <w:tab w:val="center" w:pos="4680"/>
        </w:tabs>
        <w:spacing w:after="0" w:line="480" w:lineRule="auto"/>
        <w:jc w:val="right"/>
        <w:rPr>
          <w:rFonts w:ascii="Times New Roman" w:eastAsia="Calibri" w:hAnsi="Times New Roman" w:cs="Times New Roman"/>
          <w:b/>
          <w:sz w:val="24"/>
          <w:szCs w:val="24"/>
        </w:rPr>
      </w:pPr>
    </w:p>
    <w:p w14:paraId="1960C1B6" w14:textId="77777777" w:rsidR="00DD1993" w:rsidRDefault="00DD1993" w:rsidP="00DD1993">
      <w:pPr>
        <w:tabs>
          <w:tab w:val="center" w:pos="4680"/>
        </w:tabs>
        <w:spacing w:after="0" w:line="480" w:lineRule="auto"/>
        <w:jc w:val="right"/>
        <w:rPr>
          <w:rFonts w:ascii="Times New Roman" w:eastAsia="Calibri" w:hAnsi="Times New Roman" w:cs="Times New Roman"/>
          <w:b/>
          <w:sz w:val="24"/>
          <w:szCs w:val="24"/>
        </w:rPr>
      </w:pPr>
    </w:p>
    <w:p w14:paraId="4C647AF9" w14:textId="45CE7C5F" w:rsidR="00DD1993" w:rsidRDefault="00DD1993" w:rsidP="00DD1993">
      <w:pPr>
        <w:tabs>
          <w:tab w:val="center" w:pos="4680"/>
        </w:tabs>
        <w:spacing w:after="0" w:line="480" w:lineRule="auto"/>
        <w:jc w:val="right"/>
        <w:rPr>
          <w:rFonts w:ascii="Times New Roman" w:eastAsia="Calibri" w:hAnsi="Times New Roman" w:cs="Times New Roman"/>
          <w:b/>
          <w:sz w:val="24"/>
          <w:szCs w:val="24"/>
        </w:rPr>
      </w:pPr>
    </w:p>
    <w:p w14:paraId="1D862128" w14:textId="3DB2AA70" w:rsidR="00DD1993" w:rsidRDefault="00DD1993" w:rsidP="00DD1993">
      <w:pPr>
        <w:tabs>
          <w:tab w:val="center" w:pos="4680"/>
        </w:tabs>
        <w:spacing w:after="0" w:line="480" w:lineRule="auto"/>
        <w:jc w:val="right"/>
        <w:rPr>
          <w:rFonts w:ascii="Times New Roman" w:eastAsia="Calibri" w:hAnsi="Times New Roman" w:cs="Times New Roman"/>
          <w:b/>
          <w:sz w:val="24"/>
          <w:szCs w:val="24"/>
        </w:rPr>
      </w:pPr>
    </w:p>
    <w:p w14:paraId="0A41594A" w14:textId="080B341E" w:rsidR="00DD1993" w:rsidRDefault="00DD1993" w:rsidP="00DD1993">
      <w:pPr>
        <w:tabs>
          <w:tab w:val="center" w:pos="4680"/>
        </w:tabs>
        <w:spacing w:after="0" w:line="480" w:lineRule="auto"/>
        <w:jc w:val="right"/>
        <w:rPr>
          <w:rFonts w:ascii="Times New Roman" w:eastAsia="Calibri" w:hAnsi="Times New Roman" w:cs="Times New Roman"/>
          <w:b/>
          <w:sz w:val="24"/>
          <w:szCs w:val="24"/>
        </w:rPr>
      </w:pPr>
    </w:p>
    <w:p w14:paraId="30DB1A46" w14:textId="6B3DA50C" w:rsidR="00DD1993" w:rsidRPr="00DD1993" w:rsidRDefault="00DD1993" w:rsidP="00DD1993">
      <w:pPr>
        <w:tabs>
          <w:tab w:val="center" w:pos="4680"/>
        </w:tabs>
        <w:spacing w:after="0" w:line="480" w:lineRule="auto"/>
        <w:jc w:val="right"/>
        <w:rPr>
          <w:rFonts w:ascii="Times New Roman" w:eastAsia="Calibri" w:hAnsi="Times New Roman" w:cs="Times New Roman"/>
          <w:b/>
          <w:color w:val="000000" w:themeColor="text1"/>
          <w:sz w:val="24"/>
          <w:szCs w:val="24"/>
          <w:highlight w:val="darkGray"/>
        </w:rPr>
      </w:pPr>
      <w:r w:rsidRPr="00DD1993">
        <w:rPr>
          <w:rFonts w:ascii="Times New Roman" w:eastAsia="Calibri" w:hAnsi="Times New Roman" w:cs="Times New Roman"/>
          <w:b/>
          <w:color w:val="000000" w:themeColor="text1"/>
          <w:sz w:val="24"/>
          <w:szCs w:val="24"/>
          <w:highlight w:val="darkGray"/>
        </w:rPr>
        <w:t xml:space="preserve">Student Name: </w:t>
      </w:r>
      <w:proofErr w:type="spellStart"/>
      <w:r w:rsidRPr="00DD1993">
        <w:rPr>
          <w:rFonts w:ascii="Times New Roman" w:eastAsia="Calibri" w:hAnsi="Times New Roman" w:cs="Times New Roman"/>
          <w:b/>
          <w:color w:val="000000" w:themeColor="text1"/>
          <w:sz w:val="24"/>
          <w:szCs w:val="24"/>
          <w:highlight w:val="darkGray"/>
        </w:rPr>
        <w:t>Vasile-Silviu</w:t>
      </w:r>
      <w:proofErr w:type="spellEnd"/>
      <w:r w:rsidRPr="00DD1993">
        <w:rPr>
          <w:rFonts w:ascii="Times New Roman" w:eastAsia="Calibri" w:hAnsi="Times New Roman" w:cs="Times New Roman"/>
          <w:b/>
          <w:color w:val="000000" w:themeColor="text1"/>
          <w:sz w:val="24"/>
          <w:szCs w:val="24"/>
          <w:highlight w:val="darkGray"/>
        </w:rPr>
        <w:t xml:space="preserve"> </w:t>
      </w:r>
      <w:proofErr w:type="spellStart"/>
      <w:r w:rsidRPr="00DD1993">
        <w:rPr>
          <w:rFonts w:ascii="Times New Roman" w:eastAsia="Calibri" w:hAnsi="Times New Roman" w:cs="Times New Roman"/>
          <w:b/>
          <w:color w:val="000000" w:themeColor="text1"/>
          <w:sz w:val="24"/>
          <w:szCs w:val="24"/>
          <w:highlight w:val="darkGray"/>
        </w:rPr>
        <w:t>Bracau</w:t>
      </w:r>
      <w:proofErr w:type="spellEnd"/>
      <w:r w:rsidRPr="00DD1993">
        <w:rPr>
          <w:rFonts w:ascii="Times New Roman" w:eastAsia="Calibri" w:hAnsi="Times New Roman" w:cs="Times New Roman"/>
          <w:b/>
          <w:color w:val="000000" w:themeColor="text1"/>
          <w:sz w:val="24"/>
          <w:szCs w:val="24"/>
          <w:highlight w:val="darkGray"/>
        </w:rPr>
        <w:t xml:space="preserve"> (1919081)</w:t>
      </w:r>
    </w:p>
    <w:p w14:paraId="409D3BBB" w14:textId="36F1B3D2" w:rsidR="00DD1993" w:rsidRPr="00DD1993" w:rsidRDefault="00DD1993" w:rsidP="00DD1993">
      <w:pPr>
        <w:tabs>
          <w:tab w:val="center" w:pos="4680"/>
        </w:tabs>
        <w:spacing w:after="0" w:line="480" w:lineRule="auto"/>
        <w:jc w:val="right"/>
        <w:rPr>
          <w:rFonts w:ascii="Times New Roman" w:eastAsia="Calibri" w:hAnsi="Times New Roman" w:cs="Times New Roman"/>
          <w:b/>
          <w:color w:val="000000" w:themeColor="text1"/>
          <w:sz w:val="24"/>
          <w:szCs w:val="24"/>
          <w:highlight w:val="darkGray"/>
        </w:rPr>
      </w:pPr>
      <w:r w:rsidRPr="00DD1993">
        <w:rPr>
          <w:rFonts w:ascii="Times New Roman" w:eastAsia="Calibri" w:hAnsi="Times New Roman" w:cs="Times New Roman"/>
          <w:b/>
          <w:color w:val="000000" w:themeColor="text1"/>
          <w:sz w:val="24"/>
          <w:szCs w:val="24"/>
          <w:highlight w:val="darkGray"/>
        </w:rPr>
        <w:t xml:space="preserve">Lecturer Name: </w:t>
      </w:r>
      <w:proofErr w:type="spellStart"/>
      <w:r w:rsidRPr="00DD1993">
        <w:rPr>
          <w:rFonts w:ascii="Times New Roman" w:eastAsia="Calibri" w:hAnsi="Times New Roman" w:cs="Times New Roman"/>
          <w:b/>
          <w:color w:val="000000" w:themeColor="text1"/>
          <w:sz w:val="24"/>
          <w:szCs w:val="24"/>
          <w:highlight w:val="darkGray"/>
        </w:rPr>
        <w:t>Rula</w:t>
      </w:r>
      <w:proofErr w:type="spellEnd"/>
      <w:r w:rsidRPr="00DD1993">
        <w:rPr>
          <w:rFonts w:ascii="Times New Roman" w:eastAsia="Calibri" w:hAnsi="Times New Roman" w:cs="Times New Roman"/>
          <w:b/>
          <w:color w:val="000000" w:themeColor="text1"/>
          <w:sz w:val="24"/>
          <w:szCs w:val="24"/>
          <w:highlight w:val="darkGray"/>
        </w:rPr>
        <w:t xml:space="preserve"> </w:t>
      </w:r>
      <w:proofErr w:type="spellStart"/>
      <w:r w:rsidRPr="00DD1993">
        <w:rPr>
          <w:rFonts w:ascii="Times New Roman" w:eastAsia="Calibri" w:hAnsi="Times New Roman" w:cs="Times New Roman"/>
          <w:b/>
          <w:color w:val="000000" w:themeColor="text1"/>
          <w:sz w:val="24"/>
          <w:szCs w:val="24"/>
          <w:highlight w:val="darkGray"/>
        </w:rPr>
        <w:t>Alousi</w:t>
      </w:r>
      <w:proofErr w:type="spellEnd"/>
    </w:p>
    <w:p w14:paraId="718C5FDE" w14:textId="606C7187" w:rsidR="00DD1993" w:rsidRPr="00DD1993" w:rsidRDefault="00DD1993" w:rsidP="00DD1993">
      <w:pPr>
        <w:tabs>
          <w:tab w:val="center" w:pos="4680"/>
        </w:tabs>
        <w:spacing w:after="0" w:line="480" w:lineRule="auto"/>
        <w:jc w:val="right"/>
        <w:rPr>
          <w:rFonts w:ascii="Times New Roman" w:eastAsia="Calibri" w:hAnsi="Times New Roman" w:cs="Times New Roman"/>
          <w:b/>
          <w:color w:val="000000" w:themeColor="text1"/>
          <w:sz w:val="24"/>
          <w:szCs w:val="24"/>
        </w:rPr>
      </w:pPr>
      <w:r w:rsidRPr="00DD1993">
        <w:rPr>
          <w:rFonts w:ascii="Times New Roman" w:eastAsia="Calibri" w:hAnsi="Times New Roman" w:cs="Times New Roman"/>
          <w:b/>
          <w:color w:val="000000" w:themeColor="text1"/>
          <w:sz w:val="24"/>
          <w:szCs w:val="24"/>
          <w:highlight w:val="darkGray"/>
        </w:rPr>
        <w:t>Module Name: Community Engagement LCBB4002</w:t>
      </w:r>
    </w:p>
    <w:p w14:paraId="39F26BB8" w14:textId="1177D94D" w:rsidR="00DD1993" w:rsidRPr="00DD1993" w:rsidRDefault="00DD1993" w:rsidP="00DD1993">
      <w:pPr>
        <w:tabs>
          <w:tab w:val="center" w:pos="4680"/>
        </w:tabs>
        <w:spacing w:after="0" w:line="480" w:lineRule="auto"/>
        <w:rPr>
          <w:rFonts w:ascii="Times New Roman" w:eastAsia="Calibri" w:hAnsi="Times New Roman" w:cs="Times New Roman"/>
          <w:b/>
          <w:sz w:val="24"/>
          <w:szCs w:val="24"/>
        </w:rPr>
      </w:pPr>
      <w:r w:rsidRPr="00DD1993">
        <w:rPr>
          <w:rFonts w:ascii="Times New Roman" w:eastAsia="Calibri" w:hAnsi="Times New Roman" w:cs="Times New Roman"/>
          <w:sz w:val="24"/>
          <w:szCs w:val="24"/>
        </w:rPr>
        <w:br w:type="page"/>
      </w:r>
    </w:p>
    <w:p w14:paraId="3A341A2E" w14:textId="77777777" w:rsidR="00DD1993" w:rsidRPr="00DD1993" w:rsidRDefault="00DD1993" w:rsidP="00DD1993">
      <w:pPr>
        <w:spacing w:after="0" w:line="480" w:lineRule="auto"/>
        <w:ind w:firstLine="720"/>
        <w:jc w:val="both"/>
        <w:rPr>
          <w:rFonts w:ascii="Arial Black" w:eastAsia="Calibri" w:hAnsi="Arial Black" w:cs="Times New Roman"/>
          <w:b/>
          <w:sz w:val="24"/>
          <w:szCs w:val="24"/>
          <w:u w:val="single"/>
        </w:rPr>
      </w:pPr>
      <w:r w:rsidRPr="00DD1993">
        <w:rPr>
          <w:rFonts w:ascii="Arial Black" w:eastAsia="Calibri" w:hAnsi="Arial Black" w:cs="Times New Roman"/>
          <w:b/>
          <w:sz w:val="24"/>
          <w:szCs w:val="24"/>
          <w:u w:val="single"/>
        </w:rPr>
        <w:lastRenderedPageBreak/>
        <w:t>Red Cross UK Reflection</w:t>
      </w:r>
    </w:p>
    <w:p w14:paraId="7BDD2E73" w14:textId="77777777" w:rsidR="00DD1993" w:rsidRPr="00DD1993" w:rsidRDefault="00DD1993" w:rsidP="00DD1993">
      <w:pPr>
        <w:spacing w:after="0" w:line="480" w:lineRule="auto"/>
        <w:ind w:firstLine="720"/>
        <w:jc w:val="both"/>
        <w:rPr>
          <w:rFonts w:ascii="Times New Roman" w:eastAsia="Calibri" w:hAnsi="Times New Roman" w:cs="Times New Roman"/>
          <w:sz w:val="24"/>
          <w:szCs w:val="24"/>
        </w:rPr>
      </w:pPr>
      <w:r w:rsidRPr="00DD1993">
        <w:rPr>
          <w:rFonts w:ascii="Times New Roman" w:eastAsia="Calibri" w:hAnsi="Times New Roman" w:cs="Times New Roman"/>
          <w:sz w:val="24"/>
          <w:szCs w:val="24"/>
        </w:rPr>
        <w:t xml:space="preserve">Community engagement can be defined as working collaboratively with a group of people sharing the same special interest, geographic proximity, or same approaches in handling issues affecting the organization. Community engagement is useful in conveying both behavioral and environmental changes. It is responsible for improving health relationships in the community due to its ability to help mobilize the organization resources. Community engagement involves partnership and coalition, and through which the best response toward a given issues are made wide. Through community engagement, the partnership is improved, which in turn brings up different policies, programs, and policies to help the organization grow. This paper will reflect on the best practices, interpersonal skills, and ways of extending the skills for personal and community development as understood in the last assessment. </w:t>
      </w:r>
    </w:p>
    <w:p w14:paraId="6F4BE683" w14:textId="77777777" w:rsidR="00DD1993" w:rsidRPr="00DD1993" w:rsidRDefault="00DD1993" w:rsidP="00DD1993">
      <w:pPr>
        <w:spacing w:after="0" w:line="480" w:lineRule="auto"/>
        <w:jc w:val="both"/>
        <w:rPr>
          <w:rFonts w:ascii="Arial Black" w:eastAsia="Calibri" w:hAnsi="Arial Black" w:cs="Times New Roman"/>
          <w:b/>
        </w:rPr>
      </w:pPr>
      <w:r w:rsidRPr="00DD1993">
        <w:rPr>
          <w:rFonts w:ascii="Arial Black" w:eastAsia="Calibri" w:hAnsi="Arial Black" w:cs="Times New Roman"/>
          <w:b/>
        </w:rPr>
        <w:t>The four pillars of community engagement</w:t>
      </w:r>
    </w:p>
    <w:p w14:paraId="4DD72FCB" w14:textId="77777777" w:rsidR="00DD1993" w:rsidRPr="00DD1993" w:rsidRDefault="00DD1993" w:rsidP="00DD1993">
      <w:pPr>
        <w:spacing w:after="0" w:line="480" w:lineRule="auto"/>
        <w:ind w:firstLine="720"/>
        <w:jc w:val="both"/>
        <w:rPr>
          <w:rFonts w:ascii="Times New Roman" w:eastAsia="Calibri" w:hAnsi="Times New Roman" w:cs="Times New Roman"/>
          <w:sz w:val="24"/>
          <w:szCs w:val="24"/>
        </w:rPr>
      </w:pPr>
      <w:r w:rsidRPr="00DD1993">
        <w:rPr>
          <w:rFonts w:ascii="Times New Roman" w:eastAsia="Calibri" w:hAnsi="Times New Roman" w:cs="Times New Roman"/>
          <w:sz w:val="24"/>
          <w:szCs w:val="24"/>
        </w:rPr>
        <w:t xml:space="preserve">A manager that works with the community </w:t>
      </w:r>
      <w:proofErr w:type="gramStart"/>
      <w:r w:rsidRPr="00DD1993">
        <w:rPr>
          <w:rFonts w:ascii="Times New Roman" w:eastAsia="Calibri" w:hAnsi="Times New Roman" w:cs="Times New Roman"/>
          <w:sz w:val="24"/>
          <w:szCs w:val="24"/>
        </w:rPr>
        <w:t>has to</w:t>
      </w:r>
      <w:proofErr w:type="gramEnd"/>
      <w:r w:rsidRPr="00DD1993">
        <w:rPr>
          <w:rFonts w:ascii="Times New Roman" w:eastAsia="Calibri" w:hAnsi="Times New Roman" w:cs="Times New Roman"/>
          <w:sz w:val="24"/>
          <w:szCs w:val="24"/>
        </w:rPr>
        <w:t xml:space="preserve"> understand the organization as well as the community involved. Community engagement is structured by four pillars that an organization </w:t>
      </w:r>
      <w:proofErr w:type="gramStart"/>
      <w:r w:rsidRPr="00DD1993">
        <w:rPr>
          <w:rFonts w:ascii="Times New Roman" w:eastAsia="Calibri" w:hAnsi="Times New Roman" w:cs="Times New Roman"/>
          <w:sz w:val="24"/>
          <w:szCs w:val="24"/>
        </w:rPr>
        <w:t>has to</w:t>
      </w:r>
      <w:proofErr w:type="gramEnd"/>
      <w:r w:rsidRPr="00DD1993">
        <w:rPr>
          <w:rFonts w:ascii="Times New Roman" w:eastAsia="Calibri" w:hAnsi="Times New Roman" w:cs="Times New Roman"/>
          <w:sz w:val="24"/>
          <w:szCs w:val="24"/>
        </w:rPr>
        <w:t xml:space="preserve"> work with. </w:t>
      </w:r>
      <w:proofErr w:type="gramStart"/>
      <w:r w:rsidRPr="00DD1993">
        <w:rPr>
          <w:rFonts w:ascii="Times New Roman" w:eastAsia="Calibri" w:hAnsi="Times New Roman" w:cs="Times New Roman"/>
          <w:sz w:val="24"/>
          <w:szCs w:val="24"/>
        </w:rPr>
        <w:t>Therefore</w:t>
      </w:r>
      <w:proofErr w:type="gramEnd"/>
      <w:r w:rsidRPr="00DD1993">
        <w:rPr>
          <w:rFonts w:ascii="Times New Roman" w:eastAsia="Calibri" w:hAnsi="Times New Roman" w:cs="Times New Roman"/>
          <w:sz w:val="24"/>
          <w:szCs w:val="24"/>
        </w:rPr>
        <w:t xml:space="preserve"> to a successful manager, one should understand the four pillars effectively; this includes performance, practices, people, and policy (</w:t>
      </w:r>
      <w:proofErr w:type="spellStart"/>
      <w:r w:rsidRPr="00DD1993">
        <w:rPr>
          <w:rFonts w:ascii="Times New Roman" w:eastAsia="Calibri" w:hAnsi="Times New Roman" w:cs="Times New Roman"/>
          <w:sz w:val="24"/>
          <w:szCs w:val="24"/>
        </w:rPr>
        <w:t>Hollebeek</w:t>
      </w:r>
      <w:proofErr w:type="spellEnd"/>
      <w:r w:rsidRPr="00DD1993">
        <w:rPr>
          <w:rFonts w:ascii="Times New Roman" w:eastAsia="Calibri" w:hAnsi="Times New Roman" w:cs="Times New Roman"/>
          <w:sz w:val="24"/>
          <w:szCs w:val="24"/>
        </w:rPr>
        <w:t xml:space="preserve"> et al., 2017). </w:t>
      </w:r>
    </w:p>
    <w:p w14:paraId="5351507E" w14:textId="77777777" w:rsidR="00DD1993" w:rsidRPr="00DD1993" w:rsidRDefault="00DD1993" w:rsidP="00DD1993">
      <w:pPr>
        <w:spacing w:after="0" w:line="480" w:lineRule="auto"/>
        <w:jc w:val="both"/>
        <w:rPr>
          <w:rFonts w:ascii="Times New Roman" w:eastAsia="Calibri" w:hAnsi="Times New Roman" w:cs="Times New Roman"/>
          <w:sz w:val="24"/>
          <w:szCs w:val="24"/>
        </w:rPr>
      </w:pPr>
      <w:r w:rsidRPr="00DD1993">
        <w:rPr>
          <w:rFonts w:ascii="Times New Roman" w:eastAsia="Calibri" w:hAnsi="Times New Roman" w:cs="Times New Roman"/>
          <w:i/>
          <w:sz w:val="24"/>
          <w:szCs w:val="24"/>
        </w:rPr>
        <w:t xml:space="preserve">Performance: </w:t>
      </w:r>
      <w:r w:rsidRPr="00DD1993">
        <w:rPr>
          <w:rFonts w:ascii="Times New Roman" w:eastAsia="Calibri" w:hAnsi="Times New Roman" w:cs="Times New Roman"/>
          <w:sz w:val="24"/>
          <w:szCs w:val="24"/>
        </w:rPr>
        <w:t xml:space="preserve">These are the engagement activities that frame the community engagement. The community engagement concept should define its activities and the means to address those activities. For example, Red Cross UK mains activities are helping the needy, refugees, and immigrants. </w:t>
      </w:r>
    </w:p>
    <w:p w14:paraId="7189D221" w14:textId="77777777" w:rsidR="00DD1993" w:rsidRPr="00DD1993" w:rsidRDefault="00DD1993" w:rsidP="00DD1993">
      <w:pPr>
        <w:spacing w:after="0" w:line="480" w:lineRule="auto"/>
        <w:jc w:val="both"/>
        <w:rPr>
          <w:rFonts w:ascii="Times New Roman" w:eastAsia="Calibri" w:hAnsi="Times New Roman" w:cs="Times New Roman"/>
          <w:sz w:val="24"/>
          <w:szCs w:val="24"/>
        </w:rPr>
      </w:pPr>
      <w:r w:rsidRPr="00DD1993">
        <w:rPr>
          <w:rFonts w:ascii="Times New Roman" w:eastAsia="Calibri" w:hAnsi="Times New Roman" w:cs="Times New Roman"/>
          <w:i/>
          <w:sz w:val="24"/>
          <w:szCs w:val="24"/>
        </w:rPr>
        <w:t xml:space="preserve">Practices: </w:t>
      </w:r>
      <w:r w:rsidRPr="00DD1993">
        <w:rPr>
          <w:rFonts w:ascii="Times New Roman" w:eastAsia="Calibri" w:hAnsi="Times New Roman" w:cs="Times New Roman"/>
          <w:sz w:val="24"/>
          <w:szCs w:val="24"/>
        </w:rPr>
        <w:t xml:space="preserve">These are the practices that the organization should engage in to improve its relationship with the community.  Red Cross UK has involved the community in donations and helping report any incidence of the refugee near them. Donations include food, clothes, and shelter. </w:t>
      </w:r>
    </w:p>
    <w:p w14:paraId="4F4F2C74" w14:textId="77777777" w:rsidR="00DD1993" w:rsidRPr="00DD1993" w:rsidRDefault="00DD1993" w:rsidP="00DD1993">
      <w:pPr>
        <w:spacing w:after="0" w:line="480" w:lineRule="auto"/>
        <w:jc w:val="both"/>
        <w:rPr>
          <w:rFonts w:ascii="Times New Roman" w:eastAsia="Calibri" w:hAnsi="Times New Roman" w:cs="Times New Roman"/>
          <w:sz w:val="24"/>
          <w:szCs w:val="24"/>
        </w:rPr>
      </w:pPr>
      <w:r w:rsidRPr="00DD1993">
        <w:rPr>
          <w:rFonts w:ascii="Times New Roman" w:eastAsia="Calibri" w:hAnsi="Times New Roman" w:cs="Times New Roman"/>
          <w:i/>
          <w:sz w:val="24"/>
          <w:szCs w:val="24"/>
        </w:rPr>
        <w:lastRenderedPageBreak/>
        <w:t>People:</w:t>
      </w:r>
      <w:r w:rsidRPr="00DD1993">
        <w:rPr>
          <w:rFonts w:ascii="Times New Roman" w:eastAsia="Calibri" w:hAnsi="Times New Roman" w:cs="Times New Roman"/>
          <w:sz w:val="24"/>
          <w:szCs w:val="24"/>
        </w:rPr>
        <w:t xml:space="preserve"> This part is integral for community development. It is the employee's role to implement the practices for the effective performance of the organization in the community.</w:t>
      </w:r>
    </w:p>
    <w:p w14:paraId="2B6950B5" w14:textId="77777777" w:rsidR="00DD1993" w:rsidRPr="00DD1993" w:rsidRDefault="00DD1993" w:rsidP="00DD1993">
      <w:pPr>
        <w:spacing w:after="0" w:line="480" w:lineRule="auto"/>
        <w:jc w:val="both"/>
        <w:rPr>
          <w:rFonts w:ascii="Times New Roman" w:eastAsia="Calibri" w:hAnsi="Times New Roman" w:cs="Times New Roman"/>
          <w:i/>
          <w:sz w:val="24"/>
          <w:szCs w:val="24"/>
        </w:rPr>
      </w:pPr>
      <w:r w:rsidRPr="00DD1993">
        <w:rPr>
          <w:rFonts w:ascii="Times New Roman" w:eastAsia="Calibri" w:hAnsi="Times New Roman" w:cs="Times New Roman"/>
          <w:i/>
          <w:sz w:val="24"/>
          <w:szCs w:val="24"/>
        </w:rPr>
        <w:t>Policy:</w:t>
      </w:r>
      <w:r w:rsidRPr="00DD1993">
        <w:rPr>
          <w:rFonts w:ascii="Times New Roman" w:eastAsia="Calibri" w:hAnsi="Times New Roman" w:cs="Times New Roman"/>
          <w:sz w:val="24"/>
          <w:szCs w:val="24"/>
        </w:rPr>
        <w:t xml:space="preserve"> They are the laws and regulations on which the community engagement strategy is embodied on. The organization </w:t>
      </w:r>
      <w:proofErr w:type="gramStart"/>
      <w:r w:rsidRPr="00DD1993">
        <w:rPr>
          <w:rFonts w:ascii="Times New Roman" w:eastAsia="Calibri" w:hAnsi="Times New Roman" w:cs="Times New Roman"/>
          <w:sz w:val="24"/>
          <w:szCs w:val="24"/>
        </w:rPr>
        <w:t>has to</w:t>
      </w:r>
      <w:proofErr w:type="gramEnd"/>
      <w:r w:rsidRPr="00DD1993">
        <w:rPr>
          <w:rFonts w:ascii="Times New Roman" w:eastAsia="Calibri" w:hAnsi="Times New Roman" w:cs="Times New Roman"/>
          <w:sz w:val="24"/>
          <w:szCs w:val="24"/>
        </w:rPr>
        <w:t xml:space="preserve"> follow the laws and legislation as authorized. Some of the organization's policy includes Equality and Diversity, despite the organization following this; it goes further to fighting for it.  This can be expressed through the forums created by the Red Cross organization to bring together the members of the society.    </w:t>
      </w:r>
      <w:r w:rsidRPr="00DD1993">
        <w:rPr>
          <w:rFonts w:ascii="Times New Roman" w:eastAsia="Calibri" w:hAnsi="Times New Roman" w:cs="Times New Roman"/>
          <w:i/>
          <w:sz w:val="24"/>
          <w:szCs w:val="24"/>
        </w:rPr>
        <w:t xml:space="preserve"> </w:t>
      </w:r>
    </w:p>
    <w:p w14:paraId="0249FF2F" w14:textId="77777777" w:rsidR="00DD1993" w:rsidRPr="00DD1993" w:rsidRDefault="00DD1993" w:rsidP="00DD1993">
      <w:pPr>
        <w:spacing w:after="0" w:line="480" w:lineRule="auto"/>
        <w:jc w:val="both"/>
        <w:rPr>
          <w:rFonts w:ascii="Arial Black" w:eastAsia="Calibri" w:hAnsi="Arial Black" w:cs="Times New Roman"/>
          <w:b/>
        </w:rPr>
      </w:pPr>
      <w:r w:rsidRPr="00DD1993">
        <w:rPr>
          <w:rFonts w:ascii="Arial Black" w:eastAsia="Calibri" w:hAnsi="Arial Black" w:cs="Times New Roman"/>
          <w:b/>
        </w:rPr>
        <w:t xml:space="preserve">Best practices of the community engagement </w:t>
      </w:r>
    </w:p>
    <w:p w14:paraId="6BCF4FDD" w14:textId="77777777" w:rsidR="00DD1993" w:rsidRPr="00DD1993" w:rsidRDefault="00DD1993" w:rsidP="00DD1993">
      <w:pPr>
        <w:spacing w:after="0" w:line="480" w:lineRule="auto"/>
        <w:ind w:firstLine="720"/>
        <w:jc w:val="both"/>
        <w:rPr>
          <w:rFonts w:ascii="Times New Roman" w:eastAsia="Calibri" w:hAnsi="Times New Roman" w:cs="Times New Roman"/>
          <w:sz w:val="24"/>
          <w:szCs w:val="24"/>
        </w:rPr>
      </w:pPr>
      <w:r w:rsidRPr="00DD1993">
        <w:rPr>
          <w:rFonts w:ascii="Times New Roman" w:eastAsia="Calibri" w:hAnsi="Times New Roman" w:cs="Times New Roman"/>
          <w:sz w:val="24"/>
          <w:szCs w:val="24"/>
        </w:rPr>
        <w:t xml:space="preserve">Managers </w:t>
      </w:r>
      <w:proofErr w:type="gramStart"/>
      <w:r w:rsidRPr="00DD1993">
        <w:rPr>
          <w:rFonts w:ascii="Times New Roman" w:eastAsia="Calibri" w:hAnsi="Times New Roman" w:cs="Times New Roman"/>
          <w:sz w:val="24"/>
          <w:szCs w:val="24"/>
        </w:rPr>
        <w:t>have to</w:t>
      </w:r>
      <w:proofErr w:type="gramEnd"/>
      <w:r w:rsidRPr="00DD1993">
        <w:rPr>
          <w:rFonts w:ascii="Times New Roman" w:eastAsia="Calibri" w:hAnsi="Times New Roman" w:cs="Times New Roman"/>
          <w:sz w:val="24"/>
          <w:szCs w:val="24"/>
        </w:rPr>
        <w:t xml:space="preserve"> develop different practices which help grow community engagement. The practices should be reflected in the community. Most of the community starts with strategies that address their issues and benefit them (</w:t>
      </w:r>
      <w:proofErr w:type="spellStart"/>
      <w:r w:rsidRPr="00DD1993">
        <w:rPr>
          <w:rFonts w:ascii="Times New Roman" w:eastAsia="Calibri" w:hAnsi="Times New Roman" w:cs="Times New Roman"/>
          <w:sz w:val="24"/>
          <w:szCs w:val="24"/>
        </w:rPr>
        <w:t>Hollebeek</w:t>
      </w:r>
      <w:proofErr w:type="spellEnd"/>
      <w:r w:rsidRPr="00DD1993">
        <w:rPr>
          <w:rFonts w:ascii="Times New Roman" w:eastAsia="Calibri" w:hAnsi="Times New Roman" w:cs="Times New Roman"/>
          <w:sz w:val="24"/>
          <w:szCs w:val="24"/>
        </w:rPr>
        <w:t xml:space="preserve"> et al., 2017). The organization's strategies should include the goals and outcomes. The managers should build a foundation before the act of the engagement. The best practices to be employed </w:t>
      </w:r>
      <w:proofErr w:type="gramStart"/>
      <w:r w:rsidRPr="00DD1993">
        <w:rPr>
          <w:rFonts w:ascii="Times New Roman" w:eastAsia="Calibri" w:hAnsi="Times New Roman" w:cs="Times New Roman"/>
          <w:sz w:val="24"/>
          <w:szCs w:val="24"/>
        </w:rPr>
        <w:t>include;</w:t>
      </w:r>
      <w:proofErr w:type="gramEnd"/>
      <w:r w:rsidRPr="00DD1993">
        <w:rPr>
          <w:rFonts w:ascii="Times New Roman" w:eastAsia="Calibri" w:hAnsi="Times New Roman" w:cs="Times New Roman"/>
          <w:sz w:val="24"/>
          <w:szCs w:val="24"/>
        </w:rPr>
        <w:t xml:space="preserve"> </w:t>
      </w:r>
    </w:p>
    <w:p w14:paraId="0B37CE6C" w14:textId="77777777" w:rsidR="00DD1993" w:rsidRPr="00DD1993" w:rsidRDefault="00DD1993" w:rsidP="00DD1993">
      <w:pPr>
        <w:spacing w:after="0" w:line="480" w:lineRule="auto"/>
        <w:jc w:val="both"/>
        <w:rPr>
          <w:rFonts w:ascii="Times New Roman" w:eastAsia="Calibri" w:hAnsi="Times New Roman" w:cs="Times New Roman"/>
          <w:i/>
          <w:sz w:val="24"/>
          <w:szCs w:val="24"/>
        </w:rPr>
      </w:pPr>
      <w:r w:rsidRPr="00DD1993">
        <w:rPr>
          <w:rFonts w:ascii="Times New Roman" w:eastAsia="Calibri" w:hAnsi="Times New Roman" w:cs="Times New Roman"/>
          <w:i/>
          <w:sz w:val="24"/>
          <w:szCs w:val="24"/>
        </w:rPr>
        <w:t xml:space="preserve">Partner with valued community leaders </w:t>
      </w:r>
    </w:p>
    <w:p w14:paraId="76F6B676" w14:textId="77777777" w:rsidR="00DD1993" w:rsidRPr="00DD1993" w:rsidRDefault="00DD1993" w:rsidP="00DD1993">
      <w:pPr>
        <w:spacing w:after="0" w:line="480" w:lineRule="auto"/>
        <w:ind w:firstLine="720"/>
        <w:jc w:val="both"/>
        <w:rPr>
          <w:rFonts w:ascii="Times New Roman" w:eastAsia="Calibri" w:hAnsi="Times New Roman" w:cs="Times New Roman"/>
          <w:sz w:val="24"/>
          <w:szCs w:val="24"/>
        </w:rPr>
      </w:pPr>
      <w:r w:rsidRPr="00DD1993">
        <w:rPr>
          <w:rFonts w:ascii="Times New Roman" w:eastAsia="Calibri" w:hAnsi="Times New Roman" w:cs="Times New Roman"/>
          <w:sz w:val="24"/>
          <w:szCs w:val="24"/>
        </w:rPr>
        <w:t xml:space="preserve">The organization should first identify the community needed and build a trusted relationship with an active and trusted community member. Data from the community which identifies the most engaged members in the community should be used; afterward, the members should be invited and empowered with direction and ownership (Pedi et al., 2017). Empowering more community members creates more leaders within the community, which in turn grows the community engagement. The organization should focus on the leaders as this will help them influence other community members. However, only the trusted members of the community should be used in building a community engagement framework. According to previous </w:t>
      </w:r>
      <w:r w:rsidRPr="00DD1993">
        <w:rPr>
          <w:rFonts w:ascii="Times New Roman" w:eastAsia="Calibri" w:hAnsi="Times New Roman" w:cs="Times New Roman"/>
          <w:sz w:val="24"/>
          <w:szCs w:val="24"/>
        </w:rPr>
        <w:lastRenderedPageBreak/>
        <w:t xml:space="preserve">assessment, Red Cross works with the leaders of the community. The organization has gone further to manipulating the leaders in useful manners which helps bring the community together. </w:t>
      </w:r>
    </w:p>
    <w:p w14:paraId="71C2B3AB" w14:textId="77777777" w:rsidR="00DD1993" w:rsidRPr="00DD1993" w:rsidRDefault="00DD1993" w:rsidP="00DD1993">
      <w:pPr>
        <w:spacing w:after="0" w:line="480" w:lineRule="auto"/>
        <w:jc w:val="both"/>
        <w:rPr>
          <w:rFonts w:ascii="Times New Roman" w:eastAsia="Calibri" w:hAnsi="Times New Roman" w:cs="Times New Roman"/>
          <w:i/>
          <w:sz w:val="24"/>
          <w:szCs w:val="24"/>
        </w:rPr>
      </w:pPr>
      <w:r w:rsidRPr="00DD1993">
        <w:rPr>
          <w:rFonts w:ascii="Times New Roman" w:eastAsia="Calibri" w:hAnsi="Times New Roman" w:cs="Times New Roman"/>
          <w:i/>
          <w:sz w:val="24"/>
          <w:szCs w:val="24"/>
        </w:rPr>
        <w:t xml:space="preserve">Embrace the community inputs </w:t>
      </w:r>
    </w:p>
    <w:p w14:paraId="5573890D" w14:textId="77777777" w:rsidR="00DD1993" w:rsidRPr="00DD1993" w:rsidRDefault="00DD1993" w:rsidP="00DD1993">
      <w:pPr>
        <w:spacing w:after="0" w:line="480" w:lineRule="auto"/>
        <w:ind w:firstLine="720"/>
        <w:jc w:val="both"/>
        <w:rPr>
          <w:rFonts w:ascii="Times New Roman" w:eastAsia="Calibri" w:hAnsi="Times New Roman" w:cs="Times New Roman"/>
          <w:sz w:val="24"/>
          <w:szCs w:val="24"/>
        </w:rPr>
      </w:pPr>
      <w:r w:rsidRPr="00DD1993">
        <w:rPr>
          <w:rFonts w:ascii="Times New Roman" w:eastAsia="Calibri" w:hAnsi="Times New Roman" w:cs="Times New Roman"/>
          <w:sz w:val="24"/>
          <w:szCs w:val="24"/>
        </w:rPr>
        <w:t xml:space="preserve">Community inputs are what every manager's eyes on when building a community engagement framework. </w:t>
      </w:r>
      <w:proofErr w:type="gramStart"/>
      <w:r w:rsidRPr="00DD1993">
        <w:rPr>
          <w:rFonts w:ascii="Times New Roman" w:eastAsia="Calibri" w:hAnsi="Times New Roman" w:cs="Times New Roman"/>
          <w:sz w:val="24"/>
          <w:szCs w:val="24"/>
        </w:rPr>
        <w:t>Therefore</w:t>
      </w:r>
      <w:proofErr w:type="gramEnd"/>
      <w:r w:rsidRPr="00DD1993">
        <w:rPr>
          <w:rFonts w:ascii="Times New Roman" w:eastAsia="Calibri" w:hAnsi="Times New Roman" w:cs="Times New Roman"/>
          <w:sz w:val="24"/>
          <w:szCs w:val="24"/>
        </w:rPr>
        <w:t xml:space="preserve"> when working with the community, the managers should understand their interests and express actions toward the interests. This can be done through building a discussion with </w:t>
      </w:r>
      <w:proofErr w:type="gramStart"/>
      <w:r w:rsidRPr="00DD1993">
        <w:rPr>
          <w:rFonts w:ascii="Times New Roman" w:eastAsia="Calibri" w:hAnsi="Times New Roman" w:cs="Times New Roman"/>
          <w:sz w:val="24"/>
          <w:szCs w:val="24"/>
        </w:rPr>
        <w:t>others</w:t>
      </w:r>
      <w:proofErr w:type="gramEnd"/>
      <w:r w:rsidRPr="00DD1993">
        <w:rPr>
          <w:rFonts w:ascii="Times New Roman" w:eastAsia="Calibri" w:hAnsi="Times New Roman" w:cs="Times New Roman"/>
          <w:sz w:val="24"/>
          <w:szCs w:val="24"/>
        </w:rPr>
        <w:t xml:space="preserve"> stakeholders to evaluate the interests of the community. The managers should understand what the community has to say about their issues or interest (Corbett and Le </w:t>
      </w:r>
      <w:proofErr w:type="spellStart"/>
      <w:r w:rsidRPr="00DD1993">
        <w:rPr>
          <w:rFonts w:ascii="Times New Roman" w:eastAsia="Calibri" w:hAnsi="Times New Roman" w:cs="Times New Roman"/>
          <w:sz w:val="24"/>
          <w:szCs w:val="24"/>
        </w:rPr>
        <w:t>Dantec</w:t>
      </w:r>
      <w:proofErr w:type="spellEnd"/>
      <w:r w:rsidRPr="00DD1993">
        <w:rPr>
          <w:rFonts w:ascii="Times New Roman" w:eastAsia="Calibri" w:hAnsi="Times New Roman" w:cs="Times New Roman"/>
          <w:sz w:val="24"/>
          <w:szCs w:val="24"/>
        </w:rPr>
        <w:t xml:space="preserve"> 2018). Through this, the organization will be creating a chance for the community to come forward whenever they have issues affecting their inputs. Also, the community will develop different ways to address the issues </w:t>
      </w:r>
      <w:proofErr w:type="gramStart"/>
      <w:r w:rsidRPr="00DD1993">
        <w:rPr>
          <w:rFonts w:ascii="Times New Roman" w:eastAsia="Calibri" w:hAnsi="Times New Roman" w:cs="Times New Roman"/>
          <w:sz w:val="24"/>
          <w:szCs w:val="24"/>
        </w:rPr>
        <w:t>as long as</w:t>
      </w:r>
      <w:proofErr w:type="gramEnd"/>
      <w:r w:rsidRPr="00DD1993">
        <w:rPr>
          <w:rFonts w:ascii="Times New Roman" w:eastAsia="Calibri" w:hAnsi="Times New Roman" w:cs="Times New Roman"/>
          <w:sz w:val="24"/>
          <w:szCs w:val="24"/>
        </w:rPr>
        <w:t xml:space="preserve"> they have the organization supporting them. This makes the Red Cross UK works; understanding the community and implementing their interests makes them involved in the issues. The organization's work is controlled by the community, which is continuing to help the organization bridge the needs of the refugee and immigrants. </w:t>
      </w:r>
    </w:p>
    <w:p w14:paraId="4C5DA125" w14:textId="77777777" w:rsidR="00DD1993" w:rsidRPr="00DD1993" w:rsidRDefault="00DD1993" w:rsidP="00DD1993">
      <w:pPr>
        <w:spacing w:after="0" w:line="480" w:lineRule="auto"/>
        <w:jc w:val="both"/>
        <w:rPr>
          <w:rFonts w:ascii="Times New Roman" w:eastAsia="Calibri" w:hAnsi="Times New Roman" w:cs="Times New Roman"/>
          <w:i/>
          <w:sz w:val="24"/>
          <w:szCs w:val="24"/>
        </w:rPr>
      </w:pPr>
      <w:r w:rsidRPr="00DD1993">
        <w:rPr>
          <w:rFonts w:ascii="Times New Roman" w:eastAsia="Calibri" w:hAnsi="Times New Roman" w:cs="Times New Roman"/>
          <w:i/>
          <w:sz w:val="24"/>
          <w:szCs w:val="24"/>
        </w:rPr>
        <w:t xml:space="preserve">Build relationships </w:t>
      </w:r>
    </w:p>
    <w:p w14:paraId="3EFBF816" w14:textId="77777777" w:rsidR="00DD1993" w:rsidRPr="00DD1993" w:rsidRDefault="00DD1993" w:rsidP="00DD1993">
      <w:pPr>
        <w:spacing w:after="0" w:line="480" w:lineRule="auto"/>
        <w:ind w:firstLine="720"/>
        <w:jc w:val="both"/>
        <w:rPr>
          <w:rFonts w:ascii="Times New Roman" w:eastAsia="Calibri" w:hAnsi="Times New Roman" w:cs="Times New Roman"/>
          <w:sz w:val="24"/>
          <w:szCs w:val="24"/>
        </w:rPr>
      </w:pPr>
      <w:r w:rsidRPr="00DD1993">
        <w:rPr>
          <w:rFonts w:ascii="Times New Roman" w:eastAsia="Calibri" w:hAnsi="Times New Roman" w:cs="Times New Roman"/>
          <w:sz w:val="24"/>
          <w:szCs w:val="24"/>
        </w:rPr>
        <w:t xml:space="preserve">The organization should work to bridge talents, skills, and knowledge when working with the stakeholders. It is a mutual benefit for both the community and the organization. To promote education, the organization should also develop forums and dialogues which discuss the projects and the programs affecting the community. The organization should develop different strategies to improve communication with the community; the strategy should address the project's community culture, economic, and environmental concepts (David-Chavez and Gavin, 2018). </w:t>
      </w:r>
      <w:proofErr w:type="gramStart"/>
      <w:r w:rsidRPr="00DD1993">
        <w:rPr>
          <w:rFonts w:ascii="Times New Roman" w:eastAsia="Calibri" w:hAnsi="Times New Roman" w:cs="Times New Roman"/>
          <w:sz w:val="24"/>
          <w:szCs w:val="24"/>
        </w:rPr>
        <w:t>Red Cross UK,</w:t>
      </w:r>
      <w:proofErr w:type="gramEnd"/>
      <w:r w:rsidRPr="00DD1993">
        <w:rPr>
          <w:rFonts w:ascii="Times New Roman" w:eastAsia="Calibri" w:hAnsi="Times New Roman" w:cs="Times New Roman"/>
          <w:sz w:val="24"/>
          <w:szCs w:val="24"/>
        </w:rPr>
        <w:t xml:space="preserve"> develops socially acceptable groups which bring the community together, gain </w:t>
      </w:r>
      <w:r w:rsidRPr="00DD1993">
        <w:rPr>
          <w:rFonts w:ascii="Times New Roman" w:eastAsia="Calibri" w:hAnsi="Times New Roman" w:cs="Times New Roman"/>
          <w:sz w:val="24"/>
          <w:szCs w:val="24"/>
        </w:rPr>
        <w:lastRenderedPageBreak/>
        <w:t>friendship, and share cultures. This has helped the organization to fight bias and racism. Therefore, the organization forums should bring together the employees, community, and organization's management. The organization should adopt different means of communication and rely much on social media as this does not make the community open and transparent for their needs. While the organization works with other stakeholders, community engagement helps grow the community and organization relationship which develops respect, integrity, and compassion.</w:t>
      </w:r>
    </w:p>
    <w:p w14:paraId="63693031" w14:textId="77777777" w:rsidR="00DD1993" w:rsidRPr="00DD1993" w:rsidRDefault="00DD1993" w:rsidP="00DD1993">
      <w:pPr>
        <w:spacing w:after="0" w:line="480" w:lineRule="auto"/>
        <w:jc w:val="both"/>
        <w:rPr>
          <w:rFonts w:ascii="Times New Roman" w:eastAsia="Calibri" w:hAnsi="Times New Roman" w:cs="Times New Roman"/>
          <w:i/>
          <w:sz w:val="24"/>
          <w:szCs w:val="24"/>
        </w:rPr>
      </w:pPr>
      <w:r w:rsidRPr="00DD1993">
        <w:rPr>
          <w:rFonts w:ascii="Times New Roman" w:eastAsia="Calibri" w:hAnsi="Times New Roman" w:cs="Times New Roman"/>
          <w:i/>
          <w:sz w:val="24"/>
          <w:szCs w:val="24"/>
        </w:rPr>
        <w:t xml:space="preserve">Instruct the community members </w:t>
      </w:r>
    </w:p>
    <w:p w14:paraId="556ABD96" w14:textId="77777777" w:rsidR="00DD1993" w:rsidRPr="00DD1993" w:rsidRDefault="00DD1993" w:rsidP="00DD1993">
      <w:pPr>
        <w:spacing w:after="0" w:line="480" w:lineRule="auto"/>
        <w:ind w:firstLine="720"/>
        <w:jc w:val="both"/>
        <w:rPr>
          <w:rFonts w:ascii="Times New Roman" w:eastAsia="Calibri" w:hAnsi="Times New Roman" w:cs="Times New Roman"/>
          <w:sz w:val="24"/>
          <w:szCs w:val="24"/>
        </w:rPr>
      </w:pPr>
      <w:r w:rsidRPr="00DD1993">
        <w:rPr>
          <w:rFonts w:ascii="Times New Roman" w:eastAsia="Calibri" w:hAnsi="Times New Roman" w:cs="Times New Roman"/>
          <w:sz w:val="24"/>
          <w:szCs w:val="24"/>
        </w:rPr>
        <w:t xml:space="preserve">The organization representatives should instruct the community on ways to participate in its network and others organization activities. Instructions can be shared in different ways, including direct messages, emails, and direct meetings. In every means of expressing the organization's instruction, the organization should show the community how to use different organizational activities and what challenges are associated with each (Firestone et al., 2018). To promote understanding, the organization should get the community representatives involved. Also, this helps the community representative to acknowledge if the activities are culturally accepted. Red Cross UK is an example of a good organization that has effectively engaged the community in its roles. The organization is a non-profit helps the immigrant and the refugees by the help of the community. The organization has instructed the community on how to contribute to helping the victims. Some of the instructions </w:t>
      </w:r>
      <w:proofErr w:type="gramStart"/>
      <w:r w:rsidRPr="00DD1993">
        <w:rPr>
          <w:rFonts w:ascii="Times New Roman" w:eastAsia="Calibri" w:hAnsi="Times New Roman" w:cs="Times New Roman"/>
          <w:sz w:val="24"/>
          <w:szCs w:val="24"/>
        </w:rPr>
        <w:t>include;</w:t>
      </w:r>
      <w:proofErr w:type="gramEnd"/>
      <w:r w:rsidRPr="00DD1993">
        <w:rPr>
          <w:rFonts w:ascii="Times New Roman" w:eastAsia="Calibri" w:hAnsi="Times New Roman" w:cs="Times New Roman"/>
          <w:sz w:val="24"/>
          <w:szCs w:val="24"/>
        </w:rPr>
        <w:t xml:space="preserve"> donating, fighting racism and bias.   </w:t>
      </w:r>
    </w:p>
    <w:p w14:paraId="7AF81202" w14:textId="77777777" w:rsidR="00DD1993" w:rsidRPr="00DD1993" w:rsidRDefault="00DD1993" w:rsidP="00DD1993">
      <w:pPr>
        <w:spacing w:after="0" w:line="480" w:lineRule="auto"/>
        <w:jc w:val="both"/>
        <w:rPr>
          <w:rFonts w:ascii="Arial Black" w:eastAsia="Calibri" w:hAnsi="Arial Black" w:cs="Times New Roman"/>
          <w:b/>
        </w:rPr>
      </w:pPr>
      <w:r w:rsidRPr="00DD1993">
        <w:rPr>
          <w:rFonts w:ascii="Arial Black" w:eastAsia="Calibri" w:hAnsi="Arial Black" w:cs="Times New Roman"/>
          <w:b/>
        </w:rPr>
        <w:t xml:space="preserve">Personal development </w:t>
      </w:r>
    </w:p>
    <w:p w14:paraId="19D7D3DC" w14:textId="77777777" w:rsidR="00DD1993" w:rsidRPr="00DD1993" w:rsidRDefault="00DD1993" w:rsidP="00DD1993">
      <w:pPr>
        <w:spacing w:after="0" w:line="480" w:lineRule="auto"/>
        <w:jc w:val="both"/>
        <w:rPr>
          <w:rFonts w:ascii="Times New Roman" w:eastAsia="Calibri" w:hAnsi="Times New Roman" w:cs="Times New Roman"/>
          <w:sz w:val="24"/>
          <w:szCs w:val="24"/>
        </w:rPr>
      </w:pPr>
      <w:r w:rsidRPr="00DD1993">
        <w:rPr>
          <w:rFonts w:ascii="Times New Roman" w:eastAsia="Calibri" w:hAnsi="Times New Roman" w:cs="Times New Roman"/>
          <w:sz w:val="24"/>
          <w:szCs w:val="24"/>
        </w:rPr>
        <w:t xml:space="preserve">This module personally helped in skills and knowledge growth. The skills developed will be useful for my future career and in improving my workability. The skills and knowledge developed include </w:t>
      </w:r>
    </w:p>
    <w:p w14:paraId="29262418" w14:textId="77777777" w:rsidR="00DD1993" w:rsidRDefault="00DD1993" w:rsidP="00DD1993">
      <w:pPr>
        <w:spacing w:after="0" w:line="480" w:lineRule="auto"/>
        <w:jc w:val="both"/>
        <w:rPr>
          <w:rFonts w:ascii="Times New Roman" w:eastAsia="Calibri" w:hAnsi="Times New Roman" w:cs="Times New Roman"/>
          <w:i/>
          <w:sz w:val="24"/>
          <w:szCs w:val="24"/>
        </w:rPr>
      </w:pPr>
    </w:p>
    <w:p w14:paraId="30499EC4" w14:textId="77777777" w:rsidR="00DD1993" w:rsidRDefault="00DD1993" w:rsidP="00DD1993">
      <w:pPr>
        <w:spacing w:after="0" w:line="480" w:lineRule="auto"/>
        <w:jc w:val="both"/>
        <w:rPr>
          <w:rFonts w:ascii="Times New Roman" w:eastAsia="Calibri" w:hAnsi="Times New Roman" w:cs="Times New Roman"/>
          <w:i/>
          <w:sz w:val="24"/>
          <w:szCs w:val="24"/>
        </w:rPr>
      </w:pPr>
    </w:p>
    <w:p w14:paraId="07E75F97" w14:textId="37436A16" w:rsidR="00DD1993" w:rsidRPr="00DD1993" w:rsidRDefault="00DD1993" w:rsidP="00DD1993">
      <w:pPr>
        <w:spacing w:after="0" w:line="480" w:lineRule="auto"/>
        <w:jc w:val="both"/>
        <w:rPr>
          <w:rFonts w:ascii="Times New Roman" w:eastAsia="Calibri" w:hAnsi="Times New Roman" w:cs="Times New Roman"/>
          <w:i/>
          <w:sz w:val="24"/>
          <w:szCs w:val="24"/>
        </w:rPr>
      </w:pPr>
      <w:r w:rsidRPr="00DD1993">
        <w:rPr>
          <w:rFonts w:ascii="Times New Roman" w:eastAsia="Calibri" w:hAnsi="Times New Roman" w:cs="Times New Roman"/>
          <w:i/>
          <w:sz w:val="24"/>
          <w:szCs w:val="24"/>
        </w:rPr>
        <w:lastRenderedPageBreak/>
        <w:t xml:space="preserve">Listening and analyzing skill </w:t>
      </w:r>
    </w:p>
    <w:p w14:paraId="524ACDF7" w14:textId="77777777" w:rsidR="00DD1993" w:rsidRPr="00DD1993" w:rsidRDefault="00DD1993" w:rsidP="00DD1993">
      <w:pPr>
        <w:spacing w:after="0" w:line="480" w:lineRule="auto"/>
        <w:ind w:firstLine="720"/>
        <w:jc w:val="both"/>
        <w:rPr>
          <w:rFonts w:ascii="Times New Roman" w:eastAsia="Calibri" w:hAnsi="Times New Roman" w:cs="Times New Roman"/>
          <w:sz w:val="24"/>
          <w:szCs w:val="24"/>
        </w:rPr>
      </w:pPr>
      <w:r w:rsidRPr="00DD1993">
        <w:rPr>
          <w:rFonts w:ascii="Times New Roman" w:eastAsia="Calibri" w:hAnsi="Times New Roman" w:cs="Times New Roman"/>
          <w:sz w:val="24"/>
          <w:szCs w:val="24"/>
        </w:rPr>
        <w:t xml:space="preserve">Working with more than one member of the organization requires understanding their needs and interest. The more the stakeholders, the more the ideas and needs; therefore, it is the need of the managers to understand others' ideas and needs, which can only be done through listening. Listening and analyzing is the ability to understand what is being communicated as a manager working with the community; one should understand what the community says about the project planning measures. Also, the manager should be able to develop a framework that groups the reasoning of the community and identifies which reason to be implemented and what not to be included (Tseng et al., 2019). Every manager should possess these skills to help work with the community with no conflict or anything that can affect the community and the organization. As managers, this will help identify what is worth for the organization without affecting other community members. </w:t>
      </w:r>
    </w:p>
    <w:p w14:paraId="1ACC59B8" w14:textId="77777777" w:rsidR="00DD1993" w:rsidRPr="00DD1993" w:rsidRDefault="00DD1993" w:rsidP="00DD1993">
      <w:pPr>
        <w:spacing w:after="0" w:line="480" w:lineRule="auto"/>
        <w:jc w:val="both"/>
        <w:rPr>
          <w:rFonts w:ascii="Times New Roman" w:eastAsia="Calibri" w:hAnsi="Times New Roman" w:cs="Times New Roman"/>
          <w:i/>
          <w:sz w:val="24"/>
          <w:szCs w:val="24"/>
        </w:rPr>
      </w:pPr>
      <w:r w:rsidRPr="00DD1993">
        <w:rPr>
          <w:rFonts w:ascii="Times New Roman" w:eastAsia="Calibri" w:hAnsi="Times New Roman" w:cs="Times New Roman"/>
          <w:i/>
          <w:sz w:val="24"/>
          <w:szCs w:val="24"/>
        </w:rPr>
        <w:t xml:space="preserve">Member advocacy </w:t>
      </w:r>
    </w:p>
    <w:p w14:paraId="2C9AAB48" w14:textId="77777777" w:rsidR="00DD1993" w:rsidRPr="00DD1993" w:rsidRDefault="00DD1993" w:rsidP="00DD1993">
      <w:pPr>
        <w:spacing w:after="0" w:line="480" w:lineRule="auto"/>
        <w:ind w:firstLine="720"/>
        <w:jc w:val="both"/>
        <w:rPr>
          <w:rFonts w:ascii="Times New Roman" w:eastAsia="Calibri" w:hAnsi="Times New Roman" w:cs="Times New Roman"/>
          <w:sz w:val="24"/>
          <w:szCs w:val="24"/>
        </w:rPr>
      </w:pPr>
      <w:r w:rsidRPr="00DD1993">
        <w:rPr>
          <w:rFonts w:ascii="Times New Roman" w:eastAsia="Calibri" w:hAnsi="Times New Roman" w:cs="Times New Roman"/>
          <w:sz w:val="24"/>
          <w:szCs w:val="24"/>
        </w:rPr>
        <w:t xml:space="preserve">In every stage of community engagement, communication plays an important role. Advocacy involves advising the community member on what is good; this is structured with other's skills, including communication and collaboration. As the organization project manager, one should communicate the organization's goals to the community in the best manner, which does not create any conflict. Advocacy should include good communication and collaboration, which makes the organization win the community's intentions (Hassan et l 2017). </w:t>
      </w:r>
      <w:proofErr w:type="gramStart"/>
      <w:r w:rsidRPr="00DD1993">
        <w:rPr>
          <w:rFonts w:ascii="Times New Roman" w:eastAsia="Calibri" w:hAnsi="Times New Roman" w:cs="Times New Roman"/>
          <w:sz w:val="24"/>
          <w:szCs w:val="24"/>
        </w:rPr>
        <w:t>Therefore</w:t>
      </w:r>
      <w:proofErr w:type="gramEnd"/>
      <w:r w:rsidRPr="00DD1993">
        <w:rPr>
          <w:rFonts w:ascii="Times New Roman" w:eastAsia="Calibri" w:hAnsi="Times New Roman" w:cs="Times New Roman"/>
          <w:sz w:val="24"/>
          <w:szCs w:val="24"/>
        </w:rPr>
        <w:t xml:space="preserve"> as advocacy, one should understand the culture of the community and language. This helps the organization to communicate effectively with the community members. Good advocacy should develop a close relationship with the community member that is beneficial to the community and the organization.  In UK, Red Cross plays a vital role in helping the refugees who are most in UK. This is done </w:t>
      </w:r>
      <w:r w:rsidRPr="00DD1993">
        <w:rPr>
          <w:rFonts w:ascii="Times New Roman" w:eastAsia="Calibri" w:hAnsi="Times New Roman" w:cs="Times New Roman"/>
          <w:sz w:val="24"/>
          <w:szCs w:val="24"/>
        </w:rPr>
        <w:lastRenderedPageBreak/>
        <w:t xml:space="preserve">through the organization addressing the needs of the refugees to the community. The organization goes further to ensure racism does not inhibit the success of its programs. </w:t>
      </w:r>
      <w:proofErr w:type="gramStart"/>
      <w:r w:rsidRPr="00DD1993">
        <w:rPr>
          <w:rFonts w:ascii="Times New Roman" w:eastAsia="Calibri" w:hAnsi="Times New Roman" w:cs="Times New Roman"/>
          <w:sz w:val="24"/>
          <w:szCs w:val="24"/>
        </w:rPr>
        <w:t>By the use of</w:t>
      </w:r>
      <w:proofErr w:type="gramEnd"/>
      <w:r w:rsidRPr="00DD1993">
        <w:rPr>
          <w:rFonts w:ascii="Times New Roman" w:eastAsia="Calibri" w:hAnsi="Times New Roman" w:cs="Times New Roman"/>
          <w:sz w:val="24"/>
          <w:szCs w:val="24"/>
        </w:rPr>
        <w:t xml:space="preserve"> the campaigns, the organization can win community engagement and fight racism.  </w:t>
      </w:r>
    </w:p>
    <w:p w14:paraId="44A9AEEA" w14:textId="77777777" w:rsidR="00DD1993" w:rsidRPr="00DD1993" w:rsidRDefault="00DD1993" w:rsidP="00DD1993">
      <w:pPr>
        <w:spacing w:after="0" w:line="480" w:lineRule="auto"/>
        <w:jc w:val="both"/>
        <w:rPr>
          <w:rFonts w:ascii="Times New Roman" w:eastAsia="Calibri" w:hAnsi="Times New Roman" w:cs="Times New Roman"/>
          <w:i/>
          <w:sz w:val="24"/>
          <w:szCs w:val="24"/>
        </w:rPr>
      </w:pPr>
      <w:r w:rsidRPr="00DD1993">
        <w:rPr>
          <w:rFonts w:ascii="Times New Roman" w:eastAsia="Calibri" w:hAnsi="Times New Roman" w:cs="Times New Roman"/>
          <w:i/>
          <w:sz w:val="24"/>
          <w:szCs w:val="24"/>
        </w:rPr>
        <w:t xml:space="preserve">Adaptability </w:t>
      </w:r>
    </w:p>
    <w:p w14:paraId="3CA824F8" w14:textId="77777777" w:rsidR="00DD1993" w:rsidRPr="00DD1993" w:rsidRDefault="00DD1993" w:rsidP="00DD1993">
      <w:pPr>
        <w:spacing w:after="0" w:line="480" w:lineRule="auto"/>
        <w:ind w:firstLine="720"/>
        <w:jc w:val="both"/>
        <w:rPr>
          <w:rFonts w:ascii="Times New Roman" w:eastAsia="Calibri" w:hAnsi="Times New Roman" w:cs="Times New Roman"/>
          <w:sz w:val="24"/>
          <w:szCs w:val="24"/>
        </w:rPr>
      </w:pPr>
      <w:r w:rsidRPr="00DD1993">
        <w:rPr>
          <w:rFonts w:ascii="Times New Roman" w:eastAsia="Calibri" w:hAnsi="Times New Roman" w:cs="Times New Roman"/>
          <w:sz w:val="24"/>
          <w:szCs w:val="24"/>
        </w:rPr>
        <w:t xml:space="preserve">Working with the community requires the manager to be prepared for anything that may arise in his or her duties. Community includes different members with different interests, skills, and experiences. Feeling also differs from one member to another; therefore, as a manager, one must develop adaptability skills that make them work effectively with different members. Community engagement involves building a close relationship with the community. To do this, the manager </w:t>
      </w:r>
      <w:proofErr w:type="gramStart"/>
      <w:r w:rsidRPr="00DD1993">
        <w:rPr>
          <w:rFonts w:ascii="Times New Roman" w:eastAsia="Calibri" w:hAnsi="Times New Roman" w:cs="Times New Roman"/>
          <w:sz w:val="24"/>
          <w:szCs w:val="24"/>
        </w:rPr>
        <w:t>has to</w:t>
      </w:r>
      <w:proofErr w:type="gramEnd"/>
      <w:r w:rsidRPr="00DD1993">
        <w:rPr>
          <w:rFonts w:ascii="Times New Roman" w:eastAsia="Calibri" w:hAnsi="Times New Roman" w:cs="Times New Roman"/>
          <w:sz w:val="24"/>
          <w:szCs w:val="24"/>
        </w:rPr>
        <w:t xml:space="preserve"> understand the community concepts, which include their wellbeing, which differs (Sony and </w:t>
      </w:r>
      <w:proofErr w:type="spellStart"/>
      <w:r w:rsidRPr="00DD1993">
        <w:rPr>
          <w:rFonts w:ascii="Times New Roman" w:eastAsia="Calibri" w:hAnsi="Times New Roman" w:cs="Times New Roman"/>
          <w:sz w:val="24"/>
          <w:szCs w:val="24"/>
        </w:rPr>
        <w:t>Mekoth</w:t>
      </w:r>
      <w:proofErr w:type="spellEnd"/>
      <w:r w:rsidRPr="00DD1993">
        <w:rPr>
          <w:rFonts w:ascii="Times New Roman" w:eastAsia="Calibri" w:hAnsi="Times New Roman" w:cs="Times New Roman"/>
          <w:sz w:val="24"/>
          <w:szCs w:val="24"/>
        </w:rPr>
        <w:t xml:space="preserve">, 2017). Adaptability helps grow the community-organization relationship, thus reducing conflicts associated with the relationship. In the future, adaptability can be used when working with a different employee with different pressure. Adaptability does one work with different cultures, goals, talents, and skills. </w:t>
      </w:r>
    </w:p>
    <w:p w14:paraId="199F0F65" w14:textId="77777777" w:rsidR="00DD1993" w:rsidRPr="00DD1993" w:rsidRDefault="00DD1993" w:rsidP="00DD1993">
      <w:pPr>
        <w:spacing w:after="0" w:line="480" w:lineRule="auto"/>
        <w:jc w:val="both"/>
        <w:rPr>
          <w:rFonts w:ascii="Times New Roman" w:eastAsia="Calibri" w:hAnsi="Times New Roman" w:cs="Times New Roman"/>
          <w:i/>
          <w:sz w:val="24"/>
          <w:szCs w:val="24"/>
        </w:rPr>
      </w:pPr>
      <w:r w:rsidRPr="00DD1993">
        <w:rPr>
          <w:rFonts w:ascii="Times New Roman" w:eastAsia="Calibri" w:hAnsi="Times New Roman" w:cs="Times New Roman"/>
          <w:i/>
          <w:sz w:val="24"/>
          <w:szCs w:val="24"/>
        </w:rPr>
        <w:t>Domain knowledge</w:t>
      </w:r>
    </w:p>
    <w:p w14:paraId="061E4C3E" w14:textId="77777777" w:rsidR="00DD1993" w:rsidRPr="00DD1993" w:rsidRDefault="00DD1993" w:rsidP="00DD1993">
      <w:pPr>
        <w:spacing w:after="0" w:line="480" w:lineRule="auto"/>
        <w:ind w:firstLine="720"/>
        <w:jc w:val="both"/>
        <w:rPr>
          <w:rFonts w:ascii="Times New Roman" w:eastAsia="Calibri" w:hAnsi="Times New Roman" w:cs="Times New Roman"/>
          <w:sz w:val="24"/>
          <w:szCs w:val="24"/>
        </w:rPr>
      </w:pPr>
      <w:r w:rsidRPr="00DD1993">
        <w:rPr>
          <w:rFonts w:ascii="Times New Roman" w:eastAsia="Calibri" w:hAnsi="Times New Roman" w:cs="Times New Roman"/>
          <w:sz w:val="24"/>
          <w:szCs w:val="24"/>
        </w:rPr>
        <w:t xml:space="preserve">Managers are involved in a lot of duties when working with the community. It is their role to understand the gap and resources them. To effectively engage the community, the manager should understand the roles of the community, their information about the topic, and what to take into considerations (Sony and </w:t>
      </w:r>
      <w:proofErr w:type="spellStart"/>
      <w:r w:rsidRPr="00DD1993">
        <w:rPr>
          <w:rFonts w:ascii="Times New Roman" w:eastAsia="Calibri" w:hAnsi="Times New Roman" w:cs="Times New Roman"/>
          <w:sz w:val="24"/>
          <w:szCs w:val="24"/>
        </w:rPr>
        <w:t>Mekoth</w:t>
      </w:r>
      <w:proofErr w:type="spellEnd"/>
      <w:r w:rsidRPr="00DD1993">
        <w:rPr>
          <w:rFonts w:ascii="Times New Roman" w:eastAsia="Calibri" w:hAnsi="Times New Roman" w:cs="Times New Roman"/>
          <w:sz w:val="24"/>
          <w:szCs w:val="24"/>
        </w:rPr>
        <w:t xml:space="preserve">, 2017). Involving the community feedback in the organization's objectives requires knowledge from the managers. </w:t>
      </w:r>
      <w:proofErr w:type="gramStart"/>
      <w:r w:rsidRPr="00DD1993">
        <w:rPr>
          <w:rFonts w:ascii="Times New Roman" w:eastAsia="Calibri" w:hAnsi="Times New Roman" w:cs="Times New Roman"/>
          <w:sz w:val="24"/>
          <w:szCs w:val="24"/>
        </w:rPr>
        <w:t>Red Cross in UK,</w:t>
      </w:r>
      <w:proofErr w:type="gramEnd"/>
      <w:r w:rsidRPr="00DD1993">
        <w:rPr>
          <w:rFonts w:ascii="Times New Roman" w:eastAsia="Calibri" w:hAnsi="Times New Roman" w:cs="Times New Roman"/>
          <w:sz w:val="24"/>
          <w:szCs w:val="24"/>
        </w:rPr>
        <w:t xml:space="preserve"> ensures that they implement the community resources. The organization uses the community resources such as blankets and clothes in addressing the needs of the refugees. While this may get hard for the </w:t>
      </w:r>
      <w:r w:rsidRPr="00DD1993">
        <w:rPr>
          <w:rFonts w:ascii="Times New Roman" w:eastAsia="Calibri" w:hAnsi="Times New Roman" w:cs="Times New Roman"/>
          <w:sz w:val="24"/>
          <w:szCs w:val="24"/>
        </w:rPr>
        <w:lastRenderedPageBreak/>
        <w:t xml:space="preserve">managers, domain knowledge helps ensure the needs of the refugees are addressed while the community and organization relationship </w:t>
      </w:r>
      <w:proofErr w:type="gramStart"/>
      <w:r w:rsidRPr="00DD1993">
        <w:rPr>
          <w:rFonts w:ascii="Times New Roman" w:eastAsia="Calibri" w:hAnsi="Times New Roman" w:cs="Times New Roman"/>
          <w:sz w:val="24"/>
          <w:szCs w:val="24"/>
        </w:rPr>
        <w:t>develops</w:t>
      </w:r>
      <w:proofErr w:type="gramEnd"/>
      <w:r w:rsidRPr="00DD1993">
        <w:rPr>
          <w:rFonts w:ascii="Times New Roman" w:eastAsia="Calibri" w:hAnsi="Times New Roman" w:cs="Times New Roman"/>
          <w:sz w:val="24"/>
          <w:szCs w:val="24"/>
        </w:rPr>
        <w:t xml:space="preserve">. </w:t>
      </w:r>
    </w:p>
    <w:p w14:paraId="535FA2FD" w14:textId="77777777" w:rsidR="00DD1993" w:rsidRPr="00DD1993" w:rsidRDefault="00DD1993" w:rsidP="00DD1993">
      <w:pPr>
        <w:spacing w:after="0" w:line="480" w:lineRule="auto"/>
        <w:jc w:val="both"/>
        <w:rPr>
          <w:rFonts w:ascii="Times New Roman" w:eastAsia="Calibri" w:hAnsi="Times New Roman" w:cs="Times New Roman"/>
          <w:i/>
          <w:sz w:val="24"/>
          <w:szCs w:val="24"/>
        </w:rPr>
      </w:pPr>
      <w:r w:rsidRPr="00DD1993">
        <w:rPr>
          <w:rFonts w:ascii="Times New Roman" w:eastAsia="Calibri" w:hAnsi="Times New Roman" w:cs="Times New Roman"/>
          <w:i/>
          <w:sz w:val="24"/>
          <w:szCs w:val="24"/>
        </w:rPr>
        <w:t xml:space="preserve">Decision making </w:t>
      </w:r>
    </w:p>
    <w:p w14:paraId="16FCB428" w14:textId="77777777" w:rsidR="00DD1993" w:rsidRPr="00DD1993" w:rsidRDefault="00DD1993" w:rsidP="00DD1993">
      <w:pPr>
        <w:spacing w:after="0" w:line="480" w:lineRule="auto"/>
        <w:ind w:firstLine="720"/>
        <w:jc w:val="both"/>
        <w:rPr>
          <w:rFonts w:ascii="Times New Roman" w:eastAsia="Calibri" w:hAnsi="Times New Roman" w:cs="Times New Roman"/>
          <w:sz w:val="24"/>
          <w:szCs w:val="24"/>
        </w:rPr>
      </w:pPr>
      <w:r w:rsidRPr="00DD1993">
        <w:rPr>
          <w:rFonts w:ascii="Times New Roman" w:eastAsia="Calibri" w:hAnsi="Times New Roman" w:cs="Times New Roman"/>
          <w:sz w:val="24"/>
          <w:szCs w:val="24"/>
        </w:rPr>
        <w:t xml:space="preserve">Decision-making skills are most instrumental when working with different people from different families. It is a process which involves making choice form diverse decision, collecting information and resolutions. Decision-making helps make a deliberate decision and define the alternatives. As the manager, there is a different decision, which requires assessing. </w:t>
      </w:r>
      <w:proofErr w:type="gramStart"/>
      <w:r w:rsidRPr="00DD1993">
        <w:rPr>
          <w:rFonts w:ascii="Times New Roman" w:eastAsia="Calibri" w:hAnsi="Times New Roman" w:cs="Times New Roman"/>
          <w:sz w:val="24"/>
          <w:szCs w:val="24"/>
        </w:rPr>
        <w:t>Therefore</w:t>
      </w:r>
      <w:proofErr w:type="gramEnd"/>
      <w:r w:rsidRPr="00DD1993">
        <w:rPr>
          <w:rFonts w:ascii="Times New Roman" w:eastAsia="Calibri" w:hAnsi="Times New Roman" w:cs="Times New Roman"/>
          <w:sz w:val="24"/>
          <w:szCs w:val="24"/>
        </w:rPr>
        <w:t xml:space="preserve"> to effectively address the decision, one has to evaluate the possible alternatives. Coming up with a decision as an organization involves choosing a choice from multiple choices that turns others. Therefore, as a manager, one should develop a framework that helps identify the best choices. When working with the community, the manager should understand the organization's needs without harming the community's intentions (</w:t>
      </w:r>
      <w:proofErr w:type="spellStart"/>
      <w:r w:rsidRPr="00DD1993">
        <w:rPr>
          <w:rFonts w:ascii="Times New Roman" w:eastAsia="Calibri" w:hAnsi="Times New Roman" w:cs="Times New Roman"/>
          <w:sz w:val="24"/>
          <w:szCs w:val="24"/>
        </w:rPr>
        <w:t>Thabet</w:t>
      </w:r>
      <w:proofErr w:type="spellEnd"/>
      <w:r w:rsidRPr="00DD1993">
        <w:rPr>
          <w:rFonts w:ascii="Times New Roman" w:eastAsia="Calibri" w:hAnsi="Times New Roman" w:cs="Times New Roman"/>
          <w:sz w:val="24"/>
          <w:szCs w:val="24"/>
        </w:rPr>
        <w:t xml:space="preserve"> et al., 2017).  Red Cross UK has developed different strategies which are the best choices to address the issues of the refugees. Some of the initiatives to address the issues included campaigns to fight racism and community assistance in donating clothes, food, and shelters.     </w:t>
      </w:r>
    </w:p>
    <w:p w14:paraId="779819C0" w14:textId="77777777" w:rsidR="00DD1993" w:rsidRPr="00DD1993" w:rsidRDefault="00DD1993" w:rsidP="00DD1993">
      <w:pPr>
        <w:spacing w:after="0" w:line="480" w:lineRule="auto"/>
        <w:jc w:val="both"/>
        <w:rPr>
          <w:rFonts w:ascii="Times New Roman" w:eastAsia="Calibri" w:hAnsi="Times New Roman" w:cs="Times New Roman"/>
          <w:sz w:val="24"/>
          <w:szCs w:val="24"/>
        </w:rPr>
      </w:pPr>
      <w:r w:rsidRPr="00DD1993">
        <w:rPr>
          <w:rFonts w:ascii="Times New Roman" w:eastAsia="Calibri" w:hAnsi="Times New Roman" w:cs="Times New Roman"/>
          <w:sz w:val="24"/>
          <w:szCs w:val="24"/>
        </w:rPr>
        <w:t xml:space="preserve">       In conclusion, the community plays a vital role in ensuring the success of the organization. This can be identified in the Red Cross UK organization, which uses the community to help address its objectives. The organization has held the community-organization engagement, and it is through the community that Red Cross UK has diverse its boundaries to helping the immigrants settle. One of the </w:t>
      </w:r>
      <w:proofErr w:type="gramStart"/>
      <w:r w:rsidRPr="00DD1993">
        <w:rPr>
          <w:rFonts w:ascii="Times New Roman" w:eastAsia="Calibri" w:hAnsi="Times New Roman" w:cs="Times New Roman"/>
          <w:sz w:val="24"/>
          <w:szCs w:val="24"/>
        </w:rPr>
        <w:t>community</w:t>
      </w:r>
      <w:proofErr w:type="gramEnd"/>
      <w:r w:rsidRPr="00DD1993">
        <w:rPr>
          <w:rFonts w:ascii="Times New Roman" w:eastAsia="Calibri" w:hAnsi="Times New Roman" w:cs="Times New Roman"/>
          <w:sz w:val="24"/>
          <w:szCs w:val="24"/>
        </w:rPr>
        <w:t xml:space="preserve"> helps include donations; the organization has developed a strategy that allows the community to donate food, cloth and help the immigrants with shelters. Also, the organization has gone further to fight racism when addressing immigrants and refugee needs. Through community engagement reflection, different skills, including listening, collaborations, </w:t>
      </w:r>
      <w:r w:rsidRPr="00DD1993">
        <w:rPr>
          <w:rFonts w:ascii="Times New Roman" w:eastAsia="Calibri" w:hAnsi="Times New Roman" w:cs="Times New Roman"/>
          <w:sz w:val="24"/>
          <w:szCs w:val="24"/>
        </w:rPr>
        <w:lastRenderedPageBreak/>
        <w:t xml:space="preserve">member advocacy, and decision-making, have been developed. The developed skills and knowledge will play an integral part in increase the chances of my workability. Also, to ensure a good community engagement, the organization should employ different approaches; these are limited to instructing the community, addressing their interests, communications, and ensuring and partnering with their leaders.  </w:t>
      </w:r>
    </w:p>
    <w:p w14:paraId="2120D5EF" w14:textId="77777777" w:rsidR="00DD1993" w:rsidRPr="00DD1993" w:rsidRDefault="00DD1993" w:rsidP="00DD1993">
      <w:pPr>
        <w:spacing w:after="0" w:line="480" w:lineRule="auto"/>
        <w:jc w:val="both"/>
        <w:rPr>
          <w:rFonts w:ascii="Times New Roman" w:eastAsia="Calibri" w:hAnsi="Times New Roman" w:cs="Times New Roman"/>
          <w:sz w:val="24"/>
          <w:szCs w:val="24"/>
        </w:rPr>
      </w:pPr>
      <w:r w:rsidRPr="00DD1993">
        <w:rPr>
          <w:rFonts w:ascii="Times New Roman" w:eastAsia="Calibri" w:hAnsi="Times New Roman" w:cs="Times New Roman"/>
          <w:sz w:val="24"/>
          <w:szCs w:val="24"/>
        </w:rPr>
        <w:t xml:space="preserve">   </w:t>
      </w:r>
    </w:p>
    <w:p w14:paraId="03BBFCFB" w14:textId="77777777" w:rsidR="00DD1993" w:rsidRPr="00DD1993" w:rsidRDefault="00DD1993" w:rsidP="00DD1993">
      <w:pPr>
        <w:spacing w:after="0" w:line="480" w:lineRule="auto"/>
        <w:jc w:val="both"/>
        <w:rPr>
          <w:rFonts w:ascii="Times New Roman" w:eastAsia="Calibri" w:hAnsi="Times New Roman" w:cs="Times New Roman"/>
          <w:sz w:val="24"/>
          <w:szCs w:val="24"/>
        </w:rPr>
      </w:pPr>
      <w:r w:rsidRPr="00DD1993">
        <w:rPr>
          <w:rFonts w:ascii="Times New Roman" w:eastAsia="Calibri" w:hAnsi="Times New Roman" w:cs="Times New Roman"/>
          <w:sz w:val="24"/>
          <w:szCs w:val="24"/>
        </w:rPr>
        <w:br w:type="page"/>
      </w:r>
    </w:p>
    <w:p w14:paraId="5DE4E3C7" w14:textId="77777777" w:rsidR="00DD1993" w:rsidRPr="00DD1993" w:rsidRDefault="00DD1993" w:rsidP="00DD1993">
      <w:pPr>
        <w:spacing w:after="0" w:line="480" w:lineRule="auto"/>
        <w:ind w:left="720" w:hanging="720"/>
        <w:jc w:val="center"/>
        <w:rPr>
          <w:rFonts w:ascii="Arial Black" w:eastAsia="Calibri" w:hAnsi="Arial Black" w:cs="Times New Roman"/>
          <w:b/>
          <w:bCs/>
          <w:sz w:val="28"/>
          <w:szCs w:val="28"/>
          <w:u w:val="single"/>
        </w:rPr>
      </w:pPr>
      <w:r w:rsidRPr="00DD1993">
        <w:rPr>
          <w:rFonts w:ascii="Arial Black" w:eastAsia="Calibri" w:hAnsi="Arial Black" w:cs="Times New Roman"/>
          <w:b/>
          <w:bCs/>
          <w:sz w:val="28"/>
          <w:szCs w:val="28"/>
          <w:u w:val="single"/>
        </w:rPr>
        <w:lastRenderedPageBreak/>
        <w:t>References</w:t>
      </w:r>
    </w:p>
    <w:p w14:paraId="310324C8" w14:textId="77777777" w:rsidR="00DD1993" w:rsidRPr="00DD1993" w:rsidRDefault="00DD1993" w:rsidP="00DD1993">
      <w:pPr>
        <w:pStyle w:val="ListParagraph"/>
        <w:numPr>
          <w:ilvl w:val="0"/>
          <w:numId w:val="1"/>
        </w:numPr>
        <w:spacing w:after="0" w:line="480" w:lineRule="auto"/>
        <w:jc w:val="both"/>
        <w:rPr>
          <w:rFonts w:ascii="Times New Roman" w:eastAsia="Calibri" w:hAnsi="Times New Roman" w:cs="Times New Roman"/>
          <w:sz w:val="24"/>
          <w:szCs w:val="24"/>
        </w:rPr>
      </w:pPr>
      <w:r w:rsidRPr="00DD1993">
        <w:rPr>
          <w:rFonts w:ascii="Times New Roman" w:eastAsia="Calibri" w:hAnsi="Times New Roman" w:cs="Times New Roman"/>
          <w:sz w:val="24"/>
          <w:szCs w:val="24"/>
        </w:rPr>
        <w:t xml:space="preserve">Corbett, E. and Le </w:t>
      </w:r>
      <w:proofErr w:type="spellStart"/>
      <w:r w:rsidRPr="00DD1993">
        <w:rPr>
          <w:rFonts w:ascii="Times New Roman" w:eastAsia="Calibri" w:hAnsi="Times New Roman" w:cs="Times New Roman"/>
          <w:sz w:val="24"/>
          <w:szCs w:val="24"/>
        </w:rPr>
        <w:t>Dantec</w:t>
      </w:r>
      <w:proofErr w:type="spellEnd"/>
      <w:r w:rsidRPr="00DD1993">
        <w:rPr>
          <w:rFonts w:ascii="Times New Roman" w:eastAsia="Calibri" w:hAnsi="Times New Roman" w:cs="Times New Roman"/>
          <w:sz w:val="24"/>
          <w:szCs w:val="24"/>
        </w:rPr>
        <w:t>, C.A., 2018, April. The problem of community engagement: Disentangling the practices of municipal government. In </w:t>
      </w:r>
      <w:r w:rsidRPr="00DD1993">
        <w:rPr>
          <w:rFonts w:ascii="Times New Roman" w:eastAsia="Calibri" w:hAnsi="Times New Roman" w:cs="Times New Roman"/>
          <w:i/>
          <w:iCs/>
          <w:sz w:val="24"/>
          <w:szCs w:val="24"/>
        </w:rPr>
        <w:t>Proceedings of the 2018 CHI conference on human factors in computing systems</w:t>
      </w:r>
      <w:r w:rsidRPr="00DD1993">
        <w:rPr>
          <w:rFonts w:ascii="Times New Roman" w:eastAsia="Calibri" w:hAnsi="Times New Roman" w:cs="Times New Roman"/>
          <w:sz w:val="24"/>
          <w:szCs w:val="24"/>
        </w:rPr>
        <w:t> (pp. 1-13).</w:t>
      </w:r>
    </w:p>
    <w:p w14:paraId="60A6DE2D" w14:textId="77777777" w:rsidR="00DD1993" w:rsidRPr="00DD1993" w:rsidRDefault="00DD1993" w:rsidP="00DD1993">
      <w:pPr>
        <w:pStyle w:val="ListParagraph"/>
        <w:numPr>
          <w:ilvl w:val="0"/>
          <w:numId w:val="1"/>
        </w:numPr>
        <w:spacing w:after="0" w:line="480" w:lineRule="auto"/>
        <w:jc w:val="both"/>
        <w:rPr>
          <w:rFonts w:ascii="Times New Roman" w:eastAsia="Calibri" w:hAnsi="Times New Roman" w:cs="Times New Roman"/>
          <w:sz w:val="24"/>
          <w:szCs w:val="24"/>
        </w:rPr>
      </w:pPr>
      <w:r w:rsidRPr="00DD1993">
        <w:rPr>
          <w:rFonts w:ascii="Times New Roman" w:eastAsia="Calibri" w:hAnsi="Times New Roman" w:cs="Times New Roman"/>
          <w:sz w:val="24"/>
          <w:szCs w:val="24"/>
        </w:rPr>
        <w:t>David-Chavez, D.M. and Gavin, M.C., 2018. A global assessment of Indigenous community engagement in climate research. </w:t>
      </w:r>
      <w:r w:rsidRPr="00DD1993">
        <w:rPr>
          <w:rFonts w:ascii="Times New Roman" w:eastAsia="Calibri" w:hAnsi="Times New Roman" w:cs="Times New Roman"/>
          <w:i/>
          <w:iCs/>
          <w:sz w:val="24"/>
          <w:szCs w:val="24"/>
        </w:rPr>
        <w:t>Environmental Research Letters</w:t>
      </w:r>
      <w:r w:rsidRPr="00DD1993">
        <w:rPr>
          <w:rFonts w:ascii="Times New Roman" w:eastAsia="Calibri" w:hAnsi="Times New Roman" w:cs="Times New Roman"/>
          <w:sz w:val="24"/>
          <w:szCs w:val="24"/>
        </w:rPr>
        <w:t>, </w:t>
      </w:r>
      <w:r w:rsidRPr="00DD1993">
        <w:rPr>
          <w:rFonts w:ascii="Times New Roman" w:eastAsia="Calibri" w:hAnsi="Times New Roman" w:cs="Times New Roman"/>
          <w:i/>
          <w:iCs/>
          <w:sz w:val="24"/>
          <w:szCs w:val="24"/>
        </w:rPr>
        <w:t>13</w:t>
      </w:r>
      <w:r w:rsidRPr="00DD1993">
        <w:rPr>
          <w:rFonts w:ascii="Times New Roman" w:eastAsia="Calibri" w:hAnsi="Times New Roman" w:cs="Times New Roman"/>
          <w:sz w:val="24"/>
          <w:szCs w:val="24"/>
        </w:rPr>
        <w:t xml:space="preserve">(12), p.123005.  </w:t>
      </w:r>
    </w:p>
    <w:p w14:paraId="7CA65629" w14:textId="2854A362" w:rsidR="00DD1993" w:rsidRPr="00DD1993" w:rsidRDefault="00DD1993" w:rsidP="00DD1993">
      <w:pPr>
        <w:pStyle w:val="ListParagraph"/>
        <w:numPr>
          <w:ilvl w:val="0"/>
          <w:numId w:val="1"/>
        </w:numPr>
        <w:spacing w:after="0" w:line="480" w:lineRule="auto"/>
        <w:jc w:val="both"/>
        <w:rPr>
          <w:rFonts w:ascii="Times New Roman" w:eastAsia="Calibri" w:hAnsi="Times New Roman" w:cs="Times New Roman"/>
          <w:sz w:val="24"/>
          <w:szCs w:val="24"/>
        </w:rPr>
      </w:pPr>
      <w:r w:rsidRPr="00DD1993">
        <w:rPr>
          <w:rFonts w:ascii="Times New Roman" w:eastAsia="Calibri" w:hAnsi="Times New Roman" w:cs="Times New Roman"/>
          <w:sz w:val="24"/>
          <w:szCs w:val="24"/>
        </w:rPr>
        <w:t xml:space="preserve">Firestone, J., </w:t>
      </w:r>
      <w:proofErr w:type="spellStart"/>
      <w:r w:rsidRPr="00DD1993">
        <w:rPr>
          <w:rFonts w:ascii="Times New Roman" w:eastAsia="Calibri" w:hAnsi="Times New Roman" w:cs="Times New Roman"/>
          <w:sz w:val="24"/>
          <w:szCs w:val="24"/>
        </w:rPr>
        <w:t>Hoen</w:t>
      </w:r>
      <w:proofErr w:type="spellEnd"/>
      <w:r w:rsidRPr="00DD1993">
        <w:rPr>
          <w:rFonts w:ascii="Times New Roman" w:eastAsia="Calibri" w:hAnsi="Times New Roman" w:cs="Times New Roman"/>
          <w:sz w:val="24"/>
          <w:szCs w:val="24"/>
        </w:rPr>
        <w:t xml:space="preserve">, B., Rand, J., Elliott, D., </w:t>
      </w:r>
      <w:proofErr w:type="spellStart"/>
      <w:r w:rsidRPr="00DD1993">
        <w:rPr>
          <w:rFonts w:ascii="Times New Roman" w:eastAsia="Calibri" w:hAnsi="Times New Roman" w:cs="Times New Roman"/>
          <w:sz w:val="24"/>
          <w:szCs w:val="24"/>
        </w:rPr>
        <w:t>Hübner</w:t>
      </w:r>
      <w:proofErr w:type="spellEnd"/>
      <w:r w:rsidRPr="00DD1993">
        <w:rPr>
          <w:rFonts w:ascii="Times New Roman" w:eastAsia="Calibri" w:hAnsi="Times New Roman" w:cs="Times New Roman"/>
          <w:sz w:val="24"/>
          <w:szCs w:val="24"/>
        </w:rPr>
        <w:t>, G. and Pohl, J., 2018. Reconsidering barriers to wind power projects: community engagement, developer transparency and place. </w:t>
      </w:r>
      <w:r w:rsidRPr="00DD1993">
        <w:rPr>
          <w:rFonts w:ascii="Times New Roman" w:eastAsia="Calibri" w:hAnsi="Times New Roman" w:cs="Times New Roman"/>
          <w:i/>
          <w:iCs/>
          <w:sz w:val="24"/>
          <w:szCs w:val="24"/>
        </w:rPr>
        <w:t>Journal of environmental policy &amp; planning</w:t>
      </w:r>
      <w:r w:rsidRPr="00DD1993">
        <w:rPr>
          <w:rFonts w:ascii="Times New Roman" w:eastAsia="Calibri" w:hAnsi="Times New Roman" w:cs="Times New Roman"/>
          <w:sz w:val="24"/>
          <w:szCs w:val="24"/>
        </w:rPr>
        <w:t>, </w:t>
      </w:r>
      <w:r w:rsidRPr="00DD1993">
        <w:rPr>
          <w:rFonts w:ascii="Times New Roman" w:eastAsia="Calibri" w:hAnsi="Times New Roman" w:cs="Times New Roman"/>
          <w:i/>
          <w:iCs/>
          <w:sz w:val="24"/>
          <w:szCs w:val="24"/>
        </w:rPr>
        <w:t>20</w:t>
      </w:r>
      <w:r w:rsidRPr="00DD1993">
        <w:rPr>
          <w:rFonts w:ascii="Times New Roman" w:eastAsia="Calibri" w:hAnsi="Times New Roman" w:cs="Times New Roman"/>
          <w:sz w:val="24"/>
          <w:szCs w:val="24"/>
        </w:rPr>
        <w:t>(3), pp.370-386.</w:t>
      </w:r>
    </w:p>
    <w:p w14:paraId="14445FBA" w14:textId="77777777" w:rsidR="00DD1993" w:rsidRPr="00DD1993" w:rsidRDefault="00DD1993" w:rsidP="00DD1993">
      <w:pPr>
        <w:pStyle w:val="ListParagraph"/>
        <w:numPr>
          <w:ilvl w:val="0"/>
          <w:numId w:val="1"/>
        </w:numPr>
        <w:spacing w:after="0" w:line="480" w:lineRule="auto"/>
        <w:jc w:val="both"/>
        <w:rPr>
          <w:rFonts w:ascii="Times New Roman" w:eastAsia="Calibri" w:hAnsi="Times New Roman" w:cs="Times New Roman"/>
          <w:sz w:val="24"/>
          <w:szCs w:val="24"/>
        </w:rPr>
      </w:pPr>
      <w:r w:rsidRPr="00DD1993">
        <w:rPr>
          <w:rFonts w:ascii="Times New Roman" w:eastAsia="Calibri" w:hAnsi="Times New Roman" w:cs="Times New Roman"/>
          <w:sz w:val="24"/>
          <w:szCs w:val="24"/>
        </w:rPr>
        <w:t>Hassan, M.M., Bashir, S. and Abbas, S.M., 2017. The impact of project managers’ personality on project success in NGOs: The mediating role of transformational leadership. </w:t>
      </w:r>
      <w:r w:rsidRPr="00DD1993">
        <w:rPr>
          <w:rFonts w:ascii="Times New Roman" w:eastAsia="Calibri" w:hAnsi="Times New Roman" w:cs="Times New Roman"/>
          <w:i/>
          <w:iCs/>
          <w:sz w:val="24"/>
          <w:szCs w:val="24"/>
        </w:rPr>
        <w:t>Project Management Journal</w:t>
      </w:r>
      <w:r w:rsidRPr="00DD1993">
        <w:rPr>
          <w:rFonts w:ascii="Times New Roman" w:eastAsia="Calibri" w:hAnsi="Times New Roman" w:cs="Times New Roman"/>
          <w:sz w:val="24"/>
          <w:szCs w:val="24"/>
        </w:rPr>
        <w:t>, </w:t>
      </w:r>
      <w:r w:rsidRPr="00DD1993">
        <w:rPr>
          <w:rFonts w:ascii="Times New Roman" w:eastAsia="Calibri" w:hAnsi="Times New Roman" w:cs="Times New Roman"/>
          <w:i/>
          <w:iCs/>
          <w:sz w:val="24"/>
          <w:szCs w:val="24"/>
        </w:rPr>
        <w:t>48</w:t>
      </w:r>
      <w:r w:rsidRPr="00DD1993">
        <w:rPr>
          <w:rFonts w:ascii="Times New Roman" w:eastAsia="Calibri" w:hAnsi="Times New Roman" w:cs="Times New Roman"/>
          <w:sz w:val="24"/>
          <w:szCs w:val="24"/>
        </w:rPr>
        <w:t>(2), pp.74-87.</w:t>
      </w:r>
    </w:p>
    <w:p w14:paraId="1E192DBA" w14:textId="77777777" w:rsidR="00DD1993" w:rsidRPr="00DD1993" w:rsidRDefault="00DD1993" w:rsidP="00DD1993">
      <w:pPr>
        <w:pStyle w:val="ListParagraph"/>
        <w:numPr>
          <w:ilvl w:val="0"/>
          <w:numId w:val="1"/>
        </w:numPr>
        <w:spacing w:after="0" w:line="480" w:lineRule="auto"/>
        <w:jc w:val="both"/>
        <w:rPr>
          <w:rFonts w:ascii="Times New Roman" w:eastAsia="Calibri" w:hAnsi="Times New Roman" w:cs="Times New Roman"/>
          <w:sz w:val="24"/>
          <w:szCs w:val="24"/>
        </w:rPr>
      </w:pPr>
      <w:proofErr w:type="spellStart"/>
      <w:r w:rsidRPr="00DD1993">
        <w:rPr>
          <w:rFonts w:ascii="Times New Roman" w:eastAsia="Calibri" w:hAnsi="Times New Roman" w:cs="Times New Roman"/>
          <w:sz w:val="24"/>
          <w:szCs w:val="24"/>
        </w:rPr>
        <w:t>Hollebeek</w:t>
      </w:r>
      <w:proofErr w:type="spellEnd"/>
      <w:r w:rsidRPr="00DD1993">
        <w:rPr>
          <w:rFonts w:ascii="Times New Roman" w:eastAsia="Calibri" w:hAnsi="Times New Roman" w:cs="Times New Roman"/>
          <w:sz w:val="24"/>
          <w:szCs w:val="24"/>
        </w:rPr>
        <w:t xml:space="preserve">, L.D., </w:t>
      </w:r>
      <w:proofErr w:type="spellStart"/>
      <w:r w:rsidRPr="00DD1993">
        <w:rPr>
          <w:rFonts w:ascii="Times New Roman" w:eastAsia="Calibri" w:hAnsi="Times New Roman" w:cs="Times New Roman"/>
          <w:sz w:val="24"/>
          <w:szCs w:val="24"/>
        </w:rPr>
        <w:t>Juric</w:t>
      </w:r>
      <w:proofErr w:type="spellEnd"/>
      <w:r w:rsidRPr="00DD1993">
        <w:rPr>
          <w:rFonts w:ascii="Times New Roman" w:eastAsia="Calibri" w:hAnsi="Times New Roman" w:cs="Times New Roman"/>
          <w:sz w:val="24"/>
          <w:szCs w:val="24"/>
        </w:rPr>
        <w:t>, B. and Tang, W., 2017. Virtual brand community engagement practices: a refined typology and model. </w:t>
      </w:r>
      <w:r w:rsidRPr="00DD1993">
        <w:rPr>
          <w:rFonts w:ascii="Times New Roman" w:eastAsia="Calibri" w:hAnsi="Times New Roman" w:cs="Times New Roman"/>
          <w:i/>
          <w:iCs/>
          <w:sz w:val="24"/>
          <w:szCs w:val="24"/>
        </w:rPr>
        <w:t>Journal of Services Marketing</w:t>
      </w:r>
      <w:r w:rsidRPr="00DD1993">
        <w:rPr>
          <w:rFonts w:ascii="Times New Roman" w:eastAsia="Calibri" w:hAnsi="Times New Roman" w:cs="Times New Roman"/>
          <w:sz w:val="24"/>
          <w:szCs w:val="24"/>
        </w:rPr>
        <w:t>.</w:t>
      </w:r>
    </w:p>
    <w:p w14:paraId="46FBF32A" w14:textId="77777777" w:rsidR="00DD1993" w:rsidRPr="00DD1993" w:rsidRDefault="00DD1993" w:rsidP="00DD1993">
      <w:pPr>
        <w:pStyle w:val="ListParagraph"/>
        <w:numPr>
          <w:ilvl w:val="0"/>
          <w:numId w:val="1"/>
        </w:numPr>
        <w:spacing w:after="0" w:line="480" w:lineRule="auto"/>
        <w:jc w:val="both"/>
        <w:rPr>
          <w:rFonts w:ascii="Times New Roman" w:eastAsia="Calibri" w:hAnsi="Times New Roman" w:cs="Times New Roman"/>
          <w:sz w:val="24"/>
          <w:szCs w:val="24"/>
        </w:rPr>
      </w:pPr>
      <w:r w:rsidRPr="00DD1993">
        <w:rPr>
          <w:rFonts w:ascii="Times New Roman" w:eastAsia="Calibri" w:hAnsi="Times New Roman" w:cs="Times New Roman"/>
          <w:sz w:val="24"/>
          <w:szCs w:val="24"/>
        </w:rPr>
        <w:t>Pedi, D., Gillespie, A., Bedson, J., Jalloh, M.F., Jalloh, M.B., Kamara, A., Bertram, K., Owen, K., Jalloh, M.A. and Conte, L., 2017. The development of standard operating procedures for social mobilization and community engagement in Sierra Leone during the West Africa Ebola outbreak of 2014–2015. </w:t>
      </w:r>
      <w:r w:rsidRPr="00DD1993">
        <w:rPr>
          <w:rFonts w:ascii="Times New Roman" w:eastAsia="Calibri" w:hAnsi="Times New Roman" w:cs="Times New Roman"/>
          <w:i/>
          <w:iCs/>
          <w:sz w:val="24"/>
          <w:szCs w:val="24"/>
        </w:rPr>
        <w:t>Journal of health communication</w:t>
      </w:r>
      <w:r w:rsidRPr="00DD1993">
        <w:rPr>
          <w:rFonts w:ascii="Times New Roman" w:eastAsia="Calibri" w:hAnsi="Times New Roman" w:cs="Times New Roman"/>
          <w:sz w:val="24"/>
          <w:szCs w:val="24"/>
        </w:rPr>
        <w:t>, </w:t>
      </w:r>
      <w:r w:rsidRPr="00DD1993">
        <w:rPr>
          <w:rFonts w:ascii="Times New Roman" w:eastAsia="Calibri" w:hAnsi="Times New Roman" w:cs="Times New Roman"/>
          <w:i/>
          <w:iCs/>
          <w:sz w:val="24"/>
          <w:szCs w:val="24"/>
        </w:rPr>
        <w:t>22</w:t>
      </w:r>
      <w:r w:rsidRPr="00DD1993">
        <w:rPr>
          <w:rFonts w:ascii="Times New Roman" w:eastAsia="Calibri" w:hAnsi="Times New Roman" w:cs="Times New Roman"/>
          <w:sz w:val="24"/>
          <w:szCs w:val="24"/>
        </w:rPr>
        <w:t>(sup1), pp.39-50.</w:t>
      </w:r>
    </w:p>
    <w:p w14:paraId="4AAC6DBF" w14:textId="77777777" w:rsidR="00DD1993" w:rsidRPr="00DD1993" w:rsidRDefault="00DD1993" w:rsidP="00DD1993">
      <w:pPr>
        <w:pStyle w:val="ListParagraph"/>
        <w:numPr>
          <w:ilvl w:val="0"/>
          <w:numId w:val="1"/>
        </w:numPr>
        <w:spacing w:after="0" w:line="480" w:lineRule="auto"/>
        <w:jc w:val="both"/>
        <w:rPr>
          <w:rFonts w:ascii="Times New Roman" w:eastAsia="Calibri" w:hAnsi="Times New Roman" w:cs="Times New Roman"/>
          <w:sz w:val="24"/>
          <w:szCs w:val="24"/>
        </w:rPr>
      </w:pPr>
      <w:r w:rsidRPr="00DD1993">
        <w:rPr>
          <w:rFonts w:ascii="Times New Roman" w:eastAsia="Calibri" w:hAnsi="Times New Roman" w:cs="Times New Roman"/>
          <w:sz w:val="24"/>
          <w:szCs w:val="24"/>
        </w:rPr>
        <w:t xml:space="preserve">Sony, M. and </w:t>
      </w:r>
      <w:proofErr w:type="spellStart"/>
      <w:r w:rsidRPr="00DD1993">
        <w:rPr>
          <w:rFonts w:ascii="Times New Roman" w:eastAsia="Calibri" w:hAnsi="Times New Roman" w:cs="Times New Roman"/>
          <w:sz w:val="24"/>
          <w:szCs w:val="24"/>
        </w:rPr>
        <w:t>Mekoth</w:t>
      </w:r>
      <w:proofErr w:type="spellEnd"/>
      <w:r w:rsidRPr="00DD1993">
        <w:rPr>
          <w:rFonts w:ascii="Times New Roman" w:eastAsia="Calibri" w:hAnsi="Times New Roman" w:cs="Times New Roman"/>
          <w:sz w:val="24"/>
          <w:szCs w:val="24"/>
        </w:rPr>
        <w:t>, N., 2017. Workplace spirituality, frontline employee adaptability and job outcomes: an empirical study. </w:t>
      </w:r>
      <w:r w:rsidRPr="00DD1993">
        <w:rPr>
          <w:rFonts w:ascii="Times New Roman" w:eastAsia="Calibri" w:hAnsi="Times New Roman" w:cs="Times New Roman"/>
          <w:i/>
          <w:iCs/>
          <w:sz w:val="24"/>
          <w:szCs w:val="24"/>
        </w:rPr>
        <w:t>International Journal of Process Management and Benchmarking</w:t>
      </w:r>
      <w:r w:rsidRPr="00DD1993">
        <w:rPr>
          <w:rFonts w:ascii="Times New Roman" w:eastAsia="Calibri" w:hAnsi="Times New Roman" w:cs="Times New Roman"/>
          <w:sz w:val="24"/>
          <w:szCs w:val="24"/>
        </w:rPr>
        <w:t>, </w:t>
      </w:r>
      <w:r w:rsidRPr="00DD1993">
        <w:rPr>
          <w:rFonts w:ascii="Times New Roman" w:eastAsia="Calibri" w:hAnsi="Times New Roman" w:cs="Times New Roman"/>
          <w:i/>
          <w:iCs/>
          <w:sz w:val="24"/>
          <w:szCs w:val="24"/>
        </w:rPr>
        <w:t>7</w:t>
      </w:r>
      <w:r w:rsidRPr="00DD1993">
        <w:rPr>
          <w:rFonts w:ascii="Times New Roman" w:eastAsia="Calibri" w:hAnsi="Times New Roman" w:cs="Times New Roman"/>
          <w:sz w:val="24"/>
          <w:szCs w:val="24"/>
        </w:rPr>
        <w:t>(4), pp.437-465.</w:t>
      </w:r>
    </w:p>
    <w:p w14:paraId="53FB09E8" w14:textId="77777777" w:rsidR="00DD1993" w:rsidRPr="00DD1993" w:rsidRDefault="00DD1993" w:rsidP="00DD1993">
      <w:pPr>
        <w:pStyle w:val="ListParagraph"/>
        <w:numPr>
          <w:ilvl w:val="0"/>
          <w:numId w:val="1"/>
        </w:numPr>
        <w:spacing w:after="0" w:line="480" w:lineRule="auto"/>
        <w:jc w:val="both"/>
        <w:rPr>
          <w:rFonts w:ascii="Times New Roman" w:eastAsia="Calibri" w:hAnsi="Times New Roman" w:cs="Times New Roman"/>
          <w:sz w:val="24"/>
          <w:szCs w:val="24"/>
        </w:rPr>
      </w:pPr>
      <w:proofErr w:type="spellStart"/>
      <w:r w:rsidRPr="00DD1993">
        <w:rPr>
          <w:rFonts w:ascii="Times New Roman" w:eastAsia="Calibri" w:hAnsi="Times New Roman" w:cs="Times New Roman"/>
          <w:sz w:val="24"/>
          <w:szCs w:val="24"/>
        </w:rPr>
        <w:lastRenderedPageBreak/>
        <w:t>Thabet</w:t>
      </w:r>
      <w:proofErr w:type="spellEnd"/>
      <w:r w:rsidRPr="00DD1993">
        <w:rPr>
          <w:rFonts w:ascii="Times New Roman" w:eastAsia="Calibri" w:hAnsi="Times New Roman" w:cs="Times New Roman"/>
          <w:sz w:val="24"/>
          <w:szCs w:val="24"/>
        </w:rPr>
        <w:t xml:space="preserve">, M., Taha, EELS, </w:t>
      </w:r>
      <w:proofErr w:type="spellStart"/>
      <w:r w:rsidRPr="00DD1993">
        <w:rPr>
          <w:rFonts w:ascii="Times New Roman" w:eastAsia="Calibri" w:hAnsi="Times New Roman" w:cs="Times New Roman"/>
          <w:sz w:val="24"/>
          <w:szCs w:val="24"/>
        </w:rPr>
        <w:t>Abood</w:t>
      </w:r>
      <w:proofErr w:type="spellEnd"/>
      <w:r w:rsidRPr="00DD1993">
        <w:rPr>
          <w:rFonts w:ascii="Times New Roman" w:eastAsia="Calibri" w:hAnsi="Times New Roman" w:cs="Times New Roman"/>
          <w:sz w:val="24"/>
          <w:szCs w:val="24"/>
        </w:rPr>
        <w:t xml:space="preserve">, S.A. and </w:t>
      </w:r>
      <w:proofErr w:type="spellStart"/>
      <w:r w:rsidRPr="00DD1993">
        <w:rPr>
          <w:rFonts w:ascii="Times New Roman" w:eastAsia="Calibri" w:hAnsi="Times New Roman" w:cs="Times New Roman"/>
          <w:sz w:val="24"/>
          <w:szCs w:val="24"/>
        </w:rPr>
        <w:t>Morsy</w:t>
      </w:r>
      <w:proofErr w:type="spellEnd"/>
      <w:r w:rsidRPr="00DD1993">
        <w:rPr>
          <w:rFonts w:ascii="Times New Roman" w:eastAsia="Calibri" w:hAnsi="Times New Roman" w:cs="Times New Roman"/>
          <w:sz w:val="24"/>
          <w:szCs w:val="24"/>
        </w:rPr>
        <w:t xml:space="preserve">, S., 2017. The effect of problem-based learning on nursing students’ </w:t>
      </w:r>
      <w:proofErr w:type="gramStart"/>
      <w:r w:rsidRPr="00DD1993">
        <w:rPr>
          <w:rFonts w:ascii="Times New Roman" w:eastAsia="Calibri" w:hAnsi="Times New Roman" w:cs="Times New Roman"/>
          <w:sz w:val="24"/>
          <w:szCs w:val="24"/>
        </w:rPr>
        <w:t>decision making</w:t>
      </w:r>
      <w:proofErr w:type="gramEnd"/>
      <w:r w:rsidRPr="00DD1993">
        <w:rPr>
          <w:rFonts w:ascii="Times New Roman" w:eastAsia="Calibri" w:hAnsi="Times New Roman" w:cs="Times New Roman"/>
          <w:sz w:val="24"/>
          <w:szCs w:val="24"/>
        </w:rPr>
        <w:t xml:space="preserve"> skills and styles. </w:t>
      </w:r>
      <w:r w:rsidRPr="00DD1993">
        <w:rPr>
          <w:rFonts w:ascii="Times New Roman" w:eastAsia="Calibri" w:hAnsi="Times New Roman" w:cs="Times New Roman"/>
          <w:i/>
          <w:iCs/>
          <w:sz w:val="24"/>
          <w:szCs w:val="24"/>
        </w:rPr>
        <w:t>Journal of Nursing Education and Practice</w:t>
      </w:r>
      <w:r w:rsidRPr="00DD1993">
        <w:rPr>
          <w:rFonts w:ascii="Times New Roman" w:eastAsia="Calibri" w:hAnsi="Times New Roman" w:cs="Times New Roman"/>
          <w:sz w:val="24"/>
          <w:szCs w:val="24"/>
        </w:rPr>
        <w:t>, </w:t>
      </w:r>
      <w:r w:rsidRPr="00DD1993">
        <w:rPr>
          <w:rFonts w:ascii="Times New Roman" w:eastAsia="Calibri" w:hAnsi="Times New Roman" w:cs="Times New Roman"/>
          <w:i/>
          <w:iCs/>
          <w:sz w:val="24"/>
          <w:szCs w:val="24"/>
        </w:rPr>
        <w:t>7</w:t>
      </w:r>
      <w:r w:rsidRPr="00DD1993">
        <w:rPr>
          <w:rFonts w:ascii="Times New Roman" w:eastAsia="Calibri" w:hAnsi="Times New Roman" w:cs="Times New Roman"/>
          <w:sz w:val="24"/>
          <w:szCs w:val="24"/>
        </w:rPr>
        <w:t>(6), pp.108-116.</w:t>
      </w:r>
    </w:p>
    <w:p w14:paraId="60B7FB18" w14:textId="77777777" w:rsidR="00DD1993" w:rsidRPr="00DD1993" w:rsidRDefault="00DD1993" w:rsidP="00DD1993">
      <w:pPr>
        <w:pStyle w:val="ListParagraph"/>
        <w:numPr>
          <w:ilvl w:val="0"/>
          <w:numId w:val="1"/>
        </w:numPr>
        <w:spacing w:after="0" w:line="480" w:lineRule="auto"/>
        <w:jc w:val="both"/>
        <w:rPr>
          <w:rFonts w:ascii="Times New Roman" w:eastAsia="Calibri" w:hAnsi="Times New Roman" w:cs="Times New Roman"/>
          <w:sz w:val="24"/>
          <w:szCs w:val="24"/>
        </w:rPr>
      </w:pPr>
      <w:r w:rsidRPr="00DD1993">
        <w:rPr>
          <w:rFonts w:ascii="Times New Roman" w:eastAsia="Calibri" w:hAnsi="Times New Roman" w:cs="Times New Roman"/>
          <w:sz w:val="24"/>
          <w:szCs w:val="24"/>
        </w:rPr>
        <w:t>Tseng, H., Yi, X. and Yeh, H.T., 2019. Learning-related soft skills among online business students in higher education: Grade level and managerial role differences in self-regulation, motivation, and social skill. </w:t>
      </w:r>
      <w:r w:rsidRPr="00DD1993">
        <w:rPr>
          <w:rFonts w:ascii="Times New Roman" w:eastAsia="Calibri" w:hAnsi="Times New Roman" w:cs="Times New Roman"/>
          <w:i/>
          <w:iCs/>
          <w:sz w:val="24"/>
          <w:szCs w:val="24"/>
        </w:rPr>
        <w:t>Computers in Human Behavior</w:t>
      </w:r>
      <w:r w:rsidRPr="00DD1993">
        <w:rPr>
          <w:rFonts w:ascii="Times New Roman" w:eastAsia="Calibri" w:hAnsi="Times New Roman" w:cs="Times New Roman"/>
          <w:sz w:val="24"/>
          <w:szCs w:val="24"/>
        </w:rPr>
        <w:t>, </w:t>
      </w:r>
      <w:r w:rsidRPr="00DD1993">
        <w:rPr>
          <w:rFonts w:ascii="Times New Roman" w:eastAsia="Calibri" w:hAnsi="Times New Roman" w:cs="Times New Roman"/>
          <w:i/>
          <w:iCs/>
          <w:sz w:val="24"/>
          <w:szCs w:val="24"/>
        </w:rPr>
        <w:t>95</w:t>
      </w:r>
      <w:r w:rsidRPr="00DD1993">
        <w:rPr>
          <w:rFonts w:ascii="Times New Roman" w:eastAsia="Calibri" w:hAnsi="Times New Roman" w:cs="Times New Roman"/>
          <w:sz w:val="24"/>
          <w:szCs w:val="24"/>
        </w:rPr>
        <w:t>, pp.179-186.</w:t>
      </w:r>
    </w:p>
    <w:p w14:paraId="7B53A9ED" w14:textId="77777777" w:rsidR="009B6DC2" w:rsidRDefault="009B6DC2"/>
    <w:sectPr w:rsidR="009B6DC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Black">
    <w:panose1 w:val="020B0A04020102020204"/>
    <w:charset w:val="00"/>
    <w:family w:val="swiss"/>
    <w:pitch w:val="variable"/>
    <w:sig w:usb0="A00002AF" w:usb1="400078FB" w:usb2="00000000" w:usb3="00000000" w:csb0="0000009F" w:csb1="00000000"/>
  </w:font>
  <w:font w:name="Calibri Light">
    <w:panose1 w:val="020F0302020204030204"/>
    <w:charset w:val="00"/>
    <w:family w:val="swiss"/>
    <w:pitch w:val="variable"/>
    <w:sig w:usb0="A00002EF" w:usb1="4000207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5C6233"/>
    <w:multiLevelType w:val="hybridMultilevel"/>
    <w:tmpl w:val="091CE09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5D43"/>
    <w:rsid w:val="009B6DC2"/>
    <w:rsid w:val="00AA5D43"/>
    <w:rsid w:val="00CB2A04"/>
    <w:rsid w:val="00DD199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28C48D"/>
  <w15:chartTrackingRefBased/>
  <w15:docId w15:val="{ADA48BC7-2E5C-4B13-A966-3DBF9734D0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D199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11</Pages>
  <Words>2367</Words>
  <Characters>13498</Characters>
  <Application>Microsoft Office Word</Application>
  <DocSecurity>0</DocSecurity>
  <Lines>112</Lines>
  <Paragraphs>31</Paragraphs>
  <ScaleCrop>false</ScaleCrop>
  <Company/>
  <LinksUpToDate>false</LinksUpToDate>
  <CharactersWithSpaces>15834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Georgiana Sima</dc:creator>
  <cp:keywords/>
  <dc:description/>
  <cp:lastModifiedBy>Georgiana Sima</cp:lastModifiedBy>
  <cp:revision>3</cp:revision>
  <dcterms:created xsi:type="dcterms:W3CDTF">2021-05-09T22:16:00Z</dcterms:created>
  <dcterms:modified xsi:type="dcterms:W3CDTF">2021-05-09T22:28:00Z</dcterms:modified>
</cp:coreProperties>
</file>