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360" w:lineRule="auto"/>
        <w:jc w:val="center"/>
        <w:rPr>
          <w:rFonts w:ascii="Times New Roman" w:hAnsi="Times New Roman" w:cs="Times New Roman"/>
          <w:b/>
          <w:sz w:val="24"/>
          <w:szCs w:val="24"/>
        </w:rPr>
      </w:pPr>
    </w:p>
    <w:p>
      <w:pPr>
        <w:spacing w:after="0" w:line="360" w:lineRule="auto"/>
        <w:jc w:val="center"/>
        <w:rPr>
          <w:rFonts w:ascii="Times New Roman" w:hAnsi="Times New Roman" w:cs="Times New Roman"/>
          <w:b/>
          <w:sz w:val="24"/>
          <w:szCs w:val="24"/>
        </w:rPr>
      </w:pPr>
    </w:p>
    <w:p>
      <w:pPr>
        <w:spacing w:after="0" w:line="360" w:lineRule="auto"/>
        <w:jc w:val="center"/>
        <w:rPr>
          <w:rFonts w:ascii="Times New Roman" w:hAnsi="Times New Roman" w:cs="Times New Roman"/>
          <w:b/>
          <w:sz w:val="24"/>
          <w:szCs w:val="24"/>
        </w:rPr>
      </w:pPr>
    </w:p>
    <w:p>
      <w:pPr>
        <w:spacing w:after="0" w:line="360" w:lineRule="auto"/>
        <w:jc w:val="center"/>
        <w:rPr>
          <w:rFonts w:ascii="Times New Roman" w:hAnsi="Times New Roman" w:cs="Times New Roman"/>
          <w:b/>
          <w:sz w:val="24"/>
          <w:szCs w:val="24"/>
        </w:rPr>
      </w:pPr>
    </w:p>
    <w:p>
      <w:pPr>
        <w:spacing w:after="0" w:line="360" w:lineRule="auto"/>
        <w:jc w:val="center"/>
        <w:rPr>
          <w:rFonts w:ascii="Times New Roman" w:hAnsi="Times New Roman" w:cs="Times New Roman"/>
          <w:b/>
          <w:sz w:val="24"/>
          <w:szCs w:val="24"/>
        </w:rPr>
      </w:pPr>
    </w:p>
    <w:p>
      <w:pPr>
        <w:spacing w:after="0" w:line="360" w:lineRule="auto"/>
        <w:jc w:val="center"/>
        <w:rPr>
          <w:rFonts w:ascii="Times New Roman" w:hAnsi="Times New Roman" w:cs="Times New Roman"/>
          <w:b/>
          <w:sz w:val="24"/>
          <w:szCs w:val="24"/>
        </w:rPr>
      </w:pPr>
    </w:p>
    <w:p>
      <w:pPr>
        <w:pStyle w:val="21"/>
        <w:spacing w:line="360" w:lineRule="auto"/>
        <w:jc w:val="center"/>
        <w:rPr>
          <w:rFonts w:ascii="Times New Roman" w:hAnsi="Times New Roman" w:cs="Times New Roman"/>
          <w:sz w:val="24"/>
          <w:szCs w:val="24"/>
        </w:rPr>
      </w:pPr>
      <w:r>
        <w:rPr>
          <w:rFonts w:ascii="Times New Roman" w:hAnsi="Times New Roman" w:cs="Times New Roman"/>
          <w:sz w:val="24"/>
          <w:szCs w:val="24"/>
        </w:rPr>
        <w:t>STRATEGIES FOR ENTERING FOREIGN MARKETS- TOMOS WATKINS BREWERY COMPANY</w:t>
      </w:r>
    </w:p>
    <w:p>
      <w:pPr>
        <w:spacing w:after="0" w:line="360" w:lineRule="auto"/>
        <w:jc w:val="center"/>
        <w:rPr>
          <w:rFonts w:ascii="Times New Roman" w:hAnsi="Times New Roman" w:eastAsia="Calibri" w:cs="Times New Roman"/>
          <w:sz w:val="24"/>
          <w:szCs w:val="24"/>
        </w:rPr>
      </w:pPr>
    </w:p>
    <w:p>
      <w:pPr>
        <w:spacing w:after="0" w:line="360" w:lineRule="auto"/>
        <w:jc w:val="center"/>
        <w:rPr>
          <w:rFonts w:ascii="Times New Roman" w:hAnsi="Times New Roman" w:eastAsia="Calibri" w:cs="Times New Roman"/>
          <w:sz w:val="24"/>
          <w:szCs w:val="24"/>
        </w:rPr>
      </w:pPr>
    </w:p>
    <w:p>
      <w:pPr>
        <w:spacing w:after="0" w:line="360" w:lineRule="auto"/>
        <w:jc w:val="center"/>
        <w:rPr>
          <w:rFonts w:ascii="Times New Roman" w:hAnsi="Times New Roman" w:eastAsia="Calibri" w:cs="Times New Roman"/>
          <w:sz w:val="24"/>
          <w:szCs w:val="24"/>
          <w:lang w:val="uk-UA"/>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r>
        <w:rPr>
          <w:rFonts w:ascii="Times New Roman" w:hAnsi="Times New Roman" w:eastAsia="宋体" w:cs="Times New Roman"/>
          <w:sz w:val="24"/>
          <w:szCs w:val="24"/>
        </w:rPr>
        <w:t>Name of student</w:t>
      </w:r>
    </w:p>
    <w:p>
      <w:pPr>
        <w:autoSpaceDE w:val="0"/>
        <w:autoSpaceDN w:val="0"/>
        <w:adjustRightInd w:val="0"/>
        <w:spacing w:line="360" w:lineRule="auto"/>
        <w:contextualSpacing/>
        <w:jc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Yichen Shen</w:t>
      </w: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rPr>
        <w:t>Course name</w:t>
      </w:r>
      <w:r>
        <w:rPr>
          <w:rFonts w:hint="eastAsia" w:ascii="Times New Roman" w:hAnsi="Times New Roman" w:eastAsia="宋体" w:cs="Times New Roman"/>
          <w:sz w:val="24"/>
          <w:szCs w:val="24"/>
          <w:lang w:val="en-US" w:eastAsia="zh-CN"/>
        </w:rPr>
        <w:t xml:space="preserve"> GLOBAL MARKETING STRATEGY</w:t>
      </w:r>
    </w:p>
    <w:p>
      <w:pPr>
        <w:autoSpaceDE w:val="0"/>
        <w:autoSpaceDN w:val="0"/>
        <w:adjustRightInd w:val="0"/>
        <w:spacing w:line="360" w:lineRule="auto"/>
        <w:contextualSpacing/>
        <w:jc w:val="center"/>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rPr>
        <w:t>Professor name</w:t>
      </w:r>
      <w:r>
        <w:rPr>
          <w:rFonts w:hint="eastAsia" w:ascii="Times New Roman" w:hAnsi="Times New Roman" w:eastAsia="宋体" w:cs="Times New Roman"/>
          <w:sz w:val="24"/>
          <w:szCs w:val="24"/>
          <w:lang w:val="en-US" w:eastAsia="zh-CN"/>
        </w:rPr>
        <w:t xml:space="preserve"> WILL</w:t>
      </w:r>
    </w:p>
    <w:p>
      <w:pPr>
        <w:spacing w:line="360" w:lineRule="auto"/>
        <w:contextualSpacing/>
        <w:jc w:val="center"/>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rPr>
        <w:t>Date of submission</w:t>
      </w:r>
      <w:r>
        <w:rPr>
          <w:rFonts w:hint="eastAsia" w:ascii="Times New Roman" w:hAnsi="Times New Roman" w:eastAsia="宋体" w:cs="Times New Roman"/>
          <w:sz w:val="24"/>
          <w:szCs w:val="24"/>
          <w:lang w:val="en-US" w:eastAsia="zh-CN"/>
        </w:rPr>
        <w:t xml:space="preserve"> 03.03.2019</w:t>
      </w:r>
      <w:bookmarkStart w:id="20" w:name="_GoBack"/>
      <w:bookmarkEnd w:id="20"/>
    </w:p>
    <w:p>
      <w:pPr>
        <w:pStyle w:val="21"/>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Strategies for entering foreign markets- Tomos Watkins Brewery Company </w:t>
      </w:r>
    </w:p>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Executive summary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Entering into a new market is a field of interest internationally. The growing organi</w:t>
      </w:r>
      <w:r>
        <w:rPr>
          <w:rFonts w:hint="eastAsia" w:ascii="Times New Roman" w:hAnsi="Times New Roman" w:eastAsia="宋体" w:cs="Times New Roman"/>
          <w:sz w:val="24"/>
          <w:szCs w:val="24"/>
          <w:lang w:eastAsia="zh-CN"/>
        </w:rPr>
        <w:t>sation</w:t>
      </w:r>
      <w:r>
        <w:rPr>
          <w:rFonts w:ascii="Times New Roman" w:hAnsi="Times New Roman" w:cs="Times New Roman"/>
          <w:sz w:val="24"/>
          <w:szCs w:val="24"/>
        </w:rPr>
        <w:t xml:space="preserve">s are striving to venture into a new business in different developing countries worldwide. A </w:t>
      </w:r>
      <w:r>
        <w:rPr>
          <w:rFonts w:hint="eastAsia" w:ascii="Times New Roman" w:hAnsi="Times New Roman" w:eastAsia="宋体" w:cs="Times New Roman"/>
          <w:sz w:val="24"/>
          <w:szCs w:val="24"/>
          <w:lang w:eastAsia="zh-CN"/>
        </w:rPr>
        <w:t>b</w:t>
      </w:r>
      <w:r>
        <w:rPr>
          <w:rFonts w:ascii="Times New Roman" w:hAnsi="Times New Roman" w:cs="Times New Roman"/>
          <w:sz w:val="24"/>
          <w:szCs w:val="24"/>
        </w:rPr>
        <w:t xml:space="preserve">eer brand is one of the major products growing in today’s market. This </w:t>
      </w:r>
      <w:r>
        <w:rPr>
          <w:rFonts w:hint="eastAsia" w:ascii="Times New Roman" w:hAnsi="Times New Roman" w:eastAsia="宋体" w:cs="Times New Roman"/>
          <w:sz w:val="24"/>
          <w:szCs w:val="24"/>
          <w:lang w:eastAsia="zh-CN"/>
        </w:rPr>
        <w:t>report</w:t>
      </w:r>
      <w:r>
        <w:rPr>
          <w:rFonts w:ascii="Times New Roman" w:hAnsi="Times New Roman" w:cs="Times New Roman"/>
          <w:sz w:val="24"/>
          <w:szCs w:val="24"/>
        </w:rPr>
        <w:t xml:space="preserve"> identifies the possible new markets that Tomos Watkins Brewery Company is likely to venture in order to survive in the competitive market. The potential markets identified include China, India, Vietnam, Australia, and Scotland. From the recommendations only Australia, China, and India were the selected markets having high scoring criteria for entry. The markets are appropriate because of the high growth rate, low investment risks, government collaboration with brewery companies, and the availability of raw materials such as Barley. The r</w:t>
      </w:r>
      <w:r>
        <w:rPr>
          <w:rFonts w:hint="eastAsia" w:ascii="Times New Roman" w:hAnsi="Times New Roman" w:eastAsia="宋体" w:cs="Times New Roman"/>
          <w:sz w:val="24"/>
          <w:szCs w:val="24"/>
          <w:lang w:eastAsia="zh-CN"/>
        </w:rPr>
        <w:t>eport</w:t>
      </w:r>
      <w:r>
        <w:rPr>
          <w:rFonts w:ascii="Times New Roman" w:hAnsi="Times New Roman" w:cs="Times New Roman"/>
          <w:sz w:val="24"/>
          <w:szCs w:val="24"/>
        </w:rPr>
        <w:t xml:space="preserve"> has evaluated possible market entry options appropriate for Tomos Watkins Brewery, and why the options are applicable in the identified potential markets.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sdt>
      <w:sdtPr>
        <w:rPr>
          <w:rFonts w:hint="default" w:ascii="Times New Roman" w:hAnsi="Times New Roman" w:cs="Times New Roman"/>
          <w:sz w:val="24"/>
          <w:szCs w:val="24"/>
        </w:rPr>
        <w:id w:val="38307063"/>
        <w:docPartObj>
          <w:docPartGallery w:val="Table of Contents"/>
          <w:docPartUnique/>
        </w:docPartObj>
      </w:sdtPr>
      <w:sdtEndPr>
        <w:rPr>
          <w:rFonts w:hint="default" w:asciiTheme="minorHAnsi" w:hAnsiTheme="minorHAnsi" w:eastAsiaTheme="minorHAnsi" w:cstheme="minorBidi"/>
          <w:b w:val="0"/>
          <w:bCs w:val="0"/>
          <w:color w:val="auto"/>
          <w:sz w:val="22"/>
          <w:szCs w:val="22"/>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Table of content</w:t>
          </w:r>
        </w:p>
        <w:p>
          <w:pPr>
            <w:spacing w:before="0" w:beforeLines="0" w:after="0" w:afterLines="0" w:line="240" w:lineRule="auto"/>
            <w:ind w:left="0" w:leftChars="0" w:right="0" w:rightChars="0" w:firstLine="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Executive summary..........................................................................................................................2</w:t>
          </w:r>
        </w:p>
        <w:p>
          <w:pPr>
            <w:pStyle w:val="11"/>
            <w:tabs>
              <w:tab w:val="right" w:leader="dot" w:pos="9360"/>
            </w:tabs>
            <w:spacing w:line="24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TOC \o "1-3" \h \z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_Toc21580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_Toc21580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3"/>
            <w:tabs>
              <w:tab w:val="right" w:leader="dot" w:pos="9360"/>
            </w:tabs>
            <w:spacing w:line="24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_Toc25585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1.1The reasons for entry into new markets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_Toc25585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1"/>
            <w:tabs>
              <w:tab w:val="right" w:leader="dot" w:pos="9360"/>
            </w:tabs>
            <w:spacing w:line="24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_Toc16337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 Potential markets for entry of Tomos Watkins Brewery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_Toc16337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3"/>
            <w:tabs>
              <w:tab w:val="right" w:leader="dot" w:pos="9360"/>
            </w:tabs>
            <w:spacing w:line="24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_Toc14706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 China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_Toc14706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3"/>
            <w:tabs>
              <w:tab w:val="right" w:leader="dot" w:pos="9360"/>
            </w:tabs>
            <w:spacing w:line="24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_Toc23485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 India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_Toc23485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3"/>
            <w:tabs>
              <w:tab w:val="right" w:leader="dot" w:pos="9360"/>
            </w:tabs>
            <w:spacing w:line="24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_Toc25223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2.3 Vietnam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_Toc25223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3"/>
            <w:tabs>
              <w:tab w:val="right" w:leader="dot" w:pos="9360"/>
            </w:tabs>
            <w:spacing w:line="24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_Toc29598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2.4 Australia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_Toc29598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3"/>
            <w:tabs>
              <w:tab w:val="right" w:leader="dot" w:pos="9360"/>
            </w:tabs>
            <w:spacing w:line="24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_Toc17577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2.4 Scotland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_Toc17577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360"/>
            </w:tabs>
            <w:spacing w:line="24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_Toc9865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Table 1: Scoring model for selecting the most attractive markets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_Toc9865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1"/>
            <w:tabs>
              <w:tab w:val="right" w:leader="dot" w:pos="9360"/>
            </w:tabs>
            <w:spacing w:line="24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3.0 Market entry options evaluation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360"/>
            </w:tabs>
            <w:spacing w:line="24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_Toc23383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Table 2: Scoring model for selecting market entry mode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_Toc23383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1"/>
            <w:tabs>
              <w:tab w:val="right" w:leader="dot" w:pos="9360"/>
            </w:tabs>
            <w:spacing w:line="24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_Toc10637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4.0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_Toc10637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spacing w:line="240" w:lineRule="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5.0 Recommendations....................................................................................................................10</w:t>
          </w:r>
        </w:p>
        <w:p>
          <w:pPr>
            <w:pStyle w:val="11"/>
            <w:tabs>
              <w:tab w:val="right" w:leader="dot" w:pos="9360"/>
            </w:tabs>
            <w:spacing w:line="24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_Toc6123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References List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_Toc6123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1"/>
            <w:tabs>
              <w:tab w:val="right" w:leader="dot" w:pos="9360"/>
            </w:tabs>
            <w:spacing w:line="24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shd w:val="clear" w:color="auto" w:fill="FFFFFF"/>
            </w:rPr>
            <w:t>6.0 Appendices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3"/>
            <w:tabs>
              <w:tab w:val="right" w:leader="dot" w:pos="9360"/>
            </w:tabs>
            <w:spacing w:line="24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_Toc23461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shd w:val="clear" w:color="auto" w:fill="FFFFFF"/>
            </w:rPr>
            <w:t>Appendix 1</w:t>
          </w:r>
          <w:r>
            <w:rPr>
              <w:rFonts w:hint="default" w:ascii="Times New Roman" w:hAnsi="Times New Roman" w:cs="Times New Roman"/>
              <w:sz w:val="24"/>
              <w:szCs w:val="24"/>
              <w:shd w:val="clear" w:color="auto" w:fill="FFFFFF"/>
              <w:lang w:val="en-US" w:eastAsia="zh-CN"/>
            </w:rPr>
            <w:t xml:space="preserve">: </w:t>
          </w:r>
          <w:r>
            <w:rPr>
              <w:rFonts w:hint="default" w:ascii="Times New Roman" w:hAnsi="Times New Roman" w:cs="Times New Roman"/>
              <w:sz w:val="24"/>
              <w:szCs w:val="24"/>
              <w:shd w:val="clear" w:color="auto" w:fill="FFFFFF"/>
            </w:rPr>
            <w:t>International marketing entry strategie</w:t>
          </w:r>
          <w:r>
            <w:rPr>
              <w:rFonts w:hint="default" w:ascii="Times New Roman" w:hAnsi="Times New Roman" w:cs="Times New Roman"/>
              <w:sz w:val="24"/>
              <w:szCs w:val="24"/>
              <w:shd w:val="clear" w:color="auto" w:fill="FFFFFF"/>
              <w:lang w:val="en-US" w:eastAsia="zh-CN"/>
            </w:rPr>
            <w: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_Toc23461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3"/>
            <w:tabs>
              <w:tab w:val="right" w:leader="dot" w:pos="9360"/>
            </w:tabs>
            <w:spacing w:line="24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_Toc32441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Appendix 2: Opportunity for entry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_Toc32441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spacing w:line="240" w:lineRule="auto"/>
          </w:pPr>
          <w:r>
            <w:rPr>
              <w:rFonts w:hint="default" w:ascii="Times New Roman" w:hAnsi="Times New Roman" w:cs="Times New Roman"/>
              <w:sz w:val="24"/>
              <w:szCs w:val="24"/>
            </w:rPr>
            <w:fldChar w:fldCharType="end"/>
          </w:r>
        </w:p>
      </w:sdtContent>
    </w:sdt>
    <w:p>
      <w:pPr>
        <w:pStyle w:val="2"/>
      </w:pPr>
    </w:p>
    <w:p>
      <w:pPr>
        <w:pStyle w:val="2"/>
      </w:pPr>
    </w:p>
    <w:p/>
    <w:p/>
    <w:p/>
    <w:p/>
    <w:p/>
    <w:p/>
    <w:p>
      <w:pPr>
        <w:pStyle w:val="2"/>
        <w:spacing w:line="360" w:lineRule="auto"/>
        <w:jc w:val="both"/>
        <w:rPr>
          <w:rFonts w:ascii="Times New Roman" w:hAnsi="Times New Roman" w:cs="Times New Roman"/>
          <w:color w:val="auto"/>
          <w:sz w:val="24"/>
          <w:szCs w:val="24"/>
        </w:rPr>
      </w:pPr>
      <w:bookmarkStart w:id="0" w:name="_Toc21580"/>
      <w:r>
        <w:rPr>
          <w:rFonts w:ascii="Times New Roman" w:hAnsi="Times New Roman" w:cs="Times New Roman"/>
          <w:color w:val="auto"/>
          <w:sz w:val="24"/>
          <w:szCs w:val="24"/>
        </w:rPr>
        <w:t>1.0 Introduction</w:t>
      </w:r>
      <w:bookmarkEnd w:id="0"/>
      <w:r>
        <w:rPr>
          <w:rFonts w:ascii="Times New Roman" w:hAnsi="Times New Roman" w:cs="Times New Roman"/>
          <w:color w:val="auto"/>
          <w:sz w:val="24"/>
          <w:szCs w:val="24"/>
        </w:rPr>
        <w:t xml:space="preserve">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Tomos Watkins Brewery is a beer company currently owned by Connie and Phil Parry. Ms. Parry is the chief executive of the company. The slogan of the company is described as ‘made in Wales, enjoyed worldwide.’ This indicates that the goods are produced on-site in the Swansea brewery. From the executive view, the products are suitable also to the foreign markets which will influence its growth and development is entering new markets is considered. The company has got the unique Welsh quality of products and thus potential to meet the needs of customers internationally. The possible markets that Tomos Watkins has exported its goods to in the past include China; Shanghai, Hong Kong, Spain and New York (Tomos Watkins, 2019). </w:t>
      </w:r>
    </w:p>
    <w:p>
      <w:pPr>
        <w:spacing w:after="0" w:line="360" w:lineRule="auto"/>
        <w:jc w:val="both"/>
        <w:rPr>
          <w:rFonts w:ascii="Times New Roman" w:hAnsi="Times New Roman" w:cs="Times New Roman"/>
          <w:b/>
          <w:sz w:val="24"/>
          <w:szCs w:val="24"/>
        </w:rPr>
      </w:pPr>
    </w:p>
    <w:p>
      <w:pPr>
        <w:pStyle w:val="3"/>
        <w:spacing w:line="360" w:lineRule="auto"/>
        <w:jc w:val="both"/>
        <w:rPr>
          <w:rFonts w:ascii="Times New Roman" w:hAnsi="Times New Roman" w:cs="Times New Roman"/>
          <w:color w:val="auto"/>
          <w:sz w:val="24"/>
          <w:szCs w:val="24"/>
        </w:rPr>
      </w:pPr>
      <w:bookmarkStart w:id="1" w:name="_Toc25585"/>
      <w:r>
        <w:rPr>
          <w:rFonts w:ascii="Times New Roman" w:hAnsi="Times New Roman" w:cs="Times New Roman"/>
          <w:color w:val="auto"/>
          <w:sz w:val="24"/>
          <w:szCs w:val="24"/>
        </w:rPr>
        <w:t>1.1The reasons for entry into new markets</w:t>
      </w:r>
      <w:bookmarkEnd w:id="1"/>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There are various reasons that contribute to the need for internationali</w:t>
      </w:r>
      <w:r>
        <w:rPr>
          <w:rFonts w:ascii="Times New Roman" w:hAnsi="Times New Roman" w:eastAsia="宋体" w:cs="Times New Roman"/>
          <w:sz w:val="24"/>
          <w:szCs w:val="24"/>
          <w:lang w:eastAsia="zh-CN"/>
        </w:rPr>
        <w:t>sation</w:t>
      </w:r>
      <w:r>
        <w:rPr>
          <w:rFonts w:ascii="Times New Roman" w:hAnsi="Times New Roman" w:cs="Times New Roman"/>
          <w:sz w:val="24"/>
          <w:szCs w:val="24"/>
        </w:rPr>
        <w:t>. These reasons include the need for growth and development of the existing markets. The company focuses on increasing the profitability rate by exporting its goods to foreign countries where prices are higher than that in the local market. This result in the increase of the market share, thus growth and development of the company globally (Puthusserry et al., 2018, p</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6; Belu and Caragin 2008, p90). Also, a company decides to venture into a new market for the purpose of increasing the economy of scale. The company with the objective of exploiting the uniqueness of their product and the differentiation advantage is likely to focus on internationali</w:t>
      </w:r>
      <w:r>
        <w:rPr>
          <w:rFonts w:ascii="Times New Roman" w:hAnsi="Times New Roman" w:eastAsia="宋体" w:cs="Times New Roman"/>
          <w:sz w:val="24"/>
          <w:szCs w:val="24"/>
          <w:lang w:eastAsia="zh-CN"/>
        </w:rPr>
        <w:t>sation</w:t>
      </w:r>
      <w:r>
        <w:rPr>
          <w:rFonts w:ascii="Times New Roman" w:hAnsi="Times New Roman" w:cs="Times New Roman"/>
          <w:sz w:val="24"/>
          <w:szCs w:val="24"/>
        </w:rPr>
        <w:t>. This is because, in the local markets, the quality and standardi</w:t>
      </w:r>
      <w:r>
        <w:rPr>
          <w:rFonts w:ascii="Times New Roman" w:hAnsi="Times New Roman" w:eastAsia="宋体" w:cs="Times New Roman"/>
          <w:sz w:val="24"/>
          <w:szCs w:val="24"/>
          <w:lang w:eastAsia="zh-CN"/>
        </w:rPr>
        <w:t>sation</w:t>
      </w:r>
      <w:r>
        <w:rPr>
          <w:rFonts w:ascii="Times New Roman" w:hAnsi="Times New Roman" w:cs="Times New Roman"/>
          <w:sz w:val="24"/>
          <w:szCs w:val="24"/>
        </w:rPr>
        <w:t xml:space="preserve"> of the brand are undermined (Berry-Stölzle et al., 2010, p</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115; Rexhepi 2015, p</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 xml:space="preserve">296).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entry into new markets enhances management learning and increased innovation skills. The company can learn new skills from the leading market such as meeting the demands of consumers in the market. The company will learn how to compete effectively within a highly competitive market niche. The other reason is the reaction to the competitor’s move. A small Scale Business Company makes a decision of venturing into new markets just because the major competitor companies have done so. </w:t>
      </w:r>
    </w:p>
    <w:p>
      <w:pPr>
        <w:pStyle w:val="2"/>
        <w:spacing w:line="360" w:lineRule="auto"/>
        <w:jc w:val="both"/>
        <w:rPr>
          <w:rFonts w:ascii="Times New Roman" w:hAnsi="Times New Roman" w:cs="Times New Roman"/>
          <w:color w:val="auto"/>
          <w:sz w:val="24"/>
          <w:szCs w:val="24"/>
        </w:rPr>
      </w:pPr>
      <w:bookmarkStart w:id="2" w:name="_Toc16337"/>
      <w:r>
        <w:rPr>
          <w:rFonts w:ascii="Times New Roman" w:hAnsi="Times New Roman" w:cs="Times New Roman"/>
          <w:color w:val="auto"/>
          <w:sz w:val="24"/>
          <w:szCs w:val="24"/>
        </w:rPr>
        <w:t>2.0 Potential markets for entry of Tomos Watkins Brewery</w:t>
      </w:r>
      <w:bookmarkEnd w:id="2"/>
      <w:r>
        <w:rPr>
          <w:rFonts w:ascii="Times New Roman" w:hAnsi="Times New Roman" w:cs="Times New Roman"/>
          <w:color w:val="auto"/>
          <w:sz w:val="24"/>
          <w:szCs w:val="24"/>
        </w:rPr>
        <w:t xml:space="preserve">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evaluating and selecting possible markets for Tomos Watkins to invest in, the company has to understand the requirements for market entry strategic plan, as indicated in </w:t>
      </w:r>
      <w:r>
        <w:rPr>
          <w:rFonts w:hint="eastAsia" w:ascii="Times New Roman" w:hAnsi="Times New Roman" w:eastAsia="宋体" w:cs="Times New Roman"/>
          <w:sz w:val="24"/>
          <w:szCs w:val="24"/>
          <w:lang w:val="en-US" w:eastAsia="zh-CN"/>
        </w:rPr>
        <w:t>A</w:t>
      </w:r>
      <w:r>
        <w:rPr>
          <w:rFonts w:ascii="Times New Roman" w:hAnsi="Times New Roman" w:cs="Times New Roman"/>
          <w:sz w:val="24"/>
          <w:szCs w:val="24"/>
        </w:rPr>
        <w:t>ppendix 1.</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the possible and potential markets for entry of Tomos Watkins Brewery include China, India, Vietnam, Australia, and Scotland. According to data in </w:t>
      </w:r>
      <w:r>
        <w:rPr>
          <w:rFonts w:ascii="Times New Roman" w:hAnsi="Times New Roman" w:eastAsia="宋体" w:cs="Times New Roman"/>
          <w:sz w:val="24"/>
          <w:szCs w:val="24"/>
          <w:lang w:eastAsia="zh-CN"/>
        </w:rPr>
        <w:t>A</w:t>
      </w:r>
      <w:r>
        <w:rPr>
          <w:rFonts w:ascii="Times New Roman" w:hAnsi="Times New Roman" w:cs="Times New Roman"/>
          <w:sz w:val="24"/>
          <w:szCs w:val="24"/>
        </w:rPr>
        <w:t>ppendix 2 below the Henkel Company opportunity to enter A</w:t>
      </w:r>
      <w:r>
        <w:rPr>
          <w:rFonts w:hint="eastAsia" w:ascii="Times New Roman" w:hAnsi="Times New Roman" w:eastAsia="宋体" w:cs="Times New Roman"/>
          <w:sz w:val="24"/>
          <w:szCs w:val="24"/>
          <w:lang w:val="en-US" w:eastAsia="zh-CN"/>
        </w:rPr>
        <w:t>sia</w:t>
      </w:r>
      <w:r>
        <w:rPr>
          <w:rFonts w:ascii="Times New Roman" w:hAnsi="Times New Roman" w:cs="Times New Roman"/>
          <w:sz w:val="24"/>
          <w:szCs w:val="24"/>
        </w:rPr>
        <w:t xml:space="preserve"> markets, provides a view for Tomos Watkins Brewery since small business decides to enter new markets by following the major competitors. The below markets take part as the possible potential markets for entry and growth of Tomos Watkins Brewery.</w:t>
      </w:r>
    </w:p>
    <w:p>
      <w:pPr>
        <w:spacing w:after="0" w:line="360" w:lineRule="auto"/>
        <w:jc w:val="both"/>
        <w:rPr>
          <w:rFonts w:ascii="Times New Roman" w:hAnsi="Times New Roman" w:cs="Times New Roman"/>
          <w:sz w:val="24"/>
          <w:szCs w:val="24"/>
        </w:rPr>
      </w:pPr>
    </w:p>
    <w:p>
      <w:pPr>
        <w:pStyle w:val="3"/>
        <w:spacing w:line="360" w:lineRule="auto"/>
        <w:jc w:val="both"/>
        <w:rPr>
          <w:rFonts w:ascii="Times New Roman" w:hAnsi="Times New Roman" w:cs="Times New Roman"/>
          <w:color w:val="auto"/>
          <w:sz w:val="24"/>
          <w:szCs w:val="24"/>
        </w:rPr>
      </w:pPr>
      <w:bookmarkStart w:id="3" w:name="_Toc14706"/>
      <w:r>
        <w:rPr>
          <w:rFonts w:ascii="Times New Roman" w:hAnsi="Times New Roman" w:cs="Times New Roman"/>
          <w:color w:val="auto"/>
          <w:sz w:val="24"/>
          <w:szCs w:val="24"/>
        </w:rPr>
        <w:t>2.1 China</w:t>
      </w:r>
      <w:bookmarkEnd w:id="3"/>
      <w:r>
        <w:rPr>
          <w:rFonts w:ascii="Times New Roman" w:hAnsi="Times New Roman" w:cs="Times New Roman"/>
          <w:color w:val="auto"/>
          <w:sz w:val="24"/>
          <w:szCs w:val="24"/>
        </w:rPr>
        <w:t xml:space="preserve">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China market for beer production is growing gradually despite some difficulties in the past years due to fluctuations in exchange rates and the price of the product. The reason why China market is good for Tomos Watkin to invest in is that China is the greatest consumer of beer, but the demand for premium and craft beer flavo</w:t>
      </w:r>
      <w:r>
        <w:rPr>
          <w:rFonts w:hint="eastAsia" w:ascii="Times New Roman" w:hAnsi="Times New Roman" w:eastAsia="宋体" w:cs="Times New Roman"/>
          <w:sz w:val="24"/>
          <w:szCs w:val="24"/>
          <w:lang w:val="en-US" w:eastAsia="zh-CN"/>
        </w:rPr>
        <w:t>u</w:t>
      </w:r>
      <w:r>
        <w:rPr>
          <w:rFonts w:ascii="Times New Roman" w:hAnsi="Times New Roman" w:cs="Times New Roman"/>
          <w:sz w:val="24"/>
          <w:szCs w:val="24"/>
        </w:rPr>
        <w:t>rs is rising giving market entry opportunities to foreign investors. Also, beer production culture in China is young, hence Tom Watkins Brewery has the opportunity to strategi</w:t>
      </w:r>
      <w:r>
        <w:rPr>
          <w:rFonts w:ascii="Times New Roman" w:hAnsi="Times New Roman" w:eastAsia="宋体" w:cs="Times New Roman"/>
          <w:sz w:val="24"/>
          <w:szCs w:val="24"/>
          <w:lang w:eastAsia="zh-CN"/>
        </w:rPr>
        <w:t>s</w:t>
      </w:r>
      <w:r>
        <w:rPr>
          <w:rFonts w:ascii="Times New Roman" w:hAnsi="Times New Roman" w:cs="Times New Roman"/>
          <w:sz w:val="24"/>
          <w:szCs w:val="24"/>
        </w:rPr>
        <w:t xml:space="preserve">e in this target demography and invest successfully (Bao, 2018). The competition in the Chinese beer market is high. Distribution channels include the wholesalers, retailers, restaurants, clubs, pubs, and bars. This can be a challenge for entry since the locals are aware of industrial beer, hence there will be a need for a low price, and marketing promotion to create brand awareness and association. </w:t>
      </w:r>
    </w:p>
    <w:p>
      <w:pPr>
        <w:spacing w:after="0" w:line="360" w:lineRule="auto"/>
        <w:jc w:val="both"/>
        <w:rPr>
          <w:rFonts w:ascii="Times New Roman" w:hAnsi="Times New Roman" w:cs="Times New Roman"/>
          <w:sz w:val="24"/>
          <w:szCs w:val="24"/>
        </w:rPr>
      </w:pPr>
    </w:p>
    <w:p>
      <w:pPr>
        <w:pStyle w:val="3"/>
        <w:spacing w:line="360" w:lineRule="auto"/>
        <w:jc w:val="both"/>
        <w:rPr>
          <w:rFonts w:ascii="Times New Roman" w:hAnsi="Times New Roman" w:cs="Times New Roman"/>
          <w:color w:val="auto"/>
          <w:sz w:val="24"/>
          <w:szCs w:val="24"/>
        </w:rPr>
      </w:pPr>
      <w:bookmarkStart w:id="4" w:name="_Toc23485"/>
      <w:r>
        <w:rPr>
          <w:rFonts w:ascii="Times New Roman" w:hAnsi="Times New Roman" w:cs="Times New Roman"/>
          <w:color w:val="auto"/>
          <w:sz w:val="24"/>
          <w:szCs w:val="24"/>
        </w:rPr>
        <w:t>2.2 India</w:t>
      </w:r>
      <w:bookmarkEnd w:id="4"/>
      <w:r>
        <w:rPr>
          <w:rFonts w:ascii="Times New Roman" w:hAnsi="Times New Roman" w:cs="Times New Roman"/>
          <w:color w:val="auto"/>
          <w:sz w:val="24"/>
          <w:szCs w:val="24"/>
        </w:rPr>
        <w:t xml:space="preserve">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Research shows that the demand for premium beer consumption in India is increasing for the past 5 years by 11%, as stated by Dixit (2015). Only domestic beer production is taking place in India. This becomes the main reason why it is appropriate for Tomos Watkins to open new chains in India. The study shows that the demand for beer consumption in India is increasing because both women and men are shifting from consuming whiskey to beer. The other reason that makes India the potential market for entry is the availability of raw materials such as Barley and wheat used in craft beer, according to NPCs Team.</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The challenges for foreign market entry in India include high taxation rates and strict licensing laws since beer production is being regulated by the government (Dixit</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 xml:space="preserve"> 2015). </w:t>
      </w:r>
    </w:p>
    <w:p>
      <w:pPr>
        <w:spacing w:after="0" w:line="360" w:lineRule="auto"/>
        <w:jc w:val="both"/>
        <w:rPr>
          <w:rFonts w:ascii="Times New Roman" w:hAnsi="Times New Roman" w:cs="Times New Roman"/>
          <w:sz w:val="24"/>
          <w:szCs w:val="24"/>
        </w:rPr>
      </w:pPr>
    </w:p>
    <w:p>
      <w:pPr>
        <w:pStyle w:val="3"/>
        <w:spacing w:line="360" w:lineRule="auto"/>
        <w:jc w:val="both"/>
        <w:rPr>
          <w:rFonts w:ascii="Times New Roman" w:hAnsi="Times New Roman" w:cs="Times New Roman"/>
          <w:color w:val="auto"/>
          <w:sz w:val="24"/>
          <w:szCs w:val="24"/>
        </w:rPr>
      </w:pPr>
      <w:bookmarkStart w:id="5" w:name="_Toc25223"/>
      <w:r>
        <w:rPr>
          <w:rFonts w:ascii="Times New Roman" w:hAnsi="Times New Roman" w:cs="Times New Roman"/>
          <w:color w:val="auto"/>
          <w:sz w:val="24"/>
          <w:szCs w:val="24"/>
        </w:rPr>
        <w:t>2.3 Vietnam</w:t>
      </w:r>
      <w:bookmarkEnd w:id="5"/>
      <w:r>
        <w:rPr>
          <w:rFonts w:ascii="Times New Roman" w:hAnsi="Times New Roman" w:cs="Times New Roman"/>
          <w:color w:val="auto"/>
          <w:sz w:val="24"/>
          <w:szCs w:val="24"/>
        </w:rPr>
        <w:t xml:space="preserve">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Vietnam is a potential market for Tomos Watkins to invest in because beer production and consumption in this country is increasing rapidly. Research shows that in the last 5 years, the Vietnam people spent 3 billion US Dollars on alcohol consumption. Therefore, Tomos Watkins Brewery has the opportunity to invest in Vietnam market in order to fill the consumer demand gap in the market. There is also a reduced taxation rate in Vietnam making the country a good market for the brewery company to invest in (Dixit</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 xml:space="preserve"> 2015).</w:t>
      </w:r>
    </w:p>
    <w:p>
      <w:pPr>
        <w:spacing w:after="0" w:line="360" w:lineRule="auto"/>
        <w:jc w:val="both"/>
        <w:rPr>
          <w:rFonts w:ascii="Times New Roman" w:hAnsi="Times New Roman" w:cs="Times New Roman"/>
          <w:sz w:val="24"/>
          <w:szCs w:val="24"/>
        </w:rPr>
      </w:pPr>
    </w:p>
    <w:p>
      <w:pPr>
        <w:pStyle w:val="3"/>
        <w:spacing w:line="360" w:lineRule="auto"/>
        <w:jc w:val="both"/>
        <w:rPr>
          <w:rFonts w:ascii="Times New Roman" w:hAnsi="Times New Roman" w:cs="Times New Roman"/>
          <w:color w:val="auto"/>
          <w:sz w:val="24"/>
          <w:szCs w:val="24"/>
        </w:rPr>
      </w:pPr>
      <w:bookmarkStart w:id="6" w:name="_Toc29598"/>
      <w:r>
        <w:rPr>
          <w:rFonts w:ascii="Times New Roman" w:hAnsi="Times New Roman" w:cs="Times New Roman"/>
          <w:color w:val="auto"/>
          <w:sz w:val="24"/>
          <w:szCs w:val="24"/>
        </w:rPr>
        <w:t>2.4 Australia</w:t>
      </w:r>
      <w:bookmarkEnd w:id="6"/>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Australian people are thirsty of craft beer because they want to taste the difference with industrial alcohol. Although there is an increased rate of beer production from the locals, still the beer demand rate is high in the market. This creates room for entry of foreign investor so that the consumer demand will be met (</w:t>
      </w:r>
      <w:r>
        <w:rPr>
          <w:rFonts w:ascii="Times New Roman" w:hAnsi="Times New Roman" w:cs="Times New Roman"/>
          <w:sz w:val="24"/>
          <w:szCs w:val="24"/>
          <w:shd w:val="clear" w:color="auto" w:fill="FFFFFF"/>
        </w:rPr>
        <w:t>Donaghey</w:t>
      </w:r>
      <w:r>
        <w:rPr>
          <w:rFonts w:hint="eastAsia" w:ascii="Times New Roman" w:hAnsi="Times New Roman" w:eastAsia="宋体" w:cs="Times New Roman"/>
          <w:sz w:val="24"/>
          <w:szCs w:val="24"/>
          <w:shd w:val="clear" w:color="auto" w:fill="FFFFFF"/>
          <w:lang w:val="en-US" w:eastAsia="zh-CN"/>
        </w:rPr>
        <w:t>,</w:t>
      </w:r>
      <w:r>
        <w:rPr>
          <w:rFonts w:ascii="Times New Roman" w:hAnsi="Times New Roman" w:cs="Times New Roman"/>
          <w:sz w:val="24"/>
          <w:szCs w:val="24"/>
          <w:shd w:val="clear" w:color="auto" w:fill="FFFFFF"/>
        </w:rPr>
        <w:t xml:space="preserve"> 2018)</w:t>
      </w:r>
      <w:r>
        <w:rPr>
          <w:rFonts w:ascii="Times New Roman" w:hAnsi="Times New Roman" w:cs="Times New Roman"/>
          <w:sz w:val="24"/>
          <w:szCs w:val="24"/>
        </w:rPr>
        <w:t xml:space="preserve">. The high growth rate in Australia market is suitable for investors to venture in their business. Therefore, Australia is a good market for Tomos Watkins Brewery to invest in and survive successfully in the market. </w:t>
      </w:r>
    </w:p>
    <w:p>
      <w:pPr>
        <w:spacing w:after="0" w:line="360" w:lineRule="auto"/>
        <w:jc w:val="both"/>
        <w:rPr>
          <w:rFonts w:ascii="Times New Roman" w:hAnsi="Times New Roman" w:cs="Times New Roman"/>
          <w:sz w:val="24"/>
          <w:szCs w:val="24"/>
        </w:rPr>
      </w:pPr>
    </w:p>
    <w:p>
      <w:pPr>
        <w:pStyle w:val="3"/>
        <w:spacing w:line="360" w:lineRule="auto"/>
        <w:jc w:val="both"/>
        <w:rPr>
          <w:rFonts w:ascii="Times New Roman" w:hAnsi="Times New Roman" w:cs="Times New Roman"/>
          <w:color w:val="auto"/>
          <w:sz w:val="24"/>
          <w:szCs w:val="24"/>
        </w:rPr>
      </w:pPr>
      <w:bookmarkStart w:id="7" w:name="_Toc17577"/>
      <w:r>
        <w:rPr>
          <w:rFonts w:ascii="Times New Roman" w:hAnsi="Times New Roman" w:cs="Times New Roman"/>
          <w:color w:val="auto"/>
          <w:sz w:val="24"/>
          <w:szCs w:val="24"/>
        </w:rPr>
        <w:t>2.4 Scotland</w:t>
      </w:r>
      <w:bookmarkEnd w:id="7"/>
      <w:r>
        <w:rPr>
          <w:rFonts w:ascii="Times New Roman" w:hAnsi="Times New Roman" w:cs="Times New Roman"/>
          <w:color w:val="auto"/>
          <w:sz w:val="24"/>
          <w:szCs w:val="24"/>
        </w:rPr>
        <w:t xml:space="preserve"> </w:t>
      </w:r>
    </w:p>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Pr>
          <w:rFonts w:ascii="Times New Roman" w:hAnsi="Times New Roman" w:cs="Times New Roman"/>
          <w:sz w:val="24"/>
          <w:szCs w:val="24"/>
          <w:shd w:val="clear" w:color="auto" w:fill="FFFFFF"/>
        </w:rPr>
        <w:t>Carol et al</w:t>
      </w:r>
      <w:r>
        <w:rPr>
          <w:rFonts w:hint="eastAsia" w:ascii="Times New Roman" w:hAnsi="Times New Roman" w:eastAsia="宋体" w:cs="Times New Roman"/>
          <w:sz w:val="24"/>
          <w:szCs w:val="24"/>
          <w:shd w:val="clear" w:color="auto" w:fill="FFFFFF"/>
          <w:lang w:val="en-US" w:eastAsia="zh-CN"/>
        </w:rPr>
        <w:t>,</w:t>
      </w:r>
      <w:r>
        <w:rPr>
          <w:rFonts w:ascii="Times New Roman" w:hAnsi="Times New Roman" w:cs="Times New Roman"/>
          <w:sz w:val="24"/>
          <w:szCs w:val="24"/>
          <w:shd w:val="clear" w:color="auto" w:fill="FFFFFF"/>
        </w:rPr>
        <w:t xml:space="preserve"> (2015, p</w:t>
      </w:r>
      <w:r>
        <w:rPr>
          <w:rFonts w:hint="eastAsia" w:ascii="Times New Roman" w:hAnsi="Times New Roman" w:eastAsia="宋体" w:cs="Times New Roman"/>
          <w:sz w:val="24"/>
          <w:szCs w:val="24"/>
          <w:shd w:val="clear" w:color="auto" w:fill="FFFFFF"/>
          <w:lang w:val="en-US" w:eastAsia="zh-CN"/>
        </w:rPr>
        <w:t>.</w:t>
      </w:r>
      <w:r>
        <w:rPr>
          <w:rFonts w:ascii="Times New Roman" w:hAnsi="Times New Roman" w:cs="Times New Roman"/>
          <w:sz w:val="24"/>
          <w:szCs w:val="24"/>
          <w:shd w:val="clear" w:color="auto" w:fill="FFFFFF"/>
        </w:rPr>
        <w:t>28), the demand rate of beer production in Scotland market is increasing. The competitors in the market include</w:t>
      </w:r>
      <w:r>
        <w:rPr>
          <w:rFonts w:ascii="Times New Roman" w:hAnsi="Times New Roman" w:cs="Times New Roman"/>
          <w:sz w:val="24"/>
          <w:szCs w:val="24"/>
        </w:rPr>
        <w:t xml:space="preserve"> SABMiller, Anheuser-Busch InBev, Heineken, and Carlsberg. Government regulations allow foreign beer investors to cope with the demand in the market. The challenge in the market is high competition which slows brewery market growth rate. </w:t>
      </w:r>
    </w:p>
    <w:p>
      <w:pPr>
        <w:pStyle w:val="4"/>
        <w:rPr>
          <w:rFonts w:ascii="Times New Roman" w:hAnsi="Times New Roman" w:cs="Times New Roman"/>
          <w:color w:val="auto"/>
          <w:sz w:val="24"/>
          <w:szCs w:val="24"/>
        </w:rPr>
      </w:pPr>
      <w:bookmarkStart w:id="8" w:name="_Toc2317585"/>
      <w:bookmarkStart w:id="9" w:name="_Toc9865"/>
      <w:bookmarkStart w:id="10" w:name="_Toc2317820"/>
      <w:r>
        <w:rPr>
          <w:rFonts w:ascii="Times New Roman" w:hAnsi="Times New Roman" w:cs="Times New Roman"/>
          <w:color w:val="auto"/>
          <w:sz w:val="24"/>
          <w:szCs w:val="24"/>
        </w:rPr>
        <w:t>Table 1: Scoring model for selecting the most attractive markets</w:t>
      </w:r>
      <w:bookmarkEnd w:id="8"/>
      <w:bookmarkEnd w:id="9"/>
      <w:bookmarkEnd w:id="10"/>
    </w:p>
    <w:p>
      <w:pPr>
        <w:spacing w:after="0" w:line="360" w:lineRule="auto"/>
        <w:jc w:val="both"/>
        <w:rPr>
          <w:rFonts w:ascii="Times New Roman" w:hAnsi="Times New Roman" w:cs="Times New Roman"/>
          <w:b/>
          <w:sz w:val="24"/>
          <w:szCs w:val="24"/>
        </w:rPr>
      </w:pPr>
    </w:p>
    <w:tbl>
      <w:tblPr>
        <w:tblStyle w:val="19"/>
        <w:tblW w:w="9076" w:type="dxa"/>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1696"/>
        <w:gridCol w:w="1176"/>
        <w:gridCol w:w="1197"/>
        <w:gridCol w:w="1197"/>
        <w:gridCol w:w="1110"/>
        <w:gridCol w:w="1284"/>
        <w:gridCol w:w="1416"/>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600" w:hRule="atLeast"/>
        </w:trPr>
        <w:tc>
          <w:tcPr>
            <w:tcW w:w="1696" w:type="dxa"/>
            <w:tcBorders>
              <w:bottom w:val="single" w:color="auto" w:sz="4" w:space="0"/>
            </w:tcBorders>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Option </w:t>
            </w:r>
          </w:p>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tc>
        <w:tc>
          <w:tcPr>
            <w:tcW w:w="1176" w:type="dxa"/>
            <w:vMerge w:val="restart"/>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Australia </w:t>
            </w:r>
          </w:p>
        </w:tc>
        <w:tc>
          <w:tcPr>
            <w:tcW w:w="1197" w:type="dxa"/>
            <w:vMerge w:val="restart"/>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India </w:t>
            </w:r>
          </w:p>
        </w:tc>
        <w:tc>
          <w:tcPr>
            <w:tcW w:w="1197" w:type="dxa"/>
            <w:vMerge w:val="restart"/>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China </w:t>
            </w:r>
          </w:p>
        </w:tc>
        <w:tc>
          <w:tcPr>
            <w:tcW w:w="1110" w:type="dxa"/>
            <w:vMerge w:val="restart"/>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Vietnam </w:t>
            </w:r>
          </w:p>
        </w:tc>
        <w:tc>
          <w:tcPr>
            <w:tcW w:w="1284" w:type="dxa"/>
            <w:vMerge w:val="restart"/>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Scotland </w:t>
            </w:r>
          </w:p>
        </w:tc>
        <w:tc>
          <w:tcPr>
            <w:tcW w:w="1416" w:type="dxa"/>
            <w:vMerge w:val="restart"/>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Importance of the criteria</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630" w:hRule="atLeast"/>
        </w:trPr>
        <w:tc>
          <w:tcPr>
            <w:tcW w:w="1696" w:type="dxa"/>
            <w:tcBorders>
              <w:top w:val="single" w:color="auto" w:sz="4" w:space="0"/>
            </w:tcBorders>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Criteria            </w:t>
            </w:r>
          </w:p>
        </w:tc>
        <w:tc>
          <w:tcPr>
            <w:tcW w:w="1176" w:type="dxa"/>
            <w:vMerge w:val="continue"/>
          </w:tcPr>
          <w:p>
            <w:pPr>
              <w:spacing w:after="0" w:line="360" w:lineRule="auto"/>
              <w:jc w:val="both"/>
              <w:rPr>
                <w:rFonts w:ascii="Times New Roman" w:hAnsi="Times New Roman" w:cs="Times New Roman"/>
                <w:b/>
                <w:sz w:val="24"/>
                <w:szCs w:val="24"/>
              </w:rPr>
            </w:pPr>
          </w:p>
        </w:tc>
        <w:tc>
          <w:tcPr>
            <w:tcW w:w="1197" w:type="dxa"/>
            <w:vMerge w:val="continue"/>
          </w:tcPr>
          <w:p>
            <w:pPr>
              <w:spacing w:after="0" w:line="360" w:lineRule="auto"/>
              <w:jc w:val="both"/>
              <w:rPr>
                <w:rFonts w:ascii="Times New Roman" w:hAnsi="Times New Roman" w:cs="Times New Roman"/>
                <w:b/>
                <w:sz w:val="24"/>
                <w:szCs w:val="24"/>
              </w:rPr>
            </w:pPr>
          </w:p>
        </w:tc>
        <w:tc>
          <w:tcPr>
            <w:tcW w:w="1197" w:type="dxa"/>
            <w:vMerge w:val="continue"/>
          </w:tcPr>
          <w:p>
            <w:pPr>
              <w:spacing w:after="0" w:line="360" w:lineRule="auto"/>
              <w:jc w:val="both"/>
              <w:rPr>
                <w:rFonts w:ascii="Times New Roman" w:hAnsi="Times New Roman" w:cs="Times New Roman"/>
                <w:b/>
                <w:sz w:val="24"/>
                <w:szCs w:val="24"/>
              </w:rPr>
            </w:pPr>
          </w:p>
        </w:tc>
        <w:tc>
          <w:tcPr>
            <w:tcW w:w="1110" w:type="dxa"/>
            <w:vMerge w:val="continue"/>
          </w:tcPr>
          <w:p>
            <w:pPr>
              <w:spacing w:after="0" w:line="360" w:lineRule="auto"/>
              <w:jc w:val="both"/>
              <w:rPr>
                <w:rFonts w:ascii="Times New Roman" w:hAnsi="Times New Roman" w:cs="Times New Roman"/>
                <w:b/>
                <w:sz w:val="24"/>
                <w:szCs w:val="24"/>
              </w:rPr>
            </w:pPr>
          </w:p>
        </w:tc>
        <w:tc>
          <w:tcPr>
            <w:tcW w:w="1284" w:type="dxa"/>
            <w:vMerge w:val="continue"/>
          </w:tcPr>
          <w:p>
            <w:pPr>
              <w:spacing w:after="0" w:line="360" w:lineRule="auto"/>
              <w:jc w:val="both"/>
              <w:rPr>
                <w:rFonts w:ascii="Times New Roman" w:hAnsi="Times New Roman" w:cs="Times New Roman"/>
                <w:b/>
                <w:sz w:val="24"/>
                <w:szCs w:val="24"/>
              </w:rPr>
            </w:pPr>
          </w:p>
        </w:tc>
        <w:tc>
          <w:tcPr>
            <w:tcW w:w="1416" w:type="dxa"/>
            <w:vMerge w:val="continue"/>
          </w:tcPr>
          <w:p>
            <w:pPr>
              <w:spacing w:after="0" w:line="360" w:lineRule="auto"/>
              <w:jc w:val="both"/>
              <w:rPr>
                <w:rFonts w:ascii="Times New Roman" w:hAnsi="Times New Roman" w:cs="Times New Roman"/>
                <w:b/>
                <w:sz w:val="24"/>
                <w:szCs w:val="24"/>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69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Growth rate </w:t>
            </w:r>
          </w:p>
        </w:tc>
        <w:tc>
          <w:tcPr>
            <w:tcW w:w="1176"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97"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197"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28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41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Medium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69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Market size </w:t>
            </w:r>
          </w:p>
        </w:tc>
        <w:tc>
          <w:tcPr>
            <w:tcW w:w="1176"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197"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97"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1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28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41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Medium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69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Demography </w:t>
            </w:r>
          </w:p>
        </w:tc>
        <w:tc>
          <w:tcPr>
            <w:tcW w:w="1176"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97"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197"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11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28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41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Medium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69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Competition </w:t>
            </w:r>
          </w:p>
        </w:tc>
        <w:tc>
          <w:tcPr>
            <w:tcW w:w="1176"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197"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97"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1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28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41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High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69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Government rules for entry</w:t>
            </w:r>
          </w:p>
        </w:tc>
        <w:tc>
          <w:tcPr>
            <w:tcW w:w="1176"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197"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97"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28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41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Low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69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Consumer demand </w:t>
            </w:r>
          </w:p>
        </w:tc>
        <w:tc>
          <w:tcPr>
            <w:tcW w:w="1176"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197"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197"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1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128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41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High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69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Local production </w:t>
            </w:r>
          </w:p>
        </w:tc>
        <w:tc>
          <w:tcPr>
            <w:tcW w:w="1176"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1197"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97"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28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41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Low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69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Infrastructure </w:t>
            </w:r>
          </w:p>
        </w:tc>
        <w:tc>
          <w:tcPr>
            <w:tcW w:w="1176"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97"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197"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1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28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41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Medium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69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Overall evaluation </w:t>
            </w:r>
          </w:p>
        </w:tc>
        <w:tc>
          <w:tcPr>
            <w:tcW w:w="117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22</w:t>
            </w:r>
          </w:p>
        </w:tc>
        <w:tc>
          <w:tcPr>
            <w:tcW w:w="1197"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20</w:t>
            </w:r>
          </w:p>
        </w:tc>
        <w:tc>
          <w:tcPr>
            <w:tcW w:w="1197"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21</w:t>
            </w:r>
          </w:p>
        </w:tc>
        <w:tc>
          <w:tcPr>
            <w:tcW w:w="1110"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18</w:t>
            </w:r>
          </w:p>
        </w:tc>
        <w:tc>
          <w:tcPr>
            <w:tcW w:w="1284"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18</w:t>
            </w:r>
          </w:p>
        </w:tc>
        <w:tc>
          <w:tcPr>
            <w:tcW w:w="1416" w:type="dxa"/>
          </w:tcPr>
          <w:p>
            <w:pPr>
              <w:spacing w:after="0" w:line="360" w:lineRule="auto"/>
              <w:jc w:val="both"/>
              <w:rPr>
                <w:rFonts w:ascii="Times New Roman" w:hAnsi="Times New Roman" w:cs="Times New Roman"/>
                <w:b/>
                <w:sz w:val="24"/>
                <w:szCs w:val="24"/>
              </w:rPr>
            </w:pPr>
          </w:p>
        </w:tc>
      </w:tr>
    </w:tbl>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Scores: 4</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very positive, 3</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positive, 2</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negative, 1= very negative</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top 3 potential markets for entry of Tomos Watkins Brewery according to the scoring evaluation model are Australia (22), China (21), and India (20).</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pStyle w:val="2"/>
        <w:spacing w:line="360" w:lineRule="auto"/>
        <w:jc w:val="both"/>
        <w:rPr>
          <w:rFonts w:ascii="Times New Roman" w:hAnsi="Times New Roman" w:cs="Times New Roman"/>
          <w:sz w:val="24"/>
          <w:szCs w:val="24"/>
        </w:rPr>
      </w:pPr>
    </w:p>
    <w:p/>
    <w:p>
      <w:pPr>
        <w:pStyle w:val="2"/>
        <w:spacing w:line="360" w:lineRule="auto"/>
        <w:jc w:val="both"/>
        <w:rPr>
          <w:rFonts w:ascii="Times New Roman" w:hAnsi="Times New Roman" w:cs="Times New Roman"/>
          <w:sz w:val="24"/>
          <w:szCs w:val="24"/>
        </w:rPr>
      </w:pPr>
      <w:bookmarkStart w:id="11" w:name="_Toc7189"/>
      <w:r>
        <w:rPr>
          <w:rFonts w:ascii="Times New Roman" w:hAnsi="Times New Roman" w:cs="Times New Roman"/>
          <w:color w:val="auto"/>
          <w:sz w:val="24"/>
          <w:szCs w:val="24"/>
        </w:rPr>
        <w:t>3.0 Market entry options evaluation</w:t>
      </w:r>
      <w:bookmarkEnd w:id="11"/>
    </w:p>
    <w:p>
      <w:pPr>
        <w:pStyle w:val="4"/>
        <w:rPr>
          <w:rFonts w:ascii="Times New Roman" w:hAnsi="Times New Roman" w:cs="Times New Roman"/>
          <w:color w:val="auto"/>
          <w:sz w:val="24"/>
          <w:szCs w:val="24"/>
        </w:rPr>
      </w:pPr>
      <w:bookmarkStart w:id="12" w:name="_Toc2317822"/>
      <w:bookmarkStart w:id="13" w:name="_Toc2317586"/>
    </w:p>
    <w:p>
      <w:pPr>
        <w:pStyle w:val="4"/>
        <w:rPr>
          <w:rFonts w:ascii="Times New Roman" w:hAnsi="Times New Roman" w:cs="Times New Roman"/>
          <w:color w:val="auto"/>
          <w:sz w:val="24"/>
          <w:szCs w:val="24"/>
        </w:rPr>
      </w:pPr>
      <w:bookmarkStart w:id="14" w:name="_Toc23383"/>
      <w:r>
        <w:rPr>
          <w:rFonts w:ascii="Times New Roman" w:hAnsi="Times New Roman" w:cs="Times New Roman"/>
          <w:color w:val="auto"/>
          <w:sz w:val="24"/>
          <w:szCs w:val="24"/>
        </w:rPr>
        <w:t>Table 2: Scoring model for selecting market entry mode</w:t>
      </w:r>
      <w:bookmarkEnd w:id="12"/>
      <w:bookmarkEnd w:id="13"/>
      <w:bookmarkEnd w:id="14"/>
    </w:p>
    <w:p>
      <w:pPr>
        <w:spacing w:after="0" w:line="360" w:lineRule="auto"/>
        <w:jc w:val="both"/>
        <w:rPr>
          <w:rFonts w:ascii="Times New Roman" w:hAnsi="Times New Roman" w:cs="Times New Roman"/>
          <w:sz w:val="24"/>
          <w:szCs w:val="24"/>
        </w:rPr>
      </w:pPr>
    </w:p>
    <w:tbl>
      <w:tblPr>
        <w:tblStyle w:val="19"/>
        <w:tblW w:w="10458" w:type="dxa"/>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2328"/>
        <w:gridCol w:w="1455"/>
        <w:gridCol w:w="1290"/>
        <w:gridCol w:w="1275"/>
        <w:gridCol w:w="1530"/>
        <w:gridCol w:w="1170"/>
        <w:gridCol w:w="1410"/>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420" w:hRule="atLeast"/>
        </w:trPr>
        <w:tc>
          <w:tcPr>
            <w:tcW w:w="2328" w:type="dxa"/>
            <w:vMerge w:val="restart"/>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Criteria </w:t>
            </w:r>
          </w:p>
        </w:tc>
        <w:tc>
          <w:tcPr>
            <w:tcW w:w="1455" w:type="dxa"/>
            <w:vMerge w:val="restart"/>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Importance of criteria</w:t>
            </w:r>
          </w:p>
        </w:tc>
        <w:tc>
          <w:tcPr>
            <w:tcW w:w="6675" w:type="dxa"/>
            <w:gridSpan w:val="5"/>
            <w:tcBorders>
              <w:bottom w:val="single" w:color="auto" w:sz="4" w:space="0"/>
            </w:tcBorders>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Entry options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405" w:hRule="atLeast"/>
        </w:trPr>
        <w:tc>
          <w:tcPr>
            <w:tcW w:w="2328" w:type="dxa"/>
            <w:vMerge w:val="continue"/>
          </w:tcPr>
          <w:p>
            <w:pPr>
              <w:spacing w:after="0" w:line="360" w:lineRule="auto"/>
              <w:jc w:val="both"/>
              <w:rPr>
                <w:rFonts w:ascii="Times New Roman" w:hAnsi="Times New Roman" w:cs="Times New Roman"/>
                <w:b/>
                <w:sz w:val="24"/>
                <w:szCs w:val="24"/>
              </w:rPr>
            </w:pPr>
          </w:p>
        </w:tc>
        <w:tc>
          <w:tcPr>
            <w:tcW w:w="1455" w:type="dxa"/>
            <w:vMerge w:val="continue"/>
          </w:tcPr>
          <w:p>
            <w:pPr>
              <w:spacing w:after="0" w:line="360" w:lineRule="auto"/>
              <w:jc w:val="both"/>
              <w:rPr>
                <w:rFonts w:ascii="Times New Roman" w:hAnsi="Times New Roman" w:cs="Times New Roman"/>
                <w:b/>
                <w:sz w:val="24"/>
                <w:szCs w:val="24"/>
              </w:rPr>
            </w:pPr>
          </w:p>
        </w:tc>
        <w:tc>
          <w:tcPr>
            <w:tcW w:w="1290" w:type="dxa"/>
            <w:tcBorders>
              <w:top w:val="single" w:color="auto" w:sz="4" w:space="0"/>
            </w:tcBorders>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Direct exporting </w:t>
            </w:r>
          </w:p>
        </w:tc>
        <w:tc>
          <w:tcPr>
            <w:tcW w:w="1275" w:type="dxa"/>
            <w:tcBorders>
              <w:top w:val="single" w:color="auto" w:sz="4" w:space="0"/>
            </w:tcBorders>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Licensing </w:t>
            </w:r>
          </w:p>
        </w:tc>
        <w:tc>
          <w:tcPr>
            <w:tcW w:w="1530" w:type="dxa"/>
            <w:tcBorders>
              <w:top w:val="single" w:color="auto" w:sz="4" w:space="0"/>
            </w:tcBorders>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Franchising </w:t>
            </w:r>
          </w:p>
        </w:tc>
        <w:tc>
          <w:tcPr>
            <w:tcW w:w="1170" w:type="dxa"/>
            <w:tcBorders>
              <w:top w:val="single" w:color="auto" w:sz="4" w:space="0"/>
            </w:tcBorders>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Joint ventures </w:t>
            </w:r>
          </w:p>
        </w:tc>
        <w:tc>
          <w:tcPr>
            <w:tcW w:w="1410" w:type="dxa"/>
            <w:tcBorders>
              <w:top w:val="single" w:color="auto" w:sz="4" w:space="0"/>
            </w:tcBorders>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Partnering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232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Control over marketing </w:t>
            </w:r>
          </w:p>
        </w:tc>
        <w:tc>
          <w:tcPr>
            <w:tcW w:w="1455"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Medium  </w:t>
            </w:r>
          </w:p>
        </w:tc>
        <w:tc>
          <w:tcPr>
            <w:tcW w:w="129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p>
        </w:tc>
        <w:tc>
          <w:tcPr>
            <w:tcW w:w="1275"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53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7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4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232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Require financial resources </w:t>
            </w:r>
          </w:p>
        </w:tc>
        <w:tc>
          <w:tcPr>
            <w:tcW w:w="1455"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High </w:t>
            </w:r>
          </w:p>
        </w:tc>
        <w:tc>
          <w:tcPr>
            <w:tcW w:w="129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275"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53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17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4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232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Assess to distribution system</w:t>
            </w:r>
          </w:p>
        </w:tc>
        <w:tc>
          <w:tcPr>
            <w:tcW w:w="1455"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Medium </w:t>
            </w:r>
          </w:p>
        </w:tc>
        <w:tc>
          <w:tcPr>
            <w:tcW w:w="129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275"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53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7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4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232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Risk of knowledge dissemination </w:t>
            </w:r>
          </w:p>
        </w:tc>
        <w:tc>
          <w:tcPr>
            <w:tcW w:w="1455"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Low </w:t>
            </w:r>
          </w:p>
        </w:tc>
        <w:tc>
          <w:tcPr>
            <w:tcW w:w="129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275"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53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17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4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232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Flexible to switch mode</w:t>
            </w:r>
          </w:p>
        </w:tc>
        <w:tc>
          <w:tcPr>
            <w:tcW w:w="1455"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Medium </w:t>
            </w:r>
          </w:p>
        </w:tc>
        <w:tc>
          <w:tcPr>
            <w:tcW w:w="129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1275"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53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17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4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232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Production cost</w:t>
            </w:r>
          </w:p>
        </w:tc>
        <w:tc>
          <w:tcPr>
            <w:tcW w:w="1455"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High </w:t>
            </w:r>
          </w:p>
        </w:tc>
        <w:tc>
          <w:tcPr>
            <w:tcW w:w="129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1275"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53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7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4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232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Require management resources </w:t>
            </w:r>
          </w:p>
        </w:tc>
        <w:tc>
          <w:tcPr>
            <w:tcW w:w="1455"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Medium </w:t>
            </w:r>
          </w:p>
        </w:tc>
        <w:tc>
          <w:tcPr>
            <w:tcW w:w="129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275"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53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7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4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2328"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Overall evaluation </w:t>
            </w:r>
          </w:p>
        </w:tc>
        <w:tc>
          <w:tcPr>
            <w:tcW w:w="1455" w:type="dxa"/>
          </w:tcPr>
          <w:p>
            <w:pPr>
              <w:spacing w:after="0" w:line="360" w:lineRule="auto"/>
              <w:jc w:val="both"/>
              <w:rPr>
                <w:rFonts w:ascii="Times New Roman" w:hAnsi="Times New Roman" w:cs="Times New Roman"/>
                <w:b/>
                <w:sz w:val="24"/>
                <w:szCs w:val="24"/>
              </w:rPr>
            </w:pPr>
          </w:p>
        </w:tc>
        <w:tc>
          <w:tcPr>
            <w:tcW w:w="1290"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21</w:t>
            </w:r>
          </w:p>
        </w:tc>
        <w:tc>
          <w:tcPr>
            <w:tcW w:w="1275"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18</w:t>
            </w:r>
          </w:p>
        </w:tc>
        <w:tc>
          <w:tcPr>
            <w:tcW w:w="1530"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13</w:t>
            </w:r>
          </w:p>
        </w:tc>
        <w:tc>
          <w:tcPr>
            <w:tcW w:w="1170"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15</w:t>
            </w:r>
          </w:p>
        </w:tc>
        <w:tc>
          <w:tcPr>
            <w:tcW w:w="1410"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12</w:t>
            </w:r>
          </w:p>
        </w:tc>
      </w:tr>
    </w:tbl>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Scores: 4</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very positive, 3</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positive, 2</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negative, 1</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very negative</w:t>
      </w: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possible models from the evaluation scoring model direct exporting (21), licensing (18), and joint venture (15) are the first three entry options Tomos Watkins will use.</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possible successful modes of market entry to be applied by Tomos Watkins brewery to enter the potential new markets include direct exporting, licensing, and joint ventures. For Tomos Watkins to enter the Chinese and India market, licensing strategy is appropriate. Licensing refers to the market entry process where a foreign company acquires the rights to use the products, brand names and designs of the major competitive company in the market (Liu et al, 2016, p</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 xml:space="preserve">1). However, Tomos Watkins will grow successfully in India and China markets by applying the use of licensing strategy to enter the new markets.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other appropriate entry option is the direct exporting method which is necessary for Tomos Watkins to use in entering Australia and India markets. Direct exporting involves setting up own export organi</w:t>
      </w:r>
      <w:r>
        <w:rPr>
          <w:rFonts w:ascii="Times New Roman" w:hAnsi="Times New Roman" w:eastAsia="宋体" w:cs="Times New Roman"/>
          <w:sz w:val="24"/>
          <w:szCs w:val="24"/>
          <w:lang w:eastAsia="zh-CN"/>
        </w:rPr>
        <w:t>sation</w:t>
      </w:r>
      <w:r>
        <w:rPr>
          <w:rFonts w:ascii="Times New Roman" w:hAnsi="Times New Roman" w:cs="Times New Roman"/>
          <w:sz w:val="24"/>
          <w:szCs w:val="24"/>
        </w:rPr>
        <w:t xml:space="preserve"> and use the middleman from the foreign country to enter into that particular market. This method of entry is appropriate for Tomos Watkins since the exporter controls all the international operations (De Villa et al, 2015, p</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3). By employing this strategy while entering Australia and India market, Tomos Watkins will grow because it will get to understand the requirements in the market, thus increase in sales and profit.</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b/>
          <w:sz w:val="24"/>
          <w:szCs w:val="24"/>
        </w:rPr>
      </w:pPr>
      <w:r>
        <w:rPr>
          <w:rFonts w:ascii="Times New Roman" w:hAnsi="Times New Roman" w:cs="Times New Roman"/>
          <w:sz w:val="24"/>
          <w:szCs w:val="24"/>
        </w:rPr>
        <w:t>Finally, joint venturing is the appropriate method Tomos Watkins can use to enter the Vietnam market.  This mode of entry involves a foreign company entering into a new market by agreeing to share its equity and resources with the local company for easy entity and growth in the host market as stated by Hollender et al</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 xml:space="preserve"> (2017, p</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2). The possible joint companies include the local company, government authorities, and other recogni</w:t>
      </w:r>
      <w:r>
        <w:rPr>
          <w:rFonts w:ascii="Times New Roman" w:hAnsi="Times New Roman" w:eastAsia="宋体" w:cs="Times New Roman"/>
          <w:sz w:val="24"/>
          <w:szCs w:val="24"/>
          <w:lang w:eastAsia="zh-CN"/>
        </w:rPr>
        <w:t>s</w:t>
      </w:r>
      <w:r>
        <w:rPr>
          <w:rFonts w:ascii="Times New Roman" w:hAnsi="Times New Roman" w:cs="Times New Roman"/>
          <w:sz w:val="24"/>
          <w:szCs w:val="24"/>
        </w:rPr>
        <w:t>ed foreign companies.</w:t>
      </w:r>
    </w:p>
    <w:p>
      <w:pPr>
        <w:pStyle w:val="2"/>
        <w:spacing w:line="360" w:lineRule="auto"/>
        <w:jc w:val="both"/>
        <w:rPr>
          <w:rFonts w:ascii="Times New Roman" w:hAnsi="Times New Roman" w:cs="Times New Roman"/>
          <w:color w:val="auto"/>
          <w:sz w:val="24"/>
          <w:szCs w:val="24"/>
        </w:rPr>
      </w:pPr>
      <w:bookmarkStart w:id="15" w:name="_Toc10637"/>
      <w:r>
        <w:rPr>
          <w:rFonts w:ascii="Times New Roman" w:hAnsi="Times New Roman" w:cs="Times New Roman"/>
          <w:color w:val="auto"/>
          <w:sz w:val="24"/>
          <w:szCs w:val="24"/>
        </w:rPr>
        <w:t>4.0 Conclusion</w:t>
      </w:r>
      <w:bookmarkEnd w:id="15"/>
      <w:r>
        <w:rPr>
          <w:rFonts w:ascii="Times New Roman" w:hAnsi="Times New Roman" w:cs="Times New Roman"/>
          <w:color w:val="auto"/>
          <w:sz w:val="24"/>
          <w:szCs w:val="24"/>
        </w:rPr>
        <w:t xml:space="preserve"> </w:t>
      </w:r>
    </w:p>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Entering new markets is an area of interest within the beer production industry internationally. Brewery companies consider meeting the satisfactory needs of its clients and thus adhering to the set rules that govern the industry (Mathias et al, 2018, p</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12). The reasons for entering new markets such as the need to influence growth through increased sales and profits play a major role in forcing Tomos Watkins Brewery to consider venturing into foreign markets. The major factors associated with selection of appropriate entry mode include the flexibility of the mode, company’s resources and objectives; the level of competition in the new market, and the possible risks affect the selection process of entry modes. The appropriate options for entry include the direct exporting method, joint venture, and licensing strategies. Every mode of the market selected depends on the type of potential market suitable for foreign investors. The growth rate, government regulations, level of competition, and consumption behavior in different markets determines the mode of market entry to be applied by a particular company.</w:t>
      </w:r>
    </w:p>
    <w:p>
      <w:pPr>
        <w:jc w:val="both"/>
        <w:rPr>
          <w:rFonts w:ascii="Times New Roman" w:hAnsi="Times New Roman" w:cs="Times New Roman"/>
          <w:b/>
          <w:sz w:val="24"/>
          <w:szCs w:val="24"/>
        </w:rPr>
      </w:pPr>
      <w:r>
        <w:rPr>
          <w:rFonts w:hint="eastAsia" w:ascii="Times New Roman" w:hAnsi="Times New Roman" w:eastAsia="宋体" w:cs="Times New Roman"/>
          <w:b/>
          <w:sz w:val="24"/>
          <w:szCs w:val="24"/>
          <w:lang w:val="en-US" w:eastAsia="zh-CN"/>
        </w:rPr>
        <w:t>5.0</w:t>
      </w:r>
      <w:r>
        <w:rPr>
          <w:rFonts w:ascii="Times New Roman" w:hAnsi="Times New Roman" w:cs="Times New Roman"/>
          <w:b/>
          <w:sz w:val="24"/>
          <w:szCs w:val="24"/>
        </w:rPr>
        <w:t xml:space="preserve"> Recommendations</w:t>
      </w:r>
    </w:p>
    <w:p>
      <w:pPr>
        <w:jc w:val="both"/>
        <w:rPr>
          <w:rFonts w:ascii="Times New Roman" w:hAnsi="Times New Roman" w:cs="Times New Roman"/>
          <w:b/>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first recommendation is that it is appropriate for the management of Tomos Watkins to enter the Australian market having a scoring rate of 22, as a potential market by employing the direct exporting method with the ratings of 21,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strategy. The course of action required is to select the middleman from Australia market with the knowledge in the brewery industry. On the other hand, Tomos Watkins is required to initiate marketing promotion in India and Australian market, thus creating strong brand awareness and association. This will help potential consumers gain trust in the company and the brand resulting in increased purchase rate. Tomos Watkins is required to produce quality beer products after understanding the consumer requirements, to meet the satisfactory needs in the market. The market is applicable for entry of Tomos Watkins because there is high demand of beer products; consumers want to shift from industrial alcohol to beer products, and that the growth rate in the market is attracting.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addition, Tomos Watkins is required to use the joint venturing strategy also to enter the Australian market because it has the ratings of 15; the 3</w:t>
      </w:r>
      <w:r>
        <w:rPr>
          <w:rFonts w:ascii="Times New Roman" w:hAnsi="Times New Roman" w:cs="Times New Roman"/>
          <w:sz w:val="24"/>
          <w:szCs w:val="24"/>
          <w:vertAlign w:val="superscript"/>
        </w:rPr>
        <w:t>rd</w:t>
      </w:r>
      <w:r>
        <w:rPr>
          <w:rFonts w:ascii="Times New Roman" w:hAnsi="Times New Roman" w:cs="Times New Roman"/>
          <w:sz w:val="24"/>
          <w:szCs w:val="24"/>
        </w:rPr>
        <w:t xml:space="preserve"> strategy in the scoring evaluation model. Australian market is necessary for entry because beer production is rising and the government is allowing foreign investors to invest with them. Tomos Watkins is required to contract with Australia local beer companies and government authorities in order to fill the gap of beer demands in Australian market.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Secondly, it is appropriate for Tomos Watkins Brewery to use the </w:t>
      </w:r>
      <w:r>
        <w:rPr>
          <w:rFonts w:ascii="Times New Roman" w:hAnsi="Times New Roman" w:eastAsia="宋体" w:cs="Times New Roman"/>
          <w:sz w:val="24"/>
          <w:szCs w:val="24"/>
          <w:lang w:eastAsia="zh-CN"/>
        </w:rPr>
        <w:t>l</w:t>
      </w:r>
      <w:r>
        <w:rPr>
          <w:rFonts w:ascii="Times New Roman" w:hAnsi="Times New Roman" w:cs="Times New Roman"/>
          <w:sz w:val="24"/>
          <w:szCs w:val="24"/>
        </w:rPr>
        <w:t>icensing strategy; with high scoring rate of 18,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strategy to enter the Chinese and India market having the scoring rate of 21 aand 20 respectively. The company is required to use Tsingtao brand name and design to sell its products to the consumers because it is well recognized in the Chinese brewery markets. Whereas, Kingfisher brewery brand name to be used while entering the India market. The brand names will help Tomos Watkins sell its products successful in the black markets. The other course of action for the management to focus on is adhering to the rules and regulations of India and China. Sales rate for Tomos Watkins will increase because the potential customers will consider the product as well-known brands to purchase. in addition, licensing strategy is flexible considering that Tomos Watkins Brewery Company wants to grow on its own, it will easier shift and create a new brand image. This is because; it will have already won the interest of customers in the market.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pStyle w:val="2"/>
        <w:spacing w:line="240" w:lineRule="auto"/>
        <w:jc w:val="both"/>
        <w:rPr>
          <w:rFonts w:ascii="Times New Roman" w:hAnsi="Times New Roman" w:cs="Times New Roman"/>
          <w:color w:val="auto"/>
          <w:sz w:val="24"/>
          <w:szCs w:val="24"/>
        </w:rPr>
      </w:pPr>
      <w:bookmarkStart w:id="16" w:name="_Toc6123"/>
      <w:r>
        <w:rPr>
          <w:rFonts w:ascii="Times New Roman" w:hAnsi="Times New Roman" w:cs="Times New Roman"/>
          <w:color w:val="auto"/>
          <w:sz w:val="24"/>
          <w:szCs w:val="24"/>
        </w:rPr>
        <w:t>References List</w:t>
      </w:r>
      <w:bookmarkEnd w:id="16"/>
    </w:p>
    <w:p>
      <w:pPr>
        <w:spacing w:after="0" w:line="240" w:lineRule="auto"/>
        <w:ind w:left="720" w:hanging="720"/>
        <w:jc w:val="both"/>
        <w:rPr>
          <w:rFonts w:ascii="Times New Roman" w:hAnsi="Times New Roman" w:cs="Times New Roman"/>
          <w:sz w:val="24"/>
          <w:szCs w:val="24"/>
          <w:shd w:val="clear" w:color="auto" w:fill="FFFFFF"/>
        </w:rPr>
      </w:pPr>
    </w:p>
    <w:p>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Bao, A</w:t>
      </w:r>
      <w:r>
        <w:rPr>
          <w:rFonts w:ascii="Times New Roman" w:hAnsi="Times New Roman" w:eastAsia="宋体" w:cs="Times New Roman"/>
          <w:sz w:val="24"/>
          <w:szCs w:val="24"/>
          <w:shd w:val="clear" w:color="auto" w:fill="FFFFFF"/>
          <w:lang w:eastAsia="zh-CN"/>
        </w:rPr>
        <w:t>. (</w:t>
      </w:r>
      <w:r>
        <w:rPr>
          <w:rFonts w:ascii="Times New Roman" w:hAnsi="Times New Roman" w:cs="Times New Roman"/>
          <w:sz w:val="24"/>
          <w:szCs w:val="24"/>
          <w:shd w:val="clear" w:color="auto" w:fill="FFFFFF"/>
        </w:rPr>
        <w:t>2018</w:t>
      </w:r>
      <w:r>
        <w:rPr>
          <w:rFonts w:ascii="Times New Roman" w:hAnsi="Times New Roman" w:eastAsia="宋体" w:cs="Times New Roman"/>
          <w:sz w:val="24"/>
          <w:szCs w:val="24"/>
          <w:shd w:val="clear" w:color="auto" w:fill="FFFFFF"/>
          <w:lang w:eastAsia="zh-CN"/>
        </w:rPr>
        <w:t>)</w:t>
      </w:r>
      <w:r>
        <w:rPr>
          <w:rFonts w:hint="eastAsia" w:ascii="Times New Roman" w:hAnsi="Times New Roman" w:eastAsia="宋体" w:cs="Times New Roman"/>
          <w:sz w:val="24"/>
          <w:szCs w:val="24"/>
          <w:shd w:val="clear" w:color="auto" w:fill="FFFFFF"/>
          <w:lang w:val="en-US" w:eastAsia="zh-CN"/>
        </w:rPr>
        <w:t xml:space="preserve"> </w:t>
      </w:r>
      <w:r>
        <w:rPr>
          <w:rFonts w:ascii="Times New Roman" w:hAnsi="Times New Roman" w:cs="Times New Roman"/>
          <w:i/>
          <w:sz w:val="24"/>
          <w:szCs w:val="24"/>
          <w:shd w:val="clear" w:color="auto" w:fill="FFFFFF"/>
        </w:rPr>
        <w:t>Opportunities for brewing in China’s craft beer industry</w:t>
      </w:r>
      <w:r>
        <w:rPr>
          <w:rFonts w:ascii="Times New Roman" w:hAnsi="Times New Roman" w:cs="Times New Roman"/>
          <w:sz w:val="24"/>
          <w:szCs w:val="24"/>
          <w:shd w:val="clear" w:color="auto" w:fill="FFFFFF"/>
        </w:rPr>
        <w:t xml:space="preserve"> [Online]. Available at: </w:t>
      </w:r>
      <w:r>
        <w:fldChar w:fldCharType="begin"/>
      </w:r>
      <w:r>
        <w:instrText xml:space="preserve"> HYPERLINK "https://www.google.com/url?sa=t&amp;rct=j&amp;q=&amp;esrc=s&amp;source=web&amp;cd=4&amp;cad=rja&amp;uact=8&amp;ved=2ahUKEwjH7YSw4N3gAhVLZFAKHZHOBqYQFjADegQIBRAB&amp;url=https%3A%2F%2Fwww.eastwestbank.com%2FReachFurther%2FNews%2FArticle%2FOpportunities-are-Brewing-in-China-Craft-Beer-Industry&amp;usg=AOvVaw2WLafrftYWr1IdhGLYlomW" </w:instrText>
      </w:r>
      <w:r>
        <w:fldChar w:fldCharType="separate"/>
      </w:r>
      <w:r>
        <w:rPr>
          <w:rStyle w:val="15"/>
          <w:rFonts w:ascii="Times New Roman" w:hAnsi="Times New Roman" w:cs="Times New Roman"/>
          <w:sz w:val="24"/>
          <w:szCs w:val="24"/>
          <w:shd w:val="clear" w:color="auto" w:fill="FFFFFF"/>
        </w:rPr>
        <w:t>https://www.google.com/url?sa=t&amp;rct=j&amp;q=&amp;esrc=s&amp;source=web&amp;cd=4&amp;cad=rja&amp;uact=8&amp;ved=2ahUKEwjH7YSw4N3gAhVLZFAKHZHOBqYQFjADegQIBRAB&amp;url=https%3A%2F%2Fwww.eastwestbank.com%2FReachFurther%2FNews%2FArticle%2FOpportunities-are-Brewing-in-China-Craft-Beer-Industry&amp;usg=AOvVaw2WLafrftYWr1IdhGLYlomW</w:t>
      </w:r>
      <w:r>
        <w:rPr>
          <w:rStyle w:val="15"/>
          <w:rFonts w:ascii="Times New Roman" w:hAnsi="Times New Roman" w:cs="Times New Roman"/>
          <w:sz w:val="24"/>
          <w:szCs w:val="24"/>
          <w:shd w:val="clear" w:color="auto" w:fill="FFFFFF"/>
        </w:rPr>
        <w:fldChar w:fldCharType="end"/>
      </w:r>
      <w:r>
        <w:rPr>
          <w:rFonts w:ascii="Times New Roman" w:hAnsi="Times New Roman" w:cs="Times New Roman"/>
          <w:sz w:val="24"/>
          <w:szCs w:val="24"/>
          <w:shd w:val="clear" w:color="auto" w:fill="FFFFFF"/>
        </w:rPr>
        <w:t xml:space="preserve"> (Accessed on 26</w:t>
      </w:r>
      <w:r>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February, 2019)</w:t>
      </w:r>
    </w:p>
    <w:p>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Belu, M. and Caragin, A.R</w:t>
      </w:r>
      <w:r>
        <w:rPr>
          <w:rFonts w:ascii="Times New Roman" w:hAnsi="Times New Roman" w:eastAsia="宋体" w:cs="Times New Roman"/>
          <w:sz w:val="24"/>
          <w:szCs w:val="24"/>
          <w:shd w:val="clear" w:color="auto" w:fill="FFFFFF"/>
          <w:lang w:eastAsia="zh-CN"/>
        </w:rPr>
        <w:t>. (</w:t>
      </w:r>
      <w:r>
        <w:rPr>
          <w:rFonts w:ascii="Times New Roman" w:hAnsi="Times New Roman" w:cs="Times New Roman"/>
          <w:sz w:val="24"/>
          <w:szCs w:val="24"/>
          <w:shd w:val="clear" w:color="auto" w:fill="FFFFFF"/>
        </w:rPr>
        <w:t>2008</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Strategies of entering new markets. </w:t>
      </w:r>
      <w:r>
        <w:rPr>
          <w:rFonts w:ascii="Times New Roman" w:hAnsi="Times New Roman" w:cs="Times New Roman"/>
          <w:i/>
          <w:iCs/>
          <w:sz w:val="24"/>
          <w:szCs w:val="24"/>
          <w:shd w:val="clear" w:color="auto" w:fill="FFFFFF"/>
        </w:rPr>
        <w:t>The Romanian Economic Journal</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11</w:t>
      </w:r>
      <w:r>
        <w:rPr>
          <w:rFonts w:ascii="Times New Roman" w:hAnsi="Times New Roman" w:cs="Times New Roman"/>
          <w:sz w:val="24"/>
          <w:szCs w:val="24"/>
          <w:shd w:val="clear" w:color="auto" w:fill="FFFFFF"/>
        </w:rPr>
        <w:t>(27), pp.83-98.</w:t>
      </w:r>
    </w:p>
    <w:p>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Berry-Stölzle, T.R., Hoyt, R.E. and Wende, S.</w:t>
      </w:r>
      <w:r>
        <w:rPr>
          <w:rFonts w:hint="eastAsia" w:ascii="Times New Roman" w:hAnsi="Times New Roman" w:eastAsia="宋体" w:cs="Times New Roman"/>
          <w:sz w:val="24"/>
          <w:szCs w:val="24"/>
          <w:shd w:val="clear" w:color="auto" w:fill="FFFFFF"/>
          <w:lang w:val="en-US" w:eastAsia="zh-CN"/>
        </w:rPr>
        <w:t xml:space="preserve"> </w:t>
      </w:r>
      <w:r>
        <w:rPr>
          <w:rFonts w:ascii="Times New Roman" w:hAnsi="Times New Roman" w:cs="Times New Roman"/>
          <w:sz w:val="24"/>
          <w:szCs w:val="24"/>
          <w:shd w:val="clear" w:color="auto" w:fill="FFFFFF"/>
        </w:rPr>
        <w:t>(2010</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Successful business strategies for insurers entering and growing in emerging markets. </w:t>
      </w:r>
      <w:r>
        <w:rPr>
          <w:rFonts w:ascii="Times New Roman" w:hAnsi="Times New Roman" w:cs="Times New Roman"/>
          <w:i/>
          <w:iCs/>
          <w:sz w:val="24"/>
          <w:szCs w:val="24"/>
          <w:shd w:val="clear" w:color="auto" w:fill="FFFFFF"/>
        </w:rPr>
        <w:t>The Geneva Papers on Risk and Insurance-Issues and Practice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35</w:t>
      </w:r>
      <w:r>
        <w:rPr>
          <w:rFonts w:ascii="Times New Roman" w:hAnsi="Times New Roman" w:cs="Times New Roman"/>
          <w:sz w:val="24"/>
          <w:szCs w:val="24"/>
          <w:shd w:val="clear" w:color="auto" w:fill="FFFFFF"/>
        </w:rPr>
        <w:t>(1), pp.110-128.</w:t>
      </w:r>
    </w:p>
    <w:p>
      <w:pPr>
        <w:spacing w:after="0" w:line="24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Carol, Y.Z., Federico, G. and Thomas, M.B.</w:t>
      </w:r>
      <w:r>
        <w:rPr>
          <w:rFonts w:hint="eastAsia" w:ascii="Times New Roman" w:hAnsi="Times New Roman" w:eastAsia="宋体" w:cs="Times New Roman"/>
          <w:color w:val="222222"/>
          <w:sz w:val="24"/>
          <w:szCs w:val="24"/>
          <w:shd w:val="clear" w:color="auto" w:fill="FFFFFF"/>
          <w:lang w:val="en-US" w:eastAsia="zh-CN"/>
        </w:rPr>
        <w:t xml:space="preserve"> (</w:t>
      </w:r>
      <w:r>
        <w:rPr>
          <w:rFonts w:ascii="Times New Roman" w:hAnsi="Times New Roman" w:cs="Times New Roman"/>
          <w:color w:val="222222"/>
          <w:sz w:val="24"/>
          <w:szCs w:val="24"/>
          <w:shd w:val="clear" w:color="auto" w:fill="FFFFFF"/>
        </w:rPr>
        <w:t>2015</w:t>
      </w:r>
      <w:r>
        <w:rPr>
          <w:rFonts w:hint="eastAsia" w:ascii="Times New Roman" w:hAnsi="Times New Roman" w:eastAsia="宋体"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 xml:space="preserve"> Competitiveness in a saturated market. A case study of the Scottish craft beer industry. </w:t>
      </w:r>
      <w:r>
        <w:rPr>
          <w:rFonts w:ascii="Times New Roman" w:hAnsi="Times New Roman" w:cs="Times New Roman"/>
          <w:i/>
          <w:iCs/>
          <w:color w:val="222222"/>
          <w:sz w:val="24"/>
          <w:szCs w:val="24"/>
          <w:shd w:val="clear" w:color="auto" w:fill="FFFFFF"/>
        </w:rPr>
        <w:t>International Journal of Business and Social Science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w:t>
      </w:r>
      <w:r>
        <w:rPr>
          <w:rFonts w:ascii="Times New Roman" w:hAnsi="Times New Roman" w:cs="Times New Roman"/>
          <w:color w:val="222222"/>
          <w:sz w:val="24"/>
          <w:szCs w:val="24"/>
          <w:shd w:val="clear" w:color="auto" w:fill="FFFFFF"/>
        </w:rPr>
        <w:t>(8).</w:t>
      </w:r>
    </w:p>
    <w:p>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De Villa, M.A., Rajwani, T. and Lawton, T.</w:t>
      </w:r>
      <w:r>
        <w:rPr>
          <w:rFonts w:hint="eastAsia" w:ascii="Times New Roman" w:hAnsi="Times New Roman" w:eastAsia="宋体" w:cs="Times New Roman"/>
          <w:sz w:val="24"/>
          <w:szCs w:val="24"/>
          <w:shd w:val="clear" w:color="auto" w:fill="FFFFFF"/>
          <w:lang w:val="en-US" w:eastAsia="zh-CN"/>
        </w:rPr>
        <w:t xml:space="preserve"> </w:t>
      </w:r>
      <w:r>
        <w:rPr>
          <w:rFonts w:ascii="Times New Roman" w:hAnsi="Times New Roman" w:cs="Times New Roman"/>
          <w:sz w:val="24"/>
          <w:szCs w:val="24"/>
          <w:shd w:val="clear" w:color="auto" w:fill="FFFFFF"/>
        </w:rPr>
        <w:t>(2015</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Market entry modes in a multipolar world: Untangling the moderating effect of the political environment. </w:t>
      </w:r>
      <w:r>
        <w:rPr>
          <w:rFonts w:ascii="Times New Roman" w:hAnsi="Times New Roman" w:cs="Times New Roman"/>
          <w:i/>
          <w:iCs/>
          <w:sz w:val="24"/>
          <w:szCs w:val="24"/>
          <w:shd w:val="clear" w:color="auto" w:fill="FFFFFF"/>
        </w:rPr>
        <w:t>International Business Review</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24</w:t>
      </w:r>
      <w:r>
        <w:rPr>
          <w:rFonts w:ascii="Times New Roman" w:hAnsi="Times New Roman" w:cs="Times New Roman"/>
          <w:sz w:val="24"/>
          <w:szCs w:val="24"/>
          <w:shd w:val="clear" w:color="auto" w:fill="FFFFFF"/>
        </w:rPr>
        <w:t>(3), pp.419-429.</w:t>
      </w:r>
    </w:p>
    <w:p>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Dixit, N</w:t>
      </w:r>
      <w:r>
        <w:rPr>
          <w:rFonts w:ascii="Times New Roman" w:hAnsi="Times New Roman" w:eastAsia="宋体" w:cs="Times New Roman"/>
          <w:sz w:val="24"/>
          <w:szCs w:val="24"/>
          <w:shd w:val="clear" w:color="auto" w:fill="FFFFFF"/>
          <w:lang w:eastAsia="zh-CN"/>
        </w:rPr>
        <w:t>. (</w:t>
      </w:r>
      <w:r>
        <w:rPr>
          <w:rFonts w:ascii="Times New Roman" w:hAnsi="Times New Roman" w:cs="Times New Roman"/>
          <w:sz w:val="24"/>
          <w:szCs w:val="24"/>
          <w:shd w:val="clear" w:color="auto" w:fill="FFFFFF"/>
        </w:rPr>
        <w:t>2015</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Beer markets in the Asia Pacific: investment opportunities and challenges. </w:t>
      </w:r>
      <w:r>
        <w:rPr>
          <w:rFonts w:ascii="Times New Roman" w:hAnsi="Times New Roman" w:cs="Times New Roman"/>
          <w:i/>
          <w:sz w:val="24"/>
          <w:szCs w:val="24"/>
          <w:shd w:val="clear" w:color="auto" w:fill="FFFFFF"/>
        </w:rPr>
        <w:t xml:space="preserve">Asia Briefing </w:t>
      </w:r>
      <w:r>
        <w:rPr>
          <w:rFonts w:ascii="Times New Roman" w:hAnsi="Times New Roman" w:cs="Times New Roman"/>
          <w:sz w:val="24"/>
          <w:szCs w:val="24"/>
          <w:shd w:val="clear" w:color="auto" w:fill="FFFFFF"/>
        </w:rPr>
        <w:t xml:space="preserve">[Online]. Available at: </w:t>
      </w:r>
      <w:r>
        <w:fldChar w:fldCharType="begin"/>
      </w:r>
      <w:r>
        <w:instrText xml:space="preserve"> HYPERLINK "https://www.google.com/url?sa=t&amp;rct=j&amp;q=&amp;esrc=s&amp;source=web&amp;cd=1&amp;cad=rja&amp;uact=8&amp;ved=2ahUKEwitwp3g2d3gAhVs1eAKHbiMDGgQFjAAegQIChAB&amp;url=http%3A%2F%2Fwww.asiabriefing.com%2Fnews%2F2015%2F04%2Fbeer-markets-in-the-asia-pacific-investment-opportunities-and-challenges%2F&amp;usg=AOvVaw2k-LaSCMPkWLYfXRWWzA_o" </w:instrText>
      </w:r>
      <w:r>
        <w:fldChar w:fldCharType="separate"/>
      </w:r>
      <w:r>
        <w:rPr>
          <w:rStyle w:val="16"/>
          <w:rFonts w:ascii="Times New Roman" w:hAnsi="Times New Roman" w:cs="Times New Roman"/>
          <w:sz w:val="24"/>
          <w:szCs w:val="24"/>
          <w:shd w:val="clear" w:color="auto" w:fill="FFFFFF"/>
        </w:rPr>
        <w:t>https://www.google.com/url?sa=t&amp;rct=j&amp;q=&amp;esrc=s&amp;source=web&amp;cd=1&amp;cad=rja&amp;uact=8&amp;ved=2ahUKEwitwp3g2d3gAhVs1eAKHbiMDGgQFjAAegQIChAB&amp;url=http%3A%2F%2Fwww.asiabriefing.com%2Fnews%2F2015%2F04%2Fbeer-markets-in-the-asia-pacific-investment-opportunities-and-challenges%2F&amp;usg=AOvVaw2k-LaSCMPkWLYfXRWWzA_o</w:t>
      </w:r>
      <w:r>
        <w:rPr>
          <w:rStyle w:val="16"/>
          <w:rFonts w:ascii="Times New Roman" w:hAnsi="Times New Roman" w:cs="Times New Roman"/>
          <w:sz w:val="24"/>
          <w:szCs w:val="24"/>
          <w:shd w:val="clear" w:color="auto" w:fill="FFFFFF"/>
        </w:rPr>
        <w:fldChar w:fldCharType="end"/>
      </w:r>
      <w:r>
        <w:rPr>
          <w:rFonts w:ascii="Times New Roman" w:hAnsi="Times New Roman" w:cs="Times New Roman"/>
          <w:sz w:val="24"/>
          <w:szCs w:val="24"/>
          <w:shd w:val="clear" w:color="auto" w:fill="FFFFFF"/>
        </w:rPr>
        <w:t xml:space="preserve"> (Accessed on 26</w:t>
      </w:r>
      <w:r>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February, 2019)</w:t>
      </w:r>
    </w:p>
    <w:p>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Donaghey, K</w:t>
      </w:r>
      <w:r>
        <w:rPr>
          <w:rFonts w:ascii="Times New Roman" w:hAnsi="Times New Roman" w:eastAsia="宋体" w:cs="Times New Roman"/>
          <w:sz w:val="24"/>
          <w:szCs w:val="24"/>
          <w:shd w:val="clear" w:color="auto" w:fill="FFFFFF"/>
          <w:lang w:eastAsia="zh-CN"/>
        </w:rPr>
        <w:t>. (</w:t>
      </w:r>
      <w:r>
        <w:rPr>
          <w:rFonts w:ascii="Times New Roman" w:hAnsi="Times New Roman" w:cs="Times New Roman"/>
          <w:sz w:val="24"/>
          <w:szCs w:val="24"/>
          <w:shd w:val="clear" w:color="auto" w:fill="FFFFFF"/>
        </w:rPr>
        <w:t>2018</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Australia’s thirst for craft beer outstrips supply. </w:t>
      </w:r>
      <w:r>
        <w:rPr>
          <w:rFonts w:ascii="Times New Roman" w:hAnsi="Times New Roman" w:cs="Times New Roman"/>
          <w:i/>
          <w:sz w:val="24"/>
          <w:szCs w:val="24"/>
          <w:shd w:val="clear" w:color="auto" w:fill="FFFFFF"/>
        </w:rPr>
        <w:t>New daily</w:t>
      </w:r>
      <w:r>
        <w:rPr>
          <w:rFonts w:ascii="Times New Roman" w:hAnsi="Times New Roman" w:cs="Times New Roman"/>
          <w:sz w:val="24"/>
          <w:szCs w:val="24"/>
          <w:shd w:val="clear" w:color="auto" w:fill="FFFFFF"/>
        </w:rPr>
        <w:t xml:space="preserve"> [Online]. Available at: </w:t>
      </w:r>
      <w:r>
        <w:fldChar w:fldCharType="begin"/>
      </w:r>
      <w:r>
        <w:instrText xml:space="preserve"> HYPERLINK "https://www.google.com/url?sa=t&amp;rct=j&amp;q=&amp;esrc=s&amp;source=web&amp;cd=12&amp;cad=rja&amp;uact=8&amp;ved=2ahUKEwjE793B7d3gAhWlxYUKHV-mDMEQFjALegQIBhAB&amp;url=https%3A%2F%2Fthenewdaily.com.au%2Flife%2Feat-drink%2F2018%2F11%2F03%2Faustralian-craft-beer-industry%2F&amp;usg=AOvVaw21bTgFPI0ztM6WsnPGw9gY" </w:instrText>
      </w:r>
      <w:r>
        <w:fldChar w:fldCharType="separate"/>
      </w:r>
      <w:r>
        <w:rPr>
          <w:rStyle w:val="16"/>
          <w:rFonts w:ascii="Times New Roman" w:hAnsi="Times New Roman" w:cs="Times New Roman"/>
          <w:sz w:val="24"/>
          <w:szCs w:val="24"/>
          <w:shd w:val="clear" w:color="auto" w:fill="FFFFFF"/>
        </w:rPr>
        <w:t>https://www.google.com/url?sa=t&amp;rct=j&amp;q=&amp;esrc=s&amp;source=web&amp;cd=12&amp;cad=rja&amp;uact=8&amp;ved=2ahUKEwjE793B7d3gAhWlxYUKHV-mDMEQFjALegQIBhAB&amp;url=https%3A%2F%2Fthenewdaily.com.au%2Flife%2Feat-drink%2F2018%2F11%2F03%2Faustralian-craft-beer-industry%2F&amp;usg=AOvVaw21bTgFPI0ztM6WsnPGw9gY</w:t>
      </w:r>
      <w:r>
        <w:rPr>
          <w:rStyle w:val="16"/>
          <w:rFonts w:ascii="Times New Roman" w:hAnsi="Times New Roman" w:cs="Times New Roman"/>
          <w:sz w:val="24"/>
          <w:szCs w:val="24"/>
          <w:shd w:val="clear" w:color="auto" w:fill="FFFFFF"/>
        </w:rPr>
        <w:fldChar w:fldCharType="end"/>
      </w:r>
      <w:r>
        <w:rPr>
          <w:rFonts w:ascii="Times New Roman" w:hAnsi="Times New Roman" w:cs="Times New Roman"/>
          <w:sz w:val="24"/>
          <w:szCs w:val="24"/>
          <w:shd w:val="clear" w:color="auto" w:fill="FFFFFF"/>
        </w:rPr>
        <w:t xml:space="preserve"> (Accessed on 26</w:t>
      </w:r>
      <w:r>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February, 2019)</w:t>
      </w:r>
    </w:p>
    <w:p>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Hollender, L., Zapkau, F.B. and Schwens, C</w:t>
      </w:r>
      <w:r>
        <w:rPr>
          <w:rFonts w:ascii="Times New Roman" w:hAnsi="Times New Roman" w:eastAsia="宋体" w:cs="Times New Roman"/>
          <w:sz w:val="24"/>
          <w:szCs w:val="24"/>
          <w:shd w:val="clear" w:color="auto" w:fill="FFFFFF"/>
          <w:lang w:eastAsia="zh-CN"/>
        </w:rPr>
        <w:t>. (</w:t>
      </w:r>
      <w:r>
        <w:rPr>
          <w:rFonts w:ascii="Times New Roman" w:hAnsi="Times New Roman" w:cs="Times New Roman"/>
          <w:sz w:val="24"/>
          <w:szCs w:val="24"/>
          <w:shd w:val="clear" w:color="auto" w:fill="FFFFFF"/>
        </w:rPr>
        <w:t>2017</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SME foreign market entry mode choice and foreign venture performance: The moderating effect of international experience and product adaptation. </w:t>
      </w:r>
      <w:r>
        <w:rPr>
          <w:rFonts w:ascii="Times New Roman" w:hAnsi="Times New Roman" w:cs="Times New Roman"/>
          <w:i/>
          <w:iCs/>
          <w:sz w:val="24"/>
          <w:szCs w:val="24"/>
          <w:shd w:val="clear" w:color="auto" w:fill="FFFFFF"/>
        </w:rPr>
        <w:t>International Business Review</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26</w:t>
      </w:r>
      <w:r>
        <w:rPr>
          <w:rFonts w:ascii="Times New Roman" w:hAnsi="Times New Roman" w:cs="Times New Roman"/>
          <w:sz w:val="24"/>
          <w:szCs w:val="24"/>
          <w:shd w:val="clear" w:color="auto" w:fill="FFFFFF"/>
        </w:rPr>
        <w:t>(2), pp.250-263.</w:t>
      </w:r>
    </w:p>
    <w:p>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Liu, S., Perry, P., Moore, C. and Warnaby, G</w:t>
      </w:r>
      <w:r>
        <w:rPr>
          <w:rFonts w:ascii="Times New Roman" w:hAnsi="Times New Roman" w:eastAsia="宋体" w:cs="Times New Roman"/>
          <w:sz w:val="24"/>
          <w:szCs w:val="24"/>
          <w:shd w:val="clear" w:color="auto" w:fill="FFFFFF"/>
          <w:lang w:eastAsia="zh-CN"/>
        </w:rPr>
        <w:t>. (</w:t>
      </w:r>
      <w:r>
        <w:rPr>
          <w:rFonts w:ascii="Times New Roman" w:hAnsi="Times New Roman" w:cs="Times New Roman"/>
          <w:sz w:val="24"/>
          <w:szCs w:val="24"/>
          <w:shd w:val="clear" w:color="auto" w:fill="FFFFFF"/>
        </w:rPr>
        <w:t>2016</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The standardi</w:t>
      </w:r>
      <w:r>
        <w:rPr>
          <w:rFonts w:ascii="Times New Roman" w:hAnsi="Times New Roman" w:eastAsia="宋体" w:cs="Times New Roman"/>
          <w:sz w:val="24"/>
          <w:szCs w:val="24"/>
          <w:shd w:val="clear" w:color="auto" w:fill="FFFFFF"/>
          <w:lang w:eastAsia="zh-CN"/>
        </w:rPr>
        <w:t>sation</w:t>
      </w:r>
      <w:r>
        <w:rPr>
          <w:rFonts w:ascii="Times New Roman" w:hAnsi="Times New Roman" w:cs="Times New Roman"/>
          <w:sz w:val="24"/>
          <w:szCs w:val="24"/>
          <w:shd w:val="clear" w:color="auto" w:fill="FFFFFF"/>
        </w:rPr>
        <w:t>-locali</w:t>
      </w:r>
      <w:r>
        <w:rPr>
          <w:rFonts w:ascii="Times New Roman" w:hAnsi="Times New Roman" w:eastAsia="宋体" w:cs="Times New Roman"/>
          <w:sz w:val="24"/>
          <w:szCs w:val="24"/>
          <w:shd w:val="clear" w:color="auto" w:fill="FFFFFF"/>
          <w:lang w:eastAsia="zh-CN"/>
        </w:rPr>
        <w:t>sation</w:t>
      </w:r>
      <w:r>
        <w:rPr>
          <w:rFonts w:ascii="Times New Roman" w:hAnsi="Times New Roman" w:cs="Times New Roman"/>
          <w:sz w:val="24"/>
          <w:szCs w:val="24"/>
          <w:shd w:val="clear" w:color="auto" w:fill="FFFFFF"/>
        </w:rPr>
        <w:t xml:space="preserve"> dilemma of brand communications for luxury fashion retailers' internationali</w:t>
      </w:r>
      <w:r>
        <w:rPr>
          <w:rFonts w:ascii="Times New Roman" w:hAnsi="Times New Roman" w:eastAsia="宋体" w:cs="Times New Roman"/>
          <w:sz w:val="24"/>
          <w:szCs w:val="24"/>
          <w:shd w:val="clear" w:color="auto" w:fill="FFFFFF"/>
          <w:lang w:eastAsia="zh-CN"/>
        </w:rPr>
        <w:t>sation</w:t>
      </w:r>
      <w:r>
        <w:rPr>
          <w:rFonts w:ascii="Times New Roman" w:hAnsi="Times New Roman" w:cs="Times New Roman"/>
          <w:sz w:val="24"/>
          <w:szCs w:val="24"/>
          <w:shd w:val="clear" w:color="auto" w:fill="FFFFFF"/>
        </w:rPr>
        <w:t xml:space="preserve"> into China. </w:t>
      </w:r>
      <w:r>
        <w:rPr>
          <w:rFonts w:ascii="Times New Roman" w:hAnsi="Times New Roman" w:cs="Times New Roman"/>
          <w:i/>
          <w:iCs/>
          <w:sz w:val="24"/>
          <w:szCs w:val="24"/>
          <w:shd w:val="clear" w:color="auto" w:fill="FFFFFF"/>
        </w:rPr>
        <w:t>Journal of Business Research</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69</w:t>
      </w:r>
      <w:r>
        <w:rPr>
          <w:rFonts w:ascii="Times New Roman" w:hAnsi="Times New Roman" w:cs="Times New Roman"/>
          <w:sz w:val="24"/>
          <w:szCs w:val="24"/>
          <w:shd w:val="clear" w:color="auto" w:fill="FFFFFF"/>
        </w:rPr>
        <w:t>(1), pp.357-364.</w:t>
      </w:r>
    </w:p>
    <w:p>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Mathias, B.D., Huyghe, A., Frid, C.J. and Galloway, T.L</w:t>
      </w:r>
      <w:r>
        <w:rPr>
          <w:rFonts w:ascii="Times New Roman" w:hAnsi="Times New Roman" w:eastAsia="宋体" w:cs="Times New Roman"/>
          <w:sz w:val="24"/>
          <w:szCs w:val="24"/>
          <w:shd w:val="clear" w:color="auto" w:fill="FFFFFF"/>
          <w:lang w:eastAsia="zh-CN"/>
        </w:rPr>
        <w:t>. (</w:t>
      </w:r>
      <w:r>
        <w:rPr>
          <w:rFonts w:ascii="Times New Roman" w:hAnsi="Times New Roman" w:cs="Times New Roman"/>
          <w:sz w:val="24"/>
          <w:szCs w:val="24"/>
          <w:shd w:val="clear" w:color="auto" w:fill="FFFFFF"/>
        </w:rPr>
        <w:t>2018</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An identity perspective on coopetition in the craft beer industry. </w:t>
      </w:r>
      <w:r>
        <w:rPr>
          <w:rFonts w:ascii="Times New Roman" w:hAnsi="Times New Roman" w:cs="Times New Roman"/>
          <w:i/>
          <w:iCs/>
          <w:sz w:val="24"/>
          <w:szCs w:val="24"/>
          <w:shd w:val="clear" w:color="auto" w:fill="FFFFFF"/>
        </w:rPr>
        <w:t>Strategic Management Journal</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39</w:t>
      </w:r>
      <w:r>
        <w:rPr>
          <w:rFonts w:ascii="Times New Roman" w:hAnsi="Times New Roman" w:cs="Times New Roman"/>
          <w:sz w:val="24"/>
          <w:szCs w:val="24"/>
          <w:shd w:val="clear" w:color="auto" w:fill="FFFFFF"/>
        </w:rPr>
        <w:t>(12), pp.3086-3115.</w:t>
      </w:r>
    </w:p>
    <w:p>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NPCS Team, (2014</w:t>
      </w:r>
      <w:r>
        <w:rPr>
          <w:rFonts w:ascii="Times New Roman" w:hAnsi="Times New Roman" w:eastAsia="宋体" w:cs="Times New Roman"/>
          <w:sz w:val="24"/>
          <w:szCs w:val="24"/>
          <w:shd w:val="clear" w:color="auto" w:fill="FFFFFF"/>
          <w:lang w:eastAsia="zh-CN"/>
        </w:rPr>
        <w:t xml:space="preserve">) </w:t>
      </w:r>
      <w:r>
        <w:rPr>
          <w:rFonts w:ascii="Times New Roman" w:hAnsi="Times New Roman" w:cs="Times New Roman"/>
          <w:i/>
          <w:sz w:val="24"/>
          <w:szCs w:val="24"/>
          <w:shd w:val="clear" w:color="auto" w:fill="FFFFFF"/>
        </w:rPr>
        <w:t xml:space="preserve">India beer market-industry size, share, trends, analysis and forecasts </w:t>
      </w:r>
      <w:r>
        <w:rPr>
          <w:rFonts w:ascii="Times New Roman" w:hAnsi="Times New Roman" w:cs="Times New Roman"/>
          <w:sz w:val="24"/>
          <w:szCs w:val="24"/>
          <w:shd w:val="clear" w:color="auto" w:fill="FFFFFF"/>
        </w:rPr>
        <w:t xml:space="preserve">[Online]. Available at: </w:t>
      </w:r>
      <w:r>
        <w:fldChar w:fldCharType="begin"/>
      </w:r>
      <w:r>
        <w:instrText xml:space="preserve"> HYPERLINK "https://www.google.com/url?sa=t&amp;rct=j&amp;q=&amp;esrc=s&amp;source=web&amp;cd=3&amp;cad=rja&amp;uact=8&amp;ved=2ahUKEwj5_raB593gAhUQElAKHQipClcQFjACegQICBAB&amp;url=https%3A%2F%2Fwww.niir.org%2Fbooks%2Fbook%2Findia-beer-market-industry-size-share-trends-analysis-forecasts-upto-2017%2Fisbn-9789381039342%2Fzb%2C%2C18b6f%2Ca%2C72%2C0%2Ca%2Findex.html&amp;usg=AOvVaw3U5UmHLMq5yx9Yq7ABuuzX" </w:instrText>
      </w:r>
      <w:r>
        <w:fldChar w:fldCharType="separate"/>
      </w:r>
      <w:r>
        <w:rPr>
          <w:rStyle w:val="16"/>
          <w:rFonts w:ascii="Times New Roman" w:hAnsi="Times New Roman" w:cs="Times New Roman"/>
          <w:sz w:val="24"/>
          <w:szCs w:val="24"/>
          <w:shd w:val="clear" w:color="auto" w:fill="FFFFFF"/>
        </w:rPr>
        <w:t>https://www.google.com/url?sa=t&amp;rct=j&amp;q=&amp;esrc=s&amp;source=web&amp;cd=3&amp;cad=rja&amp;uact=8&amp;ved=2ahUKEwj5_raB593gAhUQElAKHQipClcQFjACegQICBAB&amp;url=https%3A%2F%2Fwww.niir.org%2Fbooks%2Fbook%2Findia-beer-market-industry-size-share-trends-analysis-forecasts-upto-2017%2Fisbn-9789381039342%2Fzb%2C%2C18b6f%2Ca%2C72%2C0%2Ca%2Findex.html&amp;usg=AOvVaw3U5UmHLMq5yx9Yq7ABuuzX</w:t>
      </w:r>
      <w:r>
        <w:rPr>
          <w:rStyle w:val="16"/>
          <w:rFonts w:ascii="Times New Roman" w:hAnsi="Times New Roman" w:cs="Times New Roman"/>
          <w:sz w:val="24"/>
          <w:szCs w:val="24"/>
          <w:shd w:val="clear" w:color="auto" w:fill="FFFFFF"/>
        </w:rPr>
        <w:fldChar w:fldCharType="end"/>
      </w:r>
      <w:r>
        <w:rPr>
          <w:rFonts w:ascii="Times New Roman" w:hAnsi="Times New Roman" w:cs="Times New Roman"/>
          <w:sz w:val="24"/>
          <w:szCs w:val="24"/>
          <w:shd w:val="clear" w:color="auto" w:fill="FFFFFF"/>
        </w:rPr>
        <w:t xml:space="preserve">  (Assessed on 26</w:t>
      </w:r>
      <w:r>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February, 2019)</w:t>
      </w:r>
    </w:p>
    <w:p>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Puthusserry, P.N., Khan, Z. and Rodgers, P</w:t>
      </w:r>
      <w:r>
        <w:rPr>
          <w:rFonts w:ascii="Times New Roman" w:hAnsi="Times New Roman" w:eastAsia="宋体" w:cs="Times New Roman"/>
          <w:sz w:val="24"/>
          <w:szCs w:val="24"/>
          <w:shd w:val="clear" w:color="auto" w:fill="FFFFFF"/>
          <w:lang w:eastAsia="zh-CN"/>
        </w:rPr>
        <w:t>. (</w:t>
      </w:r>
      <w:r>
        <w:rPr>
          <w:rFonts w:ascii="Times New Roman" w:hAnsi="Times New Roman" w:cs="Times New Roman"/>
          <w:sz w:val="24"/>
          <w:szCs w:val="24"/>
          <w:shd w:val="clear" w:color="auto" w:fill="FFFFFF"/>
        </w:rPr>
        <w:t>2018</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International new ventures market expansion through collaborative entry modes: A study of the experience of Indian and British ICT firms. </w:t>
      </w:r>
      <w:r>
        <w:rPr>
          <w:rFonts w:ascii="Times New Roman" w:hAnsi="Times New Roman" w:cs="Times New Roman"/>
          <w:i/>
          <w:iCs/>
          <w:sz w:val="24"/>
          <w:szCs w:val="24"/>
          <w:shd w:val="clear" w:color="auto" w:fill="FFFFFF"/>
        </w:rPr>
        <w:t>International Marketing Review</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35</w:t>
      </w:r>
      <w:r>
        <w:rPr>
          <w:rFonts w:ascii="Times New Roman" w:hAnsi="Times New Roman" w:cs="Times New Roman"/>
          <w:sz w:val="24"/>
          <w:szCs w:val="24"/>
          <w:shd w:val="clear" w:color="auto" w:fill="FFFFFF"/>
        </w:rPr>
        <w:t>(6), pp.890-913.</w:t>
      </w:r>
    </w:p>
    <w:p>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Rexhepi, G</w:t>
      </w:r>
      <w:r>
        <w:rPr>
          <w:rFonts w:ascii="Times New Roman" w:hAnsi="Times New Roman" w:eastAsia="宋体" w:cs="Times New Roman"/>
          <w:sz w:val="24"/>
          <w:szCs w:val="24"/>
          <w:shd w:val="clear" w:color="auto" w:fill="FFFFFF"/>
          <w:lang w:eastAsia="zh-CN"/>
        </w:rPr>
        <w:t>. (</w:t>
      </w:r>
      <w:r>
        <w:rPr>
          <w:rFonts w:ascii="Times New Roman" w:hAnsi="Times New Roman" w:cs="Times New Roman"/>
          <w:sz w:val="24"/>
          <w:szCs w:val="24"/>
          <w:shd w:val="clear" w:color="auto" w:fill="FFFFFF"/>
        </w:rPr>
        <w:t>2015</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Entering new markets: Strategies for internationali</w:t>
      </w:r>
      <w:r>
        <w:rPr>
          <w:rFonts w:ascii="Times New Roman" w:hAnsi="Times New Roman" w:eastAsia="宋体" w:cs="Times New Roman"/>
          <w:sz w:val="24"/>
          <w:szCs w:val="24"/>
          <w:shd w:val="clear" w:color="auto" w:fill="FFFFFF"/>
          <w:lang w:eastAsia="zh-CN"/>
        </w:rPr>
        <w:t>sation</w:t>
      </w:r>
      <w:r>
        <w:rPr>
          <w:rFonts w:ascii="Times New Roman" w:hAnsi="Times New Roman" w:cs="Times New Roman"/>
          <w:sz w:val="24"/>
          <w:szCs w:val="24"/>
          <w:shd w:val="clear" w:color="auto" w:fill="FFFFFF"/>
        </w:rPr>
        <w:t xml:space="preserve"> of family businesses. In </w:t>
      </w:r>
      <w:r>
        <w:rPr>
          <w:rFonts w:ascii="Times New Roman" w:hAnsi="Times New Roman" w:cs="Times New Roman"/>
          <w:i/>
          <w:iCs/>
          <w:sz w:val="24"/>
          <w:szCs w:val="24"/>
          <w:shd w:val="clear" w:color="auto" w:fill="FFFFFF"/>
        </w:rPr>
        <w:t>Family businesses in transition economies</w:t>
      </w:r>
      <w:r>
        <w:rPr>
          <w:rFonts w:ascii="Times New Roman" w:hAnsi="Times New Roman" w:cs="Times New Roman"/>
          <w:sz w:val="24"/>
          <w:szCs w:val="24"/>
          <w:shd w:val="clear" w:color="auto" w:fill="FFFFFF"/>
        </w:rPr>
        <w:t> (pp. 293-303</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Springer, Cham.</w:t>
      </w:r>
    </w:p>
    <w:p>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Tomoswatkin, (2019</w:t>
      </w:r>
      <w:r>
        <w:rPr>
          <w:rFonts w:ascii="Times New Roman" w:hAnsi="Times New Roman" w:eastAsia="宋体" w:cs="Times New Roman"/>
          <w:sz w:val="24"/>
          <w:szCs w:val="24"/>
          <w:shd w:val="clear" w:color="auto" w:fill="FFFFFF"/>
          <w:lang w:eastAsia="zh-CN"/>
        </w:rPr>
        <w:t>)</w:t>
      </w:r>
      <w:r>
        <w:rPr>
          <w:rFonts w:hint="eastAsia" w:ascii="Times New Roman" w:hAnsi="Times New Roman" w:eastAsia="宋体" w:cs="Times New Roman"/>
          <w:sz w:val="24"/>
          <w:szCs w:val="24"/>
          <w:shd w:val="clear" w:color="auto" w:fill="FFFFFF"/>
          <w:lang w:val="en-US" w:eastAsia="zh-CN"/>
        </w:rPr>
        <w:t xml:space="preserve"> </w:t>
      </w:r>
      <w:r>
        <w:rPr>
          <w:rFonts w:ascii="Times New Roman" w:hAnsi="Times New Roman" w:cs="Times New Roman"/>
          <w:i/>
          <w:sz w:val="24"/>
          <w:szCs w:val="24"/>
          <w:shd w:val="clear" w:color="auto" w:fill="FFFFFF"/>
        </w:rPr>
        <w:t xml:space="preserve">The great ales of Wales </w:t>
      </w:r>
      <w:r>
        <w:rPr>
          <w:rFonts w:ascii="Times New Roman" w:hAnsi="Times New Roman" w:cs="Times New Roman"/>
          <w:sz w:val="24"/>
          <w:szCs w:val="24"/>
          <w:shd w:val="clear" w:color="auto" w:fill="FFFFFF"/>
        </w:rPr>
        <w:t xml:space="preserve">[Online]. Available at:  </w:t>
      </w:r>
      <w:r>
        <w:fldChar w:fldCharType="begin"/>
      </w:r>
      <w:r>
        <w:instrText xml:space="preserve"> HYPERLINK "https://www.google.com/url?sa=t&amp;rct=j&amp;q=&amp;esrc=s&amp;source=web&amp;cd=2&amp;cad=rja&amp;uact=8&amp;ved=2ahUKEwiV2unczNvgAhWQ2hQKHT2tCfYQFjABegQIABAB&amp;url=https%3A%2F%2Ftomoswatkin.com%2Fpages%2Four-story&amp;usg=AOvVaw2ATZ2yOHRH8mfU89RChQlZ" </w:instrText>
      </w:r>
      <w:r>
        <w:fldChar w:fldCharType="separate"/>
      </w:r>
      <w:r>
        <w:rPr>
          <w:rStyle w:val="16"/>
          <w:rFonts w:ascii="Times New Roman" w:hAnsi="Times New Roman" w:cs="Times New Roman"/>
          <w:color w:val="auto"/>
          <w:sz w:val="24"/>
          <w:szCs w:val="24"/>
          <w:shd w:val="clear" w:color="auto" w:fill="FFFFFF"/>
        </w:rPr>
        <w:t>https://www.google.com/url?sa=t&amp;rct=j&amp;q=&amp;esrc=s&amp;source=web&amp;cd=2&amp;cad=rja&amp;uact=8&amp;ved=2ahUKEwiV2unczNvgAhWQ2hQKHT2tCfYQFjABegQIABAB&amp;url=https%3A%2F%2Ftomoswatkin.com%2Fpages%2Four-story&amp;usg=AOvVaw2ATZ2yOHRH8mfU89RChQlZ</w:t>
      </w:r>
      <w:r>
        <w:rPr>
          <w:rStyle w:val="16"/>
          <w:rFonts w:ascii="Times New Roman" w:hAnsi="Times New Roman" w:cs="Times New Roman"/>
          <w:color w:val="auto"/>
          <w:sz w:val="24"/>
          <w:szCs w:val="24"/>
          <w:shd w:val="clear" w:color="auto" w:fill="FFFFFF"/>
        </w:rPr>
        <w:fldChar w:fldCharType="end"/>
      </w:r>
      <w:r>
        <w:rPr>
          <w:rFonts w:ascii="Times New Roman" w:hAnsi="Times New Roman" w:cs="Times New Roman"/>
          <w:sz w:val="24"/>
          <w:szCs w:val="24"/>
          <w:shd w:val="clear" w:color="auto" w:fill="FFFFFF"/>
        </w:rPr>
        <w:t xml:space="preserve"> </w:t>
      </w:r>
      <w:r>
        <w:rPr>
          <w:rFonts w:hint="eastAsia" w:ascii="Times New Roman" w:hAnsi="Times New Roman" w:eastAsia="宋体" w:cs="Times New Roman"/>
          <w:sz w:val="24"/>
          <w:szCs w:val="24"/>
          <w:shd w:val="clear" w:color="auto" w:fill="FFFFFF"/>
          <w:lang w:val="en-US" w:eastAsia="zh-CN"/>
        </w:rPr>
        <w:t>(</w:t>
      </w:r>
      <w:r>
        <w:rPr>
          <w:rFonts w:ascii="Times New Roman" w:hAnsi="Times New Roman" w:cs="Times New Roman"/>
          <w:sz w:val="24"/>
          <w:szCs w:val="24"/>
          <w:shd w:val="clear" w:color="auto" w:fill="FFFFFF"/>
        </w:rPr>
        <w:t>Assessed on 26</w:t>
      </w:r>
      <w:r>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February, 2019)</w:t>
      </w:r>
    </w:p>
    <w:p>
      <w:pPr>
        <w:spacing w:after="0" w:line="240" w:lineRule="auto"/>
        <w:ind w:left="720" w:hanging="720"/>
        <w:jc w:val="both"/>
        <w:rPr>
          <w:rFonts w:ascii="Times New Roman" w:hAnsi="Times New Roman" w:cs="Times New Roman"/>
          <w:sz w:val="24"/>
          <w:szCs w:val="24"/>
          <w:shd w:val="clear" w:color="auto" w:fill="FFFFFF"/>
        </w:rPr>
      </w:pPr>
    </w:p>
    <w:p>
      <w:pPr>
        <w:spacing w:after="0" w:line="240" w:lineRule="auto"/>
        <w:ind w:left="720" w:hanging="720"/>
        <w:jc w:val="both"/>
        <w:rPr>
          <w:rFonts w:ascii="Times New Roman" w:hAnsi="Times New Roman" w:cs="Times New Roman"/>
          <w:sz w:val="24"/>
          <w:szCs w:val="24"/>
          <w:shd w:val="clear" w:color="auto" w:fill="FFFFFF"/>
        </w:rPr>
      </w:pPr>
    </w:p>
    <w:p>
      <w:pPr>
        <w:spacing w:after="0" w:line="240" w:lineRule="auto"/>
        <w:ind w:left="720" w:hanging="720"/>
        <w:jc w:val="both"/>
        <w:rPr>
          <w:rFonts w:ascii="Times New Roman" w:hAnsi="Times New Roman" w:cs="Times New Roman"/>
          <w:sz w:val="24"/>
          <w:szCs w:val="24"/>
          <w:shd w:val="clear" w:color="auto" w:fill="FFFFFF"/>
        </w:rPr>
      </w:pPr>
    </w:p>
    <w:p>
      <w:pPr>
        <w:spacing w:after="0" w:line="360" w:lineRule="auto"/>
        <w:ind w:left="720" w:hanging="720"/>
        <w:jc w:val="both"/>
        <w:rPr>
          <w:rFonts w:ascii="Times New Roman" w:hAnsi="Times New Roman" w:cs="Times New Roman"/>
          <w:sz w:val="24"/>
          <w:szCs w:val="24"/>
          <w:shd w:val="clear" w:color="auto" w:fill="FFFFFF"/>
        </w:rPr>
      </w:pPr>
    </w:p>
    <w:p>
      <w:pPr>
        <w:spacing w:after="0" w:line="360" w:lineRule="auto"/>
        <w:ind w:left="720" w:hanging="720"/>
        <w:jc w:val="both"/>
        <w:rPr>
          <w:rFonts w:ascii="Times New Roman" w:hAnsi="Times New Roman" w:cs="Times New Roman"/>
          <w:sz w:val="24"/>
          <w:szCs w:val="24"/>
          <w:shd w:val="clear" w:color="auto" w:fill="FFFFFF"/>
        </w:rPr>
      </w:pPr>
    </w:p>
    <w:p>
      <w:pPr>
        <w:spacing w:after="0" w:line="360" w:lineRule="auto"/>
        <w:ind w:left="720" w:hanging="720"/>
        <w:jc w:val="both"/>
        <w:rPr>
          <w:rFonts w:ascii="Times New Roman" w:hAnsi="Times New Roman" w:cs="Times New Roman"/>
          <w:sz w:val="24"/>
          <w:szCs w:val="24"/>
          <w:shd w:val="clear" w:color="auto" w:fill="FFFFFF"/>
        </w:rPr>
      </w:pPr>
    </w:p>
    <w:p>
      <w:pPr>
        <w:spacing w:after="0" w:line="360" w:lineRule="auto"/>
        <w:ind w:left="720" w:hanging="720"/>
        <w:jc w:val="both"/>
        <w:rPr>
          <w:rFonts w:ascii="Times New Roman" w:hAnsi="Times New Roman" w:cs="Times New Roman"/>
          <w:sz w:val="24"/>
          <w:szCs w:val="24"/>
          <w:shd w:val="clear" w:color="auto" w:fill="FFFFFF"/>
        </w:rPr>
      </w:pPr>
    </w:p>
    <w:p>
      <w:pPr>
        <w:spacing w:after="0" w:line="360" w:lineRule="auto"/>
        <w:ind w:left="720" w:hanging="720"/>
        <w:jc w:val="both"/>
        <w:rPr>
          <w:rFonts w:ascii="Times New Roman" w:hAnsi="Times New Roman" w:cs="Times New Roman"/>
          <w:sz w:val="24"/>
          <w:szCs w:val="24"/>
          <w:shd w:val="clear" w:color="auto" w:fill="FFFFFF"/>
        </w:rPr>
      </w:pPr>
    </w:p>
    <w:p>
      <w:pPr>
        <w:spacing w:after="0" w:line="360" w:lineRule="auto"/>
        <w:ind w:left="720" w:hanging="720"/>
        <w:jc w:val="both"/>
        <w:rPr>
          <w:rFonts w:ascii="Times New Roman" w:hAnsi="Times New Roman" w:cs="Times New Roman"/>
          <w:sz w:val="24"/>
          <w:szCs w:val="24"/>
          <w:shd w:val="clear" w:color="auto" w:fill="FFFFFF"/>
        </w:rPr>
      </w:pPr>
    </w:p>
    <w:p>
      <w:pPr>
        <w:spacing w:after="0" w:line="360" w:lineRule="auto"/>
        <w:ind w:left="720" w:hanging="720"/>
        <w:jc w:val="both"/>
        <w:rPr>
          <w:rFonts w:ascii="Times New Roman" w:hAnsi="Times New Roman" w:cs="Times New Roman"/>
          <w:sz w:val="24"/>
          <w:szCs w:val="24"/>
          <w:shd w:val="clear" w:color="auto" w:fill="FFFFFF"/>
        </w:rPr>
      </w:pPr>
    </w:p>
    <w:p>
      <w:pPr>
        <w:spacing w:after="0" w:line="360" w:lineRule="auto"/>
        <w:ind w:left="720" w:hanging="720"/>
        <w:jc w:val="both"/>
        <w:rPr>
          <w:rFonts w:ascii="Times New Roman" w:hAnsi="Times New Roman" w:cs="Times New Roman"/>
          <w:sz w:val="24"/>
          <w:szCs w:val="24"/>
          <w:shd w:val="clear" w:color="auto" w:fill="FFFFFF"/>
        </w:rPr>
      </w:pPr>
    </w:p>
    <w:p>
      <w:pPr>
        <w:spacing w:after="0" w:line="360" w:lineRule="auto"/>
        <w:ind w:left="720" w:hanging="720"/>
        <w:jc w:val="both"/>
        <w:rPr>
          <w:rFonts w:ascii="Times New Roman" w:hAnsi="Times New Roman" w:cs="Times New Roman"/>
          <w:sz w:val="24"/>
          <w:szCs w:val="24"/>
          <w:shd w:val="clear" w:color="auto" w:fill="FFFFFF"/>
        </w:rPr>
      </w:pPr>
    </w:p>
    <w:p>
      <w:pPr>
        <w:spacing w:after="0" w:line="240" w:lineRule="auto"/>
        <w:ind w:left="720" w:hanging="720"/>
        <w:jc w:val="both"/>
        <w:rPr>
          <w:rFonts w:ascii="Times New Roman" w:hAnsi="Times New Roman" w:cs="Times New Roman"/>
          <w:sz w:val="24"/>
          <w:szCs w:val="24"/>
          <w:shd w:val="clear" w:color="auto" w:fill="FFFFFF"/>
        </w:rPr>
      </w:pPr>
    </w:p>
    <w:p>
      <w:pPr>
        <w:spacing w:after="0" w:line="240" w:lineRule="auto"/>
        <w:ind w:left="720" w:hanging="720"/>
        <w:jc w:val="both"/>
        <w:rPr>
          <w:rFonts w:ascii="Times New Roman" w:hAnsi="Times New Roman" w:cs="Times New Roman"/>
          <w:sz w:val="24"/>
          <w:szCs w:val="24"/>
          <w:shd w:val="clear" w:color="auto" w:fill="FFFFFF"/>
        </w:rPr>
      </w:pPr>
    </w:p>
    <w:p>
      <w:pPr>
        <w:spacing w:after="0" w:line="240" w:lineRule="auto"/>
        <w:ind w:left="720" w:hanging="720"/>
        <w:jc w:val="both"/>
        <w:rPr>
          <w:rFonts w:ascii="Times New Roman" w:hAnsi="Times New Roman" w:cs="Times New Roman"/>
          <w:sz w:val="24"/>
          <w:szCs w:val="24"/>
          <w:shd w:val="clear" w:color="auto" w:fill="FFFFFF"/>
        </w:rPr>
      </w:pPr>
    </w:p>
    <w:p>
      <w:pPr>
        <w:spacing w:after="0" w:line="240" w:lineRule="auto"/>
        <w:ind w:left="720" w:hanging="720"/>
        <w:jc w:val="both"/>
        <w:rPr>
          <w:rFonts w:ascii="Times New Roman" w:hAnsi="Times New Roman" w:cs="Times New Roman"/>
          <w:sz w:val="24"/>
          <w:szCs w:val="24"/>
          <w:shd w:val="clear" w:color="auto" w:fill="FFFFFF"/>
        </w:rPr>
      </w:pPr>
    </w:p>
    <w:p>
      <w:pPr>
        <w:spacing w:after="0" w:line="240" w:lineRule="auto"/>
        <w:ind w:left="720" w:hanging="720"/>
        <w:jc w:val="both"/>
        <w:rPr>
          <w:rFonts w:ascii="Times New Roman" w:hAnsi="Times New Roman" w:cs="Times New Roman"/>
          <w:sz w:val="24"/>
          <w:szCs w:val="24"/>
          <w:shd w:val="clear" w:color="auto" w:fill="FFFFFF"/>
        </w:rPr>
      </w:pPr>
    </w:p>
    <w:p>
      <w:pPr>
        <w:spacing w:after="0" w:line="240" w:lineRule="auto"/>
        <w:ind w:left="720" w:hanging="720"/>
        <w:jc w:val="both"/>
        <w:rPr>
          <w:rFonts w:ascii="Times New Roman" w:hAnsi="Times New Roman" w:cs="Times New Roman"/>
          <w:sz w:val="24"/>
          <w:szCs w:val="24"/>
          <w:shd w:val="clear" w:color="auto" w:fill="FFFFFF"/>
        </w:rPr>
      </w:pPr>
    </w:p>
    <w:p>
      <w:pPr>
        <w:spacing w:after="0" w:line="240" w:lineRule="auto"/>
        <w:ind w:left="720" w:hanging="720"/>
        <w:jc w:val="both"/>
        <w:rPr>
          <w:rFonts w:ascii="Times New Roman" w:hAnsi="Times New Roman" w:cs="Times New Roman"/>
          <w:sz w:val="24"/>
          <w:szCs w:val="24"/>
          <w:shd w:val="clear" w:color="auto" w:fill="FFFFFF"/>
        </w:rPr>
      </w:pPr>
    </w:p>
    <w:p>
      <w:pPr>
        <w:spacing w:after="0" w:line="240" w:lineRule="auto"/>
        <w:ind w:left="720" w:hanging="720"/>
        <w:jc w:val="both"/>
        <w:rPr>
          <w:rFonts w:ascii="Times New Roman" w:hAnsi="Times New Roman" w:cs="Times New Roman"/>
          <w:sz w:val="24"/>
          <w:szCs w:val="24"/>
          <w:shd w:val="clear" w:color="auto" w:fill="FFFFFF"/>
        </w:rPr>
      </w:pPr>
    </w:p>
    <w:p>
      <w:pPr>
        <w:spacing w:after="0" w:line="240" w:lineRule="auto"/>
        <w:jc w:val="both"/>
        <w:rPr>
          <w:rFonts w:ascii="Times New Roman" w:hAnsi="Times New Roman" w:cs="Times New Roman"/>
          <w:sz w:val="24"/>
          <w:szCs w:val="24"/>
          <w:shd w:val="clear" w:color="auto" w:fill="FFFFFF"/>
        </w:rPr>
      </w:pPr>
    </w:p>
    <w:p>
      <w:pPr>
        <w:spacing w:after="0" w:line="240" w:lineRule="auto"/>
        <w:jc w:val="both"/>
        <w:rPr>
          <w:rFonts w:ascii="Times New Roman" w:hAnsi="Times New Roman" w:cs="Times New Roman"/>
          <w:sz w:val="24"/>
          <w:szCs w:val="24"/>
          <w:shd w:val="clear" w:color="auto" w:fill="FFFFFF"/>
        </w:rPr>
      </w:pPr>
    </w:p>
    <w:p>
      <w:pPr>
        <w:spacing w:after="0" w:line="240" w:lineRule="auto"/>
        <w:jc w:val="both"/>
        <w:rPr>
          <w:rFonts w:ascii="Times New Roman" w:hAnsi="Times New Roman" w:cs="Times New Roman"/>
          <w:sz w:val="24"/>
          <w:szCs w:val="24"/>
          <w:shd w:val="clear" w:color="auto" w:fill="FFFFFF"/>
        </w:rPr>
      </w:pPr>
    </w:p>
    <w:p>
      <w:pPr>
        <w:spacing w:after="0" w:line="240" w:lineRule="auto"/>
        <w:jc w:val="both"/>
        <w:rPr>
          <w:rFonts w:ascii="Times New Roman" w:hAnsi="Times New Roman" w:cs="Times New Roman"/>
          <w:sz w:val="24"/>
          <w:szCs w:val="24"/>
          <w:shd w:val="clear" w:color="auto" w:fill="FFFFFF"/>
        </w:rPr>
      </w:pPr>
    </w:p>
    <w:p>
      <w:pPr>
        <w:spacing w:after="0" w:line="240" w:lineRule="auto"/>
        <w:jc w:val="both"/>
        <w:rPr>
          <w:rFonts w:ascii="Times New Roman" w:hAnsi="Times New Roman" w:cs="Times New Roman"/>
          <w:sz w:val="24"/>
          <w:szCs w:val="24"/>
          <w:shd w:val="clear" w:color="auto" w:fill="FFFFFF"/>
        </w:rPr>
      </w:pPr>
    </w:p>
    <w:p>
      <w:pPr>
        <w:pStyle w:val="2"/>
        <w:rPr>
          <w:rFonts w:ascii="Times New Roman" w:hAnsi="Times New Roman" w:cs="Times New Roman"/>
          <w:color w:val="auto"/>
          <w:sz w:val="24"/>
          <w:szCs w:val="24"/>
          <w:shd w:val="clear" w:color="auto" w:fill="FFFFFF"/>
        </w:rPr>
      </w:pPr>
      <w:bookmarkStart w:id="17" w:name="_Toc2816"/>
      <w:r>
        <w:rPr>
          <w:rFonts w:ascii="Times New Roman" w:hAnsi="Times New Roman" w:cs="Times New Roman"/>
          <w:color w:val="auto"/>
          <w:sz w:val="24"/>
          <w:szCs w:val="24"/>
          <w:shd w:val="clear" w:color="auto" w:fill="FFFFFF"/>
        </w:rPr>
        <w:t>6.0 Appendices</w:t>
      </w:r>
      <w:bookmarkEnd w:id="17"/>
      <w:r>
        <w:rPr>
          <w:rFonts w:ascii="Times New Roman" w:hAnsi="Times New Roman" w:cs="Times New Roman"/>
          <w:color w:val="auto"/>
          <w:sz w:val="24"/>
          <w:szCs w:val="24"/>
          <w:shd w:val="clear" w:color="auto" w:fill="FFFFFF"/>
        </w:rPr>
        <w:t xml:space="preserve"> </w:t>
      </w:r>
    </w:p>
    <w:p>
      <w:pPr>
        <w:spacing w:after="0" w:line="360" w:lineRule="auto"/>
        <w:ind w:left="720" w:hanging="720"/>
        <w:jc w:val="both"/>
        <w:rPr>
          <w:rFonts w:ascii="Times New Roman" w:hAnsi="Times New Roman" w:cs="Times New Roman"/>
          <w:b/>
          <w:sz w:val="24"/>
          <w:szCs w:val="24"/>
          <w:shd w:val="clear" w:color="auto" w:fill="FFFFFF"/>
        </w:rPr>
      </w:pPr>
    </w:p>
    <w:p>
      <w:pPr>
        <w:pStyle w:val="3"/>
        <w:rPr>
          <w:rFonts w:hint="eastAsia" w:ascii="Times New Roman" w:hAnsi="Times New Roman" w:cs="Times New Roman" w:eastAsiaTheme="majorEastAsia"/>
          <w:color w:val="auto"/>
          <w:sz w:val="24"/>
          <w:szCs w:val="24"/>
          <w:shd w:val="clear" w:color="auto" w:fill="FFFFFF"/>
          <w:lang w:val="en-US" w:eastAsia="zh-CN"/>
        </w:rPr>
      </w:pPr>
      <w:bookmarkStart w:id="18" w:name="_Toc23461"/>
      <w:r>
        <w:rPr>
          <w:rFonts w:ascii="Times New Roman" w:hAnsi="Times New Roman" w:cs="Times New Roman"/>
          <w:color w:val="auto"/>
          <w:sz w:val="24"/>
          <w:szCs w:val="24"/>
          <w:shd w:val="clear" w:color="auto" w:fill="FFFFFF"/>
        </w:rPr>
        <w:t>Appendix 1</w:t>
      </w:r>
      <w:r>
        <w:rPr>
          <w:rFonts w:hint="eastAsia" w:ascii="Times New Roman" w:hAnsi="Times New Roman" w:cs="Times New Roman"/>
          <w:color w:val="auto"/>
          <w:sz w:val="24"/>
          <w:szCs w:val="24"/>
          <w:shd w:val="clear" w:color="auto" w:fill="FFFFFF"/>
          <w:lang w:val="en-US" w:eastAsia="zh-CN"/>
        </w:rPr>
        <w:t xml:space="preserve">: </w:t>
      </w:r>
      <w:r>
        <w:rPr>
          <w:rFonts w:ascii="Times New Roman" w:hAnsi="Times New Roman" w:cs="Times New Roman"/>
          <w:color w:val="auto"/>
          <w:sz w:val="24"/>
          <w:szCs w:val="24"/>
          <w:shd w:val="clear" w:color="auto" w:fill="FFFFFF"/>
        </w:rPr>
        <w:t>International marketing entry strategie</w:t>
      </w:r>
      <w:r>
        <w:rPr>
          <w:rFonts w:hint="eastAsia" w:ascii="Times New Roman" w:hAnsi="Times New Roman" w:cs="Times New Roman"/>
          <w:color w:val="auto"/>
          <w:sz w:val="24"/>
          <w:szCs w:val="24"/>
          <w:shd w:val="clear" w:color="auto" w:fill="FFFFFF"/>
          <w:lang w:val="en-US" w:eastAsia="zh-CN"/>
        </w:rPr>
        <w:t>s</w:t>
      </w:r>
      <w:bookmarkEnd w:id="18"/>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drawing>
          <wp:inline distT="0" distB="0" distL="0" distR="0">
            <wp:extent cx="5943600" cy="4462145"/>
            <wp:effectExtent l="19050" t="0" r="0" b="0"/>
            <wp:docPr id="1" name="Picture 1" descr="C:\Users\walter\Downloads\international-marketing-met-students-13-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walter\Downloads\international-marketing-met-students-13-638.jpg"/>
                    <pic:cNvPicPr>
                      <a:picLocks noChangeAspect="1" noChangeArrowheads="1"/>
                    </pic:cNvPicPr>
                  </pic:nvPicPr>
                  <pic:blipFill>
                    <a:blip r:embed="rId5"/>
                    <a:srcRect/>
                    <a:stretch>
                      <a:fillRect/>
                    </a:stretch>
                  </pic:blipFill>
                  <pic:spPr>
                    <a:xfrm>
                      <a:off x="0" y="0"/>
                      <a:ext cx="5943600" cy="4462358"/>
                    </a:xfrm>
                    <a:prstGeom prst="rect">
                      <a:avLst/>
                    </a:prstGeom>
                    <a:noFill/>
                    <a:ln w="9525">
                      <a:noFill/>
                      <a:miter lim="800000"/>
                      <a:headEnd/>
                      <a:tailEnd/>
                    </a:ln>
                  </pic:spPr>
                </pic:pic>
              </a:graphicData>
            </a:graphic>
          </wp:inline>
        </w:drawing>
      </w:r>
    </w:p>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p>
    <w:p>
      <w:pPr>
        <w:pStyle w:val="3"/>
        <w:rPr>
          <w:rFonts w:hint="eastAsia" w:ascii="Times New Roman" w:hAnsi="Times New Roman" w:cs="Times New Roman" w:eastAsiaTheme="majorEastAsia"/>
          <w:color w:val="auto"/>
          <w:sz w:val="24"/>
          <w:szCs w:val="24"/>
          <w:lang w:val="en-US" w:eastAsia="zh-CN"/>
        </w:rPr>
      </w:pPr>
      <w:bookmarkStart w:id="19" w:name="_Toc32441"/>
      <w:r>
        <w:rPr>
          <w:rFonts w:ascii="Times New Roman" w:hAnsi="Times New Roman" w:cs="Times New Roman"/>
          <w:color w:val="auto"/>
          <w:sz w:val="24"/>
          <w:szCs w:val="24"/>
        </w:rPr>
        <w:t>Appendix 2: Opportunity for entry</w:t>
      </w:r>
      <w:bookmarkEnd w:id="19"/>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drawing>
          <wp:inline distT="0" distB="0" distL="0" distR="0">
            <wp:extent cx="5943600" cy="4452620"/>
            <wp:effectExtent l="19050" t="0" r="0" b="0"/>
            <wp:docPr id="2" name="Picture 2" descr="C:\Users\walter\Downloads\Opportunity+Matrix+for+Henkel+in+Asia+Pacif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walter\Downloads\Opportunity+Matrix+for+Henkel+in+Asia+Pacific.jpg"/>
                    <pic:cNvPicPr>
                      <a:picLocks noChangeAspect="1" noChangeArrowheads="1"/>
                    </pic:cNvPicPr>
                  </pic:nvPicPr>
                  <pic:blipFill>
                    <a:blip r:embed="rId6"/>
                    <a:srcRect/>
                    <a:stretch>
                      <a:fillRect/>
                    </a:stretch>
                  </pic:blipFill>
                  <pic:spPr>
                    <a:xfrm>
                      <a:off x="0" y="0"/>
                      <a:ext cx="5943600" cy="4453156"/>
                    </a:xfrm>
                    <a:prstGeom prst="rect">
                      <a:avLst/>
                    </a:prstGeom>
                    <a:noFill/>
                    <a:ln w="9525">
                      <a:noFill/>
                      <a:miter lim="800000"/>
                      <a:headEnd/>
                      <a:tailEnd/>
                    </a:ln>
                  </pic:spPr>
                </pic:pic>
              </a:graphicData>
            </a:graphic>
          </wp:inline>
        </w:drawing>
      </w:r>
    </w:p>
    <w:sectPr>
      <w:footerReference r:id="rId3" w:type="default"/>
      <w:pgSz w:w="12240" w:h="15840"/>
      <w:pgMar w:top="1440" w:right="1440" w:bottom="135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hint="default" w:ascii="Times New Roman" w:hAnsi="Times New Roman" w:cs="Times New Roman"/>
      </w:rPr>
      <w:id w:val="38307064"/>
      <w:docPartObj>
        <w:docPartGallery w:val="autotext"/>
      </w:docPartObj>
    </w:sdtPr>
    <w:sdtEndPr>
      <w:rPr>
        <w:rFonts w:hint="default" w:ascii="Times New Roman" w:hAnsi="Times New Roman" w:cs="Times New Roman"/>
      </w:rPr>
    </w:sdtEndPr>
    <w:sdtContent>
      <w:p>
        <w:pPr>
          <w:pStyle w:val="9"/>
          <w:jc w:val="cente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p>
    </w:sdtContent>
  </w:sdt>
  <w:p>
    <w:pPr>
      <w:pStyle w:val="9"/>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removePersonalInformation/>
  <w:doNotDisplayPageBoundaries w:val="1"/>
  <w:documentProtection w:enforcement="0"/>
  <w:defaultTabStop w:val="720"/>
  <w:characterSpacingControl w:val="doNotCompress"/>
  <w:compat>
    <w:useFELayout/>
    <w:compatSetting w:name="compatibilityMode" w:uri="http://schemas.microsoft.com/office/word" w:val="12"/>
  </w:compat>
  <w:docVars>
    <w:docVar w:name="__Grammarly_42____i" w:val="H4sIAAAAAAAEAKtWckksSQxILCpxzi/NK1GyMqwFAAEhoTITAAAA"/>
    <w:docVar w:name="__Grammarly_42___1" w:val="H4sIAAAAAAAEAKtWcslP9kxRslIyNDa0NDW3MDEztjQzNTEyszRQ0lEKTi0uzszPAykwqgUAa/9yQSwAAAA="/>
  </w:docVars>
  <w:rsids>
    <w:rsidRoot w:val="003543AA"/>
    <w:rsid w:val="00002355"/>
    <w:rsid w:val="000028C5"/>
    <w:rsid w:val="0000392A"/>
    <w:rsid w:val="0000543A"/>
    <w:rsid w:val="000060FF"/>
    <w:rsid w:val="00011AD5"/>
    <w:rsid w:val="000124AA"/>
    <w:rsid w:val="000124E1"/>
    <w:rsid w:val="000202AB"/>
    <w:rsid w:val="00036A3C"/>
    <w:rsid w:val="00041552"/>
    <w:rsid w:val="000421F1"/>
    <w:rsid w:val="00044CAF"/>
    <w:rsid w:val="00046A60"/>
    <w:rsid w:val="00047347"/>
    <w:rsid w:val="0005116A"/>
    <w:rsid w:val="000537D5"/>
    <w:rsid w:val="00057DE8"/>
    <w:rsid w:val="00065F3E"/>
    <w:rsid w:val="00075467"/>
    <w:rsid w:val="0007636C"/>
    <w:rsid w:val="000813FF"/>
    <w:rsid w:val="000902FA"/>
    <w:rsid w:val="0009103C"/>
    <w:rsid w:val="00093982"/>
    <w:rsid w:val="000959A9"/>
    <w:rsid w:val="00097766"/>
    <w:rsid w:val="00097AFA"/>
    <w:rsid w:val="000A44B2"/>
    <w:rsid w:val="000A4C2B"/>
    <w:rsid w:val="000B093C"/>
    <w:rsid w:val="000B4CC3"/>
    <w:rsid w:val="000C48BE"/>
    <w:rsid w:val="000C669D"/>
    <w:rsid w:val="000C6CB4"/>
    <w:rsid w:val="000C7BE9"/>
    <w:rsid w:val="000D23D7"/>
    <w:rsid w:val="000D634F"/>
    <w:rsid w:val="000D79E7"/>
    <w:rsid w:val="000E49DA"/>
    <w:rsid w:val="000F2195"/>
    <w:rsid w:val="00100190"/>
    <w:rsid w:val="00103F72"/>
    <w:rsid w:val="001110FA"/>
    <w:rsid w:val="001164C0"/>
    <w:rsid w:val="00122058"/>
    <w:rsid w:val="0012258F"/>
    <w:rsid w:val="00122691"/>
    <w:rsid w:val="00126258"/>
    <w:rsid w:val="00127942"/>
    <w:rsid w:val="001305AD"/>
    <w:rsid w:val="0013569F"/>
    <w:rsid w:val="00144380"/>
    <w:rsid w:val="00150378"/>
    <w:rsid w:val="0016088A"/>
    <w:rsid w:val="00193F52"/>
    <w:rsid w:val="001A5872"/>
    <w:rsid w:val="001B01C0"/>
    <w:rsid w:val="001B22A6"/>
    <w:rsid w:val="001C3C49"/>
    <w:rsid w:val="001E7E93"/>
    <w:rsid w:val="001F2E92"/>
    <w:rsid w:val="001F68BD"/>
    <w:rsid w:val="001F7AE8"/>
    <w:rsid w:val="0020190B"/>
    <w:rsid w:val="00204065"/>
    <w:rsid w:val="00204644"/>
    <w:rsid w:val="002078CE"/>
    <w:rsid w:val="00226C89"/>
    <w:rsid w:val="002343E3"/>
    <w:rsid w:val="0023769F"/>
    <w:rsid w:val="00244D73"/>
    <w:rsid w:val="00245498"/>
    <w:rsid w:val="002463BB"/>
    <w:rsid w:val="00246499"/>
    <w:rsid w:val="00247F8C"/>
    <w:rsid w:val="00253532"/>
    <w:rsid w:val="002556D6"/>
    <w:rsid w:val="0025675B"/>
    <w:rsid w:val="00265CB6"/>
    <w:rsid w:val="00272806"/>
    <w:rsid w:val="002737E9"/>
    <w:rsid w:val="00273CFE"/>
    <w:rsid w:val="002741EE"/>
    <w:rsid w:val="002905BB"/>
    <w:rsid w:val="00293ABB"/>
    <w:rsid w:val="00297EC0"/>
    <w:rsid w:val="002D38C0"/>
    <w:rsid w:val="002D5BCA"/>
    <w:rsid w:val="002D75FF"/>
    <w:rsid w:val="002E0C0C"/>
    <w:rsid w:val="002E140F"/>
    <w:rsid w:val="002E7866"/>
    <w:rsid w:val="002F066F"/>
    <w:rsid w:val="002F0D67"/>
    <w:rsid w:val="003112A5"/>
    <w:rsid w:val="00313618"/>
    <w:rsid w:val="003210CE"/>
    <w:rsid w:val="003224C0"/>
    <w:rsid w:val="00325B76"/>
    <w:rsid w:val="0032726B"/>
    <w:rsid w:val="00331C7C"/>
    <w:rsid w:val="003350A7"/>
    <w:rsid w:val="003447C0"/>
    <w:rsid w:val="003543AA"/>
    <w:rsid w:val="00361783"/>
    <w:rsid w:val="0036207E"/>
    <w:rsid w:val="0036268E"/>
    <w:rsid w:val="00366897"/>
    <w:rsid w:val="003673A4"/>
    <w:rsid w:val="003749D0"/>
    <w:rsid w:val="00375358"/>
    <w:rsid w:val="00384658"/>
    <w:rsid w:val="003930BF"/>
    <w:rsid w:val="00393D54"/>
    <w:rsid w:val="003967E1"/>
    <w:rsid w:val="003A1F1B"/>
    <w:rsid w:val="003A2042"/>
    <w:rsid w:val="003B5121"/>
    <w:rsid w:val="003B7145"/>
    <w:rsid w:val="003C64F4"/>
    <w:rsid w:val="003C754C"/>
    <w:rsid w:val="003D3720"/>
    <w:rsid w:val="003D476B"/>
    <w:rsid w:val="003D7548"/>
    <w:rsid w:val="003E20D4"/>
    <w:rsid w:val="003E7E8E"/>
    <w:rsid w:val="004101D0"/>
    <w:rsid w:val="00414EDD"/>
    <w:rsid w:val="0041743E"/>
    <w:rsid w:val="00420007"/>
    <w:rsid w:val="00420281"/>
    <w:rsid w:val="0043236D"/>
    <w:rsid w:val="00433FA8"/>
    <w:rsid w:val="004351F5"/>
    <w:rsid w:val="00437828"/>
    <w:rsid w:val="00470753"/>
    <w:rsid w:val="004738E1"/>
    <w:rsid w:val="00486D3A"/>
    <w:rsid w:val="0048724A"/>
    <w:rsid w:val="00490E4A"/>
    <w:rsid w:val="00496685"/>
    <w:rsid w:val="00497C8D"/>
    <w:rsid w:val="004A2039"/>
    <w:rsid w:val="004A31E5"/>
    <w:rsid w:val="004A6270"/>
    <w:rsid w:val="004B3EF9"/>
    <w:rsid w:val="004B5FAA"/>
    <w:rsid w:val="004C22A1"/>
    <w:rsid w:val="004C2502"/>
    <w:rsid w:val="004D158C"/>
    <w:rsid w:val="004D29DE"/>
    <w:rsid w:val="004D2D63"/>
    <w:rsid w:val="004E0355"/>
    <w:rsid w:val="004E234E"/>
    <w:rsid w:val="004E2939"/>
    <w:rsid w:val="004E736B"/>
    <w:rsid w:val="004F2947"/>
    <w:rsid w:val="00501F13"/>
    <w:rsid w:val="005039EA"/>
    <w:rsid w:val="00504931"/>
    <w:rsid w:val="005208E2"/>
    <w:rsid w:val="00533F95"/>
    <w:rsid w:val="00540F20"/>
    <w:rsid w:val="00541B4C"/>
    <w:rsid w:val="005472B9"/>
    <w:rsid w:val="00561088"/>
    <w:rsid w:val="0056165A"/>
    <w:rsid w:val="005648BC"/>
    <w:rsid w:val="0057277A"/>
    <w:rsid w:val="00583E91"/>
    <w:rsid w:val="00584DEA"/>
    <w:rsid w:val="00585FEA"/>
    <w:rsid w:val="005877A0"/>
    <w:rsid w:val="00596E0D"/>
    <w:rsid w:val="005B2C0C"/>
    <w:rsid w:val="005B40F0"/>
    <w:rsid w:val="005B54EB"/>
    <w:rsid w:val="005B66DD"/>
    <w:rsid w:val="005C4DB3"/>
    <w:rsid w:val="005D269D"/>
    <w:rsid w:val="005D41D4"/>
    <w:rsid w:val="005E06B0"/>
    <w:rsid w:val="005E173E"/>
    <w:rsid w:val="005E23ED"/>
    <w:rsid w:val="005E712F"/>
    <w:rsid w:val="005F2269"/>
    <w:rsid w:val="00601AD2"/>
    <w:rsid w:val="0060664B"/>
    <w:rsid w:val="006147E7"/>
    <w:rsid w:val="00615EE7"/>
    <w:rsid w:val="00637CF9"/>
    <w:rsid w:val="0064130C"/>
    <w:rsid w:val="006429E9"/>
    <w:rsid w:val="00647CB2"/>
    <w:rsid w:val="00647EB5"/>
    <w:rsid w:val="006558C3"/>
    <w:rsid w:val="006611A3"/>
    <w:rsid w:val="0066181F"/>
    <w:rsid w:val="00661B06"/>
    <w:rsid w:val="00662116"/>
    <w:rsid w:val="00662A85"/>
    <w:rsid w:val="00665357"/>
    <w:rsid w:val="00667A8D"/>
    <w:rsid w:val="006734BD"/>
    <w:rsid w:val="006763AE"/>
    <w:rsid w:val="00677512"/>
    <w:rsid w:val="006810BA"/>
    <w:rsid w:val="00683F46"/>
    <w:rsid w:val="006879D2"/>
    <w:rsid w:val="00690CA9"/>
    <w:rsid w:val="00693612"/>
    <w:rsid w:val="00696699"/>
    <w:rsid w:val="006A1076"/>
    <w:rsid w:val="006A4BC3"/>
    <w:rsid w:val="006B25FA"/>
    <w:rsid w:val="006B61BF"/>
    <w:rsid w:val="006B6B19"/>
    <w:rsid w:val="006C2C88"/>
    <w:rsid w:val="006C3477"/>
    <w:rsid w:val="006C61AE"/>
    <w:rsid w:val="006D02F2"/>
    <w:rsid w:val="006D31C7"/>
    <w:rsid w:val="006D3EFA"/>
    <w:rsid w:val="006D73B9"/>
    <w:rsid w:val="006E0DDA"/>
    <w:rsid w:val="006E1451"/>
    <w:rsid w:val="00711226"/>
    <w:rsid w:val="00711A45"/>
    <w:rsid w:val="00713CE7"/>
    <w:rsid w:val="00725A25"/>
    <w:rsid w:val="00726097"/>
    <w:rsid w:val="0072639D"/>
    <w:rsid w:val="00730486"/>
    <w:rsid w:val="00735D13"/>
    <w:rsid w:val="0073663D"/>
    <w:rsid w:val="00736D2C"/>
    <w:rsid w:val="00755A3D"/>
    <w:rsid w:val="00756B6F"/>
    <w:rsid w:val="00761737"/>
    <w:rsid w:val="00770FB8"/>
    <w:rsid w:val="00771AF6"/>
    <w:rsid w:val="00772498"/>
    <w:rsid w:val="007854E6"/>
    <w:rsid w:val="0079004A"/>
    <w:rsid w:val="00792BA5"/>
    <w:rsid w:val="0079498F"/>
    <w:rsid w:val="00795178"/>
    <w:rsid w:val="007A0D13"/>
    <w:rsid w:val="007A4717"/>
    <w:rsid w:val="007A49C9"/>
    <w:rsid w:val="007C05F3"/>
    <w:rsid w:val="007C5EB7"/>
    <w:rsid w:val="007D19A7"/>
    <w:rsid w:val="007D3570"/>
    <w:rsid w:val="007D6DA4"/>
    <w:rsid w:val="007E5B5A"/>
    <w:rsid w:val="007F52A2"/>
    <w:rsid w:val="00801FDE"/>
    <w:rsid w:val="00803820"/>
    <w:rsid w:val="00803A0E"/>
    <w:rsid w:val="008065E4"/>
    <w:rsid w:val="00810703"/>
    <w:rsid w:val="00811DB2"/>
    <w:rsid w:val="0081506C"/>
    <w:rsid w:val="00816BB0"/>
    <w:rsid w:val="0082091C"/>
    <w:rsid w:val="00821AB8"/>
    <w:rsid w:val="008371E6"/>
    <w:rsid w:val="00843D60"/>
    <w:rsid w:val="0084459B"/>
    <w:rsid w:val="00845880"/>
    <w:rsid w:val="00847948"/>
    <w:rsid w:val="0085065A"/>
    <w:rsid w:val="008522E8"/>
    <w:rsid w:val="00854669"/>
    <w:rsid w:val="0085695B"/>
    <w:rsid w:val="008629AB"/>
    <w:rsid w:val="00872040"/>
    <w:rsid w:val="0087488F"/>
    <w:rsid w:val="00876E55"/>
    <w:rsid w:val="00886C74"/>
    <w:rsid w:val="0089093D"/>
    <w:rsid w:val="008A2B08"/>
    <w:rsid w:val="008B2076"/>
    <w:rsid w:val="008C6A1B"/>
    <w:rsid w:val="008C74AB"/>
    <w:rsid w:val="008C770D"/>
    <w:rsid w:val="008D7033"/>
    <w:rsid w:val="008E1B63"/>
    <w:rsid w:val="008E23E9"/>
    <w:rsid w:val="008E5368"/>
    <w:rsid w:val="008E6A9E"/>
    <w:rsid w:val="008F7089"/>
    <w:rsid w:val="00905A8A"/>
    <w:rsid w:val="00905C21"/>
    <w:rsid w:val="009068EB"/>
    <w:rsid w:val="00911CFB"/>
    <w:rsid w:val="009146EA"/>
    <w:rsid w:val="009227C1"/>
    <w:rsid w:val="0094788A"/>
    <w:rsid w:val="00950F32"/>
    <w:rsid w:val="009512AE"/>
    <w:rsid w:val="00955B45"/>
    <w:rsid w:val="009609C4"/>
    <w:rsid w:val="009756C4"/>
    <w:rsid w:val="009820A8"/>
    <w:rsid w:val="009826DA"/>
    <w:rsid w:val="00985BE7"/>
    <w:rsid w:val="00987E3A"/>
    <w:rsid w:val="009914E2"/>
    <w:rsid w:val="009941EC"/>
    <w:rsid w:val="00995948"/>
    <w:rsid w:val="00996193"/>
    <w:rsid w:val="009A11BA"/>
    <w:rsid w:val="009A6314"/>
    <w:rsid w:val="009B1C7E"/>
    <w:rsid w:val="009B6C8A"/>
    <w:rsid w:val="009C1077"/>
    <w:rsid w:val="009C3E90"/>
    <w:rsid w:val="009C7039"/>
    <w:rsid w:val="009D0CC0"/>
    <w:rsid w:val="009D1463"/>
    <w:rsid w:val="009D553C"/>
    <w:rsid w:val="009E540D"/>
    <w:rsid w:val="009E5915"/>
    <w:rsid w:val="009F07CC"/>
    <w:rsid w:val="009F0EA9"/>
    <w:rsid w:val="009F2C0B"/>
    <w:rsid w:val="009F3B72"/>
    <w:rsid w:val="00A1000E"/>
    <w:rsid w:val="00A21AEC"/>
    <w:rsid w:val="00A31A2B"/>
    <w:rsid w:val="00A32848"/>
    <w:rsid w:val="00A36271"/>
    <w:rsid w:val="00A36396"/>
    <w:rsid w:val="00A44413"/>
    <w:rsid w:val="00A4718D"/>
    <w:rsid w:val="00A479EB"/>
    <w:rsid w:val="00A55C1D"/>
    <w:rsid w:val="00A7165B"/>
    <w:rsid w:val="00A84CCF"/>
    <w:rsid w:val="00A9734C"/>
    <w:rsid w:val="00AA1427"/>
    <w:rsid w:val="00AA3020"/>
    <w:rsid w:val="00AA431C"/>
    <w:rsid w:val="00AA48F8"/>
    <w:rsid w:val="00AB3873"/>
    <w:rsid w:val="00AB44B3"/>
    <w:rsid w:val="00AC252C"/>
    <w:rsid w:val="00AC3355"/>
    <w:rsid w:val="00AC6298"/>
    <w:rsid w:val="00AD2F0B"/>
    <w:rsid w:val="00AD447B"/>
    <w:rsid w:val="00AD5A89"/>
    <w:rsid w:val="00AE54B0"/>
    <w:rsid w:val="00AE6F9C"/>
    <w:rsid w:val="00AF0FB2"/>
    <w:rsid w:val="00AF1370"/>
    <w:rsid w:val="00AF4281"/>
    <w:rsid w:val="00B05A2F"/>
    <w:rsid w:val="00B060EB"/>
    <w:rsid w:val="00B12BCD"/>
    <w:rsid w:val="00B22BED"/>
    <w:rsid w:val="00B247EC"/>
    <w:rsid w:val="00B3170A"/>
    <w:rsid w:val="00B31C65"/>
    <w:rsid w:val="00B3291E"/>
    <w:rsid w:val="00B35449"/>
    <w:rsid w:val="00B374AA"/>
    <w:rsid w:val="00B46944"/>
    <w:rsid w:val="00B50880"/>
    <w:rsid w:val="00B56D90"/>
    <w:rsid w:val="00B64A49"/>
    <w:rsid w:val="00B81E51"/>
    <w:rsid w:val="00B8771B"/>
    <w:rsid w:val="00B917FF"/>
    <w:rsid w:val="00B963D3"/>
    <w:rsid w:val="00BB0D74"/>
    <w:rsid w:val="00BB17FD"/>
    <w:rsid w:val="00BC6AB7"/>
    <w:rsid w:val="00BD4EE2"/>
    <w:rsid w:val="00BD60CB"/>
    <w:rsid w:val="00BE38EF"/>
    <w:rsid w:val="00BE62C4"/>
    <w:rsid w:val="00BF006E"/>
    <w:rsid w:val="00BF1CD4"/>
    <w:rsid w:val="00BF4E4E"/>
    <w:rsid w:val="00C00047"/>
    <w:rsid w:val="00C02C36"/>
    <w:rsid w:val="00C0684A"/>
    <w:rsid w:val="00C10F4E"/>
    <w:rsid w:val="00C1741D"/>
    <w:rsid w:val="00C2251E"/>
    <w:rsid w:val="00C33C00"/>
    <w:rsid w:val="00C3413E"/>
    <w:rsid w:val="00C34962"/>
    <w:rsid w:val="00C42769"/>
    <w:rsid w:val="00C51419"/>
    <w:rsid w:val="00C5476C"/>
    <w:rsid w:val="00C55D92"/>
    <w:rsid w:val="00C65C6E"/>
    <w:rsid w:val="00C70B4E"/>
    <w:rsid w:val="00C741AB"/>
    <w:rsid w:val="00C75DF4"/>
    <w:rsid w:val="00C8048A"/>
    <w:rsid w:val="00C81F12"/>
    <w:rsid w:val="00C87A33"/>
    <w:rsid w:val="00C9044B"/>
    <w:rsid w:val="00C93847"/>
    <w:rsid w:val="00C93B97"/>
    <w:rsid w:val="00C94F69"/>
    <w:rsid w:val="00C961CC"/>
    <w:rsid w:val="00CA5290"/>
    <w:rsid w:val="00CA63F9"/>
    <w:rsid w:val="00CB4F28"/>
    <w:rsid w:val="00CB764B"/>
    <w:rsid w:val="00CC072E"/>
    <w:rsid w:val="00CC1469"/>
    <w:rsid w:val="00CC65E5"/>
    <w:rsid w:val="00CD41EB"/>
    <w:rsid w:val="00CD7712"/>
    <w:rsid w:val="00CE3AF7"/>
    <w:rsid w:val="00CE40AA"/>
    <w:rsid w:val="00CF24CA"/>
    <w:rsid w:val="00CF48F1"/>
    <w:rsid w:val="00D00D88"/>
    <w:rsid w:val="00D02404"/>
    <w:rsid w:val="00D06DD8"/>
    <w:rsid w:val="00D1174B"/>
    <w:rsid w:val="00D20201"/>
    <w:rsid w:val="00D21327"/>
    <w:rsid w:val="00D26F48"/>
    <w:rsid w:val="00D567D5"/>
    <w:rsid w:val="00D57388"/>
    <w:rsid w:val="00D67BBA"/>
    <w:rsid w:val="00D71A90"/>
    <w:rsid w:val="00D72768"/>
    <w:rsid w:val="00D762B5"/>
    <w:rsid w:val="00D771ED"/>
    <w:rsid w:val="00D77647"/>
    <w:rsid w:val="00D85809"/>
    <w:rsid w:val="00D858D0"/>
    <w:rsid w:val="00D9076D"/>
    <w:rsid w:val="00D92360"/>
    <w:rsid w:val="00D943C0"/>
    <w:rsid w:val="00D95918"/>
    <w:rsid w:val="00D9710D"/>
    <w:rsid w:val="00DB2EDD"/>
    <w:rsid w:val="00DB5338"/>
    <w:rsid w:val="00DB7D3A"/>
    <w:rsid w:val="00DC42BD"/>
    <w:rsid w:val="00DC5237"/>
    <w:rsid w:val="00DD05C9"/>
    <w:rsid w:val="00DE6178"/>
    <w:rsid w:val="00DE6D71"/>
    <w:rsid w:val="00DF725C"/>
    <w:rsid w:val="00E06FC4"/>
    <w:rsid w:val="00E11F79"/>
    <w:rsid w:val="00E14824"/>
    <w:rsid w:val="00E1611A"/>
    <w:rsid w:val="00E20107"/>
    <w:rsid w:val="00E243F5"/>
    <w:rsid w:val="00E34411"/>
    <w:rsid w:val="00E361D1"/>
    <w:rsid w:val="00E41DF0"/>
    <w:rsid w:val="00E43452"/>
    <w:rsid w:val="00E4533F"/>
    <w:rsid w:val="00E4732C"/>
    <w:rsid w:val="00E5563D"/>
    <w:rsid w:val="00E63C0A"/>
    <w:rsid w:val="00E75354"/>
    <w:rsid w:val="00E81DC7"/>
    <w:rsid w:val="00E8326B"/>
    <w:rsid w:val="00E86E8E"/>
    <w:rsid w:val="00E95B14"/>
    <w:rsid w:val="00E97485"/>
    <w:rsid w:val="00E97733"/>
    <w:rsid w:val="00EA1266"/>
    <w:rsid w:val="00EB3AA4"/>
    <w:rsid w:val="00EB67FB"/>
    <w:rsid w:val="00EC1460"/>
    <w:rsid w:val="00EC2B55"/>
    <w:rsid w:val="00EC4D93"/>
    <w:rsid w:val="00EC614D"/>
    <w:rsid w:val="00ED2518"/>
    <w:rsid w:val="00EE0EAD"/>
    <w:rsid w:val="00EE1F2F"/>
    <w:rsid w:val="00EE20DB"/>
    <w:rsid w:val="00EE67C5"/>
    <w:rsid w:val="00EF3E99"/>
    <w:rsid w:val="00EF583D"/>
    <w:rsid w:val="00F05B92"/>
    <w:rsid w:val="00F11D6C"/>
    <w:rsid w:val="00F23B2D"/>
    <w:rsid w:val="00F24668"/>
    <w:rsid w:val="00F26194"/>
    <w:rsid w:val="00F2680A"/>
    <w:rsid w:val="00F2712E"/>
    <w:rsid w:val="00F30C67"/>
    <w:rsid w:val="00F4055A"/>
    <w:rsid w:val="00F421A1"/>
    <w:rsid w:val="00F456D9"/>
    <w:rsid w:val="00F53C92"/>
    <w:rsid w:val="00F5473E"/>
    <w:rsid w:val="00F55A83"/>
    <w:rsid w:val="00F55CF0"/>
    <w:rsid w:val="00F56FCA"/>
    <w:rsid w:val="00F82475"/>
    <w:rsid w:val="00F8778C"/>
    <w:rsid w:val="00F87D1E"/>
    <w:rsid w:val="00FA7770"/>
    <w:rsid w:val="00FB0B69"/>
    <w:rsid w:val="00FB3D3F"/>
    <w:rsid w:val="00FB41C8"/>
    <w:rsid w:val="00FB7C62"/>
    <w:rsid w:val="00FC467C"/>
    <w:rsid w:val="00FD2329"/>
    <w:rsid w:val="00FD32B3"/>
    <w:rsid w:val="00FD4FD9"/>
    <w:rsid w:val="00FD74AF"/>
    <w:rsid w:val="00FD78C1"/>
    <w:rsid w:val="00FE07B2"/>
    <w:rsid w:val="00FE225A"/>
    <w:rsid w:val="00FE25AD"/>
    <w:rsid w:val="00FE31CF"/>
    <w:rsid w:val="00FE4687"/>
    <w:rsid w:val="00FE73CF"/>
    <w:rsid w:val="00FE7638"/>
    <w:rsid w:val="00FE7F4E"/>
    <w:rsid w:val="00FF303D"/>
    <w:rsid w:val="00FF4FD5"/>
    <w:rsid w:val="13DE2D85"/>
    <w:rsid w:val="2D39061D"/>
    <w:rsid w:val="3D9C6030"/>
    <w:rsid w:val="45385885"/>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26"/>
    <w:qFormat/>
    <w:uiPriority w:val="9"/>
    <w:pPr>
      <w:keepNext/>
      <w:keepLines/>
      <w:spacing w:before="480" w:after="0"/>
      <w:outlineLvl w:val="0"/>
    </w:pPr>
    <w:rPr>
      <w:rFonts w:asciiTheme="majorHAnsi" w:hAnsiTheme="majorHAnsi" w:eastAsiaTheme="majorEastAsia" w:cstheme="majorBidi"/>
      <w:b/>
      <w:bCs/>
      <w:color w:val="366091" w:themeColor="accent1" w:themeShade="BF"/>
      <w:sz w:val="28"/>
      <w:szCs w:val="28"/>
    </w:rPr>
  </w:style>
  <w:style w:type="paragraph" w:styleId="3">
    <w:name w:val="heading 2"/>
    <w:basedOn w:val="1"/>
    <w:next w:val="1"/>
    <w:link w:val="27"/>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4">
    <w:name w:val="heading 3"/>
    <w:basedOn w:val="1"/>
    <w:next w:val="1"/>
    <w:link w:val="29"/>
    <w:unhideWhenUsed/>
    <w:qFormat/>
    <w:uiPriority w:val="9"/>
    <w:pPr>
      <w:keepNext/>
      <w:keepLines/>
      <w:spacing w:before="200" w:after="0"/>
      <w:outlineLvl w:val="2"/>
    </w:pPr>
    <w:rPr>
      <w:rFonts w:asciiTheme="majorHAnsi" w:hAnsiTheme="majorHAnsi" w:eastAsiaTheme="majorEastAsia" w:cstheme="majorBidi"/>
      <w:b/>
      <w:bCs/>
      <w:color w:val="4F81BD" w:themeColor="accent1"/>
    </w:rPr>
  </w:style>
  <w:style w:type="character" w:default="1" w:styleId="14">
    <w:name w:val="Default Paragraph Font"/>
    <w:unhideWhenUsed/>
    <w:uiPriority w:val="1"/>
  </w:style>
  <w:style w:type="table" w:default="1" w:styleId="18">
    <w:name w:val="Normal Table"/>
    <w:semiHidden/>
    <w:unhideWhenUsed/>
    <w:qFormat/>
    <w:uiPriority w:val="99"/>
    <w:tblPr>
      <w:tblLayout w:type="fixed"/>
      <w:tblCellMar>
        <w:top w:w="0" w:type="dxa"/>
        <w:left w:w="108" w:type="dxa"/>
        <w:bottom w:w="0" w:type="dxa"/>
        <w:right w:w="108" w:type="dxa"/>
      </w:tblCellMar>
    </w:tblPr>
  </w:style>
  <w:style w:type="paragraph" w:styleId="5">
    <w:name w:val="annotation subject"/>
    <w:basedOn w:val="6"/>
    <w:next w:val="6"/>
    <w:link w:val="23"/>
    <w:semiHidden/>
    <w:unhideWhenUsed/>
    <w:qFormat/>
    <w:uiPriority w:val="99"/>
    <w:rPr>
      <w:b/>
      <w:bCs/>
    </w:rPr>
  </w:style>
  <w:style w:type="paragraph" w:styleId="6">
    <w:name w:val="annotation text"/>
    <w:basedOn w:val="1"/>
    <w:link w:val="22"/>
    <w:semiHidden/>
    <w:unhideWhenUsed/>
    <w:qFormat/>
    <w:uiPriority w:val="99"/>
    <w:pPr>
      <w:spacing w:line="240" w:lineRule="auto"/>
    </w:pPr>
    <w:rPr>
      <w:sz w:val="20"/>
      <w:szCs w:val="20"/>
    </w:rPr>
  </w:style>
  <w:style w:type="paragraph" w:styleId="7">
    <w:name w:val="toc 3"/>
    <w:basedOn w:val="1"/>
    <w:next w:val="1"/>
    <w:unhideWhenUsed/>
    <w:uiPriority w:val="39"/>
    <w:pPr>
      <w:spacing w:after="100"/>
      <w:ind w:left="440"/>
    </w:pPr>
  </w:style>
  <w:style w:type="paragraph" w:styleId="8">
    <w:name w:val="Balloon Text"/>
    <w:basedOn w:val="1"/>
    <w:link w:val="20"/>
    <w:semiHidden/>
    <w:unhideWhenUsed/>
    <w:qFormat/>
    <w:uiPriority w:val="99"/>
    <w:pPr>
      <w:spacing w:after="0" w:line="240" w:lineRule="auto"/>
    </w:pPr>
    <w:rPr>
      <w:rFonts w:ascii="Tahoma" w:hAnsi="Tahoma" w:cs="Tahoma"/>
      <w:sz w:val="16"/>
      <w:szCs w:val="16"/>
    </w:rPr>
  </w:style>
  <w:style w:type="paragraph" w:styleId="9">
    <w:name w:val="footer"/>
    <w:basedOn w:val="1"/>
    <w:link w:val="25"/>
    <w:unhideWhenUsed/>
    <w:qFormat/>
    <w:uiPriority w:val="99"/>
    <w:pPr>
      <w:tabs>
        <w:tab w:val="center" w:pos="4680"/>
        <w:tab w:val="right" w:pos="9360"/>
      </w:tabs>
      <w:spacing w:after="0" w:line="240" w:lineRule="auto"/>
    </w:pPr>
  </w:style>
  <w:style w:type="paragraph" w:styleId="10">
    <w:name w:val="header"/>
    <w:basedOn w:val="1"/>
    <w:link w:val="24"/>
    <w:unhideWhenUsed/>
    <w:qFormat/>
    <w:uiPriority w:val="99"/>
    <w:pPr>
      <w:tabs>
        <w:tab w:val="center" w:pos="4680"/>
        <w:tab w:val="right" w:pos="9360"/>
      </w:tabs>
      <w:spacing w:after="0" w:line="240" w:lineRule="auto"/>
    </w:pPr>
  </w:style>
  <w:style w:type="paragraph" w:styleId="11">
    <w:name w:val="toc 1"/>
    <w:basedOn w:val="1"/>
    <w:next w:val="1"/>
    <w:unhideWhenUsed/>
    <w:uiPriority w:val="39"/>
    <w:pPr>
      <w:spacing w:after="100"/>
    </w:pPr>
  </w:style>
  <w:style w:type="paragraph" w:styleId="12">
    <w:name w:val="table of figures"/>
    <w:basedOn w:val="1"/>
    <w:next w:val="1"/>
    <w:unhideWhenUsed/>
    <w:qFormat/>
    <w:uiPriority w:val="99"/>
    <w:pPr>
      <w:spacing w:after="0"/>
    </w:pPr>
  </w:style>
  <w:style w:type="paragraph" w:styleId="13">
    <w:name w:val="toc 2"/>
    <w:basedOn w:val="1"/>
    <w:next w:val="1"/>
    <w:unhideWhenUsed/>
    <w:qFormat/>
    <w:uiPriority w:val="39"/>
    <w:pPr>
      <w:spacing w:after="100"/>
      <w:ind w:left="220"/>
    </w:pPr>
  </w:style>
  <w:style w:type="character" w:styleId="15">
    <w:name w:val="FollowedHyperlink"/>
    <w:basedOn w:val="14"/>
    <w:semiHidden/>
    <w:unhideWhenUsed/>
    <w:qFormat/>
    <w:uiPriority w:val="99"/>
    <w:rPr>
      <w:color w:val="800080" w:themeColor="followedHyperlink"/>
      <w:u w:val="single"/>
    </w:rPr>
  </w:style>
  <w:style w:type="character" w:styleId="16">
    <w:name w:val="Hyperlink"/>
    <w:basedOn w:val="14"/>
    <w:unhideWhenUsed/>
    <w:qFormat/>
    <w:uiPriority w:val="99"/>
    <w:rPr>
      <w:color w:val="0000FF" w:themeColor="hyperlink"/>
      <w:u w:val="single"/>
    </w:rPr>
  </w:style>
  <w:style w:type="character" w:styleId="17">
    <w:name w:val="annotation reference"/>
    <w:basedOn w:val="14"/>
    <w:semiHidden/>
    <w:unhideWhenUsed/>
    <w:qFormat/>
    <w:uiPriority w:val="99"/>
    <w:rPr>
      <w:sz w:val="16"/>
      <w:szCs w:val="16"/>
    </w:rPr>
  </w:style>
  <w:style w:type="table" w:styleId="19">
    <w:name w:val="Table Grid"/>
    <w:basedOn w:val="18"/>
    <w:qFormat/>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style>
  <w:style w:type="character" w:customStyle="1" w:styleId="20">
    <w:name w:val="Balloon Text Char"/>
    <w:basedOn w:val="14"/>
    <w:link w:val="8"/>
    <w:semiHidden/>
    <w:qFormat/>
    <w:uiPriority w:val="99"/>
    <w:rPr>
      <w:rFonts w:ascii="Tahoma" w:hAnsi="Tahoma" w:cs="Tahoma"/>
      <w:sz w:val="16"/>
      <w:szCs w:val="16"/>
    </w:rPr>
  </w:style>
  <w:style w:type="paragraph" w:styleId="21">
    <w:name w:val="List Paragraph"/>
    <w:basedOn w:val="1"/>
    <w:qFormat/>
    <w:uiPriority w:val="34"/>
    <w:pPr>
      <w:ind w:left="720"/>
      <w:contextualSpacing/>
    </w:pPr>
  </w:style>
  <w:style w:type="character" w:customStyle="1" w:styleId="22">
    <w:name w:val="Comment Text Char"/>
    <w:basedOn w:val="14"/>
    <w:link w:val="6"/>
    <w:semiHidden/>
    <w:qFormat/>
    <w:uiPriority w:val="99"/>
    <w:rPr>
      <w:sz w:val="20"/>
      <w:szCs w:val="20"/>
    </w:rPr>
  </w:style>
  <w:style w:type="character" w:customStyle="1" w:styleId="23">
    <w:name w:val="Comment Subject Char"/>
    <w:basedOn w:val="22"/>
    <w:link w:val="5"/>
    <w:semiHidden/>
    <w:qFormat/>
    <w:uiPriority w:val="99"/>
    <w:rPr>
      <w:b/>
      <w:bCs/>
      <w:sz w:val="20"/>
      <w:szCs w:val="20"/>
    </w:rPr>
  </w:style>
  <w:style w:type="character" w:customStyle="1" w:styleId="24">
    <w:name w:val="Header Char"/>
    <w:basedOn w:val="14"/>
    <w:link w:val="10"/>
    <w:qFormat/>
    <w:uiPriority w:val="99"/>
  </w:style>
  <w:style w:type="character" w:customStyle="1" w:styleId="25">
    <w:name w:val="Footer Char"/>
    <w:basedOn w:val="14"/>
    <w:link w:val="9"/>
    <w:qFormat/>
    <w:uiPriority w:val="99"/>
  </w:style>
  <w:style w:type="character" w:customStyle="1" w:styleId="26">
    <w:name w:val="Heading 1 Char"/>
    <w:basedOn w:val="14"/>
    <w:link w:val="2"/>
    <w:qFormat/>
    <w:uiPriority w:val="9"/>
    <w:rPr>
      <w:rFonts w:asciiTheme="majorHAnsi" w:hAnsiTheme="majorHAnsi" w:eastAsiaTheme="majorEastAsia" w:cstheme="majorBidi"/>
      <w:b/>
      <w:bCs/>
      <w:color w:val="366091" w:themeColor="accent1" w:themeShade="BF"/>
      <w:sz w:val="28"/>
      <w:szCs w:val="28"/>
    </w:rPr>
  </w:style>
  <w:style w:type="character" w:customStyle="1" w:styleId="27">
    <w:name w:val="Heading 2 Char"/>
    <w:basedOn w:val="14"/>
    <w:link w:val="3"/>
    <w:qFormat/>
    <w:uiPriority w:val="9"/>
    <w:rPr>
      <w:rFonts w:asciiTheme="majorHAnsi" w:hAnsiTheme="majorHAnsi" w:eastAsiaTheme="majorEastAsia" w:cstheme="majorBidi"/>
      <w:b/>
      <w:bCs/>
      <w:color w:val="4F81BD" w:themeColor="accent1"/>
      <w:sz w:val="26"/>
      <w:szCs w:val="26"/>
    </w:rPr>
  </w:style>
  <w:style w:type="paragraph" w:customStyle="1" w:styleId="28">
    <w:name w:val="TOC Heading"/>
    <w:basedOn w:val="2"/>
    <w:next w:val="1"/>
    <w:semiHidden/>
    <w:unhideWhenUsed/>
    <w:qFormat/>
    <w:uiPriority w:val="39"/>
    <w:pPr>
      <w:outlineLvl w:val="9"/>
    </w:pPr>
  </w:style>
  <w:style w:type="character" w:customStyle="1" w:styleId="29">
    <w:name w:val="Heading 3 Char"/>
    <w:basedOn w:val="14"/>
    <w:link w:val="4"/>
    <w:qFormat/>
    <w:uiPriority w:val="9"/>
    <w:rPr>
      <w:rFonts w:asciiTheme="majorHAnsi" w:hAnsiTheme="majorHAnsi" w:eastAsiaTheme="majorEastAsia" w:cstheme="majorBidi"/>
      <w:b/>
      <w:bCs/>
      <w:color w:val="4F81BD" w:themeColor="accent1"/>
      <w:sz w:val="22"/>
      <w:szCs w:val="22"/>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8D994AF-A974-4083-B8ED-E6A6023586C8}">
  <ds:schemaRefs/>
</ds:datastoreItem>
</file>

<file path=docProps/app.xml><?xml version="1.0" encoding="utf-8"?>
<Properties xmlns="http://schemas.openxmlformats.org/officeDocument/2006/extended-properties" xmlns:vt="http://schemas.openxmlformats.org/officeDocument/2006/docPropsVTypes">
  <Template>Normal</Template>
  <Pages>15</Pages>
  <Words>3270</Words>
  <Characters>18640</Characters>
  <Lines>155</Lines>
  <Paragraphs>43</Paragraphs>
  <TotalTime>10</TotalTime>
  <ScaleCrop>false</ScaleCrop>
  <LinksUpToDate>false</LinksUpToDate>
  <CharactersWithSpaces>21867</CharactersWithSpaces>
  <Application>WPS Office_11.1.0.8214_F1E327BC-269C-435d-A152-05C5408002CA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2019-03-01T15:36:00Z</dcterms:created>
  <dcterms:modified xsi:type="dcterms:W3CDTF">2019-03-02T15:23:38Z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2052-11.1.0.8214</vt:lpwstr>
  </property>
</Properties>
</file>