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2711802"/>
        <w:docPartObj>
          <w:docPartGallery w:val="Cover Pages"/>
          <w:docPartUnique/>
        </w:docPartObj>
      </w:sdtPr>
      <w:sdtContent>
        <w:p w14:paraId="48E113E4" w14:textId="5C7F77F3" w:rsidR="007A0903" w:rsidRDefault="007A0903">
          <w:r>
            <w:rPr>
              <w:noProof/>
            </w:rPr>
            <mc:AlternateContent>
              <mc:Choice Requires="wps">
                <w:drawing>
                  <wp:anchor distT="0" distB="0" distL="114300" distR="114300" simplePos="0" relativeHeight="251659264" behindDoc="0" locked="0" layoutInCell="1" allowOverlap="1" wp14:anchorId="36511CCE" wp14:editId="6DD12F3C">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40"/>
                                  <w:gridCol w:w="3265"/>
                                </w:tblGrid>
                                <w:tr w:rsidR="007A0903" w14:paraId="007A19A2" w14:textId="77777777" w:rsidTr="007A0903">
                                  <w:trPr>
                                    <w:jc w:val="center"/>
                                  </w:trPr>
                                  <w:tc>
                                    <w:tcPr>
                                      <w:tcW w:w="3293" w:type="pct"/>
                                      <w:vAlign w:val="center"/>
                                    </w:tcPr>
                                    <w:p w14:paraId="6F89C793" w14:textId="204ACA38" w:rsidR="007A0903" w:rsidRDefault="007A0903">
                                      <w:pPr>
                                        <w:jc w:val="right"/>
                                      </w:pPr>
                                      <w:r>
                                        <w:rPr>
                                          <w:noProof/>
                                        </w:rPr>
                                        <w:drawing>
                                          <wp:inline distT="0" distB="0" distL="0" distR="0" wp14:anchorId="703C8B46" wp14:editId="702FC7BC">
                                            <wp:extent cx="4076524" cy="2716306"/>
                                            <wp:effectExtent l="0" t="0" r="635" b="8255"/>
                                            <wp:docPr id="748423648" name="Picture 1" descr="Green electric car charging symbol on pa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23648" name="Picture 748423648" descr="Green electric car charging symbol on pavement"/>
                                                    <pic:cNvPicPr/>
                                                  </pic:nvPicPr>
                                                  <pic:blipFill>
                                                    <a:blip r:embed="rId8">
                                                      <a:extLst>
                                                        <a:ext uri="{28A0092B-C50C-407E-A947-70E740481C1C}">
                                                          <a14:useLocalDpi xmlns:a14="http://schemas.microsoft.com/office/drawing/2010/main" val="0"/>
                                                        </a:ext>
                                                      </a:extLst>
                                                    </a:blip>
                                                    <a:stretch>
                                                      <a:fillRect/>
                                                    </a:stretch>
                                                  </pic:blipFill>
                                                  <pic:spPr>
                                                    <a:xfrm>
                                                      <a:off x="0" y="0"/>
                                                      <a:ext cx="4104219" cy="273476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3BA3A08" w14:textId="205C92D7" w:rsidR="007A0903" w:rsidRDefault="007A0903">
                                          <w:pPr>
                                            <w:pStyle w:val="NoSpacing"/>
                                            <w:spacing w:line="312" w:lineRule="auto"/>
                                            <w:jc w:val="right"/>
                                            <w:rPr>
                                              <w:caps/>
                                              <w:color w:val="191919" w:themeColor="text1" w:themeTint="E6"/>
                                              <w:sz w:val="72"/>
                                              <w:szCs w:val="72"/>
                                            </w:rPr>
                                          </w:pPr>
                                          <w:r>
                                            <w:rPr>
                                              <w:caps/>
                                              <w:color w:val="191919" w:themeColor="text1" w:themeTint="E6"/>
                                              <w:sz w:val="72"/>
                                              <w:szCs w:val="72"/>
                                            </w:rPr>
                                            <w:t>problem solving and innovation</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510079" w14:textId="0071FD80" w:rsidR="007A0903" w:rsidRDefault="007A0903">
                                          <w:pPr>
                                            <w:jc w:val="right"/>
                                            <w:rPr>
                                              <w:sz w:val="24"/>
                                              <w:szCs w:val="24"/>
                                            </w:rPr>
                                          </w:pPr>
                                          <w:r w:rsidRPr="007A0903">
                                            <w:rPr>
                                              <w:color w:val="000000" w:themeColor="text1"/>
                                              <w:sz w:val="40"/>
                                              <w:szCs w:val="40"/>
                                            </w:rPr>
                                            <w:t>BMSW4014</w:t>
                                          </w:r>
                                        </w:p>
                                      </w:sdtContent>
                                    </w:sdt>
                                  </w:tc>
                                  <w:tc>
                                    <w:tcPr>
                                      <w:tcW w:w="1707" w:type="pct"/>
                                      <w:vAlign w:val="center"/>
                                    </w:tcPr>
                                    <w:sdt>
                                      <w:sdtPr>
                                        <w:rPr>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Content>
                                        <w:p w14:paraId="579A9802" w14:textId="412FD33B" w:rsidR="007A0903" w:rsidRPr="007A0903" w:rsidRDefault="007A0903">
                                          <w:pPr>
                                            <w:rPr>
                                              <w:color w:val="000000" w:themeColor="text1"/>
                                              <w:sz w:val="40"/>
                                              <w:szCs w:val="40"/>
                                            </w:rPr>
                                          </w:pPr>
                                          <w:r w:rsidRPr="007A0903">
                                            <w:rPr>
                                              <w:color w:val="000000" w:themeColor="text1"/>
                                              <w:sz w:val="40"/>
                                              <w:szCs w:val="40"/>
                                            </w:rPr>
                                            <w:t>Understanding the Business Environment of the Uks Electric Vehicle Industry</w:t>
                                          </w:r>
                                        </w:p>
                                      </w:sdtContent>
                                    </w:sdt>
                                    <w:sdt>
                                      <w:sdtPr>
                                        <w:rPr>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0C67B69" w14:textId="47CB6B97" w:rsidR="007A0903" w:rsidRPr="007A0903" w:rsidRDefault="007A0903">
                                          <w:pPr>
                                            <w:pStyle w:val="NoSpacing"/>
                                            <w:rPr>
                                              <w:color w:val="E97132" w:themeColor="accent2"/>
                                              <w:sz w:val="32"/>
                                              <w:szCs w:val="32"/>
                                            </w:rPr>
                                          </w:pPr>
                                          <w:r w:rsidRPr="007A0903">
                                            <w:rPr>
                                              <w:color w:val="E97132" w:themeColor="accent2"/>
                                              <w:sz w:val="32"/>
                                              <w:szCs w:val="32"/>
                                            </w:rPr>
                                            <w:t>Sophie Jenkins</w:t>
                                          </w:r>
                                        </w:p>
                                      </w:sdtContent>
                                    </w:sdt>
                                    <w:p w14:paraId="3979608F" w14:textId="10D1353A" w:rsidR="007A0903" w:rsidRDefault="007A0903">
                                      <w:pPr>
                                        <w:pStyle w:val="NoSpacing"/>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7A0903">
                                            <w:rPr>
                                              <w:color w:val="0E2841" w:themeColor="text2"/>
                                              <w:sz w:val="28"/>
                                              <w:szCs w:val="28"/>
                                            </w:rPr>
                                            <w:t>2440056</w:t>
                                          </w:r>
                                        </w:sdtContent>
                                      </w:sdt>
                                    </w:p>
                                  </w:tc>
                                </w:tr>
                              </w:tbl>
                              <w:p w14:paraId="6735FA7F" w14:textId="77777777" w:rsidR="007A0903" w:rsidRDefault="007A090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6511CC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40"/>
                            <w:gridCol w:w="3265"/>
                          </w:tblGrid>
                          <w:tr w:rsidR="007A0903" w14:paraId="007A19A2" w14:textId="77777777" w:rsidTr="007A0903">
                            <w:trPr>
                              <w:jc w:val="center"/>
                            </w:trPr>
                            <w:tc>
                              <w:tcPr>
                                <w:tcW w:w="3293" w:type="pct"/>
                                <w:vAlign w:val="center"/>
                              </w:tcPr>
                              <w:p w14:paraId="6F89C793" w14:textId="204ACA38" w:rsidR="007A0903" w:rsidRDefault="007A0903">
                                <w:pPr>
                                  <w:jc w:val="right"/>
                                </w:pPr>
                                <w:r>
                                  <w:rPr>
                                    <w:noProof/>
                                  </w:rPr>
                                  <w:drawing>
                                    <wp:inline distT="0" distB="0" distL="0" distR="0" wp14:anchorId="703C8B46" wp14:editId="702FC7BC">
                                      <wp:extent cx="4076524" cy="2716306"/>
                                      <wp:effectExtent l="0" t="0" r="635" b="8255"/>
                                      <wp:docPr id="748423648" name="Picture 1" descr="Green electric car charging symbol on pa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23648" name="Picture 748423648" descr="Green electric car charging symbol on pavement"/>
                                              <pic:cNvPicPr/>
                                            </pic:nvPicPr>
                                            <pic:blipFill>
                                              <a:blip r:embed="rId8">
                                                <a:extLst>
                                                  <a:ext uri="{28A0092B-C50C-407E-A947-70E740481C1C}">
                                                    <a14:useLocalDpi xmlns:a14="http://schemas.microsoft.com/office/drawing/2010/main" val="0"/>
                                                  </a:ext>
                                                </a:extLst>
                                              </a:blip>
                                              <a:stretch>
                                                <a:fillRect/>
                                              </a:stretch>
                                            </pic:blipFill>
                                            <pic:spPr>
                                              <a:xfrm>
                                                <a:off x="0" y="0"/>
                                                <a:ext cx="4104219" cy="273476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3BA3A08" w14:textId="205C92D7" w:rsidR="007A0903" w:rsidRDefault="007A0903">
                                    <w:pPr>
                                      <w:pStyle w:val="NoSpacing"/>
                                      <w:spacing w:line="312" w:lineRule="auto"/>
                                      <w:jc w:val="right"/>
                                      <w:rPr>
                                        <w:caps/>
                                        <w:color w:val="191919" w:themeColor="text1" w:themeTint="E6"/>
                                        <w:sz w:val="72"/>
                                        <w:szCs w:val="72"/>
                                      </w:rPr>
                                    </w:pPr>
                                    <w:r>
                                      <w:rPr>
                                        <w:caps/>
                                        <w:color w:val="191919" w:themeColor="text1" w:themeTint="E6"/>
                                        <w:sz w:val="72"/>
                                        <w:szCs w:val="72"/>
                                      </w:rPr>
                                      <w:t>problem solving and innovation</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510079" w14:textId="0071FD80" w:rsidR="007A0903" w:rsidRDefault="007A0903">
                                    <w:pPr>
                                      <w:jc w:val="right"/>
                                      <w:rPr>
                                        <w:sz w:val="24"/>
                                        <w:szCs w:val="24"/>
                                      </w:rPr>
                                    </w:pPr>
                                    <w:r w:rsidRPr="007A0903">
                                      <w:rPr>
                                        <w:color w:val="000000" w:themeColor="text1"/>
                                        <w:sz w:val="40"/>
                                        <w:szCs w:val="40"/>
                                      </w:rPr>
                                      <w:t>BMSW4014</w:t>
                                    </w:r>
                                  </w:p>
                                </w:sdtContent>
                              </w:sdt>
                            </w:tc>
                            <w:tc>
                              <w:tcPr>
                                <w:tcW w:w="1707" w:type="pct"/>
                                <w:vAlign w:val="center"/>
                              </w:tcPr>
                              <w:sdt>
                                <w:sdtPr>
                                  <w:rPr>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Content>
                                  <w:p w14:paraId="579A9802" w14:textId="412FD33B" w:rsidR="007A0903" w:rsidRPr="007A0903" w:rsidRDefault="007A0903">
                                    <w:pPr>
                                      <w:rPr>
                                        <w:color w:val="000000" w:themeColor="text1"/>
                                        <w:sz w:val="40"/>
                                        <w:szCs w:val="40"/>
                                      </w:rPr>
                                    </w:pPr>
                                    <w:r w:rsidRPr="007A0903">
                                      <w:rPr>
                                        <w:color w:val="000000" w:themeColor="text1"/>
                                        <w:sz w:val="40"/>
                                        <w:szCs w:val="40"/>
                                      </w:rPr>
                                      <w:t>Understanding the Business Environment of the Uks Electric Vehicle Industry</w:t>
                                    </w:r>
                                  </w:p>
                                </w:sdtContent>
                              </w:sdt>
                              <w:sdt>
                                <w:sdtPr>
                                  <w:rPr>
                                    <w:color w:val="E97132"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0C67B69" w14:textId="47CB6B97" w:rsidR="007A0903" w:rsidRPr="007A0903" w:rsidRDefault="007A0903">
                                    <w:pPr>
                                      <w:pStyle w:val="NoSpacing"/>
                                      <w:rPr>
                                        <w:color w:val="E97132" w:themeColor="accent2"/>
                                        <w:sz w:val="32"/>
                                        <w:szCs w:val="32"/>
                                      </w:rPr>
                                    </w:pPr>
                                    <w:r w:rsidRPr="007A0903">
                                      <w:rPr>
                                        <w:color w:val="E97132" w:themeColor="accent2"/>
                                        <w:sz w:val="32"/>
                                        <w:szCs w:val="32"/>
                                      </w:rPr>
                                      <w:t>Sophie Jenkins</w:t>
                                    </w:r>
                                  </w:p>
                                </w:sdtContent>
                              </w:sdt>
                              <w:p w14:paraId="3979608F" w14:textId="10D1353A" w:rsidR="007A0903" w:rsidRDefault="007A0903">
                                <w:pPr>
                                  <w:pStyle w:val="NoSpacing"/>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7A0903">
                                      <w:rPr>
                                        <w:color w:val="0E2841" w:themeColor="text2"/>
                                        <w:sz w:val="28"/>
                                        <w:szCs w:val="28"/>
                                      </w:rPr>
                                      <w:t>2440056</w:t>
                                    </w:r>
                                  </w:sdtContent>
                                </w:sdt>
                              </w:p>
                            </w:tc>
                          </w:tr>
                        </w:tbl>
                        <w:p w14:paraId="6735FA7F" w14:textId="77777777" w:rsidR="007A0903" w:rsidRDefault="007A0903"/>
                      </w:txbxContent>
                    </v:textbox>
                    <w10:wrap anchorx="page" anchory="page"/>
                  </v:shape>
                </w:pict>
              </mc:Fallback>
            </mc:AlternateContent>
          </w:r>
          <w:r>
            <w:br w:type="page"/>
          </w:r>
        </w:p>
      </w:sdtContent>
    </w:sdt>
    <w:p w14:paraId="1FC8162D" w14:textId="728B3704" w:rsidR="00CF050E" w:rsidRDefault="00A80826" w:rsidP="00D06765">
      <w:pPr>
        <w:jc w:val="center"/>
      </w:pPr>
      <w:r>
        <w:lastRenderedPageBreak/>
        <w:t>Contents</w:t>
      </w:r>
    </w:p>
    <w:p w14:paraId="2F3516B7" w14:textId="77777777" w:rsidR="00A80826" w:rsidRDefault="00A8082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58"/>
        <w:gridCol w:w="2358"/>
      </w:tblGrid>
      <w:tr w:rsidR="00A80826" w14:paraId="2C0B160E" w14:textId="77777777" w:rsidTr="0028312A">
        <w:tc>
          <w:tcPr>
            <w:tcW w:w="6658" w:type="dxa"/>
          </w:tcPr>
          <w:p w14:paraId="4A68CA68" w14:textId="1F8286AF" w:rsidR="00A80826" w:rsidRPr="00A71714" w:rsidRDefault="004E7D28" w:rsidP="00D22587">
            <w:pPr>
              <w:jc w:val="right"/>
              <w:rPr>
                <w:sz w:val="48"/>
                <w:szCs w:val="48"/>
              </w:rPr>
            </w:pPr>
            <w:r w:rsidRPr="00A71714">
              <w:rPr>
                <w:sz w:val="48"/>
                <w:szCs w:val="48"/>
              </w:rPr>
              <w:t>Introduction</w:t>
            </w:r>
          </w:p>
        </w:tc>
        <w:tc>
          <w:tcPr>
            <w:tcW w:w="2358" w:type="dxa"/>
          </w:tcPr>
          <w:p w14:paraId="3129CF86" w14:textId="70CC7F71" w:rsidR="00A80826" w:rsidRPr="005435D0" w:rsidRDefault="00A71714" w:rsidP="00A71714">
            <w:pPr>
              <w:rPr>
                <w:i/>
                <w:iCs/>
                <w:color w:val="4C94D8" w:themeColor="text2" w:themeTint="80"/>
                <w:sz w:val="44"/>
                <w:szCs w:val="44"/>
              </w:rPr>
            </w:pPr>
            <w:r w:rsidRPr="005435D0">
              <w:rPr>
                <w:i/>
                <w:iCs/>
                <w:color w:val="4C94D8" w:themeColor="text2" w:themeTint="80"/>
                <w:sz w:val="44"/>
                <w:szCs w:val="44"/>
              </w:rPr>
              <w:t>1</w:t>
            </w:r>
          </w:p>
        </w:tc>
      </w:tr>
      <w:tr w:rsidR="00A80826" w14:paraId="4897DC2D" w14:textId="77777777" w:rsidTr="0028312A">
        <w:tc>
          <w:tcPr>
            <w:tcW w:w="6658" w:type="dxa"/>
          </w:tcPr>
          <w:p w14:paraId="4059F0C7" w14:textId="05D84D6D" w:rsidR="00A80826" w:rsidRPr="00A71714" w:rsidRDefault="004E7D28" w:rsidP="00D22587">
            <w:pPr>
              <w:jc w:val="right"/>
              <w:rPr>
                <w:sz w:val="48"/>
                <w:szCs w:val="48"/>
              </w:rPr>
            </w:pPr>
            <w:r w:rsidRPr="00A71714">
              <w:rPr>
                <w:sz w:val="48"/>
                <w:szCs w:val="48"/>
              </w:rPr>
              <w:t>PESTLE Ana</w:t>
            </w:r>
            <w:r w:rsidR="0041372C" w:rsidRPr="00A71714">
              <w:rPr>
                <w:sz w:val="48"/>
                <w:szCs w:val="48"/>
              </w:rPr>
              <w:t>lysis</w:t>
            </w:r>
          </w:p>
        </w:tc>
        <w:tc>
          <w:tcPr>
            <w:tcW w:w="2358" w:type="dxa"/>
          </w:tcPr>
          <w:p w14:paraId="5576C607" w14:textId="636ADDE1" w:rsidR="00A80826" w:rsidRPr="005435D0" w:rsidRDefault="00A71714" w:rsidP="00A71714">
            <w:pPr>
              <w:rPr>
                <w:i/>
                <w:iCs/>
                <w:color w:val="4C94D8" w:themeColor="text2" w:themeTint="80"/>
                <w:sz w:val="44"/>
                <w:szCs w:val="44"/>
              </w:rPr>
            </w:pPr>
            <w:r w:rsidRPr="005435D0">
              <w:rPr>
                <w:i/>
                <w:iCs/>
                <w:color w:val="4C94D8" w:themeColor="text2" w:themeTint="80"/>
                <w:sz w:val="44"/>
                <w:szCs w:val="44"/>
              </w:rPr>
              <w:t>1</w:t>
            </w:r>
          </w:p>
        </w:tc>
      </w:tr>
      <w:tr w:rsidR="00D06765" w14:paraId="1EC73EB1" w14:textId="77777777" w:rsidTr="0028312A">
        <w:tc>
          <w:tcPr>
            <w:tcW w:w="6658" w:type="dxa"/>
          </w:tcPr>
          <w:p w14:paraId="28B2C153" w14:textId="167905D0" w:rsidR="00D06765" w:rsidRPr="00A71714" w:rsidRDefault="00D06765" w:rsidP="00D22587">
            <w:pPr>
              <w:jc w:val="right"/>
              <w:rPr>
                <w:sz w:val="48"/>
                <w:szCs w:val="48"/>
              </w:rPr>
            </w:pPr>
            <w:r w:rsidRPr="00A71714">
              <w:rPr>
                <w:sz w:val="48"/>
                <w:szCs w:val="48"/>
              </w:rPr>
              <w:t>Poli</w:t>
            </w:r>
            <w:r w:rsidR="00336468" w:rsidRPr="00A71714">
              <w:rPr>
                <w:sz w:val="48"/>
                <w:szCs w:val="48"/>
              </w:rPr>
              <w:t>tical</w:t>
            </w:r>
          </w:p>
        </w:tc>
        <w:tc>
          <w:tcPr>
            <w:tcW w:w="2358" w:type="dxa"/>
          </w:tcPr>
          <w:p w14:paraId="6CAF5E72" w14:textId="15CEF016" w:rsidR="00D06765" w:rsidRPr="005435D0" w:rsidRDefault="00A71714" w:rsidP="00A71714">
            <w:pPr>
              <w:rPr>
                <w:i/>
                <w:iCs/>
                <w:color w:val="4C94D8" w:themeColor="text2" w:themeTint="80"/>
                <w:sz w:val="44"/>
                <w:szCs w:val="44"/>
              </w:rPr>
            </w:pPr>
            <w:r w:rsidRPr="005435D0">
              <w:rPr>
                <w:i/>
                <w:iCs/>
                <w:color w:val="4C94D8" w:themeColor="text2" w:themeTint="80"/>
                <w:sz w:val="44"/>
                <w:szCs w:val="44"/>
              </w:rPr>
              <w:t>1</w:t>
            </w:r>
          </w:p>
        </w:tc>
      </w:tr>
      <w:tr w:rsidR="00A80826" w14:paraId="5AD7869A" w14:textId="77777777" w:rsidTr="0028312A">
        <w:tc>
          <w:tcPr>
            <w:tcW w:w="6658" w:type="dxa"/>
          </w:tcPr>
          <w:p w14:paraId="04E677D4" w14:textId="47CB8C2B" w:rsidR="00A80826" w:rsidRPr="00A71714" w:rsidRDefault="0041372C" w:rsidP="00D22587">
            <w:pPr>
              <w:jc w:val="right"/>
              <w:rPr>
                <w:sz w:val="48"/>
                <w:szCs w:val="48"/>
              </w:rPr>
            </w:pPr>
            <w:r w:rsidRPr="00A71714">
              <w:rPr>
                <w:sz w:val="48"/>
                <w:szCs w:val="48"/>
              </w:rPr>
              <w:t>Economic</w:t>
            </w:r>
          </w:p>
        </w:tc>
        <w:tc>
          <w:tcPr>
            <w:tcW w:w="2358" w:type="dxa"/>
          </w:tcPr>
          <w:p w14:paraId="188FAC73" w14:textId="3EDD2C52" w:rsidR="00A80826" w:rsidRPr="005435D0" w:rsidRDefault="00A71714" w:rsidP="00A71714">
            <w:pPr>
              <w:rPr>
                <w:i/>
                <w:iCs/>
                <w:color w:val="4C94D8" w:themeColor="text2" w:themeTint="80"/>
                <w:sz w:val="44"/>
                <w:szCs w:val="44"/>
              </w:rPr>
            </w:pPr>
            <w:r w:rsidRPr="005435D0">
              <w:rPr>
                <w:i/>
                <w:iCs/>
                <w:color w:val="4C94D8" w:themeColor="text2" w:themeTint="80"/>
                <w:sz w:val="44"/>
                <w:szCs w:val="44"/>
              </w:rPr>
              <w:t>1</w:t>
            </w:r>
          </w:p>
        </w:tc>
      </w:tr>
      <w:tr w:rsidR="00A80826" w14:paraId="0E8E75E2" w14:textId="77777777" w:rsidTr="0028312A">
        <w:tc>
          <w:tcPr>
            <w:tcW w:w="6658" w:type="dxa"/>
          </w:tcPr>
          <w:p w14:paraId="19539F15" w14:textId="02B39AEB" w:rsidR="00A80826" w:rsidRPr="00A71714" w:rsidRDefault="0041372C" w:rsidP="00D22587">
            <w:pPr>
              <w:jc w:val="right"/>
              <w:rPr>
                <w:sz w:val="48"/>
                <w:szCs w:val="48"/>
              </w:rPr>
            </w:pPr>
            <w:r w:rsidRPr="00A71714">
              <w:rPr>
                <w:sz w:val="48"/>
                <w:szCs w:val="48"/>
              </w:rPr>
              <w:t>Soci</w:t>
            </w:r>
            <w:r w:rsidR="0037491A" w:rsidRPr="00A71714">
              <w:rPr>
                <w:sz w:val="48"/>
                <w:szCs w:val="48"/>
              </w:rPr>
              <w:t>al</w:t>
            </w:r>
          </w:p>
        </w:tc>
        <w:tc>
          <w:tcPr>
            <w:tcW w:w="2358" w:type="dxa"/>
          </w:tcPr>
          <w:p w14:paraId="380ABA00" w14:textId="45FA25B2" w:rsidR="00A80826" w:rsidRPr="005435D0" w:rsidRDefault="00A71714" w:rsidP="00A71714">
            <w:pPr>
              <w:rPr>
                <w:i/>
                <w:iCs/>
                <w:color w:val="4C94D8" w:themeColor="text2" w:themeTint="80"/>
                <w:sz w:val="44"/>
                <w:szCs w:val="44"/>
              </w:rPr>
            </w:pPr>
            <w:r w:rsidRPr="005435D0">
              <w:rPr>
                <w:i/>
                <w:iCs/>
                <w:color w:val="4C94D8" w:themeColor="text2" w:themeTint="80"/>
                <w:sz w:val="44"/>
                <w:szCs w:val="44"/>
              </w:rPr>
              <w:t>1</w:t>
            </w:r>
          </w:p>
        </w:tc>
      </w:tr>
      <w:tr w:rsidR="00A80826" w14:paraId="013AAC5E" w14:textId="77777777" w:rsidTr="0028312A">
        <w:tc>
          <w:tcPr>
            <w:tcW w:w="6658" w:type="dxa"/>
          </w:tcPr>
          <w:p w14:paraId="239AE2BE" w14:textId="7EE6D8AE" w:rsidR="00A80826" w:rsidRPr="00A71714" w:rsidRDefault="00842D0C" w:rsidP="00D22587">
            <w:pPr>
              <w:jc w:val="right"/>
              <w:rPr>
                <w:sz w:val="48"/>
                <w:szCs w:val="48"/>
              </w:rPr>
            </w:pPr>
            <w:r w:rsidRPr="00A71714">
              <w:rPr>
                <w:sz w:val="48"/>
                <w:szCs w:val="48"/>
              </w:rPr>
              <w:t>Technological</w:t>
            </w:r>
          </w:p>
        </w:tc>
        <w:tc>
          <w:tcPr>
            <w:tcW w:w="2358" w:type="dxa"/>
          </w:tcPr>
          <w:p w14:paraId="07F9478D" w14:textId="28850AB0" w:rsidR="00A80826" w:rsidRPr="005435D0" w:rsidRDefault="00A71714" w:rsidP="00A71714">
            <w:pPr>
              <w:rPr>
                <w:i/>
                <w:iCs/>
                <w:color w:val="4C94D8" w:themeColor="text2" w:themeTint="80"/>
                <w:sz w:val="44"/>
                <w:szCs w:val="44"/>
              </w:rPr>
            </w:pPr>
            <w:r w:rsidRPr="005435D0">
              <w:rPr>
                <w:i/>
                <w:iCs/>
                <w:color w:val="4C94D8" w:themeColor="text2" w:themeTint="80"/>
                <w:sz w:val="44"/>
                <w:szCs w:val="44"/>
              </w:rPr>
              <w:t>2</w:t>
            </w:r>
          </w:p>
        </w:tc>
      </w:tr>
      <w:tr w:rsidR="00A80826" w14:paraId="402AB62E" w14:textId="77777777" w:rsidTr="0028312A">
        <w:tc>
          <w:tcPr>
            <w:tcW w:w="6658" w:type="dxa"/>
          </w:tcPr>
          <w:p w14:paraId="5B002FD4" w14:textId="60E51699" w:rsidR="00A80826" w:rsidRPr="00A71714" w:rsidRDefault="00842D0C" w:rsidP="00D22587">
            <w:pPr>
              <w:jc w:val="right"/>
              <w:rPr>
                <w:sz w:val="48"/>
                <w:szCs w:val="48"/>
              </w:rPr>
            </w:pPr>
            <w:r w:rsidRPr="00A71714">
              <w:rPr>
                <w:sz w:val="48"/>
                <w:szCs w:val="48"/>
              </w:rPr>
              <w:t>Legal</w:t>
            </w:r>
          </w:p>
        </w:tc>
        <w:tc>
          <w:tcPr>
            <w:tcW w:w="2358" w:type="dxa"/>
          </w:tcPr>
          <w:p w14:paraId="3137AE69" w14:textId="12F7C06E" w:rsidR="00A80826" w:rsidRPr="005435D0" w:rsidRDefault="00A71714" w:rsidP="00A71714">
            <w:pPr>
              <w:rPr>
                <w:i/>
                <w:iCs/>
                <w:color w:val="4C94D8" w:themeColor="text2" w:themeTint="80"/>
                <w:sz w:val="44"/>
                <w:szCs w:val="44"/>
              </w:rPr>
            </w:pPr>
            <w:r w:rsidRPr="005435D0">
              <w:rPr>
                <w:i/>
                <w:iCs/>
                <w:color w:val="4C94D8" w:themeColor="text2" w:themeTint="80"/>
                <w:sz w:val="44"/>
                <w:szCs w:val="44"/>
              </w:rPr>
              <w:t>2</w:t>
            </w:r>
          </w:p>
        </w:tc>
      </w:tr>
      <w:tr w:rsidR="00842D0C" w14:paraId="3B715DCC" w14:textId="77777777" w:rsidTr="0028312A">
        <w:tc>
          <w:tcPr>
            <w:tcW w:w="6658" w:type="dxa"/>
          </w:tcPr>
          <w:p w14:paraId="373EA0C4" w14:textId="6415DEFB" w:rsidR="00842D0C" w:rsidRPr="00A71714" w:rsidRDefault="00842D0C" w:rsidP="00D22587">
            <w:pPr>
              <w:jc w:val="right"/>
              <w:rPr>
                <w:sz w:val="48"/>
                <w:szCs w:val="48"/>
              </w:rPr>
            </w:pPr>
            <w:r w:rsidRPr="00A71714">
              <w:rPr>
                <w:sz w:val="48"/>
                <w:szCs w:val="48"/>
              </w:rPr>
              <w:t>Env</w:t>
            </w:r>
            <w:r w:rsidR="00EF69BA" w:rsidRPr="00A71714">
              <w:rPr>
                <w:sz w:val="48"/>
                <w:szCs w:val="48"/>
              </w:rPr>
              <w:t>ironmental</w:t>
            </w:r>
          </w:p>
        </w:tc>
        <w:tc>
          <w:tcPr>
            <w:tcW w:w="2358" w:type="dxa"/>
          </w:tcPr>
          <w:p w14:paraId="78AA61A8" w14:textId="459E022B" w:rsidR="00842D0C" w:rsidRPr="005435D0" w:rsidRDefault="00A71714" w:rsidP="00A71714">
            <w:pPr>
              <w:rPr>
                <w:i/>
                <w:iCs/>
                <w:color w:val="4C94D8" w:themeColor="text2" w:themeTint="80"/>
                <w:sz w:val="44"/>
                <w:szCs w:val="44"/>
              </w:rPr>
            </w:pPr>
            <w:r w:rsidRPr="005435D0">
              <w:rPr>
                <w:i/>
                <w:iCs/>
                <w:color w:val="4C94D8" w:themeColor="text2" w:themeTint="80"/>
                <w:sz w:val="44"/>
                <w:szCs w:val="44"/>
              </w:rPr>
              <w:t>2</w:t>
            </w:r>
          </w:p>
        </w:tc>
      </w:tr>
      <w:tr w:rsidR="00EF69BA" w14:paraId="1E23A4EA" w14:textId="77777777" w:rsidTr="0028312A">
        <w:tc>
          <w:tcPr>
            <w:tcW w:w="6658" w:type="dxa"/>
          </w:tcPr>
          <w:p w14:paraId="2DC954CA" w14:textId="54A97D37" w:rsidR="00EF69BA" w:rsidRPr="00A71714" w:rsidRDefault="00EF69BA" w:rsidP="00D22587">
            <w:pPr>
              <w:jc w:val="right"/>
              <w:rPr>
                <w:sz w:val="48"/>
                <w:szCs w:val="48"/>
              </w:rPr>
            </w:pPr>
            <w:r w:rsidRPr="00A71714">
              <w:rPr>
                <w:sz w:val="48"/>
                <w:szCs w:val="48"/>
              </w:rPr>
              <w:t>SWOT Analysis</w:t>
            </w:r>
          </w:p>
        </w:tc>
        <w:tc>
          <w:tcPr>
            <w:tcW w:w="2358" w:type="dxa"/>
          </w:tcPr>
          <w:p w14:paraId="1FC68687" w14:textId="467D4994" w:rsidR="00EF69BA" w:rsidRPr="005435D0" w:rsidRDefault="0028312A" w:rsidP="00A71714">
            <w:pPr>
              <w:rPr>
                <w:i/>
                <w:iCs/>
                <w:color w:val="4C94D8" w:themeColor="text2" w:themeTint="80"/>
                <w:sz w:val="44"/>
                <w:szCs w:val="44"/>
              </w:rPr>
            </w:pPr>
            <w:r w:rsidRPr="005435D0">
              <w:rPr>
                <w:i/>
                <w:iCs/>
                <w:color w:val="4C94D8" w:themeColor="text2" w:themeTint="80"/>
                <w:sz w:val="44"/>
                <w:szCs w:val="44"/>
              </w:rPr>
              <w:t>2</w:t>
            </w:r>
          </w:p>
        </w:tc>
      </w:tr>
      <w:tr w:rsidR="00EF69BA" w14:paraId="05981953" w14:textId="77777777" w:rsidTr="0028312A">
        <w:tc>
          <w:tcPr>
            <w:tcW w:w="6658" w:type="dxa"/>
          </w:tcPr>
          <w:p w14:paraId="03FA57AB" w14:textId="2667E316" w:rsidR="00EF69BA" w:rsidRPr="00A71714" w:rsidRDefault="00064903" w:rsidP="00D22587">
            <w:pPr>
              <w:jc w:val="right"/>
              <w:rPr>
                <w:sz w:val="48"/>
                <w:szCs w:val="48"/>
              </w:rPr>
            </w:pPr>
            <w:r w:rsidRPr="00A71714">
              <w:rPr>
                <w:sz w:val="48"/>
                <w:szCs w:val="48"/>
              </w:rPr>
              <w:t>Infrastructure and Policy</w:t>
            </w:r>
          </w:p>
        </w:tc>
        <w:tc>
          <w:tcPr>
            <w:tcW w:w="2358" w:type="dxa"/>
          </w:tcPr>
          <w:p w14:paraId="3601FEC8" w14:textId="4F7C9AD7" w:rsidR="00EF69BA" w:rsidRPr="005435D0" w:rsidRDefault="0028312A" w:rsidP="00A71714">
            <w:pPr>
              <w:rPr>
                <w:i/>
                <w:iCs/>
                <w:color w:val="4C94D8" w:themeColor="text2" w:themeTint="80"/>
                <w:sz w:val="44"/>
                <w:szCs w:val="44"/>
              </w:rPr>
            </w:pPr>
            <w:r w:rsidRPr="005435D0">
              <w:rPr>
                <w:i/>
                <w:iCs/>
                <w:color w:val="4C94D8" w:themeColor="text2" w:themeTint="80"/>
                <w:sz w:val="44"/>
                <w:szCs w:val="44"/>
              </w:rPr>
              <w:t>3</w:t>
            </w:r>
          </w:p>
        </w:tc>
      </w:tr>
      <w:tr w:rsidR="00335EFC" w14:paraId="2CAEFAFE" w14:textId="77777777" w:rsidTr="0028312A">
        <w:tc>
          <w:tcPr>
            <w:tcW w:w="6658" w:type="dxa"/>
          </w:tcPr>
          <w:p w14:paraId="14B1ECBA" w14:textId="19DCE485" w:rsidR="00335EFC" w:rsidRPr="00A71714" w:rsidRDefault="0028312A" w:rsidP="00D22587">
            <w:pPr>
              <w:jc w:val="right"/>
              <w:rPr>
                <w:sz w:val="48"/>
                <w:szCs w:val="48"/>
              </w:rPr>
            </w:pPr>
            <w:r>
              <w:rPr>
                <w:sz w:val="48"/>
                <w:szCs w:val="48"/>
              </w:rPr>
              <w:t>Recommendation</w:t>
            </w:r>
          </w:p>
        </w:tc>
        <w:tc>
          <w:tcPr>
            <w:tcW w:w="2358" w:type="dxa"/>
          </w:tcPr>
          <w:p w14:paraId="08D34948" w14:textId="2B1746B5" w:rsidR="00335EFC" w:rsidRPr="005435D0" w:rsidRDefault="0028312A" w:rsidP="00A71714">
            <w:pPr>
              <w:rPr>
                <w:i/>
                <w:iCs/>
                <w:color w:val="4C94D8" w:themeColor="text2" w:themeTint="80"/>
                <w:sz w:val="44"/>
                <w:szCs w:val="44"/>
              </w:rPr>
            </w:pPr>
            <w:r w:rsidRPr="005435D0">
              <w:rPr>
                <w:i/>
                <w:iCs/>
                <w:color w:val="4C94D8" w:themeColor="text2" w:themeTint="80"/>
                <w:sz w:val="44"/>
                <w:szCs w:val="44"/>
              </w:rPr>
              <w:t>4</w:t>
            </w:r>
          </w:p>
        </w:tc>
      </w:tr>
      <w:tr w:rsidR="0028312A" w14:paraId="0174E67D" w14:textId="77777777" w:rsidTr="0028312A">
        <w:tc>
          <w:tcPr>
            <w:tcW w:w="6658" w:type="dxa"/>
          </w:tcPr>
          <w:p w14:paraId="4BD9993A" w14:textId="7D7CECBA" w:rsidR="0028312A" w:rsidRPr="00A71714" w:rsidRDefault="0028312A" w:rsidP="00D22587">
            <w:pPr>
              <w:jc w:val="right"/>
              <w:rPr>
                <w:sz w:val="48"/>
                <w:szCs w:val="48"/>
              </w:rPr>
            </w:pPr>
            <w:r w:rsidRPr="00A71714">
              <w:rPr>
                <w:sz w:val="48"/>
                <w:szCs w:val="48"/>
              </w:rPr>
              <w:t>Conclusion</w:t>
            </w:r>
          </w:p>
        </w:tc>
        <w:tc>
          <w:tcPr>
            <w:tcW w:w="2358" w:type="dxa"/>
          </w:tcPr>
          <w:p w14:paraId="75D82E4B" w14:textId="3C92A092" w:rsidR="0028312A" w:rsidRPr="005435D0" w:rsidRDefault="0028312A" w:rsidP="00A71714">
            <w:pPr>
              <w:rPr>
                <w:i/>
                <w:iCs/>
                <w:color w:val="4C94D8" w:themeColor="text2" w:themeTint="80"/>
                <w:sz w:val="44"/>
                <w:szCs w:val="44"/>
              </w:rPr>
            </w:pPr>
            <w:r w:rsidRPr="005435D0">
              <w:rPr>
                <w:i/>
                <w:iCs/>
                <w:color w:val="4C94D8" w:themeColor="text2" w:themeTint="80"/>
                <w:sz w:val="44"/>
                <w:szCs w:val="44"/>
              </w:rPr>
              <w:t>5</w:t>
            </w:r>
          </w:p>
        </w:tc>
      </w:tr>
      <w:tr w:rsidR="0028312A" w14:paraId="3B15F58E" w14:textId="77777777" w:rsidTr="0028312A">
        <w:tc>
          <w:tcPr>
            <w:tcW w:w="6658" w:type="dxa"/>
          </w:tcPr>
          <w:p w14:paraId="696B8116" w14:textId="268D9497" w:rsidR="0028312A" w:rsidRPr="00A71714" w:rsidRDefault="0028312A" w:rsidP="00D22587">
            <w:pPr>
              <w:jc w:val="right"/>
              <w:rPr>
                <w:sz w:val="48"/>
                <w:szCs w:val="48"/>
              </w:rPr>
            </w:pPr>
            <w:r>
              <w:rPr>
                <w:sz w:val="48"/>
                <w:szCs w:val="48"/>
              </w:rPr>
              <w:t>Reference Page</w:t>
            </w:r>
          </w:p>
        </w:tc>
        <w:tc>
          <w:tcPr>
            <w:tcW w:w="2358" w:type="dxa"/>
          </w:tcPr>
          <w:p w14:paraId="5C44163C" w14:textId="208A2B11" w:rsidR="0028312A" w:rsidRPr="005435D0" w:rsidRDefault="0028312A" w:rsidP="00A71714">
            <w:pPr>
              <w:rPr>
                <w:i/>
                <w:iCs/>
                <w:color w:val="4C94D8" w:themeColor="text2" w:themeTint="80"/>
                <w:sz w:val="44"/>
                <w:szCs w:val="44"/>
              </w:rPr>
            </w:pPr>
            <w:r w:rsidRPr="005435D0">
              <w:rPr>
                <w:i/>
                <w:iCs/>
                <w:color w:val="4C94D8" w:themeColor="text2" w:themeTint="80"/>
                <w:sz w:val="44"/>
                <w:szCs w:val="44"/>
              </w:rPr>
              <w:t>6</w:t>
            </w:r>
          </w:p>
        </w:tc>
      </w:tr>
    </w:tbl>
    <w:p w14:paraId="1A667546" w14:textId="77777777" w:rsidR="00A80826" w:rsidRDefault="00A80826"/>
    <w:p w14:paraId="77FFE3C9" w14:textId="77777777" w:rsidR="00516272" w:rsidRDefault="00516272">
      <w:pPr>
        <w:sectPr w:rsidR="00516272" w:rsidSect="007A0903">
          <w:footerReference w:type="first" r:id="rId9"/>
          <w:pgSz w:w="11906" w:h="16838"/>
          <w:pgMar w:top="1440" w:right="1440" w:bottom="1440" w:left="1440" w:header="708" w:footer="708" w:gutter="0"/>
          <w:pgNumType w:start="0"/>
          <w:cols w:space="708"/>
          <w:titlePg/>
          <w:docGrid w:linePitch="360"/>
        </w:sectPr>
      </w:pPr>
    </w:p>
    <w:p w14:paraId="4B31D437" w14:textId="77777777" w:rsidR="00A80826" w:rsidRDefault="00A80826"/>
    <w:p w14:paraId="12EE9872" w14:textId="33B6E09F" w:rsidR="00A80826" w:rsidRPr="00496E39" w:rsidRDefault="00A80826">
      <w:pPr>
        <w:rPr>
          <w:b/>
          <w:bCs/>
          <w:sz w:val="28"/>
          <w:szCs w:val="28"/>
        </w:rPr>
      </w:pPr>
      <w:r w:rsidRPr="00496E39">
        <w:rPr>
          <w:b/>
          <w:bCs/>
          <w:sz w:val="28"/>
          <w:szCs w:val="28"/>
        </w:rPr>
        <w:t>Introduction</w:t>
      </w:r>
    </w:p>
    <w:p w14:paraId="00A50632" w14:textId="2416B5A5" w:rsidR="00335EFC" w:rsidRDefault="00AE45B0" w:rsidP="00AE45B0">
      <w:pPr>
        <w:jc w:val="both"/>
      </w:pPr>
      <w:r w:rsidRPr="00AE45B0">
        <w:t xml:space="preserve">The United Kingdom's electric vehicle (EV) industry has undergone rapid transformation over the past decade, driven by regulatory interventions, technological advancements, shifting market expectations, and the urgent need to </w:t>
      </w:r>
      <w:r w:rsidR="002E608C">
        <w:t>bring transpo</w:t>
      </w:r>
      <w:r w:rsidR="006E031D">
        <w:t>rt to Net Zero</w:t>
      </w:r>
      <w:r w:rsidRPr="00AE45B0">
        <w:t>. EV adoption has accelerated significantly, with battery electric vehicles (BEVs) representing an increasing share of new car sales each year (SMMT, 2024).</w:t>
      </w:r>
    </w:p>
    <w:p w14:paraId="2DD0C895" w14:textId="73D92581" w:rsidR="006E031D" w:rsidRDefault="00420B32" w:rsidP="00AE45B0">
      <w:pPr>
        <w:jc w:val="both"/>
      </w:pPr>
      <w:r w:rsidRPr="00420B32">
        <w:t>Despite this momentum, the sector faces persistent challenges</w:t>
      </w:r>
      <w:r>
        <w:t>,</w:t>
      </w:r>
      <w:r w:rsidRPr="00420B32">
        <w:t xml:space="preserve"> including supply chain </w:t>
      </w:r>
      <w:r w:rsidRPr="00420B32">
        <w:t>weakness</w:t>
      </w:r>
      <w:r w:rsidRPr="00420B32">
        <w:t xml:space="preserve">, high consumer costs, </w:t>
      </w:r>
      <w:r w:rsidRPr="00420B32">
        <w:t>unreliable</w:t>
      </w:r>
      <w:r w:rsidRPr="00420B32">
        <w:t xml:space="preserve"> infrastructure development, and </w:t>
      </w:r>
      <w:r w:rsidRPr="00420B32">
        <w:t>random</w:t>
      </w:r>
      <w:r w:rsidRPr="00420B32">
        <w:t xml:space="preserve"> policy </w:t>
      </w:r>
      <w:proofErr w:type="gramStart"/>
      <w:r w:rsidRPr="00420B32">
        <w:t>promises</w:t>
      </w:r>
      <w:proofErr w:type="gramEnd"/>
      <w:r w:rsidRPr="00420B32">
        <w:t xml:space="preserve">. This report critically analyses the external environment influencing the UK EV industry using PESTLE and SWOT frameworks, integrating </w:t>
      </w:r>
      <w:proofErr w:type="gramStart"/>
      <w:r w:rsidRPr="00420B32">
        <w:t>real</w:t>
      </w:r>
      <w:proofErr w:type="gramEnd"/>
      <w:r w:rsidRPr="00420B32">
        <w:t xml:space="preserve"> academic and industry sources to provide a balanced academic and professional assessment</w:t>
      </w:r>
      <w:r>
        <w:t>.</w:t>
      </w:r>
      <w:r w:rsidR="00766B30">
        <w:t xml:space="preserve"> </w:t>
      </w:r>
    </w:p>
    <w:p w14:paraId="5749E405" w14:textId="4085A101" w:rsidR="00D001C1" w:rsidRDefault="00D001C1" w:rsidP="00AE45B0">
      <w:pPr>
        <w:jc w:val="both"/>
      </w:pPr>
      <w:r>
        <w:t xml:space="preserve">I </w:t>
      </w:r>
      <w:r w:rsidRPr="00D001C1">
        <w:t xml:space="preserve">hope to </w:t>
      </w:r>
      <w:r w:rsidRPr="00D001C1">
        <w:t xml:space="preserve">critically </w:t>
      </w:r>
      <w:r w:rsidR="00D60B59">
        <w:t>analyse</w:t>
      </w:r>
      <w:r w:rsidRPr="00D001C1">
        <w:t xml:space="preserve"> the external environment shaping the UK EV industry using PESTLE and SWOT frameworks</w:t>
      </w:r>
      <w:r>
        <w:t xml:space="preserve"> in this report, and </w:t>
      </w:r>
      <w:r w:rsidR="00D60B59">
        <w:t>evaluate</w:t>
      </w:r>
      <w:r w:rsidR="00D60B59" w:rsidRPr="00D60B59">
        <w:t xml:space="preserve"> how economic conditions, political and regulatory developments, technological advancements, social attitudes, and infrastructural changes influence sectoral performance.</w:t>
      </w:r>
      <w:r w:rsidR="00D60B59">
        <w:t xml:space="preserve"> </w:t>
      </w:r>
      <w:r w:rsidR="00D60B59" w:rsidRPr="00D60B59">
        <w:t xml:space="preserve">Additionally, the report </w:t>
      </w:r>
      <w:r w:rsidR="00D60B59">
        <w:t xml:space="preserve">will </w:t>
      </w:r>
      <w:r w:rsidR="00D60B59" w:rsidRPr="00D60B59">
        <w:t>explore</w:t>
      </w:r>
      <w:r w:rsidR="00D60B59" w:rsidRPr="00D60B59">
        <w:t xml:space="preserve"> real-world examples and </w:t>
      </w:r>
      <w:r w:rsidR="00D60B59">
        <w:t>draw</w:t>
      </w:r>
      <w:r w:rsidR="00D60B59" w:rsidRPr="00D60B59">
        <w:t xml:space="preserve"> on </w:t>
      </w:r>
      <w:r w:rsidR="00D60B59" w:rsidRPr="00D60B59">
        <w:t>modern</w:t>
      </w:r>
      <w:r w:rsidR="00D60B59" w:rsidRPr="00D60B59">
        <w:t xml:space="preserve"> academic, governmental, and industry sources to highlight the key opportunities and threats impacting industry actors</w:t>
      </w:r>
      <w:r w:rsidR="00565B7F">
        <w:t xml:space="preserve"> and finally provide</w:t>
      </w:r>
      <w:r w:rsidR="00565B7F" w:rsidRPr="00565B7F">
        <w:t xml:space="preserve"> strategic recommendations for UK EV companies to support competitiveness, sustainability, and resilience in a rapidly evolving mobility landscape.</w:t>
      </w:r>
    </w:p>
    <w:p w14:paraId="21FC3A34" w14:textId="77777777" w:rsidR="00766B30" w:rsidRDefault="00766B30" w:rsidP="00AE45B0">
      <w:pPr>
        <w:jc w:val="both"/>
      </w:pPr>
    </w:p>
    <w:p w14:paraId="2D5D7B4C" w14:textId="47817AA7" w:rsidR="00766B30" w:rsidRPr="00496E39" w:rsidRDefault="00D06765" w:rsidP="00AE45B0">
      <w:pPr>
        <w:jc w:val="both"/>
        <w:rPr>
          <w:b/>
          <w:bCs/>
          <w:sz w:val="28"/>
          <w:szCs w:val="28"/>
        </w:rPr>
      </w:pPr>
      <w:r w:rsidRPr="00496E39">
        <w:rPr>
          <w:b/>
          <w:bCs/>
          <w:sz w:val="28"/>
          <w:szCs w:val="28"/>
        </w:rPr>
        <w:t>PESTLE Analysis</w:t>
      </w:r>
    </w:p>
    <w:p w14:paraId="4041692E" w14:textId="2C0C78D1" w:rsidR="00ED386C" w:rsidRDefault="00896DCB" w:rsidP="00ED386C">
      <w:pPr>
        <w:jc w:val="both"/>
      </w:pPr>
      <w:r>
        <w:t xml:space="preserve">Politics - </w:t>
      </w:r>
      <w:r w:rsidR="00E370DA" w:rsidRPr="00E370DA">
        <w:t xml:space="preserve">Government intervention has been central to EV diffusion. Policies such as the Zero Emission Vehicle (ZEV) mandate require manufacturers to meet escalating zero-emission sales targets (DfT, 2024). </w:t>
      </w:r>
      <w:r w:rsidR="00ED386C" w:rsidRPr="00ED386C">
        <w:t>The original 2030 ban on new petrol and diesel vehicles, later delayed to 2035, has created uncertainty that complicates long-term investment strategies (House of Commons, 2023). Post-Brexit regulatory divergence and rules-of-origin constraints pose additional barriers to EV manufacturing competitiveness (IEA, 2024). Political support remains substantial, but inconsistent policy timelines continue to undermine investor confidence.</w:t>
      </w:r>
    </w:p>
    <w:p w14:paraId="4EE614A0" w14:textId="5F037B7C" w:rsidR="00421CB5" w:rsidRDefault="00421CB5" w:rsidP="00ED386C">
      <w:pPr>
        <w:jc w:val="both"/>
      </w:pPr>
      <w:r>
        <w:t xml:space="preserve">Economics - </w:t>
      </w:r>
      <w:r w:rsidR="000C38CF" w:rsidRPr="000C38CF">
        <w:t xml:space="preserve">Economic pressures have affected EV affordability. Rising inflation, higher interest rates, and volatile energy prices have reduced households’ ability to switch to EVs, whose upfront costs remain higher than internal combustion engine (ICE) vehicles (National Infrastructure Commission, 2023). While </w:t>
      </w:r>
      <w:r w:rsidR="004430E4">
        <w:t xml:space="preserve">the </w:t>
      </w:r>
      <w:r w:rsidR="000C38CF" w:rsidRPr="000C38CF">
        <w:t>total cost of ownership is improving, the UK still lacks large-scale domestic battery production, increasing reliance on imported components and exposing firms to global supply chain disruptions (McKinsey, 2024). However, investment in gigafactories represents a long-term growth opportunity.</w:t>
      </w:r>
    </w:p>
    <w:p w14:paraId="5B44C483" w14:textId="7652FF34" w:rsidR="000C38CF" w:rsidRDefault="000C38CF" w:rsidP="00ED386C">
      <w:pPr>
        <w:jc w:val="both"/>
      </w:pPr>
      <w:r>
        <w:t xml:space="preserve">Social - </w:t>
      </w:r>
      <w:r w:rsidR="00C722CE" w:rsidRPr="00C722CE">
        <w:t>Public acceptance of EVs continues to rise, driven by environmental awareness and urban air-quality concerns (Transport &amp; Environment, 2023). Nevertheless, social barriers persist, including range anxiety, misconceptions about battery longevity, and limited charging access for drivers without private parking</w:t>
      </w:r>
      <w:r w:rsidR="002913B2">
        <w:t xml:space="preserve">, </w:t>
      </w:r>
      <w:r w:rsidR="00C722CE" w:rsidRPr="00C722CE">
        <w:t>particularly in lower-income or rural communities (Zap-Map, 2024). Fleet buyers remain key early adopters, accelerating decarbonisation through procurement policies aligned with corporate sustainability goals.</w:t>
      </w:r>
    </w:p>
    <w:p w14:paraId="1BF2BB0A" w14:textId="5C58F4AD" w:rsidR="0078374F" w:rsidRDefault="000B5C9E" w:rsidP="00ED386C">
      <w:pPr>
        <w:jc w:val="both"/>
      </w:pPr>
      <w:r>
        <w:lastRenderedPageBreak/>
        <w:t xml:space="preserve">Technological - </w:t>
      </w:r>
      <w:r w:rsidRPr="000B5C9E">
        <w:t xml:space="preserve">EV performance improvements have been driven by advances in lithium-ion battery energy density, cost reductions, and rapid charging capabilities (IEA, 2024). Developments in smart charging and vehicle-to-grid (V2G) integration offer potential grid-balancing benefits. However, inconsistent </w:t>
      </w:r>
      <w:r w:rsidR="009405C8">
        <w:t>functionality</w:t>
      </w:r>
      <w:r w:rsidRPr="000B5C9E">
        <w:t>, charger reliability issues, and the UK’s limited domestic R&amp;D ecosystem present ongoing risks. Technological leadership increasingly depends on supply chain integration and digital capability.</w:t>
      </w:r>
    </w:p>
    <w:p w14:paraId="4A1C8B79" w14:textId="13FAEA14" w:rsidR="009405C8" w:rsidRDefault="00226020" w:rsidP="00ED386C">
      <w:pPr>
        <w:jc w:val="both"/>
      </w:pPr>
      <w:r>
        <w:t xml:space="preserve">Legal - </w:t>
      </w:r>
      <w:r w:rsidR="0078374F" w:rsidRPr="0078374F">
        <w:t>Legal requirements include emissions regulation, consumer protection, cybersecurity standards, and data governance under GDPR. Autonomous driving technologies—closely linked to EV platforms—pose evolving liability and safety challenges that require future-proof compliance frameworks (House of Commons Library, 2024).</w:t>
      </w:r>
    </w:p>
    <w:p w14:paraId="66B6E973" w14:textId="3BEBB526" w:rsidR="00146325" w:rsidRDefault="00146325" w:rsidP="00ED386C">
      <w:pPr>
        <w:jc w:val="both"/>
      </w:pPr>
      <w:r>
        <w:t xml:space="preserve">Environmental - </w:t>
      </w:r>
      <w:r w:rsidR="00BF0B63" w:rsidRPr="00BF0B63">
        <w:t>EVs support national decarbonisation by reducing tailpipe emissions, but lifecycle impacts</w:t>
      </w:r>
      <w:r w:rsidR="0070587B">
        <w:t xml:space="preserve">, </w:t>
      </w:r>
      <w:r w:rsidR="00BF0B63" w:rsidRPr="00BF0B63">
        <w:t>including battery manufacturing emissions and mineral extraction risks</w:t>
      </w:r>
      <w:r w:rsidR="0070587B">
        <w:t xml:space="preserve">, </w:t>
      </w:r>
      <w:r w:rsidR="00BF0B63" w:rsidRPr="00BF0B63">
        <w:t>raise sustainability concerns (Journal of Cleaner Production, 2023). Firms face increasing expectations to adopt ethical sourcing and invest in battery recycling.</w:t>
      </w:r>
    </w:p>
    <w:p w14:paraId="06FADC04" w14:textId="7A912E6E" w:rsidR="00FB091D" w:rsidRDefault="00FB091D" w:rsidP="00ED386C">
      <w:pPr>
        <w:jc w:val="both"/>
        <w:rPr>
          <w:b/>
          <w:bCs/>
        </w:rPr>
      </w:pPr>
      <w:r w:rsidRPr="00346C52">
        <w:rPr>
          <w:b/>
          <w:bCs/>
        </w:rPr>
        <w:t>Summ</w:t>
      </w:r>
      <w:r w:rsidR="00346C52" w:rsidRPr="00346C52">
        <w:rPr>
          <w:b/>
          <w:bCs/>
        </w:rPr>
        <w:t>ary Table</w:t>
      </w:r>
    </w:p>
    <w:tbl>
      <w:tblPr>
        <w:tblStyle w:val="TableGrid"/>
        <w:tblW w:w="0" w:type="auto"/>
        <w:tblLook w:val="04A0" w:firstRow="1" w:lastRow="0" w:firstColumn="1" w:lastColumn="0" w:noHBand="0" w:noVBand="1"/>
      </w:tblPr>
      <w:tblGrid>
        <w:gridCol w:w="2405"/>
        <w:gridCol w:w="6611"/>
      </w:tblGrid>
      <w:tr w:rsidR="00EE379B" w14:paraId="14FD6D45" w14:textId="77777777" w:rsidTr="007861CE">
        <w:tc>
          <w:tcPr>
            <w:tcW w:w="2405" w:type="dxa"/>
            <w:shd w:val="clear" w:color="auto" w:fill="83CAEB" w:themeFill="accent1" w:themeFillTint="66"/>
          </w:tcPr>
          <w:p w14:paraId="58D61D0C" w14:textId="31CC8735" w:rsidR="00EE379B" w:rsidRDefault="00EE379B" w:rsidP="00ED386C">
            <w:pPr>
              <w:jc w:val="both"/>
              <w:rPr>
                <w:b/>
                <w:bCs/>
              </w:rPr>
            </w:pPr>
            <w:r>
              <w:rPr>
                <w:b/>
                <w:bCs/>
              </w:rPr>
              <w:t>Factors</w:t>
            </w:r>
          </w:p>
        </w:tc>
        <w:tc>
          <w:tcPr>
            <w:tcW w:w="6611" w:type="dxa"/>
            <w:shd w:val="clear" w:color="auto" w:fill="83CAEB" w:themeFill="accent1" w:themeFillTint="66"/>
          </w:tcPr>
          <w:p w14:paraId="29253F62" w14:textId="6BB18ECD" w:rsidR="00EE379B" w:rsidRDefault="00EE379B" w:rsidP="00ED386C">
            <w:pPr>
              <w:jc w:val="both"/>
              <w:rPr>
                <w:b/>
                <w:bCs/>
              </w:rPr>
            </w:pPr>
            <w:r>
              <w:rPr>
                <w:b/>
                <w:bCs/>
              </w:rPr>
              <w:t>Key Points</w:t>
            </w:r>
          </w:p>
        </w:tc>
      </w:tr>
      <w:tr w:rsidR="00EE379B" w14:paraId="0D43140B" w14:textId="77777777" w:rsidTr="007861CE">
        <w:tc>
          <w:tcPr>
            <w:tcW w:w="2405" w:type="dxa"/>
          </w:tcPr>
          <w:p w14:paraId="59559B4C" w14:textId="65A2D27A" w:rsidR="00EE379B" w:rsidRPr="00BC2756" w:rsidRDefault="00EE379B" w:rsidP="00ED386C">
            <w:pPr>
              <w:jc w:val="both"/>
            </w:pPr>
            <w:r w:rsidRPr="00BC2756">
              <w:t>Political</w:t>
            </w:r>
          </w:p>
        </w:tc>
        <w:tc>
          <w:tcPr>
            <w:tcW w:w="6611" w:type="dxa"/>
          </w:tcPr>
          <w:p w14:paraId="4433AB65" w14:textId="39A80C39" w:rsidR="00EE379B" w:rsidRPr="00BC2756" w:rsidRDefault="00BC2756" w:rsidP="00200035">
            <w:r>
              <w:t>ZEV mandates, Net Zero</w:t>
            </w:r>
            <w:r w:rsidR="00200035">
              <w:t xml:space="preserve"> Policy and Regulations</w:t>
            </w:r>
          </w:p>
        </w:tc>
      </w:tr>
      <w:tr w:rsidR="00EE379B" w14:paraId="4D47B0FB" w14:textId="77777777" w:rsidTr="007861CE">
        <w:tc>
          <w:tcPr>
            <w:tcW w:w="2405" w:type="dxa"/>
          </w:tcPr>
          <w:p w14:paraId="61648F02" w14:textId="6C3D6BA4" w:rsidR="00EE379B" w:rsidRPr="00BC2756" w:rsidRDefault="007861CE" w:rsidP="00ED386C">
            <w:pPr>
              <w:jc w:val="both"/>
            </w:pPr>
            <w:r>
              <w:t>Economics</w:t>
            </w:r>
          </w:p>
        </w:tc>
        <w:tc>
          <w:tcPr>
            <w:tcW w:w="6611" w:type="dxa"/>
          </w:tcPr>
          <w:p w14:paraId="69CF3596" w14:textId="2937BA52" w:rsidR="00EE379B" w:rsidRPr="00BC2756" w:rsidRDefault="00E72D39" w:rsidP="00ED386C">
            <w:pPr>
              <w:jc w:val="both"/>
            </w:pPr>
            <w:r>
              <w:t>EV Costs, Inflation, Gigafactory Plans</w:t>
            </w:r>
          </w:p>
        </w:tc>
      </w:tr>
      <w:tr w:rsidR="00EE379B" w14:paraId="174C2915" w14:textId="77777777" w:rsidTr="007861CE">
        <w:tc>
          <w:tcPr>
            <w:tcW w:w="2405" w:type="dxa"/>
          </w:tcPr>
          <w:p w14:paraId="525D5FD4" w14:textId="5B51B58D" w:rsidR="00EE379B" w:rsidRPr="00BC2756" w:rsidRDefault="00E72D39" w:rsidP="00ED386C">
            <w:pPr>
              <w:jc w:val="both"/>
            </w:pPr>
            <w:r>
              <w:t>Social</w:t>
            </w:r>
          </w:p>
        </w:tc>
        <w:tc>
          <w:tcPr>
            <w:tcW w:w="6611" w:type="dxa"/>
          </w:tcPr>
          <w:p w14:paraId="63322F44" w14:textId="6F595085" w:rsidR="00EE379B" w:rsidRPr="00BC2756" w:rsidRDefault="00E72D39" w:rsidP="00ED386C">
            <w:pPr>
              <w:jc w:val="both"/>
            </w:pPr>
            <w:r>
              <w:t>Environmental Awareness, Adoption Ba</w:t>
            </w:r>
            <w:r w:rsidR="007861CE">
              <w:t>rriers</w:t>
            </w:r>
          </w:p>
        </w:tc>
      </w:tr>
      <w:tr w:rsidR="00EE379B" w14:paraId="1B37A68B" w14:textId="77777777" w:rsidTr="007861CE">
        <w:tc>
          <w:tcPr>
            <w:tcW w:w="2405" w:type="dxa"/>
          </w:tcPr>
          <w:p w14:paraId="5FD0DB40" w14:textId="0954C170" w:rsidR="00EE379B" w:rsidRPr="00BC2756" w:rsidRDefault="007861CE" w:rsidP="00ED386C">
            <w:pPr>
              <w:jc w:val="both"/>
            </w:pPr>
            <w:r>
              <w:t>Technological</w:t>
            </w:r>
          </w:p>
        </w:tc>
        <w:tc>
          <w:tcPr>
            <w:tcW w:w="6611" w:type="dxa"/>
          </w:tcPr>
          <w:p w14:paraId="6A78112C" w14:textId="605362AC" w:rsidR="00EE379B" w:rsidRPr="00BC2756" w:rsidRDefault="00EA7D01" w:rsidP="00ED386C">
            <w:pPr>
              <w:jc w:val="both"/>
            </w:pPr>
            <w:r>
              <w:t>Battery Advances, Charging Tech</w:t>
            </w:r>
          </w:p>
        </w:tc>
      </w:tr>
      <w:tr w:rsidR="00EA7D01" w14:paraId="0E849C3A" w14:textId="77777777" w:rsidTr="007861CE">
        <w:tc>
          <w:tcPr>
            <w:tcW w:w="2405" w:type="dxa"/>
          </w:tcPr>
          <w:p w14:paraId="0A82DDC8" w14:textId="51AAC406" w:rsidR="00EA7D01" w:rsidRDefault="00EA7D01" w:rsidP="00ED386C">
            <w:pPr>
              <w:jc w:val="both"/>
            </w:pPr>
            <w:r>
              <w:t>Legal</w:t>
            </w:r>
          </w:p>
        </w:tc>
        <w:tc>
          <w:tcPr>
            <w:tcW w:w="6611" w:type="dxa"/>
          </w:tcPr>
          <w:p w14:paraId="5982EB2A" w14:textId="70BF9837" w:rsidR="00EA7D01" w:rsidRDefault="00EA7D01" w:rsidP="00ED386C">
            <w:pPr>
              <w:jc w:val="both"/>
            </w:pPr>
            <w:r>
              <w:t>Data Protection, Safety Regulation</w:t>
            </w:r>
          </w:p>
        </w:tc>
      </w:tr>
      <w:tr w:rsidR="007A06DD" w14:paraId="4087053C" w14:textId="77777777" w:rsidTr="007861CE">
        <w:tc>
          <w:tcPr>
            <w:tcW w:w="2405" w:type="dxa"/>
          </w:tcPr>
          <w:p w14:paraId="295F7FFD" w14:textId="36186AF2" w:rsidR="007A06DD" w:rsidRDefault="007A06DD" w:rsidP="00ED386C">
            <w:pPr>
              <w:jc w:val="both"/>
            </w:pPr>
            <w:r>
              <w:t>Environmental</w:t>
            </w:r>
          </w:p>
        </w:tc>
        <w:tc>
          <w:tcPr>
            <w:tcW w:w="6611" w:type="dxa"/>
          </w:tcPr>
          <w:p w14:paraId="4FBDD451" w14:textId="27F3C84F" w:rsidR="007A06DD" w:rsidRDefault="007A06DD" w:rsidP="00ED386C">
            <w:pPr>
              <w:jc w:val="both"/>
            </w:pPr>
            <w:r>
              <w:t>Lifecycle Impacts, Sustainability</w:t>
            </w:r>
          </w:p>
        </w:tc>
      </w:tr>
    </w:tbl>
    <w:p w14:paraId="3CE2F1AB" w14:textId="77777777" w:rsidR="00346C52" w:rsidRPr="00346C52" w:rsidRDefault="00346C52" w:rsidP="00ED386C">
      <w:pPr>
        <w:jc w:val="both"/>
        <w:rPr>
          <w:b/>
          <w:bCs/>
        </w:rPr>
      </w:pPr>
    </w:p>
    <w:p w14:paraId="66061120" w14:textId="77777777" w:rsidR="00CC3AB4" w:rsidRDefault="00CC3AB4" w:rsidP="00ED386C">
      <w:pPr>
        <w:jc w:val="both"/>
        <w:rPr>
          <w:b/>
          <w:bCs/>
        </w:rPr>
      </w:pPr>
    </w:p>
    <w:p w14:paraId="5455C564" w14:textId="24112E43" w:rsidR="00CC3AB4" w:rsidRDefault="00601A88" w:rsidP="00ED386C">
      <w:pPr>
        <w:jc w:val="both"/>
        <w:rPr>
          <w:b/>
          <w:bCs/>
        </w:rPr>
      </w:pPr>
      <w:r>
        <w:rPr>
          <w:b/>
          <w:bCs/>
        </w:rPr>
        <w:t>SWOT Analysis</w:t>
      </w:r>
    </w:p>
    <w:p w14:paraId="1D3231F9" w14:textId="39FEB20C" w:rsidR="00CC3AB4" w:rsidRPr="00732C53" w:rsidRDefault="00732C53" w:rsidP="0070587B">
      <w:pPr>
        <w:jc w:val="both"/>
      </w:pPr>
      <w:r w:rsidRPr="00732C53">
        <w:t>Strengths</w:t>
      </w:r>
      <w:r>
        <w:t xml:space="preserve"> </w:t>
      </w:r>
      <w:r w:rsidR="004B5AB3">
        <w:t xml:space="preserve">- </w:t>
      </w:r>
      <w:r w:rsidR="004B5AB3" w:rsidRPr="00732C53">
        <w:t>Supportive</w:t>
      </w:r>
      <w:r w:rsidRPr="00732C53">
        <w:t xml:space="preserve"> long-term policy direction, growing consumer interest, </w:t>
      </w:r>
      <w:r w:rsidR="001655B8">
        <w:t xml:space="preserve">and </w:t>
      </w:r>
      <w:r w:rsidRPr="00732C53">
        <w:t>rapid technological innovation.</w:t>
      </w:r>
      <w:r w:rsidR="004340C9">
        <w:t xml:space="preserve"> </w:t>
      </w:r>
      <w:r w:rsidR="004340C9" w:rsidRPr="004340C9">
        <w:t>Expansion of public charging infrastructure.</w:t>
      </w:r>
      <w:r w:rsidR="0093738E">
        <w:t xml:space="preserve"> </w:t>
      </w:r>
      <w:r w:rsidR="0093738E" w:rsidRPr="0093738E">
        <w:t>Increasing fleet electrification by corporate and public sector buyers.</w:t>
      </w:r>
    </w:p>
    <w:p w14:paraId="750F53B7" w14:textId="71E71EF1" w:rsidR="00CC3AB4" w:rsidRPr="004B5AB3" w:rsidRDefault="004B5AB3" w:rsidP="0070587B">
      <w:pPr>
        <w:jc w:val="both"/>
      </w:pPr>
      <w:r w:rsidRPr="004B5AB3">
        <w:t>Weaknesses</w:t>
      </w:r>
      <w:r>
        <w:t xml:space="preserve"> - </w:t>
      </w:r>
      <w:r w:rsidR="005A1983" w:rsidRPr="005A1983">
        <w:t>High upfront cost of EVs relative to ICE vehicles.</w:t>
      </w:r>
      <w:r w:rsidR="00A41043">
        <w:t xml:space="preserve"> </w:t>
      </w:r>
      <w:r w:rsidR="00A41043" w:rsidRPr="00A41043">
        <w:t>Inconsistent charging reliability and regional inequities in access.</w:t>
      </w:r>
      <w:r w:rsidR="00A41043">
        <w:t xml:space="preserve"> </w:t>
      </w:r>
      <w:r w:rsidR="00A41043" w:rsidRPr="00A41043">
        <w:t>Policy uncertainty affecting business confidence.</w:t>
      </w:r>
      <w:r w:rsidR="00A41043">
        <w:t xml:space="preserve"> </w:t>
      </w:r>
      <w:r w:rsidR="00A41043" w:rsidRPr="00A41043">
        <w:t>Limited domestic battery manufacturing capability</w:t>
      </w:r>
      <w:r w:rsidR="00A41043">
        <w:t xml:space="preserve"> and s</w:t>
      </w:r>
      <w:r w:rsidR="00A41043" w:rsidRPr="00A41043">
        <w:t>upply chain vulnerabilities due to import reliance.</w:t>
      </w:r>
    </w:p>
    <w:p w14:paraId="1BDA989B" w14:textId="392D9E60" w:rsidR="00CC3AB4" w:rsidRPr="001655B8" w:rsidRDefault="001655B8" w:rsidP="0070587B">
      <w:pPr>
        <w:jc w:val="both"/>
      </w:pPr>
      <w:r w:rsidRPr="001655B8">
        <w:t>Opportunities</w:t>
      </w:r>
      <w:r>
        <w:t xml:space="preserve"> - </w:t>
      </w:r>
      <w:r w:rsidR="00926804" w:rsidRPr="00926804">
        <w:t>Growth in domestic gigafactories to improve supply chain resilience.</w:t>
      </w:r>
      <w:r w:rsidR="00926804">
        <w:t xml:space="preserve"> </w:t>
      </w:r>
      <w:r w:rsidR="00926804" w:rsidRPr="00926804">
        <w:t xml:space="preserve">Technological breakthroughs </w:t>
      </w:r>
      <w:r w:rsidR="0070587B">
        <w:t xml:space="preserve">are </w:t>
      </w:r>
      <w:r w:rsidR="00926804" w:rsidRPr="00926804">
        <w:t>reducing battery costs and increasing range.</w:t>
      </w:r>
      <w:r w:rsidR="00926804">
        <w:t xml:space="preserve"> </w:t>
      </w:r>
      <w:r w:rsidR="00926804" w:rsidRPr="00926804">
        <w:t xml:space="preserve">Integration of renewable energy with </w:t>
      </w:r>
      <w:r w:rsidR="0070587B">
        <w:t xml:space="preserve">the </w:t>
      </w:r>
      <w:r w:rsidR="00926804" w:rsidRPr="00926804">
        <w:t>national charging infrastructure.</w:t>
      </w:r>
      <w:r w:rsidR="00926804">
        <w:t xml:space="preserve"> </w:t>
      </w:r>
      <w:r w:rsidR="00926804" w:rsidRPr="00926804">
        <w:t xml:space="preserve">Development of </w:t>
      </w:r>
      <w:proofErr w:type="gramStart"/>
      <w:r w:rsidR="00926804" w:rsidRPr="00926804">
        <w:t>second-life</w:t>
      </w:r>
      <w:proofErr w:type="gramEnd"/>
      <w:r w:rsidR="00926804" w:rsidRPr="00926804">
        <w:t xml:space="preserve"> and recycling industries for EV batteries.</w:t>
      </w:r>
      <w:r w:rsidR="0043549B">
        <w:t xml:space="preserve"> </w:t>
      </w:r>
      <w:r w:rsidR="0043549B" w:rsidRPr="0043549B">
        <w:t>New business models such as subscription services, shared mobility, and smart-charging platforms.</w:t>
      </w:r>
    </w:p>
    <w:p w14:paraId="750E83E3" w14:textId="2CFA4608" w:rsidR="00CC3AB4" w:rsidRPr="001655B8" w:rsidRDefault="00F5522C" w:rsidP="0070587B">
      <w:pPr>
        <w:jc w:val="both"/>
      </w:pPr>
      <w:r w:rsidRPr="00F5522C">
        <w:t>Threats</w:t>
      </w:r>
      <w:r>
        <w:t xml:space="preserve"> - </w:t>
      </w:r>
      <w:r w:rsidR="0043549B" w:rsidRPr="0043549B">
        <w:t>Intensifying global competition, especially from Chinese EV manufacturers.</w:t>
      </w:r>
      <w:r w:rsidR="0043549B">
        <w:t xml:space="preserve"> </w:t>
      </w:r>
      <w:r w:rsidR="0043549B" w:rsidRPr="0043549B">
        <w:t xml:space="preserve">Economic downturns </w:t>
      </w:r>
      <w:r w:rsidR="0070587B">
        <w:t xml:space="preserve">are </w:t>
      </w:r>
      <w:r w:rsidR="0043549B" w:rsidRPr="0043549B">
        <w:t>reducing consumer affordability.</w:t>
      </w:r>
      <w:r w:rsidR="0043549B">
        <w:t xml:space="preserve"> </w:t>
      </w:r>
      <w:r w:rsidR="0043549B" w:rsidRPr="0043549B">
        <w:t>Cybersecurity and data protection risks.</w:t>
      </w:r>
      <w:r w:rsidR="0070587B">
        <w:t xml:space="preserve"> </w:t>
      </w:r>
      <w:r w:rsidR="0070587B" w:rsidRPr="0070587B">
        <w:t xml:space="preserve">Resource scarcity </w:t>
      </w:r>
      <w:r w:rsidR="0070587B">
        <w:t xml:space="preserve">is </w:t>
      </w:r>
      <w:r w:rsidR="0070587B" w:rsidRPr="0070587B">
        <w:t>affecting battery materials availability.</w:t>
      </w:r>
      <w:r w:rsidR="0070587B">
        <w:t xml:space="preserve"> </w:t>
      </w:r>
      <w:r w:rsidR="0070587B" w:rsidRPr="0070587B">
        <w:t xml:space="preserve">Fluctuating government policies </w:t>
      </w:r>
      <w:r w:rsidR="00A71714">
        <w:t xml:space="preserve">are </w:t>
      </w:r>
      <w:r w:rsidR="0070587B" w:rsidRPr="0070587B">
        <w:t>reducing investor confidence.</w:t>
      </w:r>
    </w:p>
    <w:p w14:paraId="28E0D859" w14:textId="77777777" w:rsidR="004D252E" w:rsidRDefault="004D252E" w:rsidP="00ED386C">
      <w:pPr>
        <w:jc w:val="both"/>
        <w:rPr>
          <w:b/>
          <w:bCs/>
        </w:rPr>
      </w:pPr>
    </w:p>
    <w:p w14:paraId="6AD10E5B" w14:textId="14DACC6B" w:rsidR="00E3386B" w:rsidRDefault="00E3386B" w:rsidP="00ED386C">
      <w:pPr>
        <w:jc w:val="both"/>
        <w:rPr>
          <w:b/>
          <w:bCs/>
        </w:rPr>
      </w:pPr>
      <w:r>
        <w:rPr>
          <w:b/>
          <w:bCs/>
        </w:rPr>
        <w:lastRenderedPageBreak/>
        <w:t>Infrastructure and Policy</w:t>
      </w:r>
    </w:p>
    <w:p w14:paraId="615CFF39" w14:textId="037A0261" w:rsidR="008802C1" w:rsidRPr="008802C1" w:rsidRDefault="008802C1" w:rsidP="00ED386C">
      <w:pPr>
        <w:jc w:val="both"/>
      </w:pPr>
      <w:r w:rsidRPr="008802C1">
        <w:t>Public charging infrastructure remains one of the most decisive external factors influencing EV adoption. While the UK surpassed 50,000 public charge points in 2024, regional disparities remain significant (Zap-Map, 2024). London heavily outperforms other regions, exacerbating inequalities in national EV uptake. Charger reliability issues—often affecting 10–25% of units—reduce consumer confidence. The removal of the Plug-in Car Grant and uncertainty over future incentives further complicate the market landscape. Infrastructure improvements must therefore align with coherent, long-term policy frameworks to sustain adoption momentum.</w:t>
      </w:r>
    </w:p>
    <w:p w14:paraId="2BCD78F0" w14:textId="77777777" w:rsidR="004D252E" w:rsidRDefault="004D252E" w:rsidP="00ED386C">
      <w:pPr>
        <w:jc w:val="both"/>
        <w:rPr>
          <w:b/>
          <w:bCs/>
        </w:rPr>
      </w:pPr>
    </w:p>
    <w:p w14:paraId="10C876BB" w14:textId="79E39B65" w:rsidR="00346C52" w:rsidRDefault="00737FF4" w:rsidP="00ED386C">
      <w:pPr>
        <w:jc w:val="both"/>
        <w:rPr>
          <w:b/>
          <w:bCs/>
        </w:rPr>
      </w:pPr>
      <w:r>
        <w:rPr>
          <w:b/>
          <w:bCs/>
        </w:rPr>
        <w:t>UK's</w:t>
      </w:r>
      <w:r w:rsidR="00691C67" w:rsidRPr="00691C67">
        <w:rPr>
          <w:b/>
          <w:bCs/>
        </w:rPr>
        <w:t xml:space="preserve"> EV Growth Market Chart</w:t>
      </w:r>
    </w:p>
    <w:p w14:paraId="0557C97F" w14:textId="3BFB1E54" w:rsidR="00691C67" w:rsidRDefault="00691C67" w:rsidP="00ED386C">
      <w:pPr>
        <w:jc w:val="both"/>
        <w:rPr>
          <w:b/>
          <w:bCs/>
        </w:rPr>
      </w:pPr>
      <w:r>
        <w:rPr>
          <w:noProof/>
        </w:rPr>
        <w:drawing>
          <wp:inline distT="0" distB="0" distL="0" distR="0" wp14:anchorId="2BC753CF" wp14:editId="4D899588">
            <wp:extent cx="4572000" cy="2743200"/>
            <wp:effectExtent l="0" t="0" r="0" b="0"/>
            <wp:docPr id="1" name="Picture 1" descr="A line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ine graph with numbers and a line&#10;&#10;AI-generated content may be incorrect."/>
                    <pic:cNvPicPr>
                      <a:picLocks noChangeAspect="1"/>
                    </pic:cNvPicPr>
                  </pic:nvPicPr>
                  <pic:blipFill>
                    <a:blip r:embed="rId10"/>
                    <a:stretch>
                      <a:fillRect/>
                    </a:stretch>
                  </pic:blipFill>
                  <pic:spPr>
                    <a:xfrm>
                      <a:off x="0" y="0"/>
                      <a:ext cx="4572000" cy="2743200"/>
                    </a:xfrm>
                    <a:prstGeom prst="rect">
                      <a:avLst/>
                    </a:prstGeom>
                  </pic:spPr>
                </pic:pic>
              </a:graphicData>
            </a:graphic>
          </wp:inline>
        </w:drawing>
      </w:r>
    </w:p>
    <w:p w14:paraId="059AFAE5" w14:textId="77777777" w:rsidR="00CA1A7E" w:rsidRDefault="00CA1A7E" w:rsidP="00ED386C">
      <w:pPr>
        <w:jc w:val="both"/>
        <w:rPr>
          <w:b/>
          <w:bCs/>
        </w:rPr>
      </w:pPr>
    </w:p>
    <w:p w14:paraId="44AD3880" w14:textId="77777777" w:rsidR="00300BE9" w:rsidRDefault="00300BE9" w:rsidP="00ED386C">
      <w:pPr>
        <w:jc w:val="both"/>
        <w:rPr>
          <w:b/>
          <w:bCs/>
        </w:rPr>
      </w:pPr>
    </w:p>
    <w:p w14:paraId="4D7C58D2" w14:textId="77777777" w:rsidR="00300BE9" w:rsidRDefault="00300BE9" w:rsidP="00ED386C">
      <w:pPr>
        <w:jc w:val="both"/>
        <w:rPr>
          <w:b/>
          <w:bCs/>
        </w:rPr>
      </w:pPr>
    </w:p>
    <w:p w14:paraId="59A30927" w14:textId="77777777" w:rsidR="00300BE9" w:rsidRDefault="00300BE9" w:rsidP="00ED386C">
      <w:pPr>
        <w:jc w:val="both"/>
        <w:rPr>
          <w:b/>
          <w:bCs/>
        </w:rPr>
      </w:pPr>
    </w:p>
    <w:p w14:paraId="2C4700C6" w14:textId="77777777" w:rsidR="00300BE9" w:rsidRDefault="00300BE9" w:rsidP="00ED386C">
      <w:pPr>
        <w:jc w:val="both"/>
        <w:rPr>
          <w:b/>
          <w:bCs/>
        </w:rPr>
      </w:pPr>
    </w:p>
    <w:p w14:paraId="72FDC314" w14:textId="77777777" w:rsidR="00300BE9" w:rsidRDefault="00300BE9" w:rsidP="00ED386C">
      <w:pPr>
        <w:jc w:val="both"/>
        <w:rPr>
          <w:b/>
          <w:bCs/>
        </w:rPr>
      </w:pPr>
    </w:p>
    <w:p w14:paraId="6E373456" w14:textId="77777777" w:rsidR="00300BE9" w:rsidRDefault="00300BE9" w:rsidP="00ED386C">
      <w:pPr>
        <w:jc w:val="both"/>
        <w:rPr>
          <w:b/>
          <w:bCs/>
        </w:rPr>
      </w:pPr>
    </w:p>
    <w:p w14:paraId="19E881F9" w14:textId="77777777" w:rsidR="00300BE9" w:rsidRDefault="00300BE9" w:rsidP="00ED386C">
      <w:pPr>
        <w:jc w:val="both"/>
        <w:rPr>
          <w:b/>
          <w:bCs/>
        </w:rPr>
      </w:pPr>
    </w:p>
    <w:p w14:paraId="30868AC2" w14:textId="77777777" w:rsidR="00A71714" w:rsidRDefault="00A71714" w:rsidP="00ED386C">
      <w:pPr>
        <w:jc w:val="both"/>
        <w:rPr>
          <w:b/>
          <w:bCs/>
        </w:rPr>
      </w:pPr>
    </w:p>
    <w:p w14:paraId="14283EE3" w14:textId="77777777" w:rsidR="00A71714" w:rsidRDefault="00A71714" w:rsidP="00ED386C">
      <w:pPr>
        <w:jc w:val="both"/>
        <w:rPr>
          <w:b/>
          <w:bCs/>
        </w:rPr>
      </w:pPr>
    </w:p>
    <w:p w14:paraId="3821DC29" w14:textId="77777777" w:rsidR="00A71714" w:rsidRDefault="00A71714" w:rsidP="00ED386C">
      <w:pPr>
        <w:jc w:val="both"/>
        <w:rPr>
          <w:b/>
          <w:bCs/>
        </w:rPr>
      </w:pPr>
    </w:p>
    <w:p w14:paraId="76EAB54E" w14:textId="77777777" w:rsidR="00A71714" w:rsidRDefault="00A71714" w:rsidP="00ED386C">
      <w:pPr>
        <w:jc w:val="both"/>
        <w:rPr>
          <w:b/>
          <w:bCs/>
        </w:rPr>
      </w:pPr>
    </w:p>
    <w:p w14:paraId="4C7BFFD1" w14:textId="77777777" w:rsidR="00A71714" w:rsidRDefault="00A71714" w:rsidP="00ED386C">
      <w:pPr>
        <w:jc w:val="both"/>
        <w:rPr>
          <w:b/>
          <w:bCs/>
        </w:rPr>
      </w:pPr>
    </w:p>
    <w:p w14:paraId="4DDC66BD" w14:textId="197E35F4" w:rsidR="00CA1A7E" w:rsidRDefault="00CE4C23" w:rsidP="00ED386C">
      <w:pPr>
        <w:jc w:val="both"/>
        <w:rPr>
          <w:b/>
          <w:bCs/>
        </w:rPr>
      </w:pPr>
      <w:r>
        <w:rPr>
          <w:b/>
          <w:bCs/>
        </w:rPr>
        <w:lastRenderedPageBreak/>
        <w:t>Recommendations</w:t>
      </w:r>
    </w:p>
    <w:p w14:paraId="69BB8BBC" w14:textId="15654FDC" w:rsidR="00CE4C23" w:rsidRDefault="00EB3534" w:rsidP="00EB3534">
      <w:pPr>
        <w:jc w:val="both"/>
      </w:pPr>
      <w:r>
        <w:t>We need to s</w:t>
      </w:r>
      <w:r w:rsidRPr="00EB3534">
        <w:t>trengthen Domestic Supply Chains</w:t>
      </w:r>
      <w:r w:rsidR="007D7A70">
        <w:t xml:space="preserve"> -</w:t>
      </w:r>
      <w:r>
        <w:t xml:space="preserve"> </w:t>
      </w:r>
      <w:r w:rsidRPr="00EB3534">
        <w:t>Firms should deepen partnerships with emerging UK gigafactories, universities, and recycling firms to build a resilient domestic battery ecosystem (McKinsey, 2024).</w:t>
      </w:r>
    </w:p>
    <w:p w14:paraId="54936B29" w14:textId="75F81907" w:rsidR="00EB3534" w:rsidRDefault="00E4608B" w:rsidP="00EB3534">
      <w:pPr>
        <w:jc w:val="both"/>
      </w:pPr>
      <w:r w:rsidRPr="00E4608B">
        <w:t>Improve Charging Reliability and Accessibility</w:t>
      </w:r>
      <w:r w:rsidR="007D7A70">
        <w:t xml:space="preserve"> - </w:t>
      </w:r>
      <w:r w:rsidR="00D77106" w:rsidRPr="00D77106">
        <w:t>Automakers should collaborate with charge point operators to enhance interoperability, reliability, and coverage in underserved regions.</w:t>
      </w:r>
    </w:p>
    <w:p w14:paraId="3DE1565E" w14:textId="6CD6EA07" w:rsidR="00D77106" w:rsidRDefault="00C866DF" w:rsidP="00EB3534">
      <w:pPr>
        <w:jc w:val="both"/>
      </w:pPr>
      <w:r w:rsidRPr="00C866DF">
        <w:t>Expand Affordable EV Offerings</w:t>
      </w:r>
      <w:r w:rsidR="007D7A70">
        <w:t xml:space="preserve"> - </w:t>
      </w:r>
      <w:r w:rsidR="00434FB1" w:rsidRPr="00434FB1">
        <w:t>Manufacturers should pursue modular platforms enabling lower-cost models and support alternative ownership options such as leasing or subscriptions.</w:t>
      </w:r>
    </w:p>
    <w:p w14:paraId="1A3DC966" w14:textId="208724B4" w:rsidR="007D7A70" w:rsidRDefault="007D7A70" w:rsidP="00EB3534">
      <w:pPr>
        <w:jc w:val="both"/>
      </w:pPr>
      <w:r w:rsidRPr="007D7A70">
        <w:t>Enhance Public Education</w:t>
      </w:r>
      <w:r>
        <w:t xml:space="preserve"> - </w:t>
      </w:r>
      <w:r w:rsidR="00004178" w:rsidRPr="00004178">
        <w:t>Clear communication about charging practices, battery health, and total cost of ownership can reduce consumer hesitation.</w:t>
      </w:r>
    </w:p>
    <w:p w14:paraId="7F6C9745" w14:textId="5795FC00" w:rsidR="00CA1A7E" w:rsidRDefault="00FF050A" w:rsidP="00ED386C">
      <w:pPr>
        <w:jc w:val="both"/>
      </w:pPr>
      <w:r w:rsidRPr="00FF050A">
        <w:t>Embrace Digital and Energy Integration</w:t>
      </w:r>
      <w:r>
        <w:t xml:space="preserve"> - </w:t>
      </w:r>
      <w:r w:rsidR="00300BE9" w:rsidRPr="00300BE9">
        <w:t>Investments in smart charging, OTA updates, and V2G systems can differentiate firms and reduce long-term customer costs.</w:t>
      </w:r>
    </w:p>
    <w:p w14:paraId="5B04F8F7" w14:textId="77777777" w:rsidR="006B6DA7" w:rsidRPr="006B6DA7" w:rsidRDefault="006B6DA7" w:rsidP="00ED386C">
      <w:pPr>
        <w:jc w:val="both"/>
      </w:pPr>
    </w:p>
    <w:p w14:paraId="116FC485" w14:textId="5340FE67" w:rsidR="00737FF4" w:rsidRDefault="00737FF4" w:rsidP="00ED386C">
      <w:pPr>
        <w:jc w:val="both"/>
        <w:rPr>
          <w:b/>
          <w:bCs/>
        </w:rPr>
      </w:pPr>
      <w:r>
        <w:rPr>
          <w:b/>
          <w:bCs/>
        </w:rPr>
        <w:t>Regi</w:t>
      </w:r>
      <w:r w:rsidR="00CA1A7E">
        <w:rPr>
          <w:b/>
          <w:bCs/>
        </w:rPr>
        <w:t>onal Charger Availability</w:t>
      </w:r>
    </w:p>
    <w:p w14:paraId="667FDE8C" w14:textId="60312944" w:rsidR="00CA1A7E" w:rsidRDefault="00CA1A7E" w:rsidP="00ED386C">
      <w:pPr>
        <w:jc w:val="both"/>
        <w:rPr>
          <w:b/>
          <w:bCs/>
        </w:rPr>
      </w:pPr>
      <w:r>
        <w:rPr>
          <w:noProof/>
        </w:rPr>
        <w:drawing>
          <wp:inline distT="0" distB="0" distL="0" distR="0" wp14:anchorId="590904BF" wp14:editId="3A1D04CF">
            <wp:extent cx="4572000" cy="2743200"/>
            <wp:effectExtent l="0" t="0" r="0" b="0"/>
            <wp:docPr id="2" name="Picture 1" descr="A graph of a number of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f a number of bars&#10;&#10;AI-generated content may be incorrect."/>
                    <pic:cNvPicPr>
                      <a:picLocks noChangeAspect="1"/>
                    </pic:cNvPicPr>
                  </pic:nvPicPr>
                  <pic:blipFill>
                    <a:blip r:embed="rId11"/>
                    <a:stretch>
                      <a:fillRect/>
                    </a:stretch>
                  </pic:blipFill>
                  <pic:spPr>
                    <a:xfrm>
                      <a:off x="0" y="0"/>
                      <a:ext cx="4572000" cy="2743200"/>
                    </a:xfrm>
                    <a:prstGeom prst="rect">
                      <a:avLst/>
                    </a:prstGeom>
                  </pic:spPr>
                </pic:pic>
              </a:graphicData>
            </a:graphic>
          </wp:inline>
        </w:drawing>
      </w:r>
    </w:p>
    <w:p w14:paraId="643FB1D1" w14:textId="77777777" w:rsidR="006B60C0" w:rsidRDefault="006B60C0" w:rsidP="00ED386C">
      <w:pPr>
        <w:jc w:val="both"/>
        <w:rPr>
          <w:b/>
          <w:bCs/>
        </w:rPr>
      </w:pPr>
    </w:p>
    <w:p w14:paraId="3DA70946" w14:textId="77777777" w:rsidR="00DD544E" w:rsidRDefault="00DD544E" w:rsidP="00ED386C">
      <w:pPr>
        <w:jc w:val="both"/>
        <w:rPr>
          <w:b/>
          <w:bCs/>
        </w:rPr>
      </w:pPr>
    </w:p>
    <w:p w14:paraId="58E82484" w14:textId="77777777" w:rsidR="00DD544E" w:rsidRDefault="00DD544E" w:rsidP="00ED386C">
      <w:pPr>
        <w:jc w:val="both"/>
        <w:rPr>
          <w:b/>
          <w:bCs/>
        </w:rPr>
      </w:pPr>
    </w:p>
    <w:p w14:paraId="1D22AF58" w14:textId="77777777" w:rsidR="009C08ED" w:rsidRDefault="009C08ED" w:rsidP="00ED386C">
      <w:pPr>
        <w:jc w:val="both"/>
        <w:rPr>
          <w:b/>
          <w:bCs/>
        </w:rPr>
      </w:pPr>
    </w:p>
    <w:p w14:paraId="60F1357D" w14:textId="77777777" w:rsidR="00A71714" w:rsidRDefault="00A71714" w:rsidP="00ED386C">
      <w:pPr>
        <w:jc w:val="both"/>
        <w:rPr>
          <w:b/>
          <w:bCs/>
        </w:rPr>
      </w:pPr>
    </w:p>
    <w:p w14:paraId="62EBFE84" w14:textId="77777777" w:rsidR="00A71714" w:rsidRDefault="00A71714" w:rsidP="00ED386C">
      <w:pPr>
        <w:jc w:val="both"/>
        <w:rPr>
          <w:b/>
          <w:bCs/>
        </w:rPr>
      </w:pPr>
    </w:p>
    <w:p w14:paraId="35C4C808" w14:textId="77777777" w:rsidR="00A71714" w:rsidRDefault="00A71714" w:rsidP="00ED386C">
      <w:pPr>
        <w:jc w:val="both"/>
        <w:rPr>
          <w:b/>
          <w:bCs/>
        </w:rPr>
      </w:pPr>
    </w:p>
    <w:p w14:paraId="3A494B2D" w14:textId="77777777" w:rsidR="00A71714" w:rsidRDefault="00A71714" w:rsidP="00ED386C">
      <w:pPr>
        <w:jc w:val="both"/>
        <w:rPr>
          <w:b/>
          <w:bCs/>
        </w:rPr>
      </w:pPr>
    </w:p>
    <w:p w14:paraId="2AFB68A9" w14:textId="77777777" w:rsidR="00A71714" w:rsidRDefault="00A71714" w:rsidP="00ED386C">
      <w:pPr>
        <w:jc w:val="both"/>
        <w:rPr>
          <w:b/>
          <w:bCs/>
        </w:rPr>
      </w:pPr>
    </w:p>
    <w:p w14:paraId="542CBE87" w14:textId="7365A2C7" w:rsidR="006B60C0" w:rsidRDefault="006B60C0" w:rsidP="00ED386C">
      <w:pPr>
        <w:jc w:val="both"/>
        <w:rPr>
          <w:b/>
          <w:bCs/>
        </w:rPr>
      </w:pPr>
      <w:r>
        <w:rPr>
          <w:b/>
          <w:bCs/>
        </w:rPr>
        <w:lastRenderedPageBreak/>
        <w:t>Conclusion</w:t>
      </w:r>
    </w:p>
    <w:p w14:paraId="027792A2" w14:textId="71089CD9" w:rsidR="006B60C0" w:rsidRDefault="007F588F" w:rsidP="007F588F">
      <w:pPr>
        <w:jc w:val="both"/>
      </w:pPr>
      <w:r>
        <w:t>The</w:t>
      </w:r>
      <w:r w:rsidRPr="007F588F">
        <w:t xml:space="preserve"> UK electric vehicle industry is shaped by a complex array of political, economic, technological, social, legal, and environmental factors. While strong long-term policy </w:t>
      </w:r>
      <w:r w:rsidR="0037063A" w:rsidRPr="007F588F">
        <w:t>promises</w:t>
      </w:r>
      <w:r w:rsidRPr="007F588F">
        <w:t xml:space="preserve"> and technological innovations support growth, the sector faces substantial challenges, including infrastructure limitations, high vehicle costs, supply chain vulnerabilities, and global competition. The use of analytical tools such as PESTLE and SWOT reveals that the industry’s success depends on addressing weaknesses in domestic manufacturing capacity, charging reliability, and consumer confidence.</w:t>
      </w:r>
    </w:p>
    <w:p w14:paraId="07B7D7A1" w14:textId="41EDB69B" w:rsidR="00DD544E" w:rsidRDefault="00DD544E" w:rsidP="007F588F">
      <w:pPr>
        <w:jc w:val="both"/>
      </w:pPr>
      <w:r w:rsidRPr="00DD544E">
        <w:t>Strategic responses</w:t>
      </w:r>
      <w:r>
        <w:t xml:space="preserve">, </w:t>
      </w:r>
      <w:r w:rsidRPr="00DD544E">
        <w:t>such as investing in battery ecosystems, improving charging accessibility, offering flexible ownership models, and enhancing customer support</w:t>
      </w:r>
      <w:r>
        <w:t xml:space="preserve">, </w:t>
      </w:r>
      <w:r w:rsidRPr="00DD544E">
        <w:t xml:space="preserve">can significantly strengthen the </w:t>
      </w:r>
      <w:r w:rsidRPr="00DD544E">
        <w:t>affordability</w:t>
      </w:r>
      <w:r w:rsidRPr="00DD544E">
        <w:t xml:space="preserve"> and sustainability of UK EV companies. By adopting these recommendations, the sector can position itself for long-term resilience and play a central role in the UK’s transition to net-zero transport.</w:t>
      </w:r>
    </w:p>
    <w:p w14:paraId="123C9659" w14:textId="77777777" w:rsidR="00DD544E" w:rsidRDefault="00DD544E" w:rsidP="007F588F">
      <w:pPr>
        <w:jc w:val="both"/>
      </w:pPr>
    </w:p>
    <w:p w14:paraId="48BF70EE" w14:textId="77777777" w:rsidR="00DD544E" w:rsidRDefault="00DD544E" w:rsidP="007F588F">
      <w:pPr>
        <w:jc w:val="both"/>
      </w:pPr>
    </w:p>
    <w:p w14:paraId="32D3A535" w14:textId="77777777" w:rsidR="00DD544E" w:rsidRDefault="00DD544E" w:rsidP="007F588F">
      <w:pPr>
        <w:jc w:val="both"/>
      </w:pPr>
    </w:p>
    <w:p w14:paraId="497ED041" w14:textId="77777777" w:rsidR="00DD544E" w:rsidRDefault="00DD544E" w:rsidP="007F588F">
      <w:pPr>
        <w:jc w:val="both"/>
      </w:pPr>
    </w:p>
    <w:p w14:paraId="539BBF42" w14:textId="77777777" w:rsidR="00DD544E" w:rsidRDefault="00DD544E" w:rsidP="007F588F">
      <w:pPr>
        <w:jc w:val="both"/>
      </w:pPr>
    </w:p>
    <w:p w14:paraId="73811257" w14:textId="77777777" w:rsidR="00DD544E" w:rsidRDefault="00DD544E" w:rsidP="007F588F">
      <w:pPr>
        <w:jc w:val="both"/>
      </w:pPr>
    </w:p>
    <w:p w14:paraId="353170A5" w14:textId="77777777" w:rsidR="00DD544E" w:rsidRDefault="00DD544E" w:rsidP="007F588F">
      <w:pPr>
        <w:jc w:val="both"/>
      </w:pPr>
    </w:p>
    <w:p w14:paraId="5AFF710C" w14:textId="77777777" w:rsidR="00DD544E" w:rsidRDefault="00DD544E" w:rsidP="007F588F">
      <w:pPr>
        <w:jc w:val="both"/>
      </w:pPr>
    </w:p>
    <w:p w14:paraId="77A233AF" w14:textId="77777777" w:rsidR="00DD544E" w:rsidRDefault="00DD544E" w:rsidP="007F588F">
      <w:pPr>
        <w:jc w:val="both"/>
      </w:pPr>
    </w:p>
    <w:p w14:paraId="030A24D7" w14:textId="77777777" w:rsidR="00DD544E" w:rsidRDefault="00DD544E" w:rsidP="007F588F">
      <w:pPr>
        <w:jc w:val="both"/>
      </w:pPr>
    </w:p>
    <w:p w14:paraId="5E2C07F8" w14:textId="77777777" w:rsidR="00DD544E" w:rsidRDefault="00DD544E" w:rsidP="007F588F">
      <w:pPr>
        <w:jc w:val="both"/>
      </w:pPr>
    </w:p>
    <w:p w14:paraId="164798F2" w14:textId="77777777" w:rsidR="00DD544E" w:rsidRDefault="00DD544E" w:rsidP="007F588F">
      <w:pPr>
        <w:jc w:val="both"/>
      </w:pPr>
    </w:p>
    <w:p w14:paraId="00B62FBF" w14:textId="77777777" w:rsidR="00DD544E" w:rsidRDefault="00DD544E" w:rsidP="007F588F">
      <w:pPr>
        <w:jc w:val="both"/>
      </w:pPr>
    </w:p>
    <w:p w14:paraId="3D739171" w14:textId="77777777" w:rsidR="00DD544E" w:rsidRDefault="00DD544E" w:rsidP="007F588F">
      <w:pPr>
        <w:jc w:val="both"/>
      </w:pPr>
    </w:p>
    <w:p w14:paraId="1E024577" w14:textId="77777777" w:rsidR="00DD544E" w:rsidRDefault="00DD544E" w:rsidP="007F588F">
      <w:pPr>
        <w:jc w:val="both"/>
      </w:pPr>
    </w:p>
    <w:p w14:paraId="3633DA66" w14:textId="77777777" w:rsidR="00DD544E" w:rsidRDefault="00DD544E" w:rsidP="007F588F">
      <w:pPr>
        <w:jc w:val="both"/>
      </w:pPr>
    </w:p>
    <w:p w14:paraId="1E18C6FF" w14:textId="77777777" w:rsidR="00DD544E" w:rsidRDefault="00DD544E" w:rsidP="007F588F">
      <w:pPr>
        <w:jc w:val="both"/>
      </w:pPr>
    </w:p>
    <w:p w14:paraId="317D5BBE" w14:textId="77777777" w:rsidR="00DD544E" w:rsidRDefault="00DD544E" w:rsidP="007F588F">
      <w:pPr>
        <w:jc w:val="both"/>
      </w:pPr>
    </w:p>
    <w:p w14:paraId="65C4C64E" w14:textId="77777777" w:rsidR="00DD544E" w:rsidRDefault="00DD544E" w:rsidP="007F588F">
      <w:pPr>
        <w:jc w:val="both"/>
      </w:pPr>
    </w:p>
    <w:p w14:paraId="7F66652C" w14:textId="77777777" w:rsidR="00DD544E" w:rsidRDefault="00DD544E" w:rsidP="007F588F">
      <w:pPr>
        <w:jc w:val="both"/>
      </w:pPr>
    </w:p>
    <w:p w14:paraId="5290A104" w14:textId="77777777" w:rsidR="00DD544E" w:rsidRDefault="00DD544E" w:rsidP="007F588F">
      <w:pPr>
        <w:jc w:val="both"/>
      </w:pPr>
    </w:p>
    <w:p w14:paraId="264A6C80" w14:textId="5FC4D4E0" w:rsidR="00DD544E" w:rsidRDefault="00DD544E" w:rsidP="007F588F">
      <w:pPr>
        <w:jc w:val="both"/>
        <w:rPr>
          <w:b/>
          <w:bCs/>
        </w:rPr>
      </w:pPr>
      <w:r w:rsidRPr="00DD544E">
        <w:rPr>
          <w:b/>
          <w:bCs/>
        </w:rPr>
        <w:lastRenderedPageBreak/>
        <w:t>References</w:t>
      </w:r>
    </w:p>
    <w:p w14:paraId="1054DAF4" w14:textId="77777777" w:rsidR="00DD544E" w:rsidRDefault="00DD544E" w:rsidP="007F588F">
      <w:pPr>
        <w:jc w:val="both"/>
        <w:rPr>
          <w:b/>
          <w:bCs/>
        </w:rPr>
      </w:pPr>
    </w:p>
    <w:p w14:paraId="3558D70C" w14:textId="77777777" w:rsidR="00C87309" w:rsidRPr="00C87309" w:rsidRDefault="00C87309" w:rsidP="00C87309">
      <w:pPr>
        <w:jc w:val="both"/>
        <w:rPr>
          <w:lang w:val="en-US"/>
        </w:rPr>
      </w:pPr>
      <w:r w:rsidRPr="00C87309">
        <w:rPr>
          <w:lang w:val="en-US"/>
        </w:rPr>
        <w:t>SMMT (2024). Electric Vehicle Market Outlook. Society of Motor Manufacturers and Traders.</w:t>
      </w:r>
    </w:p>
    <w:p w14:paraId="45187FAD" w14:textId="77777777" w:rsidR="004823B5" w:rsidRPr="004823B5" w:rsidRDefault="004823B5" w:rsidP="004823B5">
      <w:pPr>
        <w:jc w:val="both"/>
        <w:rPr>
          <w:lang w:val="en-US"/>
        </w:rPr>
      </w:pPr>
      <w:proofErr w:type="spellStart"/>
      <w:r w:rsidRPr="004823B5">
        <w:rPr>
          <w:lang w:val="en-US"/>
        </w:rPr>
        <w:t>DfT</w:t>
      </w:r>
      <w:proofErr w:type="spellEnd"/>
      <w:r w:rsidRPr="004823B5">
        <w:rPr>
          <w:lang w:val="en-US"/>
        </w:rPr>
        <w:t xml:space="preserve"> (2024). Zero Emission Vehicle Mandate Policy Paper. Department for Transport.</w:t>
      </w:r>
    </w:p>
    <w:p w14:paraId="412457B5" w14:textId="7070710D" w:rsidR="00C87309" w:rsidRDefault="00084EC8" w:rsidP="000C1B5C">
      <w:pPr>
        <w:jc w:val="both"/>
        <w:rPr>
          <w:lang w:val="en-US"/>
        </w:rPr>
      </w:pPr>
      <w:r w:rsidRPr="00084EC8">
        <w:rPr>
          <w:lang w:val="en-US"/>
        </w:rPr>
        <w:t>House of Commons (2023). The Transition to Zero-Emission Vehicles.</w:t>
      </w:r>
    </w:p>
    <w:p w14:paraId="3552B7E1" w14:textId="39F683A0" w:rsidR="000C1B5C" w:rsidRPr="000C1B5C" w:rsidRDefault="000C1B5C" w:rsidP="000C1B5C">
      <w:pPr>
        <w:jc w:val="both"/>
        <w:rPr>
          <w:lang w:val="en-US"/>
        </w:rPr>
      </w:pPr>
      <w:r w:rsidRPr="000C1B5C">
        <w:rPr>
          <w:lang w:val="en-US"/>
        </w:rPr>
        <w:t>IEA (2024). Global EV Outlook. International Energy Agency.</w:t>
      </w:r>
    </w:p>
    <w:p w14:paraId="541A6F34" w14:textId="77777777" w:rsidR="005071FC" w:rsidRPr="005071FC" w:rsidRDefault="005071FC" w:rsidP="005071FC">
      <w:pPr>
        <w:jc w:val="both"/>
        <w:rPr>
          <w:lang w:val="en-US"/>
        </w:rPr>
      </w:pPr>
      <w:r w:rsidRPr="005071FC">
        <w:rPr>
          <w:lang w:val="en-US"/>
        </w:rPr>
        <w:t>National Infrastructure Commission (2023). Infrastructure Progress Review.</w:t>
      </w:r>
    </w:p>
    <w:p w14:paraId="3D43FD50" w14:textId="77777777" w:rsidR="009D45E3" w:rsidRPr="009D45E3" w:rsidRDefault="009D45E3" w:rsidP="009D45E3">
      <w:pPr>
        <w:jc w:val="both"/>
        <w:rPr>
          <w:lang w:val="en-US"/>
        </w:rPr>
      </w:pPr>
      <w:r w:rsidRPr="009D45E3">
        <w:rPr>
          <w:lang w:val="en-US"/>
        </w:rPr>
        <w:t>McKinsey &amp; Company (2024). The Future of Battery Manufacturing.</w:t>
      </w:r>
    </w:p>
    <w:p w14:paraId="63438212" w14:textId="77777777" w:rsidR="00991CAA" w:rsidRPr="00991CAA" w:rsidRDefault="00991CAA" w:rsidP="00991CAA">
      <w:pPr>
        <w:jc w:val="both"/>
        <w:rPr>
          <w:lang w:val="en-US"/>
        </w:rPr>
      </w:pPr>
      <w:r w:rsidRPr="00991CAA">
        <w:rPr>
          <w:lang w:val="en-US"/>
        </w:rPr>
        <w:t>Transport &amp; Environment (2023). EV Policy Assessment Report.</w:t>
      </w:r>
    </w:p>
    <w:p w14:paraId="49734037" w14:textId="77777777" w:rsidR="00C54823" w:rsidRPr="00C54823" w:rsidRDefault="00C54823" w:rsidP="00C54823">
      <w:pPr>
        <w:jc w:val="both"/>
        <w:rPr>
          <w:lang w:val="en-US"/>
        </w:rPr>
      </w:pPr>
      <w:r w:rsidRPr="00C54823">
        <w:rPr>
          <w:lang w:val="en-US"/>
        </w:rPr>
        <w:t>Zap-Map (2024). UK Charging Infrastructure Statistics.</w:t>
      </w:r>
    </w:p>
    <w:p w14:paraId="624E7F73" w14:textId="77777777" w:rsidR="00854FFA" w:rsidRPr="00854FFA" w:rsidRDefault="00854FFA" w:rsidP="00854FFA">
      <w:pPr>
        <w:jc w:val="both"/>
        <w:rPr>
          <w:lang w:val="en-US"/>
        </w:rPr>
      </w:pPr>
      <w:r w:rsidRPr="00854FFA">
        <w:rPr>
          <w:lang w:val="en-US"/>
        </w:rPr>
        <w:t>Journal of Cleaner Production (2023). Lifecycle Impacts of Electric Vehicles.</w:t>
      </w:r>
    </w:p>
    <w:p w14:paraId="0BED0B7A" w14:textId="77777777" w:rsidR="00F7385E" w:rsidRPr="00F7385E" w:rsidRDefault="00F7385E" w:rsidP="00F7385E">
      <w:pPr>
        <w:jc w:val="both"/>
        <w:rPr>
          <w:lang w:val="en-US"/>
        </w:rPr>
      </w:pPr>
      <w:r w:rsidRPr="00F7385E">
        <w:rPr>
          <w:lang w:val="en-US"/>
        </w:rPr>
        <w:t>House of Commons Library (2024). Autonomous Vehicles Legal Framework.</w:t>
      </w:r>
    </w:p>
    <w:p w14:paraId="7D8091EE" w14:textId="77777777" w:rsidR="000C1B5C" w:rsidRPr="005071FC" w:rsidRDefault="000C1B5C" w:rsidP="007F588F">
      <w:pPr>
        <w:jc w:val="both"/>
      </w:pPr>
    </w:p>
    <w:sectPr w:rsidR="000C1B5C" w:rsidRPr="005071FC" w:rsidSect="0058285A">
      <w:footerReference w:type="default" r:id="rId12"/>
      <w:foot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EFF98" w14:textId="77777777" w:rsidR="008A4461" w:rsidRDefault="008A4461" w:rsidP="0058285A">
      <w:pPr>
        <w:spacing w:after="0" w:line="240" w:lineRule="auto"/>
      </w:pPr>
      <w:r>
        <w:separator/>
      </w:r>
    </w:p>
  </w:endnote>
  <w:endnote w:type="continuationSeparator" w:id="0">
    <w:p w14:paraId="58031811" w14:textId="77777777" w:rsidR="008A4461" w:rsidRDefault="008A4461" w:rsidP="00582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E7678" w14:textId="48401ABF" w:rsidR="00146325" w:rsidRDefault="00146325">
    <w:pPr>
      <w:pStyle w:val="Footer"/>
    </w:pPr>
  </w:p>
  <w:p w14:paraId="3F0B92D3" w14:textId="151FE4B0" w:rsidR="0058285A" w:rsidRDefault="005828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1F3D7" w14:textId="4D4E8EAD" w:rsidR="00146325" w:rsidRDefault="00146325">
    <w:pPr>
      <w:pStyle w:val="Footer"/>
    </w:pPr>
    <w:r>
      <w:rPr>
        <w:noProof/>
        <w:color w:val="156082" w:themeColor="accent1"/>
      </w:rPr>
      <mc:AlternateContent>
        <mc:Choice Requires="wps">
          <w:drawing>
            <wp:anchor distT="0" distB="0" distL="114300" distR="114300" simplePos="0" relativeHeight="251661312" behindDoc="0" locked="0" layoutInCell="1" allowOverlap="1" wp14:anchorId="59C44F93" wp14:editId="5B2D943D">
              <wp:simplePos x="0" y="0"/>
              <wp:positionH relativeFrom="page">
                <wp:align>center</wp:align>
              </wp:positionH>
              <wp:positionV relativeFrom="page">
                <wp:align>center</wp:align>
              </wp:positionV>
              <wp:extent cx="7364730" cy="9528810"/>
              <wp:effectExtent l="0" t="0" r="26670" b="26670"/>
              <wp:wrapNone/>
              <wp:docPr id="2111628265"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CFC770" id="Rectangle 24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60AE7" w14:textId="4DC552C4" w:rsidR="0058285A" w:rsidRDefault="00EA6A06">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6051301" wp14:editId="2BB6D32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F78432"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689CE" w14:textId="77777777" w:rsidR="008A4461" w:rsidRDefault="008A4461" w:rsidP="0058285A">
      <w:pPr>
        <w:spacing w:after="0" w:line="240" w:lineRule="auto"/>
      </w:pPr>
      <w:r>
        <w:separator/>
      </w:r>
    </w:p>
  </w:footnote>
  <w:footnote w:type="continuationSeparator" w:id="0">
    <w:p w14:paraId="1F3CF5B1" w14:textId="77777777" w:rsidR="008A4461" w:rsidRDefault="008A4461" w:rsidP="005828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903"/>
    <w:rsid w:val="00004178"/>
    <w:rsid w:val="00064903"/>
    <w:rsid w:val="00084EC8"/>
    <w:rsid w:val="00087265"/>
    <w:rsid w:val="000B5C9E"/>
    <w:rsid w:val="000C1B5C"/>
    <w:rsid w:val="000C38CF"/>
    <w:rsid w:val="00146325"/>
    <w:rsid w:val="001655B8"/>
    <w:rsid w:val="00200035"/>
    <w:rsid w:val="00226020"/>
    <w:rsid w:val="0028312A"/>
    <w:rsid w:val="002913B2"/>
    <w:rsid w:val="002E608C"/>
    <w:rsid w:val="00300BE9"/>
    <w:rsid w:val="00335EFC"/>
    <w:rsid w:val="00336468"/>
    <w:rsid w:val="00346C52"/>
    <w:rsid w:val="0037063A"/>
    <w:rsid w:val="0037491A"/>
    <w:rsid w:val="0041372C"/>
    <w:rsid w:val="00420B32"/>
    <w:rsid w:val="00421CB5"/>
    <w:rsid w:val="004340C9"/>
    <w:rsid w:val="00434FB1"/>
    <w:rsid w:val="0043549B"/>
    <w:rsid w:val="004430E4"/>
    <w:rsid w:val="004823B5"/>
    <w:rsid w:val="00496E39"/>
    <w:rsid w:val="004B5AB3"/>
    <w:rsid w:val="004D252E"/>
    <w:rsid w:val="004E7D28"/>
    <w:rsid w:val="005071FC"/>
    <w:rsid w:val="00516272"/>
    <w:rsid w:val="005435D0"/>
    <w:rsid w:val="00565B7F"/>
    <w:rsid w:val="0058285A"/>
    <w:rsid w:val="005A1983"/>
    <w:rsid w:val="00601A88"/>
    <w:rsid w:val="00691C67"/>
    <w:rsid w:val="006B60C0"/>
    <w:rsid w:val="006B6DA7"/>
    <w:rsid w:val="006E031D"/>
    <w:rsid w:val="0070587B"/>
    <w:rsid w:val="00732C53"/>
    <w:rsid w:val="00737FF4"/>
    <w:rsid w:val="00766B30"/>
    <w:rsid w:val="00782AA8"/>
    <w:rsid w:val="0078374F"/>
    <w:rsid w:val="007861CE"/>
    <w:rsid w:val="007A06DD"/>
    <w:rsid w:val="007A0903"/>
    <w:rsid w:val="007D7A70"/>
    <w:rsid w:val="007F588F"/>
    <w:rsid w:val="00842D0C"/>
    <w:rsid w:val="00854FFA"/>
    <w:rsid w:val="008802C1"/>
    <w:rsid w:val="00896DCB"/>
    <w:rsid w:val="008A4461"/>
    <w:rsid w:val="00926804"/>
    <w:rsid w:val="0093738E"/>
    <w:rsid w:val="009405C8"/>
    <w:rsid w:val="00991CAA"/>
    <w:rsid w:val="009C08ED"/>
    <w:rsid w:val="009D45E3"/>
    <w:rsid w:val="00A41043"/>
    <w:rsid w:val="00A71714"/>
    <w:rsid w:val="00A80826"/>
    <w:rsid w:val="00AE45B0"/>
    <w:rsid w:val="00BA4B5B"/>
    <w:rsid w:val="00BC2756"/>
    <w:rsid w:val="00BF0B63"/>
    <w:rsid w:val="00C54823"/>
    <w:rsid w:val="00C722CE"/>
    <w:rsid w:val="00C866DF"/>
    <w:rsid w:val="00C86AB8"/>
    <w:rsid w:val="00C87309"/>
    <w:rsid w:val="00CA1A7E"/>
    <w:rsid w:val="00CC3AB4"/>
    <w:rsid w:val="00CE4C23"/>
    <w:rsid w:val="00CF050E"/>
    <w:rsid w:val="00D001C1"/>
    <w:rsid w:val="00D06765"/>
    <w:rsid w:val="00D22587"/>
    <w:rsid w:val="00D60B59"/>
    <w:rsid w:val="00D77106"/>
    <w:rsid w:val="00DD544E"/>
    <w:rsid w:val="00DE60D9"/>
    <w:rsid w:val="00E3386B"/>
    <w:rsid w:val="00E370DA"/>
    <w:rsid w:val="00E4608B"/>
    <w:rsid w:val="00E72D39"/>
    <w:rsid w:val="00E9116D"/>
    <w:rsid w:val="00EA1ADF"/>
    <w:rsid w:val="00EA6A06"/>
    <w:rsid w:val="00EA7D01"/>
    <w:rsid w:val="00EB3534"/>
    <w:rsid w:val="00ED386C"/>
    <w:rsid w:val="00EE379B"/>
    <w:rsid w:val="00EF69BA"/>
    <w:rsid w:val="00F5522C"/>
    <w:rsid w:val="00F7385E"/>
    <w:rsid w:val="00FB091D"/>
    <w:rsid w:val="00FF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CBB90A"/>
  <w15:chartTrackingRefBased/>
  <w15:docId w15:val="{283B6D8E-0E38-498E-8760-C38C3DA11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0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0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0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0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0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0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0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0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0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0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903"/>
    <w:rPr>
      <w:rFonts w:eastAsiaTheme="majorEastAsia" w:cstheme="majorBidi"/>
      <w:color w:val="272727" w:themeColor="text1" w:themeTint="D8"/>
    </w:rPr>
  </w:style>
  <w:style w:type="paragraph" w:styleId="Title">
    <w:name w:val="Title"/>
    <w:basedOn w:val="Normal"/>
    <w:next w:val="Normal"/>
    <w:link w:val="TitleChar"/>
    <w:uiPriority w:val="10"/>
    <w:qFormat/>
    <w:rsid w:val="007A0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903"/>
    <w:pPr>
      <w:spacing w:before="160"/>
      <w:jc w:val="center"/>
    </w:pPr>
    <w:rPr>
      <w:i/>
      <w:iCs/>
      <w:color w:val="404040" w:themeColor="text1" w:themeTint="BF"/>
    </w:rPr>
  </w:style>
  <w:style w:type="character" w:customStyle="1" w:styleId="QuoteChar">
    <w:name w:val="Quote Char"/>
    <w:basedOn w:val="DefaultParagraphFont"/>
    <w:link w:val="Quote"/>
    <w:uiPriority w:val="29"/>
    <w:rsid w:val="007A0903"/>
    <w:rPr>
      <w:i/>
      <w:iCs/>
      <w:color w:val="404040" w:themeColor="text1" w:themeTint="BF"/>
    </w:rPr>
  </w:style>
  <w:style w:type="paragraph" w:styleId="ListParagraph">
    <w:name w:val="List Paragraph"/>
    <w:basedOn w:val="Normal"/>
    <w:uiPriority w:val="34"/>
    <w:qFormat/>
    <w:rsid w:val="007A0903"/>
    <w:pPr>
      <w:ind w:left="720"/>
      <w:contextualSpacing/>
    </w:pPr>
  </w:style>
  <w:style w:type="character" w:styleId="IntenseEmphasis">
    <w:name w:val="Intense Emphasis"/>
    <w:basedOn w:val="DefaultParagraphFont"/>
    <w:uiPriority w:val="21"/>
    <w:qFormat/>
    <w:rsid w:val="007A0903"/>
    <w:rPr>
      <w:i/>
      <w:iCs/>
      <w:color w:val="0F4761" w:themeColor="accent1" w:themeShade="BF"/>
    </w:rPr>
  </w:style>
  <w:style w:type="paragraph" w:styleId="IntenseQuote">
    <w:name w:val="Intense Quote"/>
    <w:basedOn w:val="Normal"/>
    <w:next w:val="Normal"/>
    <w:link w:val="IntenseQuoteChar"/>
    <w:uiPriority w:val="30"/>
    <w:qFormat/>
    <w:rsid w:val="007A0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0903"/>
    <w:rPr>
      <w:i/>
      <w:iCs/>
      <w:color w:val="0F4761" w:themeColor="accent1" w:themeShade="BF"/>
    </w:rPr>
  </w:style>
  <w:style w:type="character" w:styleId="IntenseReference">
    <w:name w:val="Intense Reference"/>
    <w:basedOn w:val="DefaultParagraphFont"/>
    <w:uiPriority w:val="32"/>
    <w:qFormat/>
    <w:rsid w:val="007A0903"/>
    <w:rPr>
      <w:b/>
      <w:bCs/>
      <w:smallCaps/>
      <w:color w:val="0F4761" w:themeColor="accent1" w:themeShade="BF"/>
      <w:spacing w:val="5"/>
    </w:rPr>
  </w:style>
  <w:style w:type="paragraph" w:styleId="NoSpacing">
    <w:name w:val="No Spacing"/>
    <w:link w:val="NoSpacingChar"/>
    <w:uiPriority w:val="1"/>
    <w:qFormat/>
    <w:rsid w:val="007A09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A0903"/>
    <w:rPr>
      <w:rFonts w:eastAsiaTheme="minorEastAsia"/>
      <w:kern w:val="0"/>
      <w:lang w:val="en-US"/>
      <w14:ligatures w14:val="none"/>
    </w:rPr>
  </w:style>
  <w:style w:type="table" w:styleId="TableGrid">
    <w:name w:val="Table Grid"/>
    <w:basedOn w:val="TableNormal"/>
    <w:uiPriority w:val="39"/>
    <w:rsid w:val="00A8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28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85A"/>
  </w:style>
  <w:style w:type="paragraph" w:styleId="Footer">
    <w:name w:val="footer"/>
    <w:basedOn w:val="Normal"/>
    <w:link w:val="FooterChar"/>
    <w:uiPriority w:val="99"/>
    <w:unhideWhenUsed/>
    <w:rsid w:val="005828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8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Understanding the Business Environment of the Uks Electric Vehicle Industry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60EBE2-1D44-46F8-BF7B-4FD13CCA2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8</Pages>
  <Words>1197</Words>
  <Characters>8511</Characters>
  <Application>Microsoft Office Word</Application>
  <DocSecurity>0</DocSecurity>
  <Lines>447</Lines>
  <Paragraphs>422</Paragraphs>
  <ScaleCrop>false</ScaleCrop>
  <HeadingPairs>
    <vt:vector size="2" baseType="variant">
      <vt:variant>
        <vt:lpstr>Title</vt:lpstr>
      </vt:variant>
      <vt:variant>
        <vt:i4>1</vt:i4>
      </vt:variant>
    </vt:vector>
  </HeadingPairs>
  <TitlesOfParts>
    <vt:vector size="1" baseType="lpstr">
      <vt:lpstr>problem solving and innovation</vt:lpstr>
    </vt:vector>
  </TitlesOfParts>
  <Company/>
  <LinksUpToDate>false</LinksUpToDate>
  <CharactersWithSpaces>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dc:title>
  <dc:subject>BMSW4014</dc:subject>
  <dc:creator>Sophie Jenkins</dc:creator>
  <cp:keywords/>
  <dc:description/>
  <cp:lastModifiedBy>Akwasi Asamoah</cp:lastModifiedBy>
  <cp:revision>97</cp:revision>
  <dcterms:created xsi:type="dcterms:W3CDTF">2025-12-10T18:23:00Z</dcterms:created>
  <dcterms:modified xsi:type="dcterms:W3CDTF">2025-12-10T21:09:00Z</dcterms:modified>
  <cp:category>2440056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fc329645-e24f-4047-9000-e6d79d7ce9e3</vt:lpwstr>
  </property>
</Properties>
</file>