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633F9" w14:textId="77777777" w:rsidR="00691180" w:rsidRDefault="00430E4E">
      <w:pPr>
        <w:pStyle w:val="Title"/>
      </w:pPr>
      <w:r>
        <w:t>MA Independent Project Proposal Form</w:t>
      </w:r>
    </w:p>
    <w:p w14:paraId="4494AA1A" w14:textId="77777777" w:rsidR="00691180" w:rsidRDefault="00430E4E">
      <w:pPr>
        <w:pStyle w:val="Heading1"/>
      </w:pPr>
      <w:r>
        <w:t>1. Working Title</w:t>
      </w:r>
    </w:p>
    <w:p w14:paraId="164E8EB3" w14:textId="77777777" w:rsidR="00691180" w:rsidRDefault="00430E4E">
      <w:r>
        <w:t>Teenagers’ Attitudes Towards Proposed UK Social Media Restrictions for Under-16s: A Mixed-Methods Exploration</w:t>
      </w:r>
    </w:p>
    <w:p w14:paraId="5EC5280A" w14:textId="77777777" w:rsidR="00691180" w:rsidRDefault="00430E4E">
      <w:pPr>
        <w:pStyle w:val="Heading1"/>
      </w:pPr>
      <w:r>
        <w:t>2. Project Type and Format</w:t>
      </w:r>
    </w:p>
    <w:p w14:paraId="4C9DFE9E" w14:textId="77777777" w:rsidR="00691180" w:rsidRDefault="00430E4E">
      <w:r>
        <w:t>This project will adopt an empirical mixed-methods research design, combining quantitative survey research with qualitative focus groups. A mixed-methods format is appropriate because the topic requires both breadth and depth of understanding. Quantitative survey data will provide descriptive statistical insight into general patterns of attitudes among UK teenagers regarding proposed social media restrictions for under-16s, while focus groups will allow for deeper exploration of how young people construct m</w:t>
      </w:r>
      <w:r>
        <w:t>eaning around issues of online safety, autonomy, privacy, and state regulation. Combining these approaches allows triangulation of findings and provides a richer understanding of how policy change is perceived by those directly affected. This format aligns with contemporary social research approaches that recognise the value of integrating numerical trends with lived experiences and interpretative insight.</w:t>
      </w:r>
    </w:p>
    <w:p w14:paraId="643DDE52" w14:textId="77777777" w:rsidR="00691180" w:rsidRDefault="00430E4E">
      <w:pPr>
        <w:pStyle w:val="Heading1"/>
      </w:pPr>
      <w:r>
        <w:t>3. Rationale and Background</w:t>
      </w:r>
    </w:p>
    <w:p w14:paraId="3486D159" w14:textId="77777777" w:rsidR="00691180" w:rsidRDefault="00430E4E">
      <w:r>
        <w:t>The UK government has increasingly focused on regulating children and young people’s digital activity, particularly through legislation such as the Online Safety Act and debates surrounding stricter social media restrictions for users under 16. Proposals to limit or ban access to social media for younger users reflect growing public concern regarding cyberbullying, online exploitation, addictive platform design, and negative impacts on adolescent mental health. However, these policy discussions are often do</w:t>
      </w:r>
      <w:r>
        <w:t>minated by adult perspectives, with limited attention given to teenagers’ own views.</w:t>
      </w:r>
      <w:r>
        <w:br/>
      </w:r>
      <w:r>
        <w:br/>
        <w:t>Adolescence is a developmental period strongly associated with identity formation, peer connection, and increasing autonomy, all of which are shaped by digital communication. Social media plays a central role in contemporary adolescent social life, functioning not only as entertainment but also as a space for self-expression, social belonging, and information exchange. Restrictive policies may therefore be interpreted by t</w:t>
      </w:r>
      <w:r>
        <w:t>eenagers as protective, paternalistic, or exclusionary depending on their experiences.</w:t>
      </w:r>
      <w:r>
        <w:br/>
      </w:r>
      <w:r>
        <w:br/>
        <w:t xml:space="preserve">Existing research often focuses on harms associated with excessive social media use, including anxiety, body image concerns, and reduced wellbeing. However, emerging literature challenges deterministic assumptions, emphasising contextual and individual differences in digital engagement. There is limited UK-based research examining how </w:t>
      </w:r>
      <w:r>
        <w:lastRenderedPageBreak/>
        <w:t>teenagers themselves interpret potential restrictions.</w:t>
      </w:r>
      <w:r>
        <w:br/>
      </w:r>
      <w:r>
        <w:br/>
        <w:t>This study addresses this gap b</w:t>
      </w:r>
      <w:r>
        <w:t>y exploring teenagers’ attitudes toward proposed restrictions. Understanding their perspectives is essential for evidence-based policymaking that balances protection with participation rights, as outlined in the UN Convention on the Rights of the Child.</w:t>
      </w:r>
    </w:p>
    <w:p w14:paraId="331A09D7" w14:textId="77777777" w:rsidR="00691180" w:rsidRDefault="00430E4E">
      <w:pPr>
        <w:pStyle w:val="Heading1"/>
      </w:pPr>
      <w:r>
        <w:t>4. Aims and Objectives</w:t>
      </w:r>
    </w:p>
    <w:p w14:paraId="08F85407" w14:textId="77777777" w:rsidR="00691180" w:rsidRDefault="00430E4E">
      <w:r>
        <w:t>Aim:</w:t>
      </w:r>
      <w:r>
        <w:br/>
        <w:t>To explore UK teenagers’ attitudes toward proposed social media restrictions for under-16s and examine how they interpret the balance between online safety and digital autonomy.</w:t>
      </w:r>
      <w:r>
        <w:br/>
      </w:r>
      <w:r>
        <w:br/>
        <w:t>Objectives:</w:t>
      </w:r>
      <w:r>
        <w:br/>
        <w:t>1. To identify general patterns of support, concern, or resistance toward proposed restrictions through survey-based descriptive statistics.</w:t>
      </w:r>
      <w:r>
        <w:br/>
        <w:t>2. To explore how teenagers explain and justify their attitudes through focus group discussion.</w:t>
      </w:r>
      <w:r>
        <w:br/>
        <w:t>3. To examine key themes relating to autonomy, safety, fairness, trust in regulatio</w:t>
      </w:r>
      <w:r>
        <w:t>n, and social belonging.</w:t>
      </w:r>
      <w:r>
        <w:br/>
        <w:t>4. To contribute evidence that may inform youth-centred digital policy discussions.</w:t>
      </w:r>
      <w:r>
        <w:br/>
      </w:r>
      <w:r>
        <w:br/>
        <w:t>Research Questions:</w:t>
      </w:r>
      <w:r>
        <w:br/>
        <w:t>• What are teenagers’ overall attitudes toward proposed restrictions on social media use for under-16s?</w:t>
      </w:r>
      <w:r>
        <w:br/>
        <w:t>• What factors shape their support for or resistance to such policy changes?</w:t>
      </w:r>
      <w:r>
        <w:br/>
        <w:t>• How do teenagers conceptualise the relationship between digital safety and autonomy?</w:t>
      </w:r>
    </w:p>
    <w:p w14:paraId="39BC38A1" w14:textId="77777777" w:rsidR="00691180" w:rsidRDefault="00430E4E">
      <w:pPr>
        <w:pStyle w:val="Heading1"/>
      </w:pPr>
      <w:r>
        <w:t>5. Literature Overview</w:t>
      </w:r>
    </w:p>
    <w:p w14:paraId="04D55926" w14:textId="77777777" w:rsidR="00691180" w:rsidRDefault="00430E4E">
      <w:r>
        <w:t>Research examining adolescent social media use has developed across psychology, sociology, and media studies. Early literature often focused on risk-based perspectives, linking social media use to anxiety, depression, cyberbullying, and addictive behaviours (Twenge et al., 2018). These studies informed policy narratives advocating greater regulation and parental control. However, critics argue that many findings rely on correlational evidence and overstate causal relationships (Orben &amp; Przybylski, 2019).</w:t>
      </w:r>
      <w:r>
        <w:br/>
      </w:r>
      <w:r>
        <w:br/>
        <w:t>Recent scholarship adopts a more nuanced perspective, suggesting outcomes depend on context, individual vulnerability, and patterns of engagement rather than simple screen-time measures. Valkenburg et al. (2022) argue that adolescents experience social media differently depending on social support, self-esteem, and platform use.</w:t>
      </w:r>
      <w:r>
        <w:br/>
      </w:r>
      <w:r>
        <w:br/>
        <w:t xml:space="preserve">Theoretical perspectives such as Uses and Gratifications Theory suggest adolescents </w:t>
      </w:r>
      <w:r>
        <w:lastRenderedPageBreak/>
        <w:t>actively use media to satisfy social, emotional, and identity-related needs. This challenges a</w:t>
      </w:r>
      <w:r>
        <w:t>ssumptions that young people are passive recipients of digital harm. Developmental theories also highlight adolescence as a stage requiring increasing autonomy and peer affiliation, suggesting restrictive policies may have unintended social consequences.</w:t>
      </w:r>
      <w:r>
        <w:br/>
      </w:r>
      <w:r>
        <w:br/>
        <w:t>Policy-focused literature emphasises safeguarding responsibilities, particularly following concerns around harmful algorithms and online exploitation. UK regulatory developments reflect a precautionary approach. However, scholars argue youth voice is often</w:t>
      </w:r>
      <w:r>
        <w:t xml:space="preserve"> absent from these discussions, despite children’s participatory rights under international frameworks.</w:t>
      </w:r>
      <w:r>
        <w:br/>
      </w:r>
      <w:r>
        <w:br/>
        <w:t>Qualitative studies show teenagers often demonstrate sophisticated awareness of online risks and strategies for self-regulation, contradicting deficit-based portrayals. Yet little research specifically examines attitudes toward age-based social media bans in the UK context.</w:t>
      </w:r>
      <w:r>
        <w:br/>
      </w:r>
      <w:r>
        <w:br/>
        <w:t xml:space="preserve">This project contributes by integrating quantitative and qualitative methods to examine teenagers’ perspectives directly, offering </w:t>
      </w:r>
      <w:r>
        <w:t>insight into how policy proposals are interpreted by those subject to them.</w:t>
      </w:r>
    </w:p>
    <w:p w14:paraId="07C9C66C" w14:textId="77777777" w:rsidR="00691180" w:rsidRDefault="00430E4E">
      <w:pPr>
        <w:pStyle w:val="Heading1"/>
      </w:pPr>
      <w:r>
        <w:t>6. Methodology / Project Approach</w:t>
      </w:r>
    </w:p>
    <w:p w14:paraId="62CDD8E0" w14:textId="75DE22E8" w:rsidR="00691180" w:rsidRDefault="00430E4E">
      <w:r>
        <w:t>This study will use a convergent mixed-methods design. Quantitative and qualitative data will be collected concurrently and integrated during interpretation.</w:t>
      </w:r>
      <w:r>
        <w:br/>
      </w:r>
      <w:r>
        <w:br/>
        <w:t>Participants:</w:t>
      </w:r>
      <w:r>
        <w:br/>
        <w:t>Approximately 50</w:t>
      </w:r>
      <w:r>
        <w:t xml:space="preserve"> UK teenagers aged 13–17 will complete an online survey. A smaller purposive subsample of 6-10</w:t>
      </w:r>
      <w:r>
        <w:t xml:space="preserve"> participants will join 2–3 focus groups.</w:t>
      </w:r>
      <w:r>
        <w:br/>
      </w:r>
      <w:r>
        <w:br/>
        <w:t>Survey:</w:t>
      </w:r>
      <w:r>
        <w:br/>
        <w:t>The survey will use Likert-scale and multiple-choice questions measuring awareness of policy proposals, levels of support/opposition, perceived risks and benefits, and demographic variables. Data will be analysed using descriptive statistics (frequencies, percentages, means, and cross-tabulation where appropriate) to identify trends.</w:t>
      </w:r>
      <w:r>
        <w:br/>
      </w:r>
      <w:r>
        <w:br/>
        <w:t>Focus Groups:</w:t>
      </w:r>
      <w:r>
        <w:br/>
        <w:t>Semi-structured focus groups will explore participants’ reasoning, concerns, and interpretations in greater de</w:t>
      </w:r>
      <w:r>
        <w:t>pth. Group discussion is appropriate because social media use is inherently social and collective meanings may emerge through interaction.</w:t>
      </w:r>
      <w:r>
        <w:br/>
      </w:r>
      <w:r>
        <w:br/>
        <w:t>Analysis:</w:t>
      </w:r>
      <w:r>
        <w:br/>
        <w:t xml:space="preserve">Focus group transcripts will be analysed using Braun and Clarke’s (2006) six-phase thematic analysis: familiarisation, coding, generating themes, reviewing themes, defining themes, and writing up. An inductive approach will allow themes to emerge from </w:t>
      </w:r>
      <w:r>
        <w:lastRenderedPageBreak/>
        <w:t>participant accounts rather than imposing predefined assumptions.</w:t>
      </w:r>
      <w:r>
        <w:br/>
      </w:r>
      <w:r>
        <w:br/>
        <w:t>Integration:</w:t>
      </w:r>
      <w:r>
        <w:br/>
        <w:t>Quantitative trends and qualit</w:t>
      </w:r>
      <w:r>
        <w:t>ative themes will be compared to identify convergence, divergence, and explanatory depth. This strengthens validity through methodological triangulation.</w:t>
      </w:r>
      <w:r>
        <w:br/>
      </w:r>
      <w:r>
        <w:br/>
        <w:t>Recruitment will occur through schools, youth organisations, and online youth networks where access is permitted.</w:t>
      </w:r>
    </w:p>
    <w:p w14:paraId="0E05F9B2" w14:textId="77777777" w:rsidR="00691180" w:rsidRDefault="00430E4E">
      <w:pPr>
        <w:pStyle w:val="Heading1"/>
      </w:pPr>
      <w:r>
        <w:t>7. Ethical Considerations</w:t>
      </w:r>
    </w:p>
    <w:p w14:paraId="1648DFDB" w14:textId="77777777" w:rsidR="00691180" w:rsidRDefault="00430E4E">
      <w:r>
        <w:t xml:space="preserve">Ethical approval will be sought through the university ethics process due to involvement of minors. Informed parental consent and participant assent will be required. Participation will be voluntary, with withdrawal permitted at any time. Data will be anonymised and stored securely in line with GDPR requirements. Focus group confidentiality limits will be clearly explained. Given discussion may involve online harm experiences, signposting to appropriate support services will be provided. Care will be taken </w:t>
      </w:r>
      <w:r>
        <w:t>to minimise coercion, ensure age-appropriate communication, and protect participant wellbeing throughout data collection and analysis.</w:t>
      </w:r>
    </w:p>
    <w:p w14:paraId="04C0A543" w14:textId="77777777" w:rsidR="00691180" w:rsidRDefault="00430E4E">
      <w:pPr>
        <w:pStyle w:val="Heading1"/>
      </w:pPr>
      <w:r>
        <w:t>8. References</w:t>
      </w:r>
    </w:p>
    <w:p w14:paraId="6D90A080" w14:textId="77777777" w:rsidR="00691180" w:rsidRDefault="00430E4E">
      <w:r>
        <w:t>Braun, V., &amp; Clarke, V. (2006). Using thematic analysis in psychology. Qualitative Research in Psychology.</w:t>
      </w:r>
      <w:r>
        <w:br/>
        <w:t>Orben, A., &amp; Przybylski, A. K. (2019). The association between adolescent well-being and digital technology use. Nature Human Behaviour.</w:t>
      </w:r>
      <w:r>
        <w:br/>
        <w:t>Twenge, J. M., et al. (2018). Increases in depressive symptoms among adolescents.</w:t>
      </w:r>
      <w:r>
        <w:br/>
        <w:t>Valkenburg, P. M., et al. (2022). Social media use and adolescent well-being.</w:t>
      </w:r>
    </w:p>
    <w:sectPr w:rsidR="0069118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56187644">
    <w:abstractNumId w:val="8"/>
  </w:num>
  <w:num w:numId="2" w16cid:durableId="1880167599">
    <w:abstractNumId w:val="6"/>
  </w:num>
  <w:num w:numId="3" w16cid:durableId="2106533527">
    <w:abstractNumId w:val="5"/>
  </w:num>
  <w:num w:numId="4" w16cid:durableId="1163158903">
    <w:abstractNumId w:val="4"/>
  </w:num>
  <w:num w:numId="5" w16cid:durableId="426194869">
    <w:abstractNumId w:val="7"/>
  </w:num>
  <w:num w:numId="6" w16cid:durableId="1290748228">
    <w:abstractNumId w:val="3"/>
  </w:num>
  <w:num w:numId="7" w16cid:durableId="5643263">
    <w:abstractNumId w:val="2"/>
  </w:num>
  <w:num w:numId="8" w16cid:durableId="1649356450">
    <w:abstractNumId w:val="1"/>
  </w:num>
  <w:num w:numId="9" w16cid:durableId="444496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30E4E"/>
    <w:rsid w:val="00691180"/>
    <w:rsid w:val="00AA1D8D"/>
    <w:rsid w:val="00B47730"/>
    <w:rsid w:val="00BC0BB2"/>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AED8BE"/>
  <w14:defaultImageDpi w14:val="300"/>
  <w15:docId w15:val="{16C072F1-0B51-4789-9A07-BD25E87CB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1300</Words>
  <Characters>7413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Charlotte Greenway</cp:lastModifiedBy>
  <cp:revision>2</cp:revision>
  <dcterms:created xsi:type="dcterms:W3CDTF">2026-05-08T23:05:00Z</dcterms:created>
  <dcterms:modified xsi:type="dcterms:W3CDTF">2026-05-08T23:05:00Z</dcterms:modified>
  <cp:category/>
</cp:coreProperties>
</file>