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CA281" w14:textId="063A75A1" w:rsidR="004B33A7" w:rsidRPr="004B33A7" w:rsidRDefault="004B33A7" w:rsidP="004B33A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61CDE6CA" wp14:editId="59EEC665">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462E3946" w14:textId="77777777" w:rsidR="004B33A7" w:rsidRDefault="004B33A7" w:rsidP="004B33A7">
      <w:pPr>
        <w:rPr>
          <w:rFonts w:asciiTheme="minorBidi" w:hAnsiTheme="minorBidi"/>
          <w:b/>
          <w:bCs/>
          <w:sz w:val="36"/>
          <w:szCs w:val="36"/>
        </w:rPr>
      </w:pPr>
    </w:p>
    <w:p w14:paraId="2A2C2CA1" w14:textId="77777777" w:rsidR="004B33A7" w:rsidRPr="004B33A7" w:rsidRDefault="004B33A7" w:rsidP="004B33A7">
      <w:pPr>
        <w:rPr>
          <w:rFonts w:asciiTheme="minorBidi" w:hAnsiTheme="minorBidi"/>
          <w:b/>
          <w:bCs/>
          <w:sz w:val="48"/>
          <w:szCs w:val="48"/>
        </w:rPr>
      </w:pPr>
    </w:p>
    <w:p w14:paraId="0F83051C" w14:textId="36B1139E" w:rsidR="004B33A7" w:rsidRPr="00703E2E" w:rsidRDefault="004B33A7" w:rsidP="004B33A7">
      <w:pPr>
        <w:rPr>
          <w:rFonts w:asciiTheme="minorBidi" w:hAnsiTheme="minorBidi"/>
          <w:color w:val="FF0000"/>
          <w:sz w:val="48"/>
          <w:szCs w:val="48"/>
        </w:rPr>
      </w:pPr>
      <w:r w:rsidRPr="00703E2E">
        <w:rPr>
          <w:rFonts w:asciiTheme="minorBidi" w:hAnsiTheme="minorBidi"/>
          <w:b/>
          <w:bCs/>
          <w:sz w:val="48"/>
          <w:szCs w:val="48"/>
        </w:rPr>
        <w:t xml:space="preserve">MODULE CODE: </w:t>
      </w:r>
      <w:r w:rsidR="00BD079C" w:rsidRPr="00703E2E">
        <w:rPr>
          <w:rFonts w:asciiTheme="minorBidi" w:hAnsiTheme="minorBidi"/>
          <w:b/>
          <w:bCs/>
          <w:color w:val="FF0000"/>
          <w:sz w:val="48"/>
          <w:szCs w:val="48"/>
        </w:rPr>
        <w:t>ECPT600</w:t>
      </w:r>
      <w:r w:rsidR="008E531B">
        <w:rPr>
          <w:rFonts w:asciiTheme="minorBidi" w:hAnsiTheme="minorBidi"/>
          <w:b/>
          <w:bCs/>
          <w:color w:val="FF0000"/>
          <w:sz w:val="48"/>
          <w:szCs w:val="48"/>
        </w:rPr>
        <w:t>5</w:t>
      </w:r>
      <w:r w:rsidR="00BD079C" w:rsidRPr="00703E2E">
        <w:rPr>
          <w:rFonts w:asciiTheme="minorBidi" w:hAnsiTheme="minorBidi"/>
          <w:b/>
          <w:bCs/>
          <w:color w:val="FF0000"/>
          <w:sz w:val="48"/>
          <w:szCs w:val="48"/>
        </w:rPr>
        <w:t xml:space="preserve"> </w:t>
      </w:r>
    </w:p>
    <w:p w14:paraId="3067B945" w14:textId="77777777" w:rsidR="004B33A7" w:rsidRPr="00703E2E" w:rsidRDefault="004B33A7" w:rsidP="004B33A7">
      <w:pPr>
        <w:rPr>
          <w:rFonts w:asciiTheme="minorBidi" w:hAnsiTheme="minorBidi"/>
          <w:sz w:val="48"/>
          <w:szCs w:val="48"/>
        </w:rPr>
      </w:pPr>
      <w:r w:rsidRPr="00703E2E">
        <w:rPr>
          <w:rFonts w:asciiTheme="minorBidi" w:hAnsiTheme="minorBidi"/>
          <w:sz w:val="48"/>
          <w:szCs w:val="48"/>
        </w:rPr>
        <w:t> </w:t>
      </w:r>
    </w:p>
    <w:p w14:paraId="163B6B74" w14:textId="6B3D839C" w:rsidR="004B33A7" w:rsidRPr="004B33A7" w:rsidRDefault="004B33A7" w:rsidP="004B33A7">
      <w:pPr>
        <w:rPr>
          <w:rFonts w:asciiTheme="minorBidi" w:hAnsiTheme="minorBidi"/>
          <w:sz w:val="48"/>
          <w:szCs w:val="48"/>
        </w:rPr>
      </w:pPr>
      <w:r w:rsidRPr="004B33A7">
        <w:rPr>
          <w:rFonts w:asciiTheme="minorBidi" w:hAnsiTheme="minorBidi"/>
          <w:b/>
          <w:bCs/>
          <w:sz w:val="48"/>
          <w:szCs w:val="48"/>
        </w:rPr>
        <w:t xml:space="preserve">ASSESSMENT COMPONENT: </w:t>
      </w:r>
      <w:r w:rsidR="00703E2E">
        <w:rPr>
          <w:rFonts w:asciiTheme="minorBidi" w:hAnsiTheme="minorBidi"/>
          <w:b/>
          <w:bCs/>
          <w:sz w:val="48"/>
          <w:szCs w:val="48"/>
        </w:rPr>
        <w:t>One</w:t>
      </w:r>
    </w:p>
    <w:p w14:paraId="0095FD63" w14:textId="77777777" w:rsidR="004B33A7" w:rsidRPr="004B33A7" w:rsidRDefault="004B33A7" w:rsidP="004B33A7">
      <w:pPr>
        <w:rPr>
          <w:rFonts w:asciiTheme="minorBidi" w:hAnsiTheme="minorBidi"/>
          <w:sz w:val="48"/>
          <w:szCs w:val="48"/>
        </w:rPr>
      </w:pPr>
      <w:r w:rsidRPr="004B33A7">
        <w:rPr>
          <w:rFonts w:asciiTheme="minorBidi" w:hAnsiTheme="minorBidi"/>
          <w:sz w:val="48"/>
          <w:szCs w:val="48"/>
        </w:rPr>
        <w:t> </w:t>
      </w:r>
    </w:p>
    <w:p w14:paraId="152673F1" w14:textId="347DA585" w:rsidR="004B33A7" w:rsidRPr="004B33A7" w:rsidRDefault="004B33A7" w:rsidP="004B33A7">
      <w:pPr>
        <w:rPr>
          <w:rFonts w:asciiTheme="minorBidi" w:hAnsiTheme="minorBidi"/>
          <w:sz w:val="48"/>
          <w:szCs w:val="48"/>
        </w:rPr>
      </w:pPr>
      <w:r w:rsidRPr="004B33A7">
        <w:rPr>
          <w:rFonts w:asciiTheme="minorBidi" w:hAnsiTheme="minorBidi"/>
          <w:b/>
          <w:bCs/>
          <w:sz w:val="48"/>
          <w:szCs w:val="48"/>
        </w:rPr>
        <w:t>STUDENT NAME:</w:t>
      </w:r>
      <w:r w:rsidRPr="004B33A7">
        <w:rPr>
          <w:rFonts w:asciiTheme="minorBidi" w:hAnsiTheme="minorBidi"/>
          <w:sz w:val="48"/>
          <w:szCs w:val="48"/>
        </w:rPr>
        <w:t> </w:t>
      </w:r>
      <w:r w:rsidR="008E531B">
        <w:rPr>
          <w:rFonts w:asciiTheme="minorBidi" w:hAnsiTheme="minorBidi"/>
          <w:sz w:val="48"/>
          <w:szCs w:val="48"/>
        </w:rPr>
        <w:t>Katie Rees</w:t>
      </w:r>
    </w:p>
    <w:p w14:paraId="7F3AA822" w14:textId="77777777" w:rsidR="004B33A7" w:rsidRPr="004B33A7" w:rsidRDefault="004B33A7" w:rsidP="004B33A7">
      <w:pPr>
        <w:rPr>
          <w:rFonts w:asciiTheme="minorBidi" w:hAnsiTheme="minorBidi"/>
          <w:sz w:val="48"/>
          <w:szCs w:val="48"/>
        </w:rPr>
      </w:pPr>
      <w:r w:rsidRPr="004B33A7">
        <w:rPr>
          <w:rFonts w:asciiTheme="minorBidi" w:hAnsiTheme="minorBidi"/>
          <w:sz w:val="48"/>
          <w:szCs w:val="48"/>
        </w:rPr>
        <w:t> </w:t>
      </w:r>
    </w:p>
    <w:p w14:paraId="2C284020" w14:textId="219AC73A" w:rsidR="004B33A7" w:rsidRPr="004B33A7" w:rsidRDefault="004B33A7" w:rsidP="004B33A7">
      <w:pPr>
        <w:rPr>
          <w:rFonts w:asciiTheme="minorBidi" w:hAnsiTheme="minorBidi"/>
          <w:sz w:val="48"/>
          <w:szCs w:val="48"/>
        </w:rPr>
      </w:pPr>
      <w:r w:rsidRPr="004B33A7">
        <w:rPr>
          <w:rFonts w:asciiTheme="minorBidi" w:hAnsiTheme="minorBidi"/>
          <w:b/>
          <w:bCs/>
          <w:sz w:val="48"/>
          <w:szCs w:val="48"/>
        </w:rPr>
        <w:t>STUDENT NUMBER:</w:t>
      </w:r>
      <w:r w:rsidRPr="004B33A7">
        <w:rPr>
          <w:rFonts w:asciiTheme="minorBidi" w:hAnsiTheme="minorBidi"/>
          <w:sz w:val="48"/>
          <w:szCs w:val="48"/>
        </w:rPr>
        <w:t> </w:t>
      </w:r>
      <w:r w:rsidR="008E531B">
        <w:rPr>
          <w:rFonts w:asciiTheme="minorBidi" w:hAnsiTheme="minorBidi"/>
          <w:sz w:val="48"/>
          <w:szCs w:val="48"/>
        </w:rPr>
        <w:t>2005699</w:t>
      </w:r>
    </w:p>
    <w:p w14:paraId="5647A3D0" w14:textId="77777777" w:rsidR="004B33A7" w:rsidRPr="00536FF1" w:rsidRDefault="004B33A7" w:rsidP="004B33A7">
      <w:r w:rsidRPr="00536FF1">
        <w:t> </w:t>
      </w:r>
    </w:p>
    <w:p w14:paraId="39C7C63A" w14:textId="77777777" w:rsidR="004B33A7" w:rsidRDefault="004B33A7" w:rsidP="004B33A7">
      <w:pPr>
        <w:rPr>
          <w:sz w:val="24"/>
          <w:szCs w:val="24"/>
        </w:rPr>
      </w:pPr>
    </w:p>
    <w:p w14:paraId="143E0D83" w14:textId="77777777" w:rsidR="004B33A7" w:rsidRDefault="004B33A7" w:rsidP="004B33A7">
      <w:pPr>
        <w:rPr>
          <w:rFonts w:asciiTheme="minorBidi" w:hAnsiTheme="minorBidi"/>
          <w:b/>
          <w:bCs/>
          <w:sz w:val="28"/>
          <w:szCs w:val="28"/>
          <w:u w:val="single"/>
        </w:rPr>
      </w:pPr>
    </w:p>
    <w:p w14:paraId="2D2D0C46" w14:textId="77777777" w:rsidR="004B33A7" w:rsidRDefault="004B33A7" w:rsidP="004B33A7">
      <w:pPr>
        <w:rPr>
          <w:rFonts w:asciiTheme="minorBidi" w:hAnsiTheme="minorBidi"/>
          <w:b/>
          <w:bCs/>
          <w:sz w:val="28"/>
          <w:szCs w:val="28"/>
          <w:u w:val="single"/>
        </w:rPr>
      </w:pPr>
    </w:p>
    <w:p w14:paraId="1862A7FB" w14:textId="77777777" w:rsidR="004B33A7" w:rsidRDefault="004B33A7" w:rsidP="004B33A7">
      <w:pPr>
        <w:rPr>
          <w:rFonts w:asciiTheme="minorBidi" w:hAnsiTheme="minorBidi"/>
          <w:b/>
          <w:bCs/>
          <w:sz w:val="28"/>
          <w:szCs w:val="28"/>
          <w:u w:val="single"/>
        </w:rPr>
      </w:pPr>
    </w:p>
    <w:p w14:paraId="0B2C701E" w14:textId="77777777" w:rsidR="004B33A7" w:rsidRDefault="004B33A7" w:rsidP="004B33A7">
      <w:pPr>
        <w:rPr>
          <w:rFonts w:asciiTheme="minorBidi" w:hAnsiTheme="minorBidi"/>
          <w:b/>
          <w:bCs/>
          <w:sz w:val="28"/>
          <w:szCs w:val="28"/>
          <w:u w:val="single"/>
        </w:rPr>
      </w:pPr>
    </w:p>
    <w:p w14:paraId="23124646" w14:textId="77777777" w:rsidR="004B33A7" w:rsidRDefault="004B33A7" w:rsidP="004B33A7">
      <w:pPr>
        <w:rPr>
          <w:rFonts w:asciiTheme="minorBidi" w:hAnsiTheme="minorBidi"/>
          <w:b/>
          <w:bCs/>
          <w:sz w:val="28"/>
          <w:szCs w:val="28"/>
          <w:u w:val="single"/>
        </w:rPr>
      </w:pPr>
    </w:p>
    <w:p w14:paraId="2569B474" w14:textId="77777777" w:rsidR="004B33A7" w:rsidRDefault="004B33A7" w:rsidP="004B33A7">
      <w:pPr>
        <w:rPr>
          <w:rFonts w:asciiTheme="minorBidi" w:hAnsiTheme="minorBidi"/>
          <w:b/>
          <w:bCs/>
          <w:sz w:val="28"/>
          <w:szCs w:val="28"/>
          <w:u w:val="single"/>
        </w:rPr>
      </w:pPr>
    </w:p>
    <w:p w14:paraId="266DC1E5" w14:textId="77777777" w:rsidR="004B33A7" w:rsidRDefault="004B33A7" w:rsidP="004B33A7">
      <w:pPr>
        <w:rPr>
          <w:rFonts w:asciiTheme="minorBidi" w:hAnsiTheme="minorBidi"/>
          <w:b/>
          <w:bCs/>
          <w:sz w:val="28"/>
          <w:szCs w:val="28"/>
          <w:u w:val="single"/>
        </w:rPr>
      </w:pPr>
    </w:p>
    <w:p w14:paraId="6F586E49"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lastRenderedPageBreak/>
        <w:t>I confirm that I have not used any AI tools in the research and creation of this assignment.  </w:t>
      </w:r>
    </w:p>
    <w:p w14:paraId="2E8BD4F7"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not presented any AI generated materials as my own work.  </w:t>
      </w:r>
    </w:p>
    <w:p w14:paraId="4575D7AE"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copies of my drafts, notes, and other resources I used, which I may be asked to provide in evidence. </w:t>
      </w:r>
    </w:p>
    <w:p w14:paraId="54E000C8"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3B05F7E2"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6F0369F2"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710468BD"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5133165E"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2FEDE9CB"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552EDBD3" w14:textId="77777777" w:rsidR="004B33A7" w:rsidRPr="004B33A7" w:rsidRDefault="004B33A7" w:rsidP="004B33A7">
      <w:pPr>
        <w:rPr>
          <w:rFonts w:asciiTheme="minorBidi" w:hAnsiTheme="minorBidi"/>
          <w:sz w:val="24"/>
          <w:szCs w:val="24"/>
        </w:rPr>
      </w:pPr>
    </w:p>
    <w:p w14:paraId="6334446C" w14:textId="335101BB" w:rsidR="008D6914" w:rsidRDefault="008D6914" w:rsidP="004B33A7">
      <w:pPr>
        <w:rPr>
          <w:rFonts w:asciiTheme="minorBidi" w:hAnsiTheme="minorBidi"/>
          <w:sz w:val="24"/>
          <w:szCs w:val="24"/>
        </w:rPr>
      </w:pPr>
    </w:p>
    <w:p w14:paraId="2A429A5C" w14:textId="77777777" w:rsidR="004B33A7" w:rsidRDefault="004B33A7" w:rsidP="004B33A7">
      <w:pPr>
        <w:rPr>
          <w:rFonts w:asciiTheme="minorBidi" w:hAnsiTheme="minorBidi"/>
          <w:sz w:val="24"/>
          <w:szCs w:val="24"/>
        </w:rPr>
      </w:pPr>
    </w:p>
    <w:p w14:paraId="2809FBFB" w14:textId="77777777" w:rsidR="004B33A7" w:rsidRDefault="004B33A7" w:rsidP="004B33A7">
      <w:pPr>
        <w:rPr>
          <w:rFonts w:asciiTheme="minorBidi" w:hAnsiTheme="minorBidi"/>
          <w:sz w:val="24"/>
          <w:szCs w:val="24"/>
        </w:rPr>
      </w:pPr>
    </w:p>
    <w:p w14:paraId="082FFF89" w14:textId="77777777" w:rsidR="004B33A7" w:rsidRDefault="004B33A7" w:rsidP="004B33A7">
      <w:pPr>
        <w:rPr>
          <w:rFonts w:asciiTheme="minorBidi" w:hAnsiTheme="minorBidi"/>
          <w:sz w:val="24"/>
          <w:szCs w:val="24"/>
        </w:rPr>
      </w:pPr>
    </w:p>
    <w:p w14:paraId="02476F4A" w14:textId="77777777" w:rsidR="004B33A7" w:rsidRDefault="004B33A7" w:rsidP="004B33A7">
      <w:pPr>
        <w:rPr>
          <w:rFonts w:asciiTheme="minorBidi" w:hAnsiTheme="minorBidi"/>
          <w:sz w:val="24"/>
          <w:szCs w:val="24"/>
        </w:rPr>
      </w:pPr>
    </w:p>
    <w:p w14:paraId="5051804A" w14:textId="77777777" w:rsidR="004B33A7" w:rsidRDefault="004B33A7" w:rsidP="004B33A7">
      <w:pPr>
        <w:rPr>
          <w:rFonts w:asciiTheme="minorBidi" w:hAnsiTheme="minorBidi"/>
          <w:sz w:val="24"/>
          <w:szCs w:val="24"/>
        </w:rPr>
      </w:pPr>
    </w:p>
    <w:p w14:paraId="3C007E7B" w14:textId="77777777" w:rsidR="004B33A7" w:rsidRDefault="004B33A7" w:rsidP="004B33A7">
      <w:pPr>
        <w:rPr>
          <w:rFonts w:asciiTheme="minorBidi" w:hAnsiTheme="minorBidi"/>
          <w:sz w:val="24"/>
          <w:szCs w:val="24"/>
        </w:rPr>
      </w:pPr>
    </w:p>
    <w:p w14:paraId="135AF617" w14:textId="77777777" w:rsidR="004B33A7" w:rsidRDefault="004B33A7" w:rsidP="004B33A7">
      <w:pPr>
        <w:rPr>
          <w:rFonts w:asciiTheme="minorBidi" w:hAnsiTheme="minorBidi"/>
          <w:sz w:val="24"/>
          <w:szCs w:val="24"/>
        </w:rPr>
      </w:pPr>
    </w:p>
    <w:p w14:paraId="3BADBBBD" w14:textId="77777777" w:rsidR="004B33A7" w:rsidRDefault="004B33A7" w:rsidP="004B33A7">
      <w:pPr>
        <w:rPr>
          <w:rFonts w:asciiTheme="minorBidi" w:hAnsiTheme="minorBidi"/>
          <w:sz w:val="24"/>
          <w:szCs w:val="24"/>
        </w:rPr>
      </w:pPr>
    </w:p>
    <w:p w14:paraId="37E31CE2" w14:textId="77777777" w:rsidR="004B33A7" w:rsidRDefault="004B33A7" w:rsidP="004B33A7">
      <w:pPr>
        <w:rPr>
          <w:rFonts w:asciiTheme="minorBidi" w:hAnsiTheme="minorBidi"/>
          <w:sz w:val="24"/>
          <w:szCs w:val="24"/>
        </w:rPr>
      </w:pPr>
    </w:p>
    <w:p w14:paraId="57B88F9B" w14:textId="77777777" w:rsidR="004B33A7" w:rsidRDefault="004B33A7" w:rsidP="004B33A7">
      <w:pPr>
        <w:rPr>
          <w:rFonts w:asciiTheme="minorBidi" w:hAnsiTheme="minorBidi"/>
          <w:sz w:val="24"/>
          <w:szCs w:val="24"/>
        </w:rPr>
      </w:pPr>
    </w:p>
    <w:p w14:paraId="26B7B66C" w14:textId="77777777" w:rsidR="004B33A7" w:rsidRDefault="004B33A7" w:rsidP="004B33A7">
      <w:pPr>
        <w:rPr>
          <w:rFonts w:asciiTheme="minorBidi" w:hAnsiTheme="minorBidi"/>
          <w:sz w:val="24"/>
          <w:szCs w:val="24"/>
        </w:rPr>
      </w:pPr>
    </w:p>
    <w:p w14:paraId="1599550F" w14:textId="77777777" w:rsidR="004B33A7" w:rsidRDefault="004B33A7" w:rsidP="004B33A7">
      <w:pPr>
        <w:rPr>
          <w:rFonts w:asciiTheme="minorBidi" w:hAnsiTheme="minorBidi"/>
          <w:sz w:val="24"/>
          <w:szCs w:val="24"/>
        </w:rPr>
      </w:pPr>
    </w:p>
    <w:p w14:paraId="3EEAD786" w14:textId="77777777" w:rsidR="004B33A7" w:rsidRDefault="004B33A7" w:rsidP="004B33A7">
      <w:pPr>
        <w:rPr>
          <w:rFonts w:asciiTheme="minorBidi" w:hAnsiTheme="minorBidi"/>
          <w:sz w:val="24"/>
          <w:szCs w:val="24"/>
        </w:rPr>
      </w:pPr>
    </w:p>
    <w:p w14:paraId="09D3C1A1" w14:textId="77777777" w:rsidR="004B33A7" w:rsidRDefault="004B33A7" w:rsidP="004B33A7">
      <w:pPr>
        <w:rPr>
          <w:rFonts w:asciiTheme="minorBidi" w:hAnsiTheme="minorBidi"/>
          <w:sz w:val="24"/>
          <w:szCs w:val="24"/>
        </w:rPr>
      </w:pPr>
    </w:p>
    <w:p w14:paraId="7BC37877" w14:textId="77777777" w:rsidR="004B33A7" w:rsidRDefault="004B33A7" w:rsidP="004B33A7">
      <w:pPr>
        <w:rPr>
          <w:rFonts w:asciiTheme="minorBidi" w:hAnsiTheme="minorBidi"/>
          <w:sz w:val="24"/>
          <w:szCs w:val="24"/>
        </w:rPr>
      </w:pPr>
    </w:p>
    <w:p w14:paraId="0E6A3CC7" w14:textId="77777777" w:rsidR="004B33A7" w:rsidRDefault="004B33A7" w:rsidP="004B33A7">
      <w:pPr>
        <w:rPr>
          <w:rFonts w:asciiTheme="minorBidi" w:hAnsiTheme="minorBidi"/>
          <w:sz w:val="24"/>
          <w:szCs w:val="24"/>
        </w:rPr>
      </w:pPr>
    </w:p>
    <w:p w14:paraId="50B5FA35" w14:textId="77777777" w:rsidR="004B33A7" w:rsidRDefault="004B33A7" w:rsidP="004B33A7">
      <w:pPr>
        <w:rPr>
          <w:rFonts w:asciiTheme="minorBidi" w:hAnsiTheme="minorBidi"/>
          <w:sz w:val="24"/>
          <w:szCs w:val="24"/>
        </w:rPr>
      </w:pPr>
    </w:p>
    <w:p w14:paraId="46A38E59" w14:textId="77777777" w:rsidR="004B33A7" w:rsidRDefault="004B33A7" w:rsidP="004B33A7">
      <w:pPr>
        <w:rPr>
          <w:rFonts w:asciiTheme="minorBidi" w:hAnsiTheme="minorBidi"/>
          <w:sz w:val="24"/>
          <w:szCs w:val="24"/>
        </w:rPr>
      </w:pPr>
    </w:p>
    <w:p w14:paraId="7DD224D8" w14:textId="77777777" w:rsidR="004B33A7" w:rsidRDefault="004B33A7" w:rsidP="004B33A7">
      <w:pPr>
        <w:rPr>
          <w:rFonts w:asciiTheme="minorBidi" w:hAnsiTheme="minorBidi"/>
          <w:sz w:val="24"/>
          <w:szCs w:val="24"/>
        </w:rPr>
      </w:pPr>
    </w:p>
    <w:p w14:paraId="00D785DB" w14:textId="77777777" w:rsidR="004B33A7" w:rsidRDefault="004B33A7" w:rsidP="004B33A7">
      <w:pPr>
        <w:rPr>
          <w:rFonts w:asciiTheme="minorBidi" w:hAnsiTheme="minorBidi"/>
          <w:sz w:val="24"/>
          <w:szCs w:val="24"/>
        </w:rPr>
      </w:pPr>
    </w:p>
    <w:p w14:paraId="3EC3942C" w14:textId="77777777" w:rsidR="004B33A7" w:rsidRDefault="004B33A7" w:rsidP="004B33A7">
      <w:pPr>
        <w:rPr>
          <w:rFonts w:asciiTheme="minorBidi" w:hAnsiTheme="minorBidi"/>
          <w:sz w:val="24"/>
          <w:szCs w:val="24"/>
        </w:rPr>
      </w:pPr>
    </w:p>
    <w:p w14:paraId="68D633DA" w14:textId="77777777" w:rsidR="004B33A7" w:rsidRDefault="004B33A7" w:rsidP="004B33A7">
      <w:pPr>
        <w:rPr>
          <w:rFonts w:asciiTheme="minorBidi" w:hAnsiTheme="minorBidi"/>
          <w:sz w:val="24"/>
          <w:szCs w:val="24"/>
        </w:rPr>
      </w:pPr>
    </w:p>
    <w:p w14:paraId="41075A74" w14:textId="77777777" w:rsidR="004B33A7" w:rsidRDefault="004B33A7" w:rsidP="004B33A7">
      <w:pPr>
        <w:rPr>
          <w:rFonts w:asciiTheme="minorBidi" w:hAnsiTheme="minorBidi"/>
          <w:sz w:val="24"/>
          <w:szCs w:val="24"/>
        </w:rPr>
      </w:pPr>
      <w:bookmarkStart w:id="0" w:name="OLE_LINK13"/>
    </w:p>
    <w:p w14:paraId="18F3B735" w14:textId="77777777" w:rsidR="008E531B" w:rsidRPr="001F6285" w:rsidRDefault="008E531B" w:rsidP="008E531B">
      <w:pPr>
        <w:spacing w:line="360" w:lineRule="auto"/>
        <w:rPr>
          <w:rFonts w:asciiTheme="minorBidi" w:hAnsiTheme="minorBidi"/>
          <w:sz w:val="24"/>
          <w:szCs w:val="24"/>
        </w:rPr>
      </w:pPr>
      <w:bookmarkStart w:id="1" w:name="OLE_LINK2"/>
      <w:bookmarkStart w:id="2" w:name="OLE_LINK4"/>
      <w:bookmarkStart w:id="3" w:name="OLE_LINK5"/>
      <w:bookmarkStart w:id="4" w:name="OLE_LINK8"/>
      <w:r w:rsidRPr="001F6285">
        <w:rPr>
          <w:rFonts w:asciiTheme="minorBidi" w:hAnsiTheme="minorBidi"/>
          <w:sz w:val="24"/>
          <w:szCs w:val="24"/>
        </w:rPr>
        <w:t>This essay explores how behaviour management and learner engagement are understood in the post-16 education sector. This essay also considers how effective these strategies are whilst discussing challenges involved</w:t>
      </w:r>
      <w:bookmarkEnd w:id="1"/>
      <w:r w:rsidRPr="001F6285">
        <w:rPr>
          <w:rFonts w:asciiTheme="minorBidi" w:hAnsiTheme="minorBidi"/>
          <w:sz w:val="24"/>
          <w:szCs w:val="24"/>
        </w:rPr>
        <w:t xml:space="preserve">. By considering current research and relevant United Kingdom legislation, the essay aims to provide a clear overview and understanding of behaviour management models, their effectiveness and how this can support positive outcomes for post-16 learners. </w:t>
      </w:r>
    </w:p>
    <w:p w14:paraId="58C82D4A" w14:textId="77777777" w:rsidR="008E531B" w:rsidRPr="001F6285" w:rsidRDefault="008E531B" w:rsidP="008E531B">
      <w:pPr>
        <w:spacing w:line="360" w:lineRule="auto"/>
        <w:rPr>
          <w:rFonts w:asciiTheme="minorBidi" w:hAnsiTheme="minorBidi"/>
          <w:sz w:val="24"/>
          <w:szCs w:val="24"/>
        </w:rPr>
      </w:pPr>
    </w:p>
    <w:p w14:paraId="127E6333" w14:textId="77777777"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Behaviour management in the post-16 sector refers to the strategies used by educators to promote positive behaviour and improve learner engagement. It also provides educators with strategies to respond to and manage challenging behaviour. Learner engagement refers to the level of participation, involvement and motivation that learners demonstrate in the classroom and in their learning. It can be influenced by learners’ individual needs, which links to Maslow’s Hierarchy of Needs, where personal and emotional needs must be met before effective learning can take place. (Maslow, 1987) Effective lesson planning and strategies such as scaffolding also supports engagement as this can ensure that the lessons are tailored to a range of different learning styles. Whilst there is often a positive relationship between learner engagement and behaviour, this is not always consistent in practice. Even when effective and engaging strategies are used, some learners may remain disengaged or display disruptive behaviour. </w:t>
      </w:r>
    </w:p>
    <w:p w14:paraId="15B063E9" w14:textId="77777777" w:rsidR="008E531B" w:rsidRPr="001F6285" w:rsidRDefault="008E531B" w:rsidP="008E531B">
      <w:pPr>
        <w:spacing w:line="360" w:lineRule="auto"/>
        <w:rPr>
          <w:rFonts w:asciiTheme="minorBidi" w:hAnsiTheme="minorBidi"/>
          <w:sz w:val="24"/>
          <w:szCs w:val="24"/>
        </w:rPr>
      </w:pPr>
    </w:p>
    <w:p w14:paraId="2AF5A6F4" w14:textId="77777777"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Brophy (2010) emphasises goal orientation, intrinsic motivation and the development of the learners’ cognitive skills, suggesting that students are more effectively engaged when they are not being pressured. He emphasises the importance of “offering strategies for repairing the damage that has accumulated for students who have become disaffected through the education system” (Lebor, 2017) Relating to </w:t>
      </w:r>
      <w:r w:rsidRPr="001F6285">
        <w:rPr>
          <w:rFonts w:asciiTheme="minorBidi" w:hAnsiTheme="minorBidi"/>
          <w:sz w:val="24"/>
          <w:szCs w:val="24"/>
        </w:rPr>
        <w:lastRenderedPageBreak/>
        <w:t xml:space="preserve">this, behaviour management is linked to motivation, with educators encouraged to use strategies such as scaffolding and promoting self-regulated learning. Brophy (2010) also highlights the importance of making learning meaningful to improve engagement. However, it is argued that the concept of “meaningful learning” can be subjective, as the relevance differs between learners. (Lebor, 2017) This presents as a challenge for post-16 educators as learners often have various different interests, experiences and goals. In addition, some educators may not have much time with their students so it would be unrealistic to fully understand what each student finds meaningful to be able to tailor lessons. Despite this, Brophy’s approach highlights the importance of combining motivation based strategies and adapting teaching to meet learners needs to support engagement. </w:t>
      </w:r>
    </w:p>
    <w:bookmarkEnd w:id="2"/>
    <w:p w14:paraId="2D12B928" w14:textId="77777777" w:rsidR="008E531B" w:rsidRPr="001F6285" w:rsidRDefault="008E531B" w:rsidP="008E531B">
      <w:pPr>
        <w:spacing w:line="360" w:lineRule="auto"/>
        <w:rPr>
          <w:rFonts w:asciiTheme="minorBidi" w:hAnsiTheme="minorBidi"/>
          <w:sz w:val="24"/>
          <w:szCs w:val="24"/>
        </w:rPr>
      </w:pPr>
    </w:p>
    <w:p w14:paraId="4255F731" w14:textId="77777777"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Harry Wong’s view places a strong emphasis on the role of the teacher as a manager of the learning environment, arguing that effective behaviour management begins with lesson preparation. (Wong, 2009) He perceives that behaviour problems are due to a lack of class facilitation, not discipline. He also highlights the importance of educators being flexible and collaborating with students, as well as establishing classroom procedures to create achievement. Wong’s approach is not considered as a model or theory of teaching, its seen as a series of suggestions based largely of his own experience. (Lebor, 2017) However, this raises challenges when applying his approach to the post-16 sector as it assumes that what works in one context will be the same elsewhere, but classes, teachers and learning environments vary. His guidance is not backed by research, further emphasizing how the strategies may not work in every setting. Furthermore, Wong’s approach assumes that all students will co-operate and act in a civilised way, which is proven to not always be the case in a post-16 classroom. Especially as students may come from diverse backgrounds and with different needs. Despite these limitations, Wong’s focus on preparation, collaboration and creating a safe, positive environment for students still offers useful insights for promoting structure and positive behaviour in the post-16 classroom. </w:t>
      </w:r>
    </w:p>
    <w:p w14:paraId="76F8ED76" w14:textId="77777777" w:rsidR="008E531B" w:rsidRPr="001F6285" w:rsidRDefault="008E531B" w:rsidP="008E531B">
      <w:pPr>
        <w:spacing w:line="360" w:lineRule="auto"/>
        <w:rPr>
          <w:rFonts w:asciiTheme="minorBidi" w:hAnsiTheme="minorBidi"/>
          <w:sz w:val="24"/>
          <w:szCs w:val="24"/>
        </w:rPr>
      </w:pPr>
    </w:p>
    <w:p w14:paraId="46BABFD4" w14:textId="40C92182"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Maslow’s Hierarchy of needs is often applied to behaviour and engagement in the post-16 sector as it highlights how unmet psychological or physiological needs can </w:t>
      </w:r>
      <w:r w:rsidRPr="001F6285">
        <w:rPr>
          <w:rFonts w:asciiTheme="minorBidi" w:hAnsiTheme="minorBidi"/>
          <w:sz w:val="24"/>
          <w:szCs w:val="24"/>
        </w:rPr>
        <w:lastRenderedPageBreak/>
        <w:t xml:space="preserve">significantly </w:t>
      </w:r>
      <w:r w:rsidR="008A1C18" w:rsidRPr="001F6285">
        <w:rPr>
          <w:rFonts w:asciiTheme="minorBidi" w:hAnsiTheme="minorBidi"/>
          <w:sz w:val="24"/>
          <w:szCs w:val="24"/>
        </w:rPr>
        <w:t>affect</w:t>
      </w:r>
      <w:r w:rsidRPr="001F6285">
        <w:rPr>
          <w:rFonts w:asciiTheme="minorBidi" w:hAnsiTheme="minorBidi"/>
          <w:sz w:val="24"/>
          <w:szCs w:val="24"/>
        </w:rPr>
        <w:t xml:space="preserve"> a </w:t>
      </w:r>
      <w:r w:rsidR="008A1C18" w:rsidRPr="001F6285">
        <w:rPr>
          <w:rFonts w:asciiTheme="minorBidi" w:hAnsiTheme="minorBidi"/>
          <w:sz w:val="24"/>
          <w:szCs w:val="24"/>
        </w:rPr>
        <w:t>learner’s</w:t>
      </w:r>
      <w:r w:rsidRPr="001F6285">
        <w:rPr>
          <w:rFonts w:asciiTheme="minorBidi" w:hAnsiTheme="minorBidi"/>
          <w:sz w:val="24"/>
          <w:szCs w:val="24"/>
        </w:rPr>
        <w:t xml:space="preserve"> ability to engage effectively. Learners who are hungry, experiencing financial hardship, or living in an unsafe environment may appear disengaged or unable to concentrate. This is not a discipline issue, but because their basic needs have not been met. (Maslow, 1987) Although Maslow’s model suggests that all of the needs must be met before learning can occur, this has been criticised for being overly rigid. Some learners may prioritise higher-level needs, even when their basic needs are not met. Other learners may purposely sacrifice their basic needs, for example, food and sleep, in order to complete work or revise for an exam. (Lebow, M, 2017) There are also some students who may have cultural beliefs that minimise the importance of bodily needs. In terms of learner engagement, Maslow’s theory is particularly relevant. Students who have a high self-esteem, have positive peer relations and a sense of belonging are often more confident in participating in discussions. Whereas, students who feel isolated and less confident may withdraw from engaging, especially if the class size is large. Although there are limitations, Maslow’s theory often provides a useful framework for understanding the emotional and physical needs of learners before teaching takes place. However, it does not directly address strategies for managing challenging and disruptive behaviour. </w:t>
      </w:r>
    </w:p>
    <w:p w14:paraId="055DFA84" w14:textId="77777777" w:rsidR="008E531B" w:rsidRPr="001F6285" w:rsidRDefault="008E531B" w:rsidP="008E531B">
      <w:pPr>
        <w:spacing w:line="360" w:lineRule="auto"/>
        <w:rPr>
          <w:rFonts w:asciiTheme="minorBidi" w:hAnsiTheme="minorBidi"/>
          <w:sz w:val="24"/>
          <w:szCs w:val="24"/>
        </w:rPr>
      </w:pPr>
    </w:p>
    <w:p w14:paraId="01604CE9" w14:textId="77777777"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It can be difficult for post-16 educators to apply Maslow’s theory as they have limited contact time with students. This makes it harder for them to build strong relationships and can impact their ability to vary classroom layouts. </w:t>
      </w:r>
      <w:bookmarkStart w:id="5" w:name="OLE_LINK6"/>
      <w:r w:rsidRPr="001F6285">
        <w:rPr>
          <w:rFonts w:asciiTheme="minorBidi" w:hAnsiTheme="minorBidi"/>
          <w:sz w:val="24"/>
          <w:szCs w:val="24"/>
        </w:rPr>
        <w:t>However, this model aligns with UK and Welsh legislative expectations, including the Equality Act 2010 and the Additional Learning Needs and Education Tribunal (Wales) Act 2018, as these both emphasize the importance of supporting individual learner needs in education. In particular, the Equality Act (2010) requires educational institutions to make reasonable adjustments and ensure that learners are not disadvantaged due to protected characteristics.</w:t>
      </w:r>
      <w:r w:rsidRPr="001F6285">
        <w:rPr>
          <w:rFonts w:asciiTheme="minorBidi" w:hAnsiTheme="minorBidi"/>
          <w:color w:val="000000"/>
          <w:sz w:val="24"/>
          <w:szCs w:val="24"/>
        </w:rPr>
        <w:t xml:space="preserve"> (GOV.UK, 2010)</w:t>
      </w:r>
      <w:r w:rsidRPr="001F6285">
        <w:rPr>
          <w:rFonts w:asciiTheme="minorBidi" w:hAnsiTheme="minorBidi"/>
          <w:sz w:val="24"/>
          <w:szCs w:val="24"/>
        </w:rPr>
        <w:t xml:space="preserve"> The Additional Learning Needs and Education Tribunal (Wales) Act 2018 places a legal responsibility on education providers to identify and support learners with Additional Learning Needs up to the age of 25, including those in post-16 education. </w:t>
      </w:r>
      <w:r w:rsidRPr="001F6285">
        <w:rPr>
          <w:rFonts w:asciiTheme="minorBidi" w:hAnsiTheme="minorBidi"/>
          <w:color w:val="000000"/>
          <w:sz w:val="24"/>
          <w:szCs w:val="24"/>
        </w:rPr>
        <w:t>(Welsh Government, 2018)</w:t>
      </w:r>
      <w:r w:rsidRPr="001F6285">
        <w:rPr>
          <w:rFonts w:asciiTheme="minorBidi" w:hAnsiTheme="minorBidi"/>
          <w:sz w:val="24"/>
          <w:szCs w:val="24"/>
        </w:rPr>
        <w:t xml:space="preserve"> These legislative frameworks reflect Maslow’s view that learners are more likely to engage effectively when their basic and psychological needs are met. To summarise, if learners feel safe, supported and included in the classroom environment, they are </w:t>
      </w:r>
      <w:r w:rsidRPr="001F6285">
        <w:rPr>
          <w:rFonts w:asciiTheme="minorBidi" w:hAnsiTheme="minorBidi"/>
          <w:sz w:val="24"/>
          <w:szCs w:val="24"/>
        </w:rPr>
        <w:lastRenderedPageBreak/>
        <w:t xml:space="preserve">more likely to participate and engage in learning and activities. However, unlike Maslow’s theoretical model, legislation provides a practical and enforceable structure for ensuring these needs are addressed within education settings. Both Maslow’s theory and legislation highlight the importance of removing barriers to learning to promote engagement and positive learning. </w:t>
      </w:r>
    </w:p>
    <w:p w14:paraId="66732789" w14:textId="3CD9862B"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As discussed in the previous section, the Equality Act 2010 requires educators and institutions to ensure that learners are not discriminated against and that reasonable adjustments are made to remove barriers to learning. This is relevant in the post-16 sector where learners may have a wide range of needs and backgrounds, and also where inclusive strategies are essential for maintaining engagement and appropriate behaviour in the classroom</w:t>
      </w:r>
      <w:bookmarkEnd w:id="3"/>
      <w:bookmarkEnd w:id="5"/>
      <w:r w:rsidRPr="001F6285">
        <w:rPr>
          <w:rFonts w:asciiTheme="minorBidi" w:hAnsiTheme="minorBidi"/>
          <w:sz w:val="24"/>
          <w:szCs w:val="24"/>
        </w:rPr>
        <w:t xml:space="preserve">. In addition to this, the Medr: Regulatory Framework is aimed at ensuring high quality provision, which is focused </w:t>
      </w:r>
      <w:r w:rsidR="008A1C18" w:rsidRPr="001F6285">
        <w:rPr>
          <w:rFonts w:asciiTheme="minorBidi" w:hAnsiTheme="minorBidi"/>
          <w:sz w:val="24"/>
          <w:szCs w:val="24"/>
        </w:rPr>
        <w:t>on</w:t>
      </w:r>
      <w:r w:rsidRPr="001F6285">
        <w:rPr>
          <w:rFonts w:asciiTheme="minorBidi" w:hAnsiTheme="minorBidi"/>
          <w:sz w:val="24"/>
          <w:szCs w:val="24"/>
        </w:rPr>
        <w:t xml:space="preserve"> the needs of the learner – “Creating a flexible and joined-up system that meets the challenges of a changing economy and society.”</w:t>
      </w:r>
      <w:r w:rsidRPr="001F6285">
        <w:rPr>
          <w:rFonts w:asciiTheme="minorBidi" w:hAnsiTheme="minorBidi"/>
          <w:color w:val="000000"/>
          <w:sz w:val="24"/>
          <w:szCs w:val="24"/>
        </w:rPr>
        <w:t xml:space="preserve"> (Advance HE Governance Team, 2025)</w:t>
      </w:r>
    </w:p>
    <w:p w14:paraId="6AC0A901" w14:textId="77777777"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It emphasises high standards of teaching, learner experience and equal access to learning opportunities. This supports behaviour management and engagement by encouraging institutions to create environments where learners are supported, included and able to participate. Overall, both the Equality Act 2010 and the Medr regulatory framework highlight that behaviour management and learner engagement is not only the responsibility of the educator but also backed by legal and institutional legislation within the post-16 sector. </w:t>
      </w:r>
    </w:p>
    <w:p w14:paraId="7C2088CA" w14:textId="77777777" w:rsidR="008E531B" w:rsidRPr="001F6285" w:rsidRDefault="008E531B" w:rsidP="008E531B">
      <w:pPr>
        <w:spacing w:line="360" w:lineRule="auto"/>
        <w:rPr>
          <w:rFonts w:asciiTheme="minorBidi" w:hAnsiTheme="minorBidi"/>
          <w:sz w:val="24"/>
          <w:szCs w:val="24"/>
        </w:rPr>
      </w:pPr>
    </w:p>
    <w:p w14:paraId="072CB023" w14:textId="77777777"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In conclusion, behaviour management and learner engagement in the post-16 sector can be shaped by how well educators understand their learners, how effectively they plan lessons and create a positive learning environment. The theories from Brophy, Wong and Maslow show that motivation, preparation and emotional wellbeing can all influence how students respond and take part in learning, but each has its own limits when applied in practice. Legislation also reinforces that supporting learners and removing barriers is not just good practice but a legal requirement. Overall, effective behaviour management relies on using a range of strategies, adapting to different needs and recognising the wider factors that influence how learners respond in post-16 education. </w:t>
      </w:r>
    </w:p>
    <w:p w14:paraId="586DE0D7" w14:textId="77777777" w:rsidR="008E531B" w:rsidRPr="001F6285" w:rsidRDefault="008E531B" w:rsidP="008E531B">
      <w:pPr>
        <w:spacing w:line="360" w:lineRule="auto"/>
        <w:rPr>
          <w:rFonts w:asciiTheme="minorBidi" w:hAnsiTheme="minorBidi"/>
          <w:sz w:val="24"/>
          <w:szCs w:val="24"/>
        </w:rPr>
      </w:pPr>
    </w:p>
    <w:bookmarkEnd w:id="4"/>
    <w:p w14:paraId="0A5785CE" w14:textId="77777777"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On reflection of two observed lectures from lecturer A and lecturer B, and my own lecture, I have focused on how learner engagement was managed during these sessions. In lecturer A’s session, I noticed multiple approaches that effectively supported learner engagement. Firstly, Lecturer A used a scaffolding strategy, this played a key role in keeping the learners engaged. Lecturer A introduced the overall task, and then set smaller tasks that supported the final outcome. This approach clearly helped the learners stay motivated, as they were focused throughout the session. The smaller tasks also meant they produced more development work, which may not have happened if they had jumped into the ultimate task. Lecturer A also checked in on each student individually multiple times throughout the session, which I feel helped the learner’s engagement as they not only knew he would be coming around but also was given the opportunity to ask any questions about the tasks. The lecturer linked the tasks to real world examples, giving relevance and purpose to the activity, this helped the students to understand why the task mattered. I think these strategies worked well because the scaffolding allowed the students to build up to the more complex task they were required to do, removing any barriers that the software or process may of held. I also think that breaking it down helped to make the workload more manageable and supported the less confident students whilst still allowing the more confident learners to push themselves. Showing real life examples added that extra depth to the session and motivation, particularly for students who may learn more with visual and contextual examples and explanations. Lecturer A also paced the session well, which I felt helped to keep the learners engaged as the tasks were quicker - helping with focus. From this observation, I learned the importance of stacking tasks to maintain engagement, especially when the outcome is more complex and using a software which can be difficult. I also saw how important using real world examples can be in getting the learners interested and helping to understand the purpose behind what they’re doing. Finally, I learned how important it is to check in with students on a one-to-one basis throughout a session, as this helped to create a supportive environment, encouraged the students to be more curious and get the help needed if they were stuck. This observation will influence my future teaching as it has shown me practical ways to keep learners </w:t>
      </w:r>
      <w:r w:rsidRPr="001F6285">
        <w:rPr>
          <w:rFonts w:asciiTheme="minorBidi" w:hAnsiTheme="minorBidi"/>
          <w:sz w:val="24"/>
          <w:szCs w:val="24"/>
        </w:rPr>
        <w:lastRenderedPageBreak/>
        <w:t xml:space="preserve">engaged, reduce the barriers that the software needed in Graphic Design may pose and also keep students focused throughout a long session. </w:t>
      </w:r>
    </w:p>
    <w:p w14:paraId="5AB4E050" w14:textId="77777777" w:rsidR="008E531B" w:rsidRPr="001F6285" w:rsidRDefault="008E531B" w:rsidP="008E531B">
      <w:pPr>
        <w:spacing w:line="360" w:lineRule="auto"/>
        <w:rPr>
          <w:rFonts w:asciiTheme="minorBidi" w:hAnsiTheme="minorBidi"/>
          <w:sz w:val="24"/>
          <w:szCs w:val="24"/>
        </w:rPr>
      </w:pPr>
    </w:p>
    <w:p w14:paraId="680E4AE8" w14:textId="77777777"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When reflecting on my second observation with Lecturer B, it was completely different to my first observation. The focus of this session was a final deadline for third year students, where they had to hand in a physical print out of an infographic in a specific size and orientation. At the start of the session, Lecturer B reminded the students of the deadline. They then went around to check on each student individually and to see their pieces of work. One student hadn’t followed the brief. This one specific student had done the work but printed it incorrectly. Lecturer B reminded the student of the requirements, to which the student responded by crumpling up their work, throwing it and then leaving the room. Lecturer B called after the student. This disrupted the rest of the learners and caused a shift in the overall mood. Lecturer B then refocused the session by acknowledging the students who had completed their work and continued to check in with the rest of the learners. The rest of the session was made up of one-to-one check ins with the students, which is usually how the third-year sessions go as they are working on solo projects. In terms of behaviour management, the incident felt less like a classroom management issue and more down to the individuals ongoing disengagement. This student often doesn’t engage in sessions, whilst the rest of the learners were motivated and focused throughout. Because of this, I felt like strategies such as scaffolding wouldn’t have worked in this situation as effectively. It seemed to come from the students lack of preparation and frustration rather than the classroom management. Reflecting on this, I think it would of been beneficial for Lecturer B to arrange a follow up conversation with the student after the incident as this may provide an opportunity for the student to talk about what happened, and for the Lecturer to check in if the student was struggling with anything. Checking in may also help to reduce any negative reactions in the future. For my own teaching and if this happened during my own session, I would first check if the student was having any difficulty formatting their work correctly, as this would open the chance for the student to explain if they had any confusion before reacting negatively. If the student was to still leave the classroom and react in the same way, I would allow them space but follow up afterwards by email to arrange a meeting. This would give the student </w:t>
      </w:r>
      <w:r w:rsidRPr="001F6285">
        <w:rPr>
          <w:rFonts w:asciiTheme="minorBidi" w:hAnsiTheme="minorBidi"/>
          <w:sz w:val="24"/>
          <w:szCs w:val="24"/>
        </w:rPr>
        <w:lastRenderedPageBreak/>
        <w:t xml:space="preserve">an opportunity to talk through the situation, whilst also showing care and consistency in supporting the student’s wellbeing. This approach also links to the professional standards around demonstrating commitment to learners’ wellbeing and managing behaviour. </w:t>
      </w:r>
    </w:p>
    <w:p w14:paraId="075C8B10" w14:textId="77777777" w:rsidR="008E531B" w:rsidRPr="001F6285" w:rsidRDefault="008E531B" w:rsidP="008E531B">
      <w:pPr>
        <w:spacing w:line="360" w:lineRule="auto"/>
        <w:rPr>
          <w:rFonts w:asciiTheme="minorBidi" w:hAnsiTheme="minorBidi"/>
          <w:sz w:val="24"/>
          <w:szCs w:val="24"/>
        </w:rPr>
      </w:pPr>
    </w:p>
    <w:p w14:paraId="044FA40E" w14:textId="6F4320BA" w:rsidR="008E531B" w:rsidRPr="001F6285" w:rsidRDefault="008E531B" w:rsidP="008E531B">
      <w:pPr>
        <w:spacing w:line="360" w:lineRule="auto"/>
        <w:rPr>
          <w:rFonts w:asciiTheme="minorBidi" w:hAnsiTheme="minorBidi"/>
          <w:sz w:val="24"/>
          <w:szCs w:val="24"/>
        </w:rPr>
      </w:pPr>
      <w:r w:rsidRPr="001F6285">
        <w:rPr>
          <w:rFonts w:asciiTheme="minorBidi" w:hAnsiTheme="minorBidi"/>
          <w:sz w:val="24"/>
          <w:szCs w:val="24"/>
        </w:rPr>
        <w:t xml:space="preserve">Finally, when reflecting on my own session, I felt that it went well in terms of learner engagement, but I still ran into some behaviour management issues. The aim of my session was to get the third-year students thinking about their future careers in a practical and fun way. I structured the lesson by using a lot of smaller tasks first, such as getting the students to determine their values and their goals and then got them thinking about their ideal careers, breaking it down so it wasn’t such a loaded question. I did this by asking the students to brainstorm their ideal space, place, and what their ideal days looked like. From this I built on it, getting the students to then make a future plan which they could start working on instantly. I felt this scaffolding technique helped to ease any overwhelm the students may have had if I just outright asked them, “What’s your dream job?”, which on reflection is a different purpose to Lecturer A’s reasoning behind using the technique but it still worked in this situation. At the end of the session, I then asked the students to reflect on their answers. Overall, I believe the pacing and the structure worked well. Most tasks flowed into </w:t>
      </w:r>
      <w:r w:rsidR="008A1C18" w:rsidRPr="001F6285">
        <w:rPr>
          <w:rFonts w:asciiTheme="minorBidi" w:hAnsiTheme="minorBidi"/>
          <w:sz w:val="24"/>
          <w:szCs w:val="24"/>
        </w:rPr>
        <w:t>each other</w:t>
      </w:r>
      <w:r w:rsidRPr="001F6285">
        <w:rPr>
          <w:rFonts w:asciiTheme="minorBidi" w:hAnsiTheme="minorBidi"/>
          <w:sz w:val="24"/>
          <w:szCs w:val="24"/>
        </w:rPr>
        <w:t xml:space="preserve"> and the scaffolding of the tasks seemed to help keep the students engaged throughout as well as allowing the students to dig deeper into their answers. Although, I did have some disruption during the session from a specific group of students. These students came into the session, then left again to use the toilet when it was due to start. This caused me to start the session slightly later than planned, disrupting the rest of the class. They interacted with the tasks but wasn’t fully engaged and spent most of the time on their phones, chatting and laughing amongst themselves. This was disruptive. I also had another student sit at the back of the classroom, away from everyone else. This wasn’t disruptive to others, but I was aware how separated this student was so ensured to go and check in throughout the session. I felt on reflection, I could’ve circled the room more, checking in on each student, but at the time felt the table layout prevented this. If I was to do this session again, I would spend extra time preparing the classroom and the table layout to suit the session. I would also ensure to check in with each of the students </w:t>
      </w:r>
      <w:r w:rsidRPr="001F6285">
        <w:rPr>
          <w:rFonts w:asciiTheme="minorBidi" w:hAnsiTheme="minorBidi"/>
          <w:sz w:val="24"/>
          <w:szCs w:val="24"/>
        </w:rPr>
        <w:lastRenderedPageBreak/>
        <w:t xml:space="preserve">individually throughout, to help maintain engagement and answer any questions they may have. This would also allow me to assess the learners throughout to make sure they are understanding the tasks given. This links directly to the professional standard “Critically reflect on my own values, knowledge and skills to improve learning and leadership” as I am adapting my own practice on reflection.  </w:t>
      </w:r>
    </w:p>
    <w:p w14:paraId="7E556C3F" w14:textId="77777777" w:rsidR="008E531B" w:rsidRPr="001F6285" w:rsidRDefault="008E531B" w:rsidP="008E531B">
      <w:pPr>
        <w:spacing w:line="360" w:lineRule="auto"/>
        <w:rPr>
          <w:rFonts w:asciiTheme="minorBidi" w:hAnsiTheme="minorBidi"/>
          <w:sz w:val="24"/>
          <w:szCs w:val="24"/>
        </w:rPr>
      </w:pPr>
    </w:p>
    <w:p w14:paraId="2E26B1D0" w14:textId="77777777" w:rsidR="008E531B" w:rsidRPr="001F6285" w:rsidRDefault="008E531B" w:rsidP="008E531B">
      <w:pPr>
        <w:spacing w:line="360" w:lineRule="auto"/>
        <w:rPr>
          <w:rFonts w:asciiTheme="minorBidi" w:hAnsiTheme="minorBidi"/>
          <w:sz w:val="24"/>
          <w:szCs w:val="24"/>
        </w:rPr>
      </w:pPr>
    </w:p>
    <w:p w14:paraId="1D8034E2" w14:textId="77777777" w:rsidR="008E531B" w:rsidRDefault="008E531B" w:rsidP="008E531B">
      <w:pPr>
        <w:spacing w:line="360" w:lineRule="auto"/>
        <w:rPr>
          <w:rFonts w:asciiTheme="minorBidi" w:hAnsiTheme="minorBidi"/>
          <w:color w:val="000000" w:themeColor="text1"/>
          <w:shd w:val="clear" w:color="auto" w:fill="FFFFFF"/>
        </w:rPr>
      </w:pPr>
    </w:p>
    <w:p w14:paraId="5A797E0B" w14:textId="77777777" w:rsidR="008E531B" w:rsidRDefault="008E531B" w:rsidP="008E531B">
      <w:pPr>
        <w:spacing w:line="360" w:lineRule="auto"/>
        <w:rPr>
          <w:rFonts w:asciiTheme="minorBidi" w:hAnsiTheme="minorBidi"/>
          <w:color w:val="000000" w:themeColor="text1"/>
          <w:shd w:val="clear" w:color="auto" w:fill="FFFFFF"/>
        </w:rPr>
      </w:pPr>
      <w:r>
        <w:rPr>
          <w:rFonts w:asciiTheme="minorBidi" w:hAnsiTheme="minorBidi"/>
          <w:color w:val="000000" w:themeColor="text1"/>
          <w:shd w:val="clear" w:color="auto" w:fill="FFFFFF"/>
        </w:rPr>
        <w:t>Word Count - 2749</w:t>
      </w:r>
    </w:p>
    <w:p w14:paraId="01E551D4" w14:textId="77777777" w:rsidR="008E531B" w:rsidRDefault="008E531B" w:rsidP="008E531B">
      <w:pPr>
        <w:spacing w:line="360" w:lineRule="auto"/>
        <w:rPr>
          <w:rFonts w:asciiTheme="minorBidi" w:hAnsiTheme="minorBidi"/>
          <w:color w:val="000000" w:themeColor="text1"/>
          <w:shd w:val="clear" w:color="auto" w:fill="FFFFFF"/>
        </w:rPr>
      </w:pPr>
    </w:p>
    <w:p w14:paraId="5580DFB9" w14:textId="77777777" w:rsidR="008E531B" w:rsidRDefault="008E531B" w:rsidP="008E531B">
      <w:pPr>
        <w:spacing w:line="360" w:lineRule="auto"/>
        <w:rPr>
          <w:rFonts w:asciiTheme="minorBidi" w:hAnsiTheme="minorBidi"/>
          <w:color w:val="000000" w:themeColor="text1"/>
          <w:shd w:val="clear" w:color="auto" w:fill="FFFFFF"/>
        </w:rPr>
      </w:pPr>
    </w:p>
    <w:p w14:paraId="4C138E68" w14:textId="77777777" w:rsidR="008E531B" w:rsidRDefault="008E531B" w:rsidP="008E531B">
      <w:pPr>
        <w:spacing w:line="360" w:lineRule="auto"/>
        <w:rPr>
          <w:rFonts w:asciiTheme="minorBidi" w:hAnsiTheme="minorBidi"/>
          <w:color w:val="000000" w:themeColor="text1"/>
          <w:shd w:val="clear" w:color="auto" w:fill="FFFFFF"/>
        </w:rPr>
      </w:pPr>
    </w:p>
    <w:p w14:paraId="254B003A" w14:textId="77777777" w:rsidR="008E531B" w:rsidRDefault="008E531B" w:rsidP="008E531B">
      <w:pPr>
        <w:spacing w:line="360" w:lineRule="auto"/>
        <w:rPr>
          <w:rFonts w:asciiTheme="minorBidi" w:hAnsiTheme="minorBidi"/>
          <w:color w:val="000000" w:themeColor="text1"/>
          <w:shd w:val="clear" w:color="auto" w:fill="FFFFFF"/>
        </w:rPr>
      </w:pPr>
    </w:p>
    <w:p w14:paraId="49547FBF" w14:textId="77777777" w:rsidR="008E531B" w:rsidRDefault="008E531B" w:rsidP="008E531B">
      <w:pPr>
        <w:spacing w:line="360" w:lineRule="auto"/>
        <w:rPr>
          <w:rFonts w:asciiTheme="minorBidi" w:hAnsiTheme="minorBidi"/>
          <w:color w:val="000000" w:themeColor="text1"/>
          <w:shd w:val="clear" w:color="auto" w:fill="FFFFFF"/>
        </w:rPr>
      </w:pPr>
    </w:p>
    <w:p w14:paraId="49B59196" w14:textId="77777777" w:rsidR="008E531B" w:rsidRDefault="008E531B" w:rsidP="008E531B">
      <w:pPr>
        <w:spacing w:line="360" w:lineRule="auto"/>
        <w:rPr>
          <w:rFonts w:asciiTheme="minorBidi" w:hAnsiTheme="minorBidi"/>
          <w:color w:val="000000" w:themeColor="text1"/>
          <w:shd w:val="clear" w:color="auto" w:fill="FFFFFF"/>
        </w:rPr>
      </w:pPr>
    </w:p>
    <w:p w14:paraId="559F011B" w14:textId="77777777" w:rsidR="008E531B" w:rsidRPr="001F6285" w:rsidRDefault="008E531B" w:rsidP="008E531B">
      <w:pPr>
        <w:spacing w:line="360" w:lineRule="auto"/>
        <w:rPr>
          <w:rFonts w:asciiTheme="minorBidi" w:hAnsiTheme="minorBidi"/>
          <w:color w:val="000000" w:themeColor="text1"/>
          <w:sz w:val="24"/>
          <w:szCs w:val="24"/>
          <w:shd w:val="clear" w:color="auto" w:fill="FFFFFF"/>
        </w:rPr>
      </w:pPr>
    </w:p>
    <w:p w14:paraId="33249030"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0003D01C"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5253CF7B"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0D954374"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441E0EFD"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20C98B76"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3AF94BB0"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180CD236"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11872C9D" w14:textId="77777777" w:rsidR="008E531B"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p>
    <w:p w14:paraId="32D3FA8B" w14:textId="3E0918E4" w:rsidR="008E531B" w:rsidRPr="008E531B" w:rsidRDefault="008E531B" w:rsidP="008E531B">
      <w:pPr>
        <w:spacing w:before="100" w:beforeAutospacing="1" w:after="100" w:afterAutospacing="1" w:line="360" w:lineRule="auto"/>
        <w:jc w:val="center"/>
        <w:rPr>
          <w:rFonts w:asciiTheme="minorBidi" w:eastAsia="Times New Roman" w:hAnsiTheme="minorBidi"/>
          <w:b/>
          <w:bCs/>
          <w:color w:val="000000" w:themeColor="text1"/>
          <w:lang w:eastAsia="en-GB"/>
        </w:rPr>
      </w:pPr>
      <w:r w:rsidRPr="008E531B">
        <w:rPr>
          <w:rFonts w:asciiTheme="minorBidi" w:eastAsia="Times New Roman" w:hAnsiTheme="minorBidi"/>
          <w:b/>
          <w:bCs/>
          <w:color w:val="000000" w:themeColor="text1"/>
          <w:lang w:eastAsia="en-GB"/>
        </w:rPr>
        <w:lastRenderedPageBreak/>
        <w:t>Reference</w:t>
      </w:r>
      <w:r>
        <w:rPr>
          <w:rFonts w:asciiTheme="minorBidi" w:eastAsia="Times New Roman" w:hAnsiTheme="minorBidi"/>
          <w:b/>
          <w:bCs/>
          <w:color w:val="000000" w:themeColor="text1"/>
          <w:lang w:eastAsia="en-GB"/>
        </w:rPr>
        <w:t>s</w:t>
      </w:r>
    </w:p>
    <w:p w14:paraId="4FFA4BF0" w14:textId="0C22EC68" w:rsidR="008E531B" w:rsidRPr="001F6285"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r w:rsidRPr="001F6285">
        <w:rPr>
          <w:rFonts w:asciiTheme="minorBidi" w:eastAsia="Times New Roman" w:hAnsiTheme="minorBidi"/>
          <w:color w:val="000000" w:themeColor="text1"/>
          <w:lang w:eastAsia="en-GB"/>
        </w:rPr>
        <w:t xml:space="preserve">Brophy, J. (2010) </w:t>
      </w:r>
      <w:r w:rsidRPr="001F6285">
        <w:rPr>
          <w:rFonts w:asciiTheme="minorBidi" w:eastAsia="Times New Roman" w:hAnsiTheme="minorBidi"/>
          <w:i/>
          <w:iCs/>
          <w:color w:val="000000" w:themeColor="text1"/>
          <w:lang w:eastAsia="en-GB"/>
        </w:rPr>
        <w:t>Motivating students to learn</w:t>
      </w:r>
      <w:r w:rsidRPr="001F6285">
        <w:rPr>
          <w:rFonts w:asciiTheme="minorBidi" w:eastAsia="Times New Roman" w:hAnsiTheme="minorBidi"/>
          <w:color w:val="000000" w:themeColor="text1"/>
          <w:lang w:eastAsia="en-GB"/>
        </w:rPr>
        <w:t>. 2nd edn. New York: Routledge.</w:t>
      </w:r>
    </w:p>
    <w:p w14:paraId="50401BF0" w14:textId="77777777" w:rsidR="008E531B" w:rsidRPr="001F6285"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r w:rsidRPr="001F6285">
        <w:rPr>
          <w:rFonts w:asciiTheme="minorBidi" w:eastAsia="Times New Roman" w:hAnsiTheme="minorBidi"/>
          <w:color w:val="000000" w:themeColor="text1"/>
          <w:lang w:eastAsia="en-GB"/>
        </w:rPr>
        <w:t xml:space="preserve">GOV.UK (2010) </w:t>
      </w:r>
      <w:r w:rsidRPr="001F6285">
        <w:rPr>
          <w:rFonts w:asciiTheme="minorBidi" w:eastAsia="Times New Roman" w:hAnsiTheme="minorBidi"/>
          <w:i/>
          <w:iCs/>
          <w:color w:val="000000" w:themeColor="text1"/>
          <w:lang w:eastAsia="en-GB"/>
        </w:rPr>
        <w:t>Equality Act 2010</w:t>
      </w:r>
      <w:r w:rsidRPr="001F6285">
        <w:rPr>
          <w:rFonts w:asciiTheme="minorBidi" w:eastAsia="Times New Roman" w:hAnsiTheme="minorBidi"/>
          <w:color w:val="000000" w:themeColor="text1"/>
          <w:lang w:eastAsia="en-GB"/>
        </w:rPr>
        <w:t xml:space="preserve">. Available at: </w:t>
      </w:r>
      <w:hyperlink r:id="rId7" w:history="1">
        <w:r w:rsidRPr="001F6285">
          <w:rPr>
            <w:rFonts w:asciiTheme="minorBidi" w:eastAsia="Times New Roman" w:hAnsiTheme="minorBidi"/>
            <w:color w:val="000000" w:themeColor="text1"/>
            <w:u w:val="single"/>
            <w:lang w:eastAsia="en-GB"/>
          </w:rPr>
          <w:t>https://www.legislation.gov.uk/ukpga/2010/15/contents</w:t>
        </w:r>
      </w:hyperlink>
      <w:r w:rsidRPr="001F6285">
        <w:rPr>
          <w:rFonts w:asciiTheme="minorBidi" w:eastAsia="Times New Roman" w:hAnsiTheme="minorBidi"/>
          <w:color w:val="000000" w:themeColor="text1"/>
          <w:lang w:eastAsia="en-GB"/>
        </w:rPr>
        <w:t xml:space="preserve"> (Accessed: 22 May 2026).</w:t>
      </w:r>
    </w:p>
    <w:p w14:paraId="467CB9A7" w14:textId="77777777" w:rsidR="008E531B" w:rsidRPr="001F6285"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r w:rsidRPr="001F6285">
        <w:rPr>
          <w:rFonts w:asciiTheme="minorBidi" w:eastAsia="Times New Roman" w:hAnsiTheme="minorBidi"/>
          <w:color w:val="000000" w:themeColor="text1"/>
          <w:lang w:eastAsia="en-GB"/>
        </w:rPr>
        <w:t xml:space="preserve">Lebor, M. (2017) </w:t>
      </w:r>
      <w:r w:rsidRPr="001F6285">
        <w:rPr>
          <w:rFonts w:asciiTheme="minorBidi" w:eastAsia="Times New Roman" w:hAnsiTheme="minorBidi"/>
          <w:i/>
          <w:iCs/>
          <w:color w:val="000000" w:themeColor="text1"/>
          <w:lang w:eastAsia="en-GB"/>
        </w:rPr>
        <w:t>Classroom behaviour management in the post-school sector: Student and teacher perspectives on the battle against being educated</w:t>
      </w:r>
      <w:r w:rsidRPr="001F6285">
        <w:rPr>
          <w:rFonts w:asciiTheme="minorBidi" w:eastAsia="Times New Roman" w:hAnsiTheme="minorBidi"/>
          <w:color w:val="000000" w:themeColor="text1"/>
          <w:lang w:eastAsia="en-GB"/>
        </w:rPr>
        <w:t>. Cham: Springer International Publishing AG. Available at: ProQuest Ebook Central (Accessed: 22 May 2026).</w:t>
      </w:r>
    </w:p>
    <w:p w14:paraId="39EB11FC" w14:textId="77777777" w:rsidR="008E531B" w:rsidRPr="001F6285"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r w:rsidRPr="001F6285">
        <w:rPr>
          <w:rFonts w:asciiTheme="minorBidi" w:eastAsia="Times New Roman" w:hAnsiTheme="minorBidi"/>
          <w:color w:val="000000" w:themeColor="text1"/>
          <w:lang w:eastAsia="en-GB"/>
        </w:rPr>
        <w:t xml:space="preserve">Maslow, A.H. (1987) </w:t>
      </w:r>
      <w:r w:rsidRPr="001F6285">
        <w:rPr>
          <w:rFonts w:asciiTheme="minorBidi" w:eastAsia="Times New Roman" w:hAnsiTheme="minorBidi"/>
          <w:i/>
          <w:iCs/>
          <w:color w:val="000000" w:themeColor="text1"/>
          <w:lang w:eastAsia="en-GB"/>
        </w:rPr>
        <w:t>Motivation and personality</w:t>
      </w:r>
      <w:r w:rsidRPr="001F6285">
        <w:rPr>
          <w:rFonts w:asciiTheme="minorBidi" w:eastAsia="Times New Roman" w:hAnsiTheme="minorBidi"/>
          <w:color w:val="000000" w:themeColor="text1"/>
          <w:lang w:eastAsia="en-GB"/>
        </w:rPr>
        <w:t>. New York: Harper and Row.</w:t>
      </w:r>
    </w:p>
    <w:p w14:paraId="0A1DD3FB" w14:textId="77777777" w:rsidR="008E531B" w:rsidRPr="001F6285"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r w:rsidRPr="001F6285">
        <w:rPr>
          <w:rFonts w:asciiTheme="minorBidi" w:eastAsia="Times New Roman" w:hAnsiTheme="minorBidi"/>
          <w:color w:val="000000" w:themeColor="text1"/>
          <w:lang w:eastAsia="en-GB"/>
        </w:rPr>
        <w:t xml:space="preserve">Wong, H.K. (2009) </w:t>
      </w:r>
      <w:r w:rsidRPr="001F6285">
        <w:rPr>
          <w:rFonts w:asciiTheme="minorBidi" w:eastAsia="Times New Roman" w:hAnsiTheme="minorBidi"/>
          <w:i/>
          <w:iCs/>
          <w:color w:val="000000" w:themeColor="text1"/>
          <w:lang w:eastAsia="en-GB"/>
        </w:rPr>
        <w:t>The first days of school: How to be an effective teacher</w:t>
      </w:r>
      <w:r w:rsidRPr="001F6285">
        <w:rPr>
          <w:rFonts w:asciiTheme="minorBidi" w:eastAsia="Times New Roman" w:hAnsiTheme="minorBidi"/>
          <w:color w:val="000000" w:themeColor="text1"/>
          <w:lang w:eastAsia="en-GB"/>
        </w:rPr>
        <w:t>. Mountain View: Harry K. Wong Publications.</w:t>
      </w:r>
    </w:p>
    <w:p w14:paraId="3559F915" w14:textId="77777777" w:rsidR="008E531B" w:rsidRPr="001F6285"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r w:rsidRPr="001F6285">
        <w:rPr>
          <w:rFonts w:asciiTheme="minorBidi" w:eastAsia="Times New Roman" w:hAnsiTheme="minorBidi"/>
          <w:color w:val="000000" w:themeColor="text1"/>
          <w:lang w:eastAsia="en-GB"/>
        </w:rPr>
        <w:t xml:space="preserve">Welsh Government (2018) </w:t>
      </w:r>
      <w:r w:rsidRPr="001F6285">
        <w:rPr>
          <w:rFonts w:asciiTheme="minorBidi" w:eastAsia="Times New Roman" w:hAnsiTheme="minorBidi"/>
          <w:i/>
          <w:iCs/>
          <w:color w:val="000000" w:themeColor="text1"/>
          <w:lang w:eastAsia="en-GB"/>
        </w:rPr>
        <w:t>Additional Learning Needs and Education Tribunal (Wales) Act 2018</w:t>
      </w:r>
      <w:r w:rsidRPr="001F6285">
        <w:rPr>
          <w:rFonts w:asciiTheme="minorBidi" w:eastAsia="Times New Roman" w:hAnsiTheme="minorBidi"/>
          <w:color w:val="000000" w:themeColor="text1"/>
          <w:lang w:eastAsia="en-GB"/>
        </w:rPr>
        <w:t xml:space="preserve">. Available at: </w:t>
      </w:r>
      <w:hyperlink r:id="rId8" w:history="1">
        <w:r w:rsidRPr="001F6285">
          <w:rPr>
            <w:rFonts w:asciiTheme="minorBidi" w:eastAsia="Times New Roman" w:hAnsiTheme="minorBidi"/>
            <w:color w:val="000000" w:themeColor="text1"/>
            <w:u w:val="single"/>
            <w:lang w:eastAsia="en-GB"/>
          </w:rPr>
          <w:t>https://www.legislation.gov.uk/anaw/2018/2/contents</w:t>
        </w:r>
      </w:hyperlink>
      <w:r w:rsidRPr="001F6285">
        <w:rPr>
          <w:rFonts w:asciiTheme="minorBidi" w:eastAsia="Times New Roman" w:hAnsiTheme="minorBidi"/>
          <w:color w:val="000000" w:themeColor="text1"/>
          <w:lang w:eastAsia="en-GB"/>
        </w:rPr>
        <w:t xml:space="preserve"> (Accessed: 22 May 2026).</w:t>
      </w:r>
    </w:p>
    <w:p w14:paraId="57B57D9C" w14:textId="77777777" w:rsidR="008E531B" w:rsidRPr="001F6285" w:rsidRDefault="008E531B" w:rsidP="008E531B">
      <w:pPr>
        <w:spacing w:before="100" w:beforeAutospacing="1" w:after="100" w:afterAutospacing="1" w:line="360" w:lineRule="auto"/>
        <w:rPr>
          <w:rFonts w:asciiTheme="minorBidi" w:eastAsia="Times New Roman" w:hAnsiTheme="minorBidi"/>
          <w:color w:val="000000" w:themeColor="text1"/>
          <w:lang w:eastAsia="en-GB"/>
        </w:rPr>
      </w:pPr>
      <w:r w:rsidRPr="001F6285">
        <w:rPr>
          <w:rFonts w:asciiTheme="minorBidi" w:eastAsia="Times New Roman" w:hAnsiTheme="minorBidi"/>
          <w:color w:val="000000" w:themeColor="text1"/>
          <w:lang w:eastAsia="en-GB"/>
        </w:rPr>
        <w:t xml:space="preserve">Advance HE Governance Team (2025) </w:t>
      </w:r>
      <w:r w:rsidRPr="001F6285">
        <w:rPr>
          <w:rFonts w:asciiTheme="minorBidi" w:eastAsia="Times New Roman" w:hAnsiTheme="minorBidi"/>
          <w:i/>
          <w:iCs/>
          <w:color w:val="000000" w:themeColor="text1"/>
          <w:lang w:eastAsia="en-GB"/>
        </w:rPr>
        <w:t>Medr: Regulatory Framework</w:t>
      </w:r>
      <w:r w:rsidRPr="001F6285">
        <w:rPr>
          <w:rFonts w:asciiTheme="minorBidi" w:eastAsia="Times New Roman" w:hAnsiTheme="minorBidi"/>
          <w:color w:val="000000" w:themeColor="text1"/>
          <w:lang w:eastAsia="en-GB"/>
        </w:rPr>
        <w:t xml:space="preserve">. Available at: </w:t>
      </w:r>
      <w:hyperlink r:id="rId9" w:history="1">
        <w:r w:rsidRPr="001F6285">
          <w:rPr>
            <w:rFonts w:asciiTheme="minorBidi" w:eastAsia="Times New Roman" w:hAnsiTheme="minorBidi"/>
            <w:color w:val="000000" w:themeColor="text1"/>
            <w:u w:val="single"/>
            <w:lang w:eastAsia="en-GB"/>
          </w:rPr>
          <w:t>https://www.advance-he.ac.uk/knowledge-hub/medr-regulatory-framework</w:t>
        </w:r>
      </w:hyperlink>
      <w:r w:rsidRPr="001F6285">
        <w:rPr>
          <w:rFonts w:asciiTheme="minorBidi" w:eastAsia="Times New Roman" w:hAnsiTheme="minorBidi"/>
          <w:color w:val="000000" w:themeColor="text1"/>
          <w:lang w:eastAsia="en-GB"/>
        </w:rPr>
        <w:t xml:space="preserve"> (Accessed: 22 May 2026).</w:t>
      </w:r>
    </w:p>
    <w:bookmarkEnd w:id="0"/>
    <w:p w14:paraId="3EAE3D8F" w14:textId="0A1431D1" w:rsidR="004B33A7" w:rsidRDefault="008E531B" w:rsidP="008E531B">
      <w:pPr>
        <w:jc w:val="center"/>
        <w:rPr>
          <w:rFonts w:asciiTheme="minorBidi" w:hAnsiTheme="minorBidi"/>
          <w:b/>
          <w:bCs/>
          <w:sz w:val="24"/>
          <w:szCs w:val="24"/>
        </w:rPr>
      </w:pPr>
      <w:r w:rsidRPr="008E531B">
        <w:rPr>
          <w:rFonts w:asciiTheme="minorBidi" w:hAnsiTheme="minorBidi"/>
          <w:b/>
          <w:bCs/>
          <w:sz w:val="24"/>
          <w:szCs w:val="24"/>
        </w:rPr>
        <w:t>Appendi</w:t>
      </w:r>
      <w:r>
        <w:rPr>
          <w:rFonts w:asciiTheme="minorBidi" w:hAnsiTheme="minorBidi"/>
          <w:b/>
          <w:bCs/>
          <w:sz w:val="24"/>
          <w:szCs w:val="24"/>
        </w:rPr>
        <w:t>ces</w:t>
      </w:r>
    </w:p>
    <w:p w14:paraId="6504BDE6" w14:textId="3BE83B39" w:rsidR="00311E9C" w:rsidRDefault="00311E9C" w:rsidP="008A1C18">
      <w:pPr>
        <w:rPr>
          <w:rFonts w:asciiTheme="minorBidi" w:hAnsiTheme="minorBidi"/>
          <w:b/>
          <w:bCs/>
          <w:sz w:val="24"/>
          <w:szCs w:val="24"/>
        </w:rPr>
      </w:pPr>
      <w:r>
        <w:rPr>
          <w:rFonts w:asciiTheme="minorBidi" w:hAnsiTheme="minorBidi"/>
          <w:b/>
          <w:bCs/>
          <w:sz w:val="24"/>
          <w:szCs w:val="24"/>
        </w:rPr>
        <w:t>Appendix 1 – Lecturer A observation form</w:t>
      </w:r>
    </w:p>
    <w:p w14:paraId="22897358" w14:textId="77777777" w:rsidR="00311E9C" w:rsidRDefault="00311E9C">
      <w:pPr>
        <w:spacing w:line="278" w:lineRule="auto"/>
        <w:rPr>
          <w:rFonts w:asciiTheme="minorBidi" w:hAnsiTheme="minorBidi"/>
          <w:b/>
          <w:bCs/>
          <w:sz w:val="24"/>
          <w:szCs w:val="24"/>
        </w:rPr>
      </w:pPr>
      <w:r>
        <w:rPr>
          <w:rFonts w:asciiTheme="minorBidi" w:hAnsiTheme="minorBidi"/>
          <w:b/>
          <w:bCs/>
          <w:sz w:val="24"/>
          <w:szCs w:val="24"/>
        </w:rPr>
        <w:br w:type="page"/>
      </w:r>
    </w:p>
    <w:bookmarkStart w:id="6" w:name="_MON_1841517369"/>
    <w:bookmarkEnd w:id="6"/>
    <w:p w14:paraId="178B29DE" w14:textId="54C76D6C" w:rsidR="00311E9C" w:rsidRDefault="00186C8B" w:rsidP="008E531B">
      <w:pPr>
        <w:jc w:val="center"/>
        <w:rPr>
          <w:rFonts w:asciiTheme="minorBidi" w:hAnsiTheme="minorBidi"/>
          <w:b/>
          <w:bCs/>
          <w:sz w:val="24"/>
          <w:szCs w:val="24"/>
        </w:rPr>
      </w:pPr>
      <w:r w:rsidRPr="00186C8B">
        <w:rPr>
          <w:rFonts w:asciiTheme="minorBidi" w:hAnsiTheme="minorBidi"/>
          <w:b/>
          <w:bCs/>
          <w:noProof/>
          <w:sz w:val="24"/>
          <w:szCs w:val="24"/>
          <w14:ligatures w14:val="standardContextual"/>
        </w:rPr>
        <w:object w:dxaOrig="10160" w:dyaOrig="13720" w14:anchorId="762594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508.4pt;height:685.75pt;mso-width-percent:0;mso-height-percent:0;mso-width-percent:0;mso-height-percent:0" o:ole="">
            <v:imagedata r:id="rId10" o:title=""/>
          </v:shape>
          <o:OLEObject Type="Embed" ProgID="Word.Document.12" ShapeID="_x0000_i1027" DrawAspect="Content" ObjectID="_1841520023" r:id="rId11">
            <o:FieldCodes>\s</o:FieldCodes>
          </o:OLEObject>
        </w:object>
      </w:r>
    </w:p>
    <w:p w14:paraId="272C24C5" w14:textId="198B90C7" w:rsidR="00311E9C" w:rsidRDefault="00311E9C">
      <w:pPr>
        <w:spacing w:line="278" w:lineRule="auto"/>
        <w:rPr>
          <w:rFonts w:asciiTheme="minorBidi" w:hAnsiTheme="minorBidi"/>
          <w:b/>
          <w:bCs/>
          <w:sz w:val="24"/>
          <w:szCs w:val="24"/>
        </w:rPr>
      </w:pPr>
      <w:r>
        <w:rPr>
          <w:rFonts w:asciiTheme="minorBidi" w:hAnsiTheme="minorBidi"/>
          <w:b/>
          <w:bCs/>
          <w:sz w:val="24"/>
          <w:szCs w:val="24"/>
        </w:rPr>
        <w:br w:type="page"/>
      </w:r>
      <w:r>
        <w:rPr>
          <w:rFonts w:asciiTheme="minorBidi" w:hAnsiTheme="minorBidi"/>
          <w:b/>
          <w:bCs/>
          <w:sz w:val="24"/>
          <w:szCs w:val="24"/>
        </w:rPr>
        <w:lastRenderedPageBreak/>
        <w:t>Appendix 2 – Lecturer B observation form</w:t>
      </w:r>
      <w:bookmarkStart w:id="7" w:name="_MON_1841517703"/>
      <w:bookmarkEnd w:id="7"/>
      <w:r w:rsidR="00186C8B" w:rsidRPr="00186C8B">
        <w:rPr>
          <w:rFonts w:asciiTheme="minorBidi" w:hAnsiTheme="minorBidi"/>
          <w:b/>
          <w:bCs/>
          <w:noProof/>
          <w:sz w:val="24"/>
          <w:szCs w:val="24"/>
          <w14:ligatures w14:val="standardContextual"/>
        </w:rPr>
        <w:object w:dxaOrig="9760" w:dyaOrig="13720" w14:anchorId="044D1F8F">
          <v:shape id="_x0000_i1026" type="#_x0000_t75" alt="" style="width:487.3pt;height:685.75pt;mso-width-percent:0;mso-height-percent:0;mso-width-percent:0;mso-height-percent:0" o:ole="">
            <v:imagedata r:id="rId12" o:title=""/>
          </v:shape>
          <o:OLEObject Type="Embed" ProgID="Word.Document.12" ShapeID="_x0000_i1026" DrawAspect="Content" ObjectID="_1841520024" r:id="rId13">
            <o:FieldCodes>\s</o:FieldCodes>
          </o:OLEObject>
        </w:object>
      </w:r>
    </w:p>
    <w:p w14:paraId="33DAFD1E" w14:textId="1BF4CDE5" w:rsidR="00311E9C" w:rsidRDefault="00311E9C" w:rsidP="008E531B">
      <w:pPr>
        <w:jc w:val="center"/>
        <w:rPr>
          <w:rFonts w:asciiTheme="minorBidi" w:hAnsiTheme="minorBidi"/>
          <w:b/>
          <w:bCs/>
          <w:sz w:val="24"/>
          <w:szCs w:val="24"/>
        </w:rPr>
      </w:pPr>
    </w:p>
    <w:p w14:paraId="688B00AF" w14:textId="767E643E" w:rsidR="00311E9C" w:rsidRDefault="00311E9C">
      <w:pPr>
        <w:spacing w:line="278" w:lineRule="auto"/>
        <w:rPr>
          <w:rFonts w:asciiTheme="minorBidi" w:hAnsiTheme="minorBidi"/>
          <w:b/>
          <w:bCs/>
          <w:sz w:val="24"/>
          <w:szCs w:val="24"/>
        </w:rPr>
      </w:pPr>
      <w:r>
        <w:rPr>
          <w:rFonts w:asciiTheme="minorBidi" w:hAnsiTheme="minorBidi"/>
          <w:b/>
          <w:bCs/>
          <w:sz w:val="24"/>
          <w:szCs w:val="24"/>
        </w:rPr>
        <w:br w:type="page"/>
      </w:r>
    </w:p>
    <w:p w14:paraId="748454BB" w14:textId="00F55232" w:rsidR="008E531B" w:rsidRDefault="008E531B" w:rsidP="008A1C18">
      <w:pPr>
        <w:rPr>
          <w:rFonts w:asciiTheme="minorBidi" w:hAnsiTheme="minorBidi"/>
          <w:b/>
          <w:bCs/>
          <w:sz w:val="24"/>
          <w:szCs w:val="24"/>
        </w:rPr>
      </w:pPr>
    </w:p>
    <w:p w14:paraId="0DF17790" w14:textId="77777777" w:rsidR="00311E9C" w:rsidRDefault="00311E9C" w:rsidP="008A1C18">
      <w:pPr>
        <w:rPr>
          <w:rFonts w:asciiTheme="minorBidi" w:hAnsiTheme="minorBidi"/>
          <w:b/>
          <w:bCs/>
          <w:sz w:val="24"/>
          <w:szCs w:val="24"/>
        </w:rPr>
      </w:pPr>
      <w:r>
        <w:rPr>
          <w:rFonts w:asciiTheme="minorBidi" w:hAnsiTheme="minorBidi"/>
          <w:b/>
          <w:bCs/>
          <w:sz w:val="24"/>
          <w:szCs w:val="24"/>
        </w:rPr>
        <w:t>Appendix 3 – Own lesson plan</w:t>
      </w:r>
    </w:p>
    <w:bookmarkStart w:id="8" w:name="_MON_1841517752"/>
    <w:bookmarkEnd w:id="8"/>
    <w:p w14:paraId="0B94E856" w14:textId="4054D5FF" w:rsidR="00311E9C" w:rsidRDefault="00186C8B">
      <w:pPr>
        <w:spacing w:line="278" w:lineRule="auto"/>
        <w:rPr>
          <w:rFonts w:asciiTheme="minorBidi" w:hAnsiTheme="minorBidi"/>
          <w:b/>
          <w:bCs/>
          <w:sz w:val="24"/>
          <w:szCs w:val="24"/>
        </w:rPr>
      </w:pPr>
      <w:r w:rsidRPr="00186C8B">
        <w:rPr>
          <w:rFonts w:asciiTheme="minorBidi" w:hAnsiTheme="minorBidi"/>
          <w:b/>
          <w:bCs/>
          <w:noProof/>
          <w:sz w:val="24"/>
          <w:szCs w:val="24"/>
          <w14:ligatures w14:val="standardContextual"/>
        </w:rPr>
        <w:object w:dxaOrig="9020" w:dyaOrig="12120" w14:anchorId="003013A5">
          <v:shape id="_x0000_i1025" type="#_x0000_t75" alt="" style="width:451.3pt;height:605.85pt;mso-width-percent:0;mso-height-percent:0;mso-width-percent:0;mso-height-percent:0" o:ole="">
            <v:imagedata r:id="rId14" o:title=""/>
          </v:shape>
          <o:OLEObject Type="Embed" ProgID="Word.Document.12" ShapeID="_x0000_i1025" DrawAspect="Content" ObjectID="_1841520025" r:id="rId15">
            <o:FieldCodes>\s</o:FieldCodes>
          </o:OLEObject>
        </w:object>
      </w:r>
      <w:r w:rsidR="00311E9C">
        <w:rPr>
          <w:rFonts w:asciiTheme="minorBidi" w:hAnsiTheme="minorBidi"/>
          <w:b/>
          <w:bCs/>
          <w:sz w:val="24"/>
          <w:szCs w:val="24"/>
        </w:rPr>
        <w:br w:type="page"/>
      </w:r>
    </w:p>
    <w:p w14:paraId="60C7350C" w14:textId="17BEEC9B" w:rsidR="00311E9C" w:rsidRDefault="00311E9C" w:rsidP="008A1C18">
      <w:pPr>
        <w:rPr>
          <w:rFonts w:asciiTheme="minorBidi" w:hAnsiTheme="minorBidi"/>
          <w:b/>
          <w:bCs/>
          <w:sz w:val="24"/>
          <w:szCs w:val="24"/>
        </w:rPr>
      </w:pPr>
      <w:r>
        <w:rPr>
          <w:rFonts w:asciiTheme="minorBidi" w:hAnsiTheme="minorBidi"/>
          <w:b/>
          <w:bCs/>
          <w:sz w:val="24"/>
          <w:szCs w:val="24"/>
        </w:rPr>
        <w:lastRenderedPageBreak/>
        <w:t xml:space="preserve">Appendix 4 – SMART Action Plan </w:t>
      </w:r>
    </w:p>
    <w:p w14:paraId="367A56DB" w14:textId="6EF4B453" w:rsidR="00311E9C" w:rsidRDefault="00311E9C">
      <w:pPr>
        <w:spacing w:line="278" w:lineRule="auto"/>
        <w:rPr>
          <w:rFonts w:asciiTheme="minorBidi" w:hAnsiTheme="minorBidi"/>
          <w:b/>
          <w:bCs/>
          <w:sz w:val="24"/>
          <w:szCs w:val="24"/>
        </w:rPr>
      </w:pPr>
      <w:r>
        <w:rPr>
          <w:rFonts w:asciiTheme="minorBidi" w:hAnsiTheme="minorBidi"/>
          <w:b/>
          <w:bCs/>
          <w:sz w:val="24"/>
          <w:szCs w:val="24"/>
        </w:rPr>
        <w:br w:type="page"/>
      </w:r>
    </w:p>
    <w:tbl>
      <w:tblPr>
        <w:tblStyle w:val="TableGrid"/>
        <w:tblW w:w="11580" w:type="dxa"/>
        <w:tblInd w:w="-1286" w:type="dxa"/>
        <w:tblLook w:val="04A0" w:firstRow="1" w:lastRow="0" w:firstColumn="1" w:lastColumn="0" w:noHBand="0" w:noVBand="1"/>
      </w:tblPr>
      <w:tblGrid>
        <w:gridCol w:w="1537"/>
        <w:gridCol w:w="1630"/>
        <w:gridCol w:w="1537"/>
        <w:gridCol w:w="1684"/>
        <w:gridCol w:w="1803"/>
        <w:gridCol w:w="1537"/>
        <w:gridCol w:w="1910"/>
      </w:tblGrid>
      <w:tr w:rsidR="003F7852" w14:paraId="597FCA05" w14:textId="652FAFC8" w:rsidTr="003F7852">
        <w:trPr>
          <w:trHeight w:val="597"/>
        </w:trPr>
        <w:tc>
          <w:tcPr>
            <w:tcW w:w="1643" w:type="dxa"/>
          </w:tcPr>
          <w:p w14:paraId="752B28FA" w14:textId="06B6C09F" w:rsidR="003F7852" w:rsidRDefault="003F7852" w:rsidP="008E531B">
            <w:pPr>
              <w:jc w:val="center"/>
              <w:rPr>
                <w:rFonts w:asciiTheme="minorBidi" w:hAnsiTheme="minorBidi"/>
                <w:b/>
                <w:bCs/>
                <w:sz w:val="24"/>
                <w:szCs w:val="24"/>
              </w:rPr>
            </w:pPr>
            <w:r>
              <w:rPr>
                <w:rFonts w:asciiTheme="minorBidi" w:hAnsiTheme="minorBidi"/>
                <w:b/>
                <w:bCs/>
                <w:sz w:val="24"/>
                <w:szCs w:val="24"/>
              </w:rPr>
              <w:lastRenderedPageBreak/>
              <w:t>Target</w:t>
            </w:r>
          </w:p>
        </w:tc>
        <w:tc>
          <w:tcPr>
            <w:tcW w:w="1647" w:type="dxa"/>
          </w:tcPr>
          <w:p w14:paraId="13CFFC41" w14:textId="3C770F3E" w:rsidR="003F7852" w:rsidRDefault="003F7852" w:rsidP="008E531B">
            <w:pPr>
              <w:jc w:val="center"/>
              <w:rPr>
                <w:rFonts w:asciiTheme="minorBidi" w:hAnsiTheme="minorBidi"/>
                <w:b/>
                <w:bCs/>
                <w:sz w:val="24"/>
                <w:szCs w:val="24"/>
              </w:rPr>
            </w:pPr>
            <w:r>
              <w:rPr>
                <w:rFonts w:asciiTheme="minorBidi" w:hAnsiTheme="minorBidi"/>
                <w:b/>
                <w:bCs/>
                <w:sz w:val="24"/>
                <w:szCs w:val="24"/>
              </w:rPr>
              <w:t>Specific</w:t>
            </w:r>
          </w:p>
        </w:tc>
        <w:tc>
          <w:tcPr>
            <w:tcW w:w="1694" w:type="dxa"/>
          </w:tcPr>
          <w:p w14:paraId="2D0CFFA3" w14:textId="661A35A6" w:rsidR="003F7852" w:rsidRDefault="003F7852" w:rsidP="008E531B">
            <w:pPr>
              <w:jc w:val="center"/>
              <w:rPr>
                <w:rFonts w:asciiTheme="minorBidi" w:hAnsiTheme="minorBidi"/>
                <w:b/>
                <w:bCs/>
                <w:sz w:val="24"/>
                <w:szCs w:val="24"/>
              </w:rPr>
            </w:pPr>
            <w:r>
              <w:rPr>
                <w:rFonts w:asciiTheme="minorBidi" w:hAnsiTheme="minorBidi"/>
                <w:b/>
                <w:bCs/>
                <w:sz w:val="24"/>
                <w:szCs w:val="24"/>
              </w:rPr>
              <w:t>Measurable</w:t>
            </w:r>
          </w:p>
        </w:tc>
        <w:tc>
          <w:tcPr>
            <w:tcW w:w="1656" w:type="dxa"/>
          </w:tcPr>
          <w:p w14:paraId="66B7E8A1" w14:textId="28F02786" w:rsidR="003F7852" w:rsidRDefault="003F7852" w:rsidP="008E531B">
            <w:pPr>
              <w:jc w:val="center"/>
              <w:rPr>
                <w:rFonts w:asciiTheme="minorBidi" w:hAnsiTheme="minorBidi"/>
                <w:b/>
                <w:bCs/>
                <w:sz w:val="24"/>
                <w:szCs w:val="24"/>
              </w:rPr>
            </w:pPr>
            <w:r>
              <w:rPr>
                <w:rFonts w:asciiTheme="minorBidi" w:hAnsiTheme="minorBidi"/>
                <w:b/>
                <w:bCs/>
                <w:sz w:val="24"/>
                <w:szCs w:val="24"/>
              </w:rPr>
              <w:t>Achievable</w:t>
            </w:r>
          </w:p>
        </w:tc>
        <w:tc>
          <w:tcPr>
            <w:tcW w:w="1650" w:type="dxa"/>
          </w:tcPr>
          <w:p w14:paraId="38644F37" w14:textId="21F58C34" w:rsidR="003F7852" w:rsidRDefault="003F7852" w:rsidP="008E531B">
            <w:pPr>
              <w:jc w:val="center"/>
              <w:rPr>
                <w:rFonts w:asciiTheme="minorBidi" w:hAnsiTheme="minorBidi"/>
                <w:b/>
                <w:bCs/>
                <w:sz w:val="24"/>
                <w:szCs w:val="24"/>
              </w:rPr>
            </w:pPr>
            <w:r>
              <w:rPr>
                <w:rFonts w:asciiTheme="minorBidi" w:hAnsiTheme="minorBidi"/>
                <w:b/>
                <w:bCs/>
                <w:sz w:val="24"/>
                <w:szCs w:val="24"/>
              </w:rPr>
              <w:t>Relevent</w:t>
            </w:r>
          </w:p>
        </w:tc>
        <w:tc>
          <w:tcPr>
            <w:tcW w:w="1645" w:type="dxa"/>
          </w:tcPr>
          <w:p w14:paraId="7B3FCBF1" w14:textId="119D01FB" w:rsidR="003F7852" w:rsidRDefault="003F7852" w:rsidP="008E531B">
            <w:pPr>
              <w:jc w:val="center"/>
              <w:rPr>
                <w:rFonts w:asciiTheme="minorBidi" w:hAnsiTheme="minorBidi"/>
                <w:b/>
                <w:bCs/>
                <w:sz w:val="24"/>
                <w:szCs w:val="24"/>
              </w:rPr>
            </w:pPr>
            <w:r>
              <w:rPr>
                <w:rFonts w:asciiTheme="minorBidi" w:hAnsiTheme="minorBidi"/>
                <w:b/>
                <w:bCs/>
                <w:sz w:val="24"/>
                <w:szCs w:val="24"/>
              </w:rPr>
              <w:t>Time-Bound</w:t>
            </w:r>
          </w:p>
        </w:tc>
        <w:tc>
          <w:tcPr>
            <w:tcW w:w="1645" w:type="dxa"/>
          </w:tcPr>
          <w:p w14:paraId="71777D2B" w14:textId="155B24AA" w:rsidR="003F7852" w:rsidRDefault="003F7852" w:rsidP="008E531B">
            <w:pPr>
              <w:jc w:val="center"/>
              <w:rPr>
                <w:rFonts w:asciiTheme="minorBidi" w:hAnsiTheme="minorBidi"/>
                <w:b/>
                <w:bCs/>
                <w:sz w:val="24"/>
                <w:szCs w:val="24"/>
              </w:rPr>
            </w:pPr>
            <w:r>
              <w:rPr>
                <w:rFonts w:asciiTheme="minorBidi" w:hAnsiTheme="minorBidi"/>
                <w:b/>
                <w:bCs/>
                <w:sz w:val="24"/>
                <w:szCs w:val="24"/>
              </w:rPr>
              <w:t>Links to Professional Standards</w:t>
            </w:r>
          </w:p>
        </w:tc>
      </w:tr>
      <w:tr w:rsidR="003F7852" w14:paraId="1DD2B99E" w14:textId="1009E1F2" w:rsidTr="003F7852">
        <w:trPr>
          <w:trHeight w:val="2438"/>
        </w:trPr>
        <w:tc>
          <w:tcPr>
            <w:tcW w:w="1643" w:type="dxa"/>
          </w:tcPr>
          <w:p w14:paraId="16760A32" w14:textId="5A89D1DD" w:rsidR="003F7852" w:rsidRDefault="003F7852" w:rsidP="008E531B">
            <w:pPr>
              <w:jc w:val="center"/>
              <w:rPr>
                <w:rFonts w:asciiTheme="minorBidi" w:hAnsiTheme="minorBidi"/>
                <w:b/>
                <w:bCs/>
                <w:sz w:val="24"/>
                <w:szCs w:val="24"/>
              </w:rPr>
            </w:pPr>
            <w:r>
              <w:rPr>
                <w:rFonts w:asciiTheme="minorBidi" w:hAnsiTheme="minorBidi"/>
                <w:b/>
                <w:bCs/>
                <w:sz w:val="24"/>
                <w:szCs w:val="24"/>
              </w:rPr>
              <w:t>Consider and improve classroom layout to suit my lesson style.</w:t>
            </w:r>
          </w:p>
        </w:tc>
        <w:tc>
          <w:tcPr>
            <w:tcW w:w="1647" w:type="dxa"/>
          </w:tcPr>
          <w:p w14:paraId="4971D49D" w14:textId="7FC55E73" w:rsidR="003F7852" w:rsidRDefault="003F7852" w:rsidP="008E531B">
            <w:pPr>
              <w:jc w:val="center"/>
              <w:rPr>
                <w:rFonts w:asciiTheme="minorBidi" w:hAnsiTheme="minorBidi"/>
                <w:b/>
                <w:bCs/>
                <w:sz w:val="24"/>
                <w:szCs w:val="24"/>
              </w:rPr>
            </w:pPr>
            <w:r>
              <w:rPr>
                <w:rFonts w:asciiTheme="minorBidi" w:hAnsiTheme="minorBidi"/>
                <w:b/>
                <w:bCs/>
                <w:sz w:val="24"/>
                <w:szCs w:val="24"/>
              </w:rPr>
              <w:t>Pre plan the classroom layout so I can move around easily and check in with students.</w:t>
            </w:r>
          </w:p>
        </w:tc>
        <w:tc>
          <w:tcPr>
            <w:tcW w:w="1694" w:type="dxa"/>
          </w:tcPr>
          <w:p w14:paraId="2EF66A92" w14:textId="71BBD2BF" w:rsidR="003F7852" w:rsidRDefault="003F7852" w:rsidP="008E531B">
            <w:pPr>
              <w:jc w:val="center"/>
              <w:rPr>
                <w:rFonts w:asciiTheme="minorBidi" w:hAnsiTheme="minorBidi"/>
                <w:b/>
                <w:bCs/>
                <w:sz w:val="24"/>
                <w:szCs w:val="24"/>
              </w:rPr>
            </w:pPr>
            <w:r>
              <w:rPr>
                <w:rFonts w:asciiTheme="minorBidi" w:hAnsiTheme="minorBidi"/>
                <w:b/>
                <w:bCs/>
                <w:sz w:val="24"/>
                <w:szCs w:val="24"/>
              </w:rPr>
              <w:t xml:space="preserve">Trial the same lesson with at least two different classroom layouts. </w:t>
            </w:r>
          </w:p>
        </w:tc>
        <w:tc>
          <w:tcPr>
            <w:tcW w:w="1656" w:type="dxa"/>
          </w:tcPr>
          <w:p w14:paraId="3E632D38" w14:textId="13F6BEF1" w:rsidR="003F7852" w:rsidRDefault="003F7852" w:rsidP="008E531B">
            <w:pPr>
              <w:jc w:val="center"/>
              <w:rPr>
                <w:rFonts w:asciiTheme="minorBidi" w:hAnsiTheme="minorBidi"/>
                <w:b/>
                <w:bCs/>
                <w:sz w:val="24"/>
                <w:szCs w:val="24"/>
              </w:rPr>
            </w:pPr>
            <w:r>
              <w:rPr>
                <w:rFonts w:asciiTheme="minorBidi" w:hAnsiTheme="minorBidi"/>
                <w:b/>
                <w:bCs/>
                <w:sz w:val="24"/>
                <w:szCs w:val="24"/>
              </w:rPr>
              <w:t xml:space="preserve">Arrive earlier to adjust and prepare the room. </w:t>
            </w:r>
          </w:p>
        </w:tc>
        <w:tc>
          <w:tcPr>
            <w:tcW w:w="1650" w:type="dxa"/>
          </w:tcPr>
          <w:p w14:paraId="7DCA9070" w14:textId="32B00C17" w:rsidR="003F7852" w:rsidRDefault="003F7852" w:rsidP="008E531B">
            <w:pPr>
              <w:jc w:val="center"/>
              <w:rPr>
                <w:rFonts w:asciiTheme="minorBidi" w:hAnsiTheme="minorBidi"/>
                <w:b/>
                <w:bCs/>
                <w:sz w:val="24"/>
                <w:szCs w:val="24"/>
              </w:rPr>
            </w:pPr>
            <w:r>
              <w:rPr>
                <w:rFonts w:asciiTheme="minorBidi" w:hAnsiTheme="minorBidi"/>
                <w:b/>
                <w:bCs/>
                <w:sz w:val="24"/>
                <w:szCs w:val="24"/>
              </w:rPr>
              <w:t xml:space="preserve">On reflection of my lesson, the layout prevented me to check in with student easily. </w:t>
            </w:r>
          </w:p>
        </w:tc>
        <w:tc>
          <w:tcPr>
            <w:tcW w:w="1645" w:type="dxa"/>
          </w:tcPr>
          <w:p w14:paraId="5F140362" w14:textId="297E7E15" w:rsidR="003F7852" w:rsidRDefault="003F7852" w:rsidP="008E531B">
            <w:pPr>
              <w:jc w:val="center"/>
              <w:rPr>
                <w:rFonts w:asciiTheme="minorBidi" w:hAnsiTheme="minorBidi"/>
                <w:b/>
                <w:bCs/>
                <w:sz w:val="24"/>
                <w:szCs w:val="24"/>
              </w:rPr>
            </w:pPr>
            <w:r>
              <w:rPr>
                <w:rFonts w:asciiTheme="minorBidi" w:hAnsiTheme="minorBidi"/>
                <w:b/>
                <w:bCs/>
                <w:sz w:val="24"/>
                <w:szCs w:val="24"/>
              </w:rPr>
              <w:t xml:space="preserve">Review after each lesson. </w:t>
            </w:r>
          </w:p>
        </w:tc>
        <w:tc>
          <w:tcPr>
            <w:tcW w:w="1645" w:type="dxa"/>
          </w:tcPr>
          <w:p w14:paraId="662DB609" w14:textId="7B6FF454" w:rsidR="003F7852" w:rsidRDefault="003F7852" w:rsidP="003F7852">
            <w:pPr>
              <w:rPr>
                <w:rFonts w:asciiTheme="minorBidi" w:hAnsiTheme="minorBidi"/>
                <w:b/>
                <w:bCs/>
                <w:sz w:val="24"/>
                <w:szCs w:val="24"/>
              </w:rPr>
            </w:pPr>
            <w:r>
              <w:rPr>
                <w:rFonts w:asciiTheme="minorBidi" w:hAnsiTheme="minorBidi"/>
                <w:b/>
                <w:bCs/>
                <w:sz w:val="24"/>
                <w:szCs w:val="24"/>
              </w:rPr>
              <w:t xml:space="preserve">Develop and implement effective policies and strategies to support the delivery of effective learning, teaching and </w:t>
            </w:r>
            <w:r w:rsidR="00CF2844">
              <w:rPr>
                <w:rFonts w:asciiTheme="minorBidi" w:hAnsiTheme="minorBidi"/>
                <w:b/>
                <w:bCs/>
                <w:sz w:val="24"/>
                <w:szCs w:val="24"/>
              </w:rPr>
              <w:t>assessment</w:t>
            </w:r>
            <w:r>
              <w:rPr>
                <w:rFonts w:asciiTheme="minorBidi" w:hAnsiTheme="minorBidi"/>
                <w:b/>
                <w:bCs/>
                <w:sz w:val="24"/>
                <w:szCs w:val="24"/>
              </w:rPr>
              <w:t xml:space="preserve">. </w:t>
            </w:r>
          </w:p>
        </w:tc>
      </w:tr>
      <w:tr w:rsidR="003F7852" w14:paraId="21CD2BEA" w14:textId="02AD6F29" w:rsidTr="003F7852">
        <w:trPr>
          <w:trHeight w:val="2414"/>
        </w:trPr>
        <w:tc>
          <w:tcPr>
            <w:tcW w:w="1643" w:type="dxa"/>
          </w:tcPr>
          <w:p w14:paraId="3827B545" w14:textId="1CB61355"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Set boundaries straight away to help manage disruption and behaviour. </w:t>
            </w:r>
          </w:p>
        </w:tc>
        <w:tc>
          <w:tcPr>
            <w:tcW w:w="1647" w:type="dxa"/>
          </w:tcPr>
          <w:p w14:paraId="6661EDDB" w14:textId="107C33CA"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Set clear boundaries with students in regards to mobile phone use and coming in late. </w:t>
            </w:r>
          </w:p>
        </w:tc>
        <w:tc>
          <w:tcPr>
            <w:tcW w:w="1694" w:type="dxa"/>
          </w:tcPr>
          <w:p w14:paraId="55EEE9F0" w14:textId="33317CF0" w:rsidR="003F7852" w:rsidRDefault="00CF2844" w:rsidP="008E531B">
            <w:pPr>
              <w:jc w:val="center"/>
              <w:rPr>
                <w:rFonts w:asciiTheme="minorBidi" w:hAnsiTheme="minorBidi"/>
                <w:b/>
                <w:bCs/>
                <w:sz w:val="24"/>
                <w:szCs w:val="24"/>
              </w:rPr>
            </w:pPr>
            <w:r>
              <w:rPr>
                <w:rFonts w:asciiTheme="minorBidi" w:hAnsiTheme="minorBidi"/>
                <w:b/>
                <w:bCs/>
                <w:sz w:val="24"/>
                <w:szCs w:val="24"/>
              </w:rPr>
              <w:t>Ensure these are set in each session going forward.</w:t>
            </w:r>
          </w:p>
        </w:tc>
        <w:tc>
          <w:tcPr>
            <w:tcW w:w="1656" w:type="dxa"/>
          </w:tcPr>
          <w:p w14:paraId="49916DEF" w14:textId="06FC1BC5"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Clearly explain and set out the expectations at the start of the session. </w:t>
            </w:r>
          </w:p>
        </w:tc>
        <w:tc>
          <w:tcPr>
            <w:tcW w:w="1650" w:type="dxa"/>
          </w:tcPr>
          <w:p w14:paraId="6B334A2E" w14:textId="127176C1"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On reflection of my lesson, I clearly didn’t set out these boundaries as I had disruption with phone use and students coming in late. </w:t>
            </w:r>
          </w:p>
        </w:tc>
        <w:tc>
          <w:tcPr>
            <w:tcW w:w="1645" w:type="dxa"/>
          </w:tcPr>
          <w:p w14:paraId="29B1B72E" w14:textId="5C9A84DA" w:rsidR="003F7852" w:rsidRDefault="00CF2844" w:rsidP="008E531B">
            <w:pPr>
              <w:jc w:val="center"/>
              <w:rPr>
                <w:rFonts w:asciiTheme="minorBidi" w:hAnsiTheme="minorBidi"/>
                <w:b/>
                <w:bCs/>
                <w:sz w:val="24"/>
                <w:szCs w:val="24"/>
              </w:rPr>
            </w:pPr>
            <w:r>
              <w:rPr>
                <w:rFonts w:asciiTheme="minorBidi" w:hAnsiTheme="minorBidi"/>
                <w:b/>
                <w:bCs/>
                <w:sz w:val="24"/>
                <w:szCs w:val="24"/>
              </w:rPr>
              <w:t>Evaluate after three lessons.</w:t>
            </w:r>
          </w:p>
        </w:tc>
        <w:tc>
          <w:tcPr>
            <w:tcW w:w="1645" w:type="dxa"/>
          </w:tcPr>
          <w:p w14:paraId="528E1CFC" w14:textId="25E93DBD"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Demonstrating effective strategic leadership and governance. Critically reflect on my own values, knowledge and skills to improve learning and leadership. </w:t>
            </w:r>
          </w:p>
        </w:tc>
      </w:tr>
      <w:tr w:rsidR="003F7852" w14:paraId="72E378F7" w14:textId="30FAC605" w:rsidTr="003F7852">
        <w:trPr>
          <w:trHeight w:val="2815"/>
        </w:trPr>
        <w:tc>
          <w:tcPr>
            <w:tcW w:w="1643" w:type="dxa"/>
          </w:tcPr>
          <w:p w14:paraId="571A7F6E" w14:textId="4AE7191D" w:rsidR="003F7852" w:rsidRDefault="00CF2844" w:rsidP="008E531B">
            <w:pPr>
              <w:jc w:val="center"/>
              <w:rPr>
                <w:rFonts w:asciiTheme="minorBidi" w:hAnsiTheme="minorBidi"/>
                <w:b/>
                <w:bCs/>
                <w:sz w:val="24"/>
                <w:szCs w:val="24"/>
              </w:rPr>
            </w:pPr>
            <w:r>
              <w:rPr>
                <w:rFonts w:asciiTheme="minorBidi" w:hAnsiTheme="minorBidi"/>
                <w:b/>
                <w:bCs/>
                <w:sz w:val="24"/>
                <w:szCs w:val="24"/>
              </w:rPr>
              <w:t>Incorporate real world examples into lessons.</w:t>
            </w:r>
          </w:p>
        </w:tc>
        <w:tc>
          <w:tcPr>
            <w:tcW w:w="1647" w:type="dxa"/>
          </w:tcPr>
          <w:p w14:paraId="2E978D7B" w14:textId="6BBA5121"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Use real industry examples in lessons to boost engagement and relevance. </w:t>
            </w:r>
          </w:p>
        </w:tc>
        <w:tc>
          <w:tcPr>
            <w:tcW w:w="1694" w:type="dxa"/>
          </w:tcPr>
          <w:p w14:paraId="071B7E74" w14:textId="00ABAC5D"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Include at least one real world example per session. </w:t>
            </w:r>
          </w:p>
        </w:tc>
        <w:tc>
          <w:tcPr>
            <w:tcW w:w="1656" w:type="dxa"/>
          </w:tcPr>
          <w:p w14:paraId="44CEE8A7" w14:textId="7E08DC6B"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Prepare beforehand and gather examples from local designers, industry, trends and social graphics. </w:t>
            </w:r>
          </w:p>
        </w:tc>
        <w:tc>
          <w:tcPr>
            <w:tcW w:w="1650" w:type="dxa"/>
          </w:tcPr>
          <w:p w14:paraId="50C03791" w14:textId="57D9E158"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Lecturer A’s session demonstrated how this can be used effectively during sessions and I think it improved engagement. </w:t>
            </w:r>
          </w:p>
        </w:tc>
        <w:tc>
          <w:tcPr>
            <w:tcW w:w="1645" w:type="dxa"/>
          </w:tcPr>
          <w:p w14:paraId="79209AE7" w14:textId="08DE5404" w:rsidR="003F7852" w:rsidRDefault="00CF2844" w:rsidP="00CF2844">
            <w:pPr>
              <w:rPr>
                <w:rFonts w:asciiTheme="minorBidi" w:hAnsiTheme="minorBidi"/>
                <w:b/>
                <w:bCs/>
                <w:sz w:val="24"/>
                <w:szCs w:val="24"/>
              </w:rPr>
            </w:pPr>
            <w:r>
              <w:rPr>
                <w:rFonts w:asciiTheme="minorBidi" w:hAnsiTheme="minorBidi"/>
                <w:b/>
                <w:bCs/>
                <w:sz w:val="24"/>
                <w:szCs w:val="24"/>
              </w:rPr>
              <w:t xml:space="preserve"> Incorporate over next sessions. </w:t>
            </w:r>
          </w:p>
        </w:tc>
        <w:tc>
          <w:tcPr>
            <w:tcW w:w="1645" w:type="dxa"/>
          </w:tcPr>
          <w:p w14:paraId="1F8B6976" w14:textId="6DB41BFA" w:rsidR="003F7852" w:rsidRDefault="00CF2844" w:rsidP="008E531B">
            <w:pPr>
              <w:jc w:val="center"/>
              <w:rPr>
                <w:rFonts w:asciiTheme="minorBidi" w:hAnsiTheme="minorBidi"/>
                <w:b/>
                <w:bCs/>
                <w:sz w:val="24"/>
                <w:szCs w:val="24"/>
              </w:rPr>
            </w:pPr>
            <w:r>
              <w:rPr>
                <w:rFonts w:asciiTheme="minorBidi" w:hAnsiTheme="minorBidi"/>
                <w:b/>
                <w:bCs/>
                <w:sz w:val="24"/>
                <w:szCs w:val="24"/>
              </w:rPr>
              <w:t xml:space="preserve">Demonstrate commitment to learners, their learning, safety and well being. </w:t>
            </w:r>
          </w:p>
        </w:tc>
      </w:tr>
      <w:tr w:rsidR="003F7852" w14:paraId="350F1A9E" w14:textId="42599DD2" w:rsidTr="003F7852">
        <w:trPr>
          <w:trHeight w:val="3344"/>
        </w:trPr>
        <w:tc>
          <w:tcPr>
            <w:tcW w:w="1643" w:type="dxa"/>
          </w:tcPr>
          <w:p w14:paraId="1BA48EE6" w14:textId="2438A105" w:rsidR="003F7852" w:rsidRDefault="008A1C18" w:rsidP="008E531B">
            <w:pPr>
              <w:jc w:val="center"/>
              <w:rPr>
                <w:rFonts w:asciiTheme="minorBidi" w:hAnsiTheme="minorBidi"/>
                <w:b/>
                <w:bCs/>
                <w:sz w:val="24"/>
                <w:szCs w:val="24"/>
              </w:rPr>
            </w:pPr>
            <w:r>
              <w:rPr>
                <w:rFonts w:asciiTheme="minorBidi" w:hAnsiTheme="minorBidi"/>
                <w:b/>
                <w:bCs/>
                <w:sz w:val="24"/>
                <w:szCs w:val="24"/>
              </w:rPr>
              <w:lastRenderedPageBreak/>
              <w:t xml:space="preserve">Increase one to ones with students during sessions. </w:t>
            </w:r>
          </w:p>
        </w:tc>
        <w:tc>
          <w:tcPr>
            <w:tcW w:w="1647" w:type="dxa"/>
          </w:tcPr>
          <w:p w14:paraId="130AC814" w14:textId="4368B344" w:rsidR="003F7852" w:rsidRDefault="008A1C18" w:rsidP="008E531B">
            <w:pPr>
              <w:jc w:val="center"/>
              <w:rPr>
                <w:rFonts w:asciiTheme="minorBidi" w:hAnsiTheme="minorBidi"/>
                <w:b/>
                <w:bCs/>
                <w:sz w:val="24"/>
                <w:szCs w:val="24"/>
              </w:rPr>
            </w:pPr>
            <w:r>
              <w:rPr>
                <w:rFonts w:asciiTheme="minorBidi" w:hAnsiTheme="minorBidi"/>
                <w:b/>
                <w:bCs/>
                <w:sz w:val="24"/>
                <w:szCs w:val="24"/>
              </w:rPr>
              <w:t xml:space="preserve">Ensure table layout is set so it is easy to move around the students and set time within lesson plan for this.  </w:t>
            </w:r>
          </w:p>
        </w:tc>
        <w:tc>
          <w:tcPr>
            <w:tcW w:w="1694" w:type="dxa"/>
          </w:tcPr>
          <w:p w14:paraId="1FAA556C" w14:textId="3D8A2940" w:rsidR="003F7852" w:rsidRDefault="008A1C18" w:rsidP="008E531B">
            <w:pPr>
              <w:jc w:val="center"/>
              <w:rPr>
                <w:rFonts w:asciiTheme="minorBidi" w:hAnsiTheme="minorBidi"/>
                <w:b/>
                <w:bCs/>
                <w:sz w:val="24"/>
                <w:szCs w:val="24"/>
              </w:rPr>
            </w:pPr>
            <w:r>
              <w:rPr>
                <w:rFonts w:asciiTheme="minorBidi" w:hAnsiTheme="minorBidi"/>
                <w:b/>
                <w:bCs/>
                <w:sz w:val="24"/>
                <w:szCs w:val="24"/>
              </w:rPr>
              <w:t xml:space="preserve">Ensure all students get one 1-1 in a session. </w:t>
            </w:r>
          </w:p>
        </w:tc>
        <w:tc>
          <w:tcPr>
            <w:tcW w:w="1656" w:type="dxa"/>
          </w:tcPr>
          <w:p w14:paraId="649BE5E0" w14:textId="6C48A509" w:rsidR="003F7852" w:rsidRDefault="008A1C18" w:rsidP="008E531B">
            <w:pPr>
              <w:jc w:val="center"/>
              <w:rPr>
                <w:rFonts w:asciiTheme="minorBidi" w:hAnsiTheme="minorBidi"/>
                <w:b/>
                <w:bCs/>
                <w:sz w:val="24"/>
                <w:szCs w:val="24"/>
              </w:rPr>
            </w:pPr>
            <w:r>
              <w:rPr>
                <w:rFonts w:asciiTheme="minorBidi" w:hAnsiTheme="minorBidi"/>
                <w:b/>
                <w:bCs/>
                <w:sz w:val="24"/>
                <w:szCs w:val="24"/>
              </w:rPr>
              <w:t xml:space="preserve">Set out time in lesson plan to account for 1-1, and ensure classroom is set out to suit this. </w:t>
            </w:r>
          </w:p>
        </w:tc>
        <w:tc>
          <w:tcPr>
            <w:tcW w:w="1650" w:type="dxa"/>
          </w:tcPr>
          <w:p w14:paraId="4BCEB3D1" w14:textId="34507690" w:rsidR="003F7852" w:rsidRDefault="008A1C18" w:rsidP="008E531B">
            <w:pPr>
              <w:jc w:val="center"/>
              <w:rPr>
                <w:rFonts w:asciiTheme="minorBidi" w:hAnsiTheme="minorBidi"/>
                <w:b/>
                <w:bCs/>
                <w:sz w:val="24"/>
                <w:szCs w:val="24"/>
              </w:rPr>
            </w:pPr>
            <w:r>
              <w:rPr>
                <w:rFonts w:asciiTheme="minorBidi" w:hAnsiTheme="minorBidi"/>
                <w:b/>
                <w:bCs/>
                <w:sz w:val="24"/>
                <w:szCs w:val="24"/>
              </w:rPr>
              <w:t xml:space="preserve">On reflection of Lecturer A’s session, I noticed how beneficial it was for students that they all got to check in and it seemed to improve engagement. </w:t>
            </w:r>
          </w:p>
        </w:tc>
        <w:tc>
          <w:tcPr>
            <w:tcW w:w="1645" w:type="dxa"/>
          </w:tcPr>
          <w:p w14:paraId="53D532EA" w14:textId="4E88D029" w:rsidR="003F7852" w:rsidRDefault="008A1C18" w:rsidP="008E531B">
            <w:pPr>
              <w:jc w:val="center"/>
              <w:rPr>
                <w:rFonts w:asciiTheme="minorBidi" w:hAnsiTheme="minorBidi"/>
                <w:b/>
                <w:bCs/>
                <w:sz w:val="24"/>
                <w:szCs w:val="24"/>
              </w:rPr>
            </w:pPr>
            <w:r>
              <w:rPr>
                <w:rFonts w:asciiTheme="minorBidi" w:hAnsiTheme="minorBidi"/>
                <w:b/>
                <w:bCs/>
                <w:sz w:val="24"/>
                <w:szCs w:val="24"/>
              </w:rPr>
              <w:t xml:space="preserve">Put into place for next session and review at the end of a module. </w:t>
            </w:r>
          </w:p>
        </w:tc>
        <w:tc>
          <w:tcPr>
            <w:tcW w:w="1645" w:type="dxa"/>
          </w:tcPr>
          <w:p w14:paraId="030865D9" w14:textId="07C65CC2" w:rsidR="003F7852" w:rsidRDefault="008A1C18" w:rsidP="008E531B">
            <w:pPr>
              <w:jc w:val="center"/>
              <w:rPr>
                <w:rFonts w:asciiTheme="minorBidi" w:hAnsiTheme="minorBidi"/>
                <w:b/>
                <w:bCs/>
                <w:sz w:val="24"/>
                <w:szCs w:val="24"/>
              </w:rPr>
            </w:pPr>
            <w:r>
              <w:rPr>
                <w:rFonts w:asciiTheme="minorBidi" w:hAnsiTheme="minorBidi"/>
                <w:b/>
                <w:bCs/>
                <w:sz w:val="24"/>
                <w:szCs w:val="24"/>
              </w:rPr>
              <w:t xml:space="preserve">Demonstrate commitment to learners, their learning, safety and wellbeing. Build positive and collaborative relationships. </w:t>
            </w:r>
          </w:p>
        </w:tc>
      </w:tr>
    </w:tbl>
    <w:p w14:paraId="5EFF018F" w14:textId="46735A48" w:rsidR="008E531B" w:rsidRPr="008E531B" w:rsidRDefault="008E531B" w:rsidP="008E531B">
      <w:pPr>
        <w:jc w:val="center"/>
        <w:rPr>
          <w:rFonts w:asciiTheme="minorBidi" w:hAnsiTheme="minorBidi"/>
          <w:b/>
          <w:bCs/>
          <w:sz w:val="24"/>
          <w:szCs w:val="24"/>
        </w:rPr>
      </w:pPr>
    </w:p>
    <w:sectPr w:rsidR="008E531B" w:rsidRPr="008E53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881EA" w14:textId="77777777" w:rsidR="00186C8B" w:rsidRDefault="00186C8B" w:rsidP="008E531B">
      <w:pPr>
        <w:spacing w:after="0" w:line="240" w:lineRule="auto"/>
      </w:pPr>
      <w:r>
        <w:separator/>
      </w:r>
    </w:p>
  </w:endnote>
  <w:endnote w:type="continuationSeparator" w:id="0">
    <w:p w14:paraId="1C1036D4" w14:textId="77777777" w:rsidR="00186C8B" w:rsidRDefault="00186C8B" w:rsidP="008E5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C0AB1" w14:textId="77777777" w:rsidR="00186C8B" w:rsidRDefault="00186C8B" w:rsidP="008E531B">
      <w:pPr>
        <w:spacing w:after="0" w:line="240" w:lineRule="auto"/>
      </w:pPr>
      <w:r>
        <w:separator/>
      </w:r>
    </w:p>
  </w:footnote>
  <w:footnote w:type="continuationSeparator" w:id="0">
    <w:p w14:paraId="5F330ABA" w14:textId="77777777" w:rsidR="00186C8B" w:rsidRDefault="00186C8B" w:rsidP="008E53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fullPage" w:percent="11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3A7"/>
    <w:rsid w:val="001063A2"/>
    <w:rsid w:val="00186C8B"/>
    <w:rsid w:val="00311E9C"/>
    <w:rsid w:val="003509E8"/>
    <w:rsid w:val="0035572A"/>
    <w:rsid w:val="00385B11"/>
    <w:rsid w:val="003974BA"/>
    <w:rsid w:val="003F7852"/>
    <w:rsid w:val="0044049C"/>
    <w:rsid w:val="004B33A7"/>
    <w:rsid w:val="005306D0"/>
    <w:rsid w:val="005F76F7"/>
    <w:rsid w:val="00703E2E"/>
    <w:rsid w:val="008652D3"/>
    <w:rsid w:val="008A1C18"/>
    <w:rsid w:val="008D6914"/>
    <w:rsid w:val="008E531B"/>
    <w:rsid w:val="00BD079C"/>
    <w:rsid w:val="00CF28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3916"/>
  <w15:chartTrackingRefBased/>
  <w15:docId w15:val="{A133BC34-3EDE-4873-851B-1E7D7D67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3A7"/>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4B33A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4B33A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4B33A7"/>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B33A7"/>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4B33A7"/>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4B33A7"/>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4B33A7"/>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4B33A7"/>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4B33A7"/>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3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3A7"/>
    <w:rPr>
      <w:rFonts w:eastAsiaTheme="majorEastAsia" w:cstheme="majorBidi"/>
      <w:color w:val="272727" w:themeColor="text1" w:themeTint="D8"/>
    </w:rPr>
  </w:style>
  <w:style w:type="paragraph" w:styleId="Title">
    <w:name w:val="Title"/>
    <w:basedOn w:val="Normal"/>
    <w:next w:val="Normal"/>
    <w:link w:val="TitleChar"/>
    <w:uiPriority w:val="10"/>
    <w:qFormat/>
    <w:rsid w:val="004B33A7"/>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4B3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3A7"/>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4B3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3A7"/>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4B33A7"/>
    <w:rPr>
      <w:i/>
      <w:iCs/>
      <w:color w:val="404040" w:themeColor="text1" w:themeTint="BF"/>
    </w:rPr>
  </w:style>
  <w:style w:type="paragraph" w:styleId="ListParagraph">
    <w:name w:val="List Paragraph"/>
    <w:basedOn w:val="Normal"/>
    <w:uiPriority w:val="34"/>
    <w:qFormat/>
    <w:rsid w:val="004B33A7"/>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4B33A7"/>
    <w:rPr>
      <w:i/>
      <w:iCs/>
      <w:color w:val="0F4761" w:themeColor="accent1" w:themeShade="BF"/>
    </w:rPr>
  </w:style>
  <w:style w:type="paragraph" w:styleId="IntenseQuote">
    <w:name w:val="Intense Quote"/>
    <w:basedOn w:val="Normal"/>
    <w:next w:val="Normal"/>
    <w:link w:val="IntenseQuoteChar"/>
    <w:uiPriority w:val="30"/>
    <w:qFormat/>
    <w:rsid w:val="004B33A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4B33A7"/>
    <w:rPr>
      <w:i/>
      <w:iCs/>
      <w:color w:val="0F4761" w:themeColor="accent1" w:themeShade="BF"/>
    </w:rPr>
  </w:style>
  <w:style w:type="character" w:styleId="IntenseReference">
    <w:name w:val="Intense Reference"/>
    <w:basedOn w:val="DefaultParagraphFont"/>
    <w:uiPriority w:val="32"/>
    <w:qFormat/>
    <w:rsid w:val="004B33A7"/>
    <w:rPr>
      <w:b/>
      <w:bCs/>
      <w:smallCaps/>
      <w:color w:val="0F4761" w:themeColor="accent1" w:themeShade="BF"/>
      <w:spacing w:val="5"/>
    </w:rPr>
  </w:style>
  <w:style w:type="paragraph" w:styleId="Header">
    <w:name w:val="header"/>
    <w:basedOn w:val="Normal"/>
    <w:link w:val="HeaderChar"/>
    <w:uiPriority w:val="99"/>
    <w:unhideWhenUsed/>
    <w:rsid w:val="008E5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31B"/>
    <w:rPr>
      <w:rFonts w:eastAsiaTheme="minorHAnsi"/>
      <w:kern w:val="0"/>
      <w:sz w:val="22"/>
      <w:szCs w:val="22"/>
      <w:lang w:eastAsia="en-US"/>
      <w14:ligatures w14:val="none"/>
    </w:rPr>
  </w:style>
  <w:style w:type="paragraph" w:styleId="Footer">
    <w:name w:val="footer"/>
    <w:basedOn w:val="Normal"/>
    <w:link w:val="FooterChar"/>
    <w:uiPriority w:val="99"/>
    <w:unhideWhenUsed/>
    <w:rsid w:val="008E5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31B"/>
    <w:rPr>
      <w:rFonts w:eastAsiaTheme="minorHAnsi"/>
      <w:kern w:val="0"/>
      <w:sz w:val="22"/>
      <w:szCs w:val="22"/>
      <w:lang w:eastAsia="en-US"/>
      <w14:ligatures w14:val="none"/>
    </w:rPr>
  </w:style>
  <w:style w:type="table" w:styleId="TableGrid">
    <w:name w:val="Table Grid"/>
    <w:basedOn w:val="TableNormal"/>
    <w:uiPriority w:val="39"/>
    <w:rsid w:val="00311E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naw/2018/2/contents" TargetMode="External"/><Relationship Id="rId13" Type="http://schemas.openxmlformats.org/officeDocument/2006/relationships/package" Target="embeddings/Microsoft_Word_Document1.docx"/><Relationship Id="rId3" Type="http://schemas.openxmlformats.org/officeDocument/2006/relationships/webSettings" Target="webSettings.xml"/><Relationship Id="rId7" Type="http://schemas.openxmlformats.org/officeDocument/2006/relationships/hyperlink" Target="https://www.legislation.gov.uk/ukpga/2010/15/contents" TargetMode="External"/><Relationship Id="rId12" Type="http://schemas.openxmlformats.org/officeDocument/2006/relationships/image" Target="media/image3.emf"/><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package" Target="embeddings/Microsoft_Word_Document.docx"/><Relationship Id="rId5" Type="http://schemas.openxmlformats.org/officeDocument/2006/relationships/endnotes" Target="endnotes.xml"/><Relationship Id="rId15" Type="http://schemas.openxmlformats.org/officeDocument/2006/relationships/package" Target="embeddings/Microsoft_Word_Document2.docx"/><Relationship Id="rId10" Type="http://schemas.openxmlformats.org/officeDocument/2006/relationships/image" Target="media/image2.emf"/><Relationship Id="rId4" Type="http://schemas.openxmlformats.org/officeDocument/2006/relationships/footnotes" Target="footnotes.xml"/><Relationship Id="rId9" Type="http://schemas.openxmlformats.org/officeDocument/2006/relationships/hyperlink" Target="https://www.advance-he.ac.uk/knowledge-hub/medr-regulatory-framework" TargetMode="Externa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3268</Words>
  <Characters>18630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Rees (2005699)</cp:lastModifiedBy>
  <cp:revision>2</cp:revision>
  <dcterms:created xsi:type="dcterms:W3CDTF">2026-05-28T23:33:00Z</dcterms:created>
  <dcterms:modified xsi:type="dcterms:W3CDTF">2026-05-28T23:33:00Z</dcterms:modified>
</cp:coreProperties>
</file>