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Max Roe - 1901211</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1.</w:t>
      </w:r>
    </w:p>
    <w:p w:rsidR="00000000" w:rsidDel="00000000" w:rsidP="00000000" w:rsidRDefault="00000000" w:rsidRPr="00000000" w14:paraId="00000004">
      <w:pPr>
        <w:rPr/>
      </w:pPr>
      <w:r w:rsidDel="00000000" w:rsidR="00000000" w:rsidRPr="00000000">
        <w:rPr>
          <w:rtl w:val="0"/>
        </w:rPr>
        <w:t xml:space="preserve">When dividing whether the defendant is guilty on the account of theft the are different elements we need to look at. Firstly it needs to be decided if the defendant was ‘dishonest’ at the time of the crime in question. The theft act 1968 does not have a description for dishonesty, however, the act does state reasons that may help determine if the defendant was dishonest. There are three means of where the individual should not be treated as dishonest, these include; if he or she believes they have a lawful right to take the item for example if and an individual was in possession of another’s a property then the rightful owner could legally take the item back. The second way to prove they were not dishonest is if the defendant believed that the owner of the item would have given consent to take the item if they knew the circumstances. And finally, the third way would be if the owner could not be found by taking reasonable steps to find them. For example, if money were to be found on the floor outside. If the defendant did not show any of these three aspects then they could be determined guilty and would be dishonest. </w:t>
      </w:r>
    </w:p>
    <w:p w:rsidR="00000000" w:rsidDel="00000000" w:rsidP="00000000" w:rsidRDefault="00000000" w:rsidRPr="00000000" w14:paraId="00000005">
      <w:pPr>
        <w:rPr/>
      </w:pPr>
      <w:r w:rsidDel="00000000" w:rsidR="00000000" w:rsidRPr="00000000">
        <w:rPr>
          <w:rtl w:val="0"/>
        </w:rPr>
        <w:t xml:space="preserve">Another element in the theft act is ‘property’. In the theft act 1968 section 4, property keeps its common meaning stating that it is a movable object or being an individual’s personal property. </w:t>
      </w:r>
    </w:p>
    <w:p w:rsidR="00000000" w:rsidDel="00000000" w:rsidP="00000000" w:rsidRDefault="00000000" w:rsidRPr="00000000" w14:paraId="00000006">
      <w:pPr>
        <w:rPr/>
      </w:pPr>
      <w:r w:rsidDel="00000000" w:rsidR="00000000" w:rsidRPr="00000000">
        <w:rPr>
          <w:rtl w:val="0"/>
        </w:rPr>
        <w:t xml:space="preserve">After deliberating about these two elements along with others the defender can be guilty or not guilty. </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t xml:space="preserve">2.</w:t>
      </w:r>
    </w:p>
    <w:p w:rsidR="00000000" w:rsidDel="00000000" w:rsidP="00000000" w:rsidRDefault="00000000" w:rsidRPr="00000000" w14:paraId="00000021">
      <w:pPr>
        <w:rPr/>
      </w:pPr>
      <w:r w:rsidDel="00000000" w:rsidR="00000000" w:rsidRPr="00000000">
        <w:rPr>
          <w:rtl w:val="0"/>
        </w:rPr>
        <w:t xml:space="preserve">When looking at burglary in the theft act 1968 the term ‘enters’ needs to be looked at carefully due to the many scenarios that could occur. If the defendant was to walk or climb into a building then this would be classed as them entering, however, if they simply reach into the building to unlock a window from the inside then this would not be classed as entering the building. If a tool is used such as a pole to steal items from inside the building then this could be classed as an entry but if the tool was used as an aid to unlock a door then this would not be an entry into the building. Finally, if a child under the age of 10 was used to take items from a building then this would be an entry, however, if the child was used to unlock a door then this could not be classed as an entry. </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t xml:space="preserve">3.</w:t>
      </w:r>
    </w:p>
    <w:p w:rsidR="00000000" w:rsidDel="00000000" w:rsidP="00000000" w:rsidRDefault="00000000" w:rsidRPr="00000000" w14:paraId="00000045">
      <w:pPr>
        <w:ind w:left="0" w:firstLine="0"/>
        <w:rPr/>
      </w:pPr>
      <w:r w:rsidDel="00000000" w:rsidR="00000000" w:rsidRPr="00000000">
        <w:rPr>
          <w:rtl w:val="0"/>
        </w:rPr>
        <w:t xml:space="preserve">In this scenario (A) would have committed the offence of wounding or causing grievous bodily harm within intent under the offences against a person act 1861 section 20. This section in the Act states that a person would be guilty of this if they unlawfully or maliciously wounded or inflicted any grievous bodily harm (GBH) upon a person either with or without a weapon. The key terms that need to be looked at would be: unlawfully or maliciously, wounded or inflicted any grievous bodily harm, upon another person. In this scenario, it is clear to see that because the individual (A) threw the brick with an intention to hit and injure someone and in doing so caused the victim to sustain injuries that would make it classed as GBH as the victim was hospitalised, this would also show that it is in fact GBH and not actual bodily harm because of the excessive damage that was caused. </w:t>
      </w:r>
    </w:p>
    <w:p w:rsidR="00000000" w:rsidDel="00000000" w:rsidP="00000000" w:rsidRDefault="00000000" w:rsidRPr="00000000" w14:paraId="00000046">
      <w:pPr>
        <w:ind w:left="0" w:firstLine="0"/>
        <w:rPr/>
      </w:pPr>
      <w:r w:rsidDel="00000000" w:rsidR="00000000" w:rsidRPr="00000000">
        <w:rPr>
          <w:i w:val="1"/>
          <w:highlight w:val="white"/>
          <w:rtl w:val="0"/>
        </w:rPr>
        <w:t xml:space="preserve">A case where this was relevant would be R v Brown and Stratton</w:t>
      </w:r>
      <w:r w:rsidDel="00000000" w:rsidR="00000000" w:rsidRPr="00000000">
        <w:rPr>
          <w:highlight w:val="white"/>
          <w:rtl w:val="0"/>
        </w:rPr>
        <w:t xml:space="preserve"> [1988] Crim LR 4 where the suspect was found guilty after attacking his father that resulted in long term injuries.</w:t>
      </w: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t xml:space="preserve">4.</w:t>
      </w:r>
    </w:p>
    <w:p w:rsidR="00000000" w:rsidDel="00000000" w:rsidP="00000000" w:rsidRDefault="00000000" w:rsidRPr="00000000" w14:paraId="00000067">
      <w:pPr>
        <w:rPr/>
      </w:pPr>
      <w:r w:rsidDel="00000000" w:rsidR="00000000" w:rsidRPr="00000000">
        <w:rPr>
          <w:rtl w:val="0"/>
        </w:rPr>
        <w:t xml:space="preserve">To help meet the needs of the victim after a crime has been committed, the code of practice for victims of crimes can be used. The code of practice is used commonly in the police when dealing with victims, firstly the code provides a list of all the support and information that the victim is entitled to. The victim is also entitled to a victims personal statement where the victim is able to describe how the crime has had an effect on them </w:t>
      </w:r>
      <w:r w:rsidDel="00000000" w:rsidR="00000000" w:rsidRPr="00000000">
        <w:rPr>
          <w:rtl w:val="0"/>
        </w:rPr>
        <w:t xml:space="preserve">physically, emotionally, psychologically or financially. After this, the needs and support that can be offered to the victim can be discussed and given if it is relevant to the situation at hand.</w:t>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pPr>
      <w:r w:rsidDel="00000000" w:rsidR="00000000" w:rsidRPr="00000000">
        <w:rPr>
          <w:rtl w:val="0"/>
        </w:rPr>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rPr/>
      </w:pPr>
      <w:r w:rsidDel="00000000" w:rsidR="00000000" w:rsidRPr="00000000">
        <w:rPr>
          <w:rtl w:val="0"/>
        </w:rPr>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rPr/>
      </w:pPr>
      <w:r w:rsidDel="00000000" w:rsidR="00000000" w:rsidRPr="00000000">
        <w:rPr>
          <w:rtl w:val="0"/>
        </w:rPr>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rPr/>
      </w:pPr>
      <w:r w:rsidDel="00000000" w:rsidR="00000000" w:rsidRPr="00000000">
        <w:rPr>
          <w:rtl w:val="0"/>
        </w:rPr>
        <w:t xml:space="preserve">5.</w:t>
      </w:r>
    </w:p>
    <w:p w:rsidR="00000000" w:rsidDel="00000000" w:rsidP="00000000" w:rsidRDefault="00000000" w:rsidRPr="00000000" w14:paraId="0000008D">
      <w:pPr>
        <w:rPr/>
      </w:pPr>
      <w:r w:rsidDel="00000000" w:rsidR="00000000" w:rsidRPr="00000000">
        <w:rPr>
          <w:rtl w:val="0"/>
        </w:rPr>
        <w:t xml:space="preserve">When interviewing a victim, witness or suspect, the PEACE model is used. PEACE is a national framework for Investigative Interviewing. When building an ‘interview structure’ the interviewer is accountable for the preparation and execution of the interview. A well-planned and thoroughly conducted interview has a better chance of acquiring accurate and reliable information. Within the overall framework, there are two models;  ‘Free-recall’ and ‘Conversation Management’.</w:t>
      </w:r>
    </w:p>
    <w:p w:rsidR="00000000" w:rsidDel="00000000" w:rsidP="00000000" w:rsidRDefault="00000000" w:rsidRPr="00000000" w14:paraId="0000008E">
      <w:pPr>
        <w:rPr/>
      </w:pPr>
      <w:r w:rsidDel="00000000" w:rsidR="00000000" w:rsidRPr="00000000">
        <w:rPr>
          <w:rtl w:val="0"/>
        </w:rPr>
        <w:t xml:space="preserve">The term PEACE is used to explain: </w:t>
      </w:r>
    </w:p>
    <w:p w:rsidR="00000000" w:rsidDel="00000000" w:rsidP="00000000" w:rsidRDefault="00000000" w:rsidRPr="00000000" w14:paraId="0000008F">
      <w:pPr>
        <w:numPr>
          <w:ilvl w:val="0"/>
          <w:numId w:val="1"/>
        </w:numPr>
        <w:ind w:left="720" w:hanging="360"/>
        <w:rPr>
          <w:u w:val="none"/>
        </w:rPr>
      </w:pPr>
      <w:r w:rsidDel="00000000" w:rsidR="00000000" w:rsidRPr="00000000">
        <w:rPr>
          <w:rtl w:val="0"/>
        </w:rPr>
        <w:t xml:space="preserve">P</w:t>
      </w:r>
      <w:r w:rsidDel="00000000" w:rsidR="00000000" w:rsidRPr="00000000">
        <w:rPr>
          <w:rtl w:val="0"/>
        </w:rPr>
        <w:t xml:space="preserve">lanning &amp; Preparation</w:t>
      </w:r>
    </w:p>
    <w:p w:rsidR="00000000" w:rsidDel="00000000" w:rsidP="00000000" w:rsidRDefault="00000000" w:rsidRPr="00000000" w14:paraId="00000090">
      <w:pPr>
        <w:numPr>
          <w:ilvl w:val="0"/>
          <w:numId w:val="1"/>
        </w:numPr>
        <w:pBdr>
          <w:top w:color="auto" w:space="0" w:sz="0" w:val="none"/>
          <w:left w:color="auto" w:space="-36" w:sz="0" w:val="none"/>
          <w:bottom w:color="auto" w:space="24" w:sz="0" w:val="none"/>
          <w:right w:color="auto" w:space="0" w:sz="0" w:val="none"/>
        </w:pBdr>
        <w:shd w:fill="ffffff" w:val="clear"/>
        <w:spacing w:line="288" w:lineRule="auto"/>
        <w:ind w:left="720" w:hanging="360"/>
        <w:rPr>
          <w:u w:val="none"/>
        </w:rPr>
      </w:pPr>
      <w:r w:rsidDel="00000000" w:rsidR="00000000" w:rsidRPr="00000000">
        <w:rPr>
          <w:rtl w:val="0"/>
        </w:rPr>
        <w:t xml:space="preserve">E</w:t>
      </w:r>
      <w:r w:rsidDel="00000000" w:rsidR="00000000" w:rsidRPr="00000000">
        <w:rPr>
          <w:rtl w:val="0"/>
        </w:rPr>
        <w:t xml:space="preserve">ngage and Explain</w:t>
      </w:r>
    </w:p>
    <w:p w:rsidR="00000000" w:rsidDel="00000000" w:rsidP="00000000" w:rsidRDefault="00000000" w:rsidRPr="00000000" w14:paraId="00000091">
      <w:pPr>
        <w:numPr>
          <w:ilvl w:val="0"/>
          <w:numId w:val="1"/>
        </w:numPr>
        <w:pBdr>
          <w:top w:color="auto" w:space="0" w:sz="0" w:val="none"/>
          <w:left w:color="auto" w:space="-36" w:sz="0" w:val="none"/>
          <w:bottom w:color="auto" w:space="24" w:sz="0" w:val="none"/>
          <w:right w:color="auto" w:space="0" w:sz="0" w:val="none"/>
        </w:pBdr>
        <w:shd w:fill="ffffff" w:val="clear"/>
        <w:spacing w:line="288" w:lineRule="auto"/>
        <w:ind w:left="720" w:hanging="360"/>
        <w:rPr>
          <w:u w:val="none"/>
        </w:rPr>
      </w:pPr>
      <w:r w:rsidDel="00000000" w:rsidR="00000000" w:rsidRPr="00000000">
        <w:rPr>
          <w:rtl w:val="0"/>
        </w:rPr>
        <w:t xml:space="preserve">A</w:t>
      </w:r>
      <w:r w:rsidDel="00000000" w:rsidR="00000000" w:rsidRPr="00000000">
        <w:rPr>
          <w:rtl w:val="0"/>
        </w:rPr>
        <w:t xml:space="preserve">ccount </w:t>
      </w:r>
      <w:r w:rsidDel="00000000" w:rsidR="00000000" w:rsidRPr="00000000">
        <w:rPr>
          <w:rtl w:val="0"/>
        </w:rPr>
        <w:t xml:space="preserve">C</w:t>
      </w:r>
      <w:r w:rsidDel="00000000" w:rsidR="00000000" w:rsidRPr="00000000">
        <w:rPr>
          <w:rtl w:val="0"/>
        </w:rPr>
        <w:t xml:space="preserve">larification &amp; </w:t>
      </w:r>
      <w:r w:rsidDel="00000000" w:rsidR="00000000" w:rsidRPr="00000000">
        <w:rPr>
          <w:rtl w:val="0"/>
        </w:rPr>
        <w:t xml:space="preserve">C</w:t>
      </w:r>
      <w:r w:rsidDel="00000000" w:rsidR="00000000" w:rsidRPr="00000000">
        <w:rPr>
          <w:rtl w:val="0"/>
        </w:rPr>
        <w:t xml:space="preserve">hallenge</w:t>
      </w:r>
    </w:p>
    <w:p w:rsidR="00000000" w:rsidDel="00000000" w:rsidP="00000000" w:rsidRDefault="00000000" w:rsidRPr="00000000" w14:paraId="00000092">
      <w:pPr>
        <w:numPr>
          <w:ilvl w:val="0"/>
          <w:numId w:val="1"/>
        </w:numPr>
        <w:pBdr>
          <w:top w:color="auto" w:space="0" w:sz="0" w:val="none"/>
          <w:left w:color="auto" w:space="-36" w:sz="0" w:val="none"/>
          <w:bottom w:color="auto" w:space="24" w:sz="0" w:val="none"/>
          <w:right w:color="auto" w:space="0" w:sz="0" w:val="none"/>
        </w:pBdr>
        <w:shd w:fill="ffffff" w:val="clear"/>
        <w:spacing w:line="288" w:lineRule="auto"/>
        <w:ind w:left="720" w:hanging="360"/>
        <w:rPr>
          <w:u w:val="none"/>
        </w:rPr>
      </w:pPr>
      <w:r w:rsidDel="00000000" w:rsidR="00000000" w:rsidRPr="00000000">
        <w:rPr>
          <w:rtl w:val="0"/>
        </w:rPr>
        <w:t xml:space="preserve">C</w:t>
      </w:r>
      <w:r w:rsidDel="00000000" w:rsidR="00000000" w:rsidRPr="00000000">
        <w:rPr>
          <w:rtl w:val="0"/>
        </w:rPr>
        <w:t xml:space="preserve">losure</w:t>
      </w:r>
    </w:p>
    <w:p w:rsidR="00000000" w:rsidDel="00000000" w:rsidP="00000000" w:rsidRDefault="00000000" w:rsidRPr="00000000" w14:paraId="00000093">
      <w:pPr>
        <w:numPr>
          <w:ilvl w:val="0"/>
          <w:numId w:val="1"/>
        </w:numPr>
        <w:pBdr>
          <w:top w:color="auto" w:space="0" w:sz="0" w:val="none"/>
          <w:left w:color="auto" w:space="-36" w:sz="0" w:val="none"/>
          <w:bottom w:color="auto" w:space="24" w:sz="0" w:val="none"/>
          <w:right w:color="auto" w:space="0" w:sz="0" w:val="none"/>
        </w:pBdr>
        <w:shd w:fill="ffffff" w:val="clear"/>
        <w:spacing w:line="288" w:lineRule="auto"/>
        <w:ind w:left="720" w:hanging="360"/>
        <w:rPr>
          <w:u w:val="none"/>
        </w:rPr>
      </w:pPr>
      <w:r w:rsidDel="00000000" w:rsidR="00000000" w:rsidRPr="00000000">
        <w:rPr>
          <w:rtl w:val="0"/>
        </w:rPr>
        <w:t xml:space="preserve">E</w:t>
      </w:r>
      <w:r w:rsidDel="00000000" w:rsidR="00000000" w:rsidRPr="00000000">
        <w:rPr>
          <w:rtl w:val="0"/>
        </w:rPr>
        <w:t xml:space="preserve">valuation</w:t>
      </w:r>
    </w:p>
    <w:p w:rsidR="00000000" w:rsidDel="00000000" w:rsidP="00000000" w:rsidRDefault="00000000" w:rsidRPr="00000000" w14:paraId="00000094">
      <w:pPr>
        <w:pBdr>
          <w:top w:color="auto" w:space="0" w:sz="0" w:val="none"/>
          <w:left w:color="auto" w:space="-36" w:sz="0" w:val="none"/>
          <w:bottom w:color="auto" w:space="24" w:sz="0" w:val="none"/>
          <w:right w:color="auto" w:space="0" w:sz="0" w:val="none"/>
        </w:pBdr>
        <w:shd w:fill="ffffff" w:val="clear"/>
        <w:spacing w:line="288" w:lineRule="auto"/>
        <w:rPr/>
      </w:pPr>
      <w:r w:rsidDel="00000000" w:rsidR="00000000" w:rsidRPr="00000000">
        <w:rPr>
          <w:rtl w:val="0"/>
        </w:rPr>
        <w:t xml:space="preserve">Planning and preparation are some of the most important parts of the interview as it helps to interviewer know what questions to ask and how to deal with the answers that are given. The interviewer should always be prepared in the interview as they should never lose focus on the task that is to obtain as much useful information that is possible, as well as offering support to the victims that may need to be interviewed. </w:t>
      </w:r>
    </w:p>
    <w:p w:rsidR="00000000" w:rsidDel="00000000" w:rsidP="00000000" w:rsidRDefault="00000000" w:rsidRPr="00000000" w14:paraId="00000095">
      <w:pPr>
        <w:pBdr>
          <w:top w:color="auto" w:space="0" w:sz="0" w:val="none"/>
          <w:left w:color="auto" w:space="-36" w:sz="0" w:val="none"/>
          <w:bottom w:color="auto" w:space="24" w:sz="0" w:val="none"/>
          <w:right w:color="auto" w:space="0" w:sz="0" w:val="none"/>
        </w:pBdr>
        <w:shd w:fill="ffffff" w:val="clear"/>
        <w:spacing w:line="288" w:lineRule="auto"/>
        <w:rPr/>
      </w:pPr>
      <w:r w:rsidDel="00000000" w:rsidR="00000000" w:rsidRPr="00000000">
        <w:rPr>
          <w:rtl w:val="0"/>
        </w:rPr>
        <w:t xml:space="preserve">The E in PEACE stands for Engage and Explain which is important as they would need to engage with the individual that they are interviewing and explain why they are being interviewed also explaining the information that is needed for the investigation.</w:t>
      </w:r>
    </w:p>
    <w:p w:rsidR="00000000" w:rsidDel="00000000" w:rsidP="00000000" w:rsidRDefault="00000000" w:rsidRPr="00000000" w14:paraId="00000096">
      <w:pPr>
        <w:pBdr>
          <w:top w:color="auto" w:space="0" w:sz="0" w:val="none"/>
          <w:left w:color="auto" w:space="-36" w:sz="0" w:val="none"/>
          <w:bottom w:color="auto" w:space="24" w:sz="0" w:val="none"/>
          <w:right w:color="auto" w:space="0" w:sz="0" w:val="none"/>
        </w:pBdr>
        <w:shd w:fill="ffffff" w:val="clear"/>
        <w:spacing w:line="288" w:lineRule="auto"/>
        <w:ind w:left="0" w:firstLine="0"/>
        <w:rPr/>
      </w:pPr>
      <w:r w:rsidDel="00000000" w:rsidR="00000000" w:rsidRPr="00000000">
        <w:rPr>
          <w:rtl w:val="0"/>
        </w:rPr>
        <w:t xml:space="preserve">Account Clarification &amp; Challenge is used to help reduce mistakes that may be made during the interviewing prosses. This is useful as the information that is noted down can be precise and effective for the future.</w:t>
      </w:r>
    </w:p>
    <w:p w:rsidR="00000000" w:rsidDel="00000000" w:rsidP="00000000" w:rsidRDefault="00000000" w:rsidRPr="00000000" w14:paraId="00000097">
      <w:pPr>
        <w:pBdr>
          <w:top w:color="auto" w:space="0" w:sz="0" w:val="none"/>
          <w:left w:color="auto" w:space="-36" w:sz="0" w:val="none"/>
          <w:bottom w:color="auto" w:space="24" w:sz="0" w:val="none"/>
          <w:right w:color="auto" w:space="0" w:sz="0" w:val="none"/>
        </w:pBdr>
        <w:shd w:fill="ffffff" w:val="clear"/>
        <w:spacing w:line="288" w:lineRule="auto"/>
        <w:ind w:left="0" w:firstLine="0"/>
        <w:rPr/>
      </w:pPr>
      <w:r w:rsidDel="00000000" w:rsidR="00000000" w:rsidRPr="00000000">
        <w:rPr>
          <w:rtl w:val="0"/>
        </w:rPr>
        <w:t xml:space="preserve">The closure is needed more for the victims than anyone else as it can help reassure them that they will be safe and that the police will try their best to apprehend the individual/ individuals that are responsible for the crime.</w:t>
      </w:r>
    </w:p>
    <w:p w:rsidR="00000000" w:rsidDel="00000000" w:rsidP="00000000" w:rsidRDefault="00000000" w:rsidRPr="00000000" w14:paraId="00000098">
      <w:pPr>
        <w:pBdr>
          <w:top w:color="auto" w:space="0" w:sz="0" w:val="none"/>
          <w:left w:color="auto" w:space="-36" w:sz="0" w:val="none"/>
          <w:bottom w:color="auto" w:space="24" w:sz="0" w:val="none"/>
          <w:right w:color="auto" w:space="0" w:sz="0" w:val="none"/>
        </w:pBdr>
        <w:shd w:fill="ffffff" w:val="clear"/>
        <w:spacing w:line="288" w:lineRule="auto"/>
        <w:ind w:left="0" w:firstLine="0"/>
        <w:rPr/>
      </w:pPr>
      <w:r w:rsidDel="00000000" w:rsidR="00000000" w:rsidRPr="00000000">
        <w:rPr>
          <w:rtl w:val="0"/>
        </w:rPr>
        <w:t xml:space="preserve">Finally, the evaluation is extremely important for an interview process as this is where the interviewer is able to read over their notes to see if all information that is needed has been given in the interview. The interviewer must be certain that all information about the crime has been obtained as some information could be crucial to the investigation.</w:t>
      </w:r>
    </w:p>
    <w:p w:rsidR="00000000" w:rsidDel="00000000" w:rsidP="00000000" w:rsidRDefault="00000000" w:rsidRPr="00000000" w14:paraId="00000099">
      <w:pPr>
        <w:pBdr>
          <w:top w:color="auto" w:space="0" w:sz="0" w:val="none"/>
          <w:left w:color="auto" w:space="-36" w:sz="0" w:val="none"/>
          <w:bottom w:color="auto" w:space="24" w:sz="0" w:val="none"/>
          <w:right w:color="auto" w:space="0" w:sz="0" w:val="none"/>
        </w:pBdr>
        <w:shd w:fill="ffffff" w:val="clear"/>
        <w:spacing w:line="288" w:lineRule="auto"/>
        <w:ind w:left="0" w:firstLine="0"/>
        <w:rPr/>
      </w:pPr>
      <w:r w:rsidDel="00000000" w:rsidR="00000000" w:rsidRPr="00000000">
        <w:rPr>
          <w:rtl w:val="0"/>
        </w:rPr>
        <w:t xml:space="preserve">The PEACE model is useful when interviewing a suspect at it is well planned out and can help get the most information. In some cases, the model might not be effective as the suspect may not want to be cooperative, however, in most scenarios, this model has proven to be efficient and effective as it has helped the interviewer to be prepared to gather information. </w:t>
      </w:r>
    </w:p>
    <w:p w:rsidR="00000000" w:rsidDel="00000000" w:rsidP="00000000" w:rsidRDefault="00000000" w:rsidRPr="00000000" w14:paraId="0000009A">
      <w:pPr>
        <w:rPr/>
      </w:pPr>
      <w:r w:rsidDel="00000000" w:rsidR="00000000" w:rsidRPr="00000000">
        <w:rPr>
          <w:rtl w:val="0"/>
        </w:rPr>
      </w:r>
    </w:p>
    <w:p w:rsidR="00000000" w:rsidDel="00000000" w:rsidP="00000000" w:rsidRDefault="00000000" w:rsidRPr="00000000" w14:paraId="0000009B">
      <w:pPr>
        <w:rPr/>
      </w:pPr>
      <w:r w:rsidDel="00000000" w:rsidR="00000000" w:rsidRPr="00000000">
        <w:rPr>
          <w:rtl w:val="0"/>
        </w:rPr>
      </w:r>
    </w:p>
    <w:p w:rsidR="00000000" w:rsidDel="00000000" w:rsidP="00000000" w:rsidRDefault="00000000" w:rsidRPr="00000000" w14:paraId="0000009C">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