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30D8C" w14:textId="77777777" w:rsidR="007339A6" w:rsidRDefault="0087328F">
      <w:pPr>
        <w:spacing w:after="200"/>
        <w:jc w:val="center"/>
      </w:pPr>
      <w:r>
        <w:rPr>
          <w:noProof/>
        </w:rPr>
        <w:drawing>
          <wp:inline distT="0" distB="0" distL="0" distR="0" wp14:anchorId="4DE77841" wp14:editId="56982910">
            <wp:extent cx="3182620" cy="1054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2620" cy="1054735"/>
                    </a:xfrm>
                    <a:prstGeom prst="rect">
                      <a:avLst/>
                    </a:prstGeom>
                    <a:noFill/>
                  </pic:spPr>
                </pic:pic>
              </a:graphicData>
            </a:graphic>
          </wp:inline>
        </w:drawing>
      </w:r>
    </w:p>
    <w:p w14:paraId="0ADBA7ED" w14:textId="77777777" w:rsidR="007339A6" w:rsidRDefault="00660318">
      <w:pPr>
        <w:spacing w:after="80"/>
        <w:jc w:val="center"/>
      </w:pPr>
      <w:r>
        <w:rPr>
          <w:rFonts w:eastAsia="Arial" w:cs="Arial"/>
          <w:b/>
          <w:sz w:val="28"/>
        </w:rPr>
        <w:t>UNIVERSITY OF WALES TRINITY SAINT DAVID</w:t>
      </w:r>
    </w:p>
    <w:p w14:paraId="27C5F070" w14:textId="77777777" w:rsidR="007339A6" w:rsidRDefault="00660318">
      <w:pPr>
        <w:spacing w:after="80"/>
        <w:jc w:val="center"/>
      </w:pPr>
      <w:r>
        <w:rPr>
          <w:rFonts w:eastAsia="Arial" w:cs="Arial"/>
          <w:b/>
          <w:sz w:val="26"/>
        </w:rPr>
        <w:t>Master of Business Administration</w:t>
      </w:r>
    </w:p>
    <w:p w14:paraId="6FA5BB25" w14:textId="77777777" w:rsidR="007339A6" w:rsidRDefault="00660318">
      <w:pPr>
        <w:spacing w:after="80"/>
        <w:jc w:val="center"/>
      </w:pPr>
      <w:r>
        <w:rPr>
          <w:rFonts w:eastAsia="Arial" w:cs="Arial"/>
          <w:b/>
        </w:rPr>
        <w:t>LCMB7037 - Business Development Proposal</w:t>
      </w:r>
    </w:p>
    <w:p w14:paraId="44097F11" w14:textId="77777777" w:rsidR="007339A6" w:rsidRDefault="00660318">
      <w:pPr>
        <w:spacing w:after="200"/>
        <w:jc w:val="center"/>
      </w:pPr>
      <w:r>
        <w:rPr>
          <w:rFonts w:eastAsia="Arial" w:cs="Arial"/>
          <w:b/>
          <w:sz w:val="32"/>
        </w:rPr>
        <w:t>BUSINESS DEVELOPMENT PROPOSAL</w:t>
      </w:r>
    </w:p>
    <w:p w14:paraId="3B5C7622" w14:textId="77777777" w:rsidR="007339A6" w:rsidRDefault="00660318">
      <w:pPr>
        <w:spacing w:after="240"/>
        <w:jc w:val="center"/>
      </w:pPr>
      <w:r>
        <w:rPr>
          <w:rFonts w:eastAsia="Arial" w:cs="Arial"/>
          <w:b/>
          <w:sz w:val="30"/>
        </w:rPr>
        <w:t>Rebuilding NIKE Direct Growth in North America through an Integrated Omnichannel Strategy</w:t>
      </w:r>
    </w:p>
    <w:p w14:paraId="652CD0B7" w14:textId="77777777" w:rsidR="007339A6" w:rsidRDefault="00660318">
      <w:pPr>
        <w:spacing w:after="60"/>
        <w:jc w:val="center"/>
      </w:pPr>
      <w:r>
        <w:rPr>
          <w:rFonts w:eastAsia="Arial" w:cs="Arial"/>
        </w:rPr>
        <w:t>Pathway: Path B - Business Plan for an Existing Company</w:t>
      </w:r>
    </w:p>
    <w:p w14:paraId="034FD892" w14:textId="77777777" w:rsidR="007339A6" w:rsidRDefault="00660318">
      <w:pPr>
        <w:spacing w:after="60"/>
        <w:jc w:val="center"/>
      </w:pPr>
      <w:r>
        <w:rPr>
          <w:rFonts w:eastAsia="Arial" w:cs="Arial"/>
        </w:rPr>
        <w:t>Company: NIKE, Inc.</w:t>
      </w:r>
    </w:p>
    <w:p w14:paraId="29341595" w14:textId="77777777" w:rsidR="007339A6" w:rsidRDefault="00660318">
      <w:pPr>
        <w:spacing w:after="60"/>
        <w:jc w:val="center"/>
      </w:pPr>
      <w:r>
        <w:rPr>
          <w:rFonts w:eastAsia="Arial" w:cs="Arial"/>
        </w:rPr>
        <w:t>Geographical focus: North America</w:t>
      </w:r>
    </w:p>
    <w:p w14:paraId="4E2CC5FA" w14:textId="04612242" w:rsidR="0087328F" w:rsidRDefault="00660318" w:rsidP="0087328F">
      <w:pPr>
        <w:spacing w:after="60"/>
        <w:jc w:val="center"/>
        <w:rPr>
          <w:rFonts w:eastAsia="Arial" w:cs="Arial"/>
        </w:rPr>
      </w:pPr>
      <w:r>
        <w:rPr>
          <w:rFonts w:eastAsia="Arial" w:cs="Arial"/>
        </w:rPr>
        <w:t>Student name:</w:t>
      </w:r>
      <w:r w:rsidR="009B3DCA">
        <w:rPr>
          <w:rFonts w:eastAsia="Arial" w:cs="Arial"/>
        </w:rPr>
        <w:t xml:space="preserve"> Neel Manishbhai Korat</w:t>
      </w:r>
      <w:r>
        <w:rPr>
          <w:rFonts w:eastAsia="Arial" w:cs="Arial"/>
        </w:rPr>
        <w:t xml:space="preserve"> </w:t>
      </w:r>
    </w:p>
    <w:p w14:paraId="26B3F84A" w14:textId="5CB2FAFF" w:rsidR="007339A6" w:rsidRDefault="00660318" w:rsidP="0087328F">
      <w:pPr>
        <w:spacing w:after="60"/>
        <w:jc w:val="center"/>
      </w:pPr>
      <w:r>
        <w:rPr>
          <w:rFonts w:eastAsia="Arial" w:cs="Arial"/>
        </w:rPr>
        <w:t xml:space="preserve">Student ID: </w:t>
      </w:r>
      <w:r w:rsidR="009B3DCA">
        <w:rPr>
          <w:rFonts w:eastAsia="Arial" w:cs="Arial"/>
        </w:rPr>
        <w:t>2523741</w:t>
      </w:r>
    </w:p>
    <w:p w14:paraId="6148FB02" w14:textId="5153A5D7" w:rsidR="007339A6" w:rsidRDefault="00660318">
      <w:pPr>
        <w:spacing w:after="60"/>
        <w:jc w:val="center"/>
      </w:pPr>
      <w:r>
        <w:rPr>
          <w:rFonts w:eastAsia="Arial" w:cs="Arial"/>
        </w:rPr>
        <w:t>Supervisor: Simon</w:t>
      </w:r>
      <w:r w:rsidR="009B3DCA">
        <w:rPr>
          <w:rFonts w:eastAsia="Arial" w:cs="Arial"/>
        </w:rPr>
        <w:t xml:space="preserve"> Chatterton</w:t>
      </w:r>
      <w:r w:rsidR="009E7838">
        <w:rPr>
          <w:rFonts w:eastAsia="Arial" w:cs="Arial"/>
        </w:rPr>
        <w:t xml:space="preserve"> </w:t>
      </w:r>
    </w:p>
    <w:p w14:paraId="4C589A1B" w14:textId="77777777" w:rsidR="007339A6" w:rsidRDefault="00660318">
      <w:pPr>
        <w:rPr>
          <w:rFonts w:eastAsia="Arial" w:cs="Arial"/>
        </w:rPr>
      </w:pPr>
      <w:r>
        <w:rPr>
          <w:rFonts w:eastAsia="Arial" w:cs="Arial"/>
        </w:rPr>
        <w:br w:type="page"/>
      </w:r>
    </w:p>
    <w:sdt>
      <w:sdtPr>
        <w:rPr>
          <w:rFonts w:eastAsiaTheme="minorEastAsia" w:cstheme="minorBidi"/>
          <w:b w:val="0"/>
          <w:bCs w:val="0"/>
          <w:szCs w:val="22"/>
        </w:rPr>
        <w:id w:val="-1739166854"/>
        <w:docPartObj>
          <w:docPartGallery w:val="Table of Contents"/>
          <w:docPartUnique/>
        </w:docPartObj>
      </w:sdtPr>
      <w:sdtEndPr>
        <w:rPr>
          <w:noProof/>
        </w:rPr>
      </w:sdtEndPr>
      <w:sdtContent>
        <w:p w14:paraId="7E1CE847" w14:textId="77777777" w:rsidR="0087328F" w:rsidRDefault="0087328F">
          <w:pPr>
            <w:pStyle w:val="TOCHeading"/>
          </w:pPr>
          <w:r>
            <w:t>Table of Contents</w:t>
          </w:r>
        </w:p>
        <w:p w14:paraId="3607F044" w14:textId="77777777" w:rsidR="0087328F" w:rsidRDefault="0087328F">
          <w:pPr>
            <w:pStyle w:val="TOC1"/>
            <w:tabs>
              <w:tab w:val="right" w:leader="dot" w:pos="9062"/>
            </w:tabs>
            <w:rPr>
              <w:noProof/>
            </w:rPr>
          </w:pPr>
          <w:r>
            <w:fldChar w:fldCharType="begin"/>
          </w:r>
          <w:r>
            <w:instrText xml:space="preserve"> TOC \o "1-3" \h \z \u </w:instrText>
          </w:r>
          <w:r>
            <w:fldChar w:fldCharType="separate"/>
          </w:r>
          <w:hyperlink w:anchor="_Toc241259273" w:history="1">
            <w:r w:rsidRPr="000E1967">
              <w:rPr>
                <w:rStyle w:val="Hyperlink"/>
                <w:noProof/>
              </w:rPr>
              <w:t>1. Introduction, Company and Business Idea</w:t>
            </w:r>
            <w:r>
              <w:rPr>
                <w:noProof/>
                <w:webHidden/>
              </w:rPr>
              <w:tab/>
            </w:r>
            <w:r>
              <w:rPr>
                <w:noProof/>
                <w:webHidden/>
              </w:rPr>
              <w:fldChar w:fldCharType="begin"/>
            </w:r>
            <w:r>
              <w:rPr>
                <w:noProof/>
                <w:webHidden/>
              </w:rPr>
              <w:instrText xml:space="preserve"> PAGEREF _Toc241259273 \h </w:instrText>
            </w:r>
            <w:r>
              <w:rPr>
                <w:noProof/>
                <w:webHidden/>
              </w:rPr>
            </w:r>
            <w:r>
              <w:rPr>
                <w:noProof/>
                <w:webHidden/>
              </w:rPr>
              <w:fldChar w:fldCharType="separate"/>
            </w:r>
            <w:r>
              <w:rPr>
                <w:noProof/>
                <w:webHidden/>
              </w:rPr>
              <w:t>3</w:t>
            </w:r>
            <w:r>
              <w:rPr>
                <w:noProof/>
                <w:webHidden/>
              </w:rPr>
              <w:fldChar w:fldCharType="end"/>
            </w:r>
          </w:hyperlink>
        </w:p>
        <w:p w14:paraId="69993FEF" w14:textId="77777777" w:rsidR="0087328F" w:rsidRDefault="0087328F">
          <w:pPr>
            <w:pStyle w:val="TOC2"/>
            <w:tabs>
              <w:tab w:val="right" w:leader="dot" w:pos="9062"/>
            </w:tabs>
            <w:rPr>
              <w:noProof/>
            </w:rPr>
          </w:pPr>
          <w:hyperlink w:anchor="_Toc241259274" w:history="1">
            <w:r w:rsidRPr="000E1967">
              <w:rPr>
                <w:rStyle w:val="Hyperlink"/>
                <w:noProof/>
              </w:rPr>
              <w:t>1.1 Company profile, ownership and strategic context</w:t>
            </w:r>
            <w:r>
              <w:rPr>
                <w:noProof/>
                <w:webHidden/>
              </w:rPr>
              <w:tab/>
            </w:r>
            <w:r>
              <w:rPr>
                <w:noProof/>
                <w:webHidden/>
              </w:rPr>
              <w:fldChar w:fldCharType="begin"/>
            </w:r>
            <w:r>
              <w:rPr>
                <w:noProof/>
                <w:webHidden/>
              </w:rPr>
              <w:instrText xml:space="preserve"> PAGEREF _Toc241259274 \h </w:instrText>
            </w:r>
            <w:r>
              <w:rPr>
                <w:noProof/>
                <w:webHidden/>
              </w:rPr>
            </w:r>
            <w:r>
              <w:rPr>
                <w:noProof/>
                <w:webHidden/>
              </w:rPr>
              <w:fldChar w:fldCharType="separate"/>
            </w:r>
            <w:r>
              <w:rPr>
                <w:noProof/>
                <w:webHidden/>
              </w:rPr>
              <w:t>3</w:t>
            </w:r>
            <w:r>
              <w:rPr>
                <w:noProof/>
                <w:webHidden/>
              </w:rPr>
              <w:fldChar w:fldCharType="end"/>
            </w:r>
          </w:hyperlink>
        </w:p>
        <w:p w14:paraId="3736AEDB" w14:textId="77777777" w:rsidR="0087328F" w:rsidRDefault="0087328F">
          <w:pPr>
            <w:pStyle w:val="TOC2"/>
            <w:tabs>
              <w:tab w:val="right" w:leader="dot" w:pos="9062"/>
            </w:tabs>
            <w:rPr>
              <w:noProof/>
            </w:rPr>
          </w:pPr>
          <w:hyperlink w:anchor="_Toc241259275" w:history="1">
            <w:r w:rsidRPr="000E1967">
              <w:rPr>
                <w:rStyle w:val="Hyperlink"/>
                <w:noProof/>
              </w:rPr>
              <w:t>1.2 Products, target customers, business problem and proposed direction</w:t>
            </w:r>
            <w:r>
              <w:rPr>
                <w:noProof/>
                <w:webHidden/>
              </w:rPr>
              <w:tab/>
            </w:r>
            <w:r>
              <w:rPr>
                <w:noProof/>
                <w:webHidden/>
              </w:rPr>
              <w:fldChar w:fldCharType="begin"/>
            </w:r>
            <w:r>
              <w:rPr>
                <w:noProof/>
                <w:webHidden/>
              </w:rPr>
              <w:instrText xml:space="preserve"> PAGEREF _Toc241259275 \h </w:instrText>
            </w:r>
            <w:r>
              <w:rPr>
                <w:noProof/>
                <w:webHidden/>
              </w:rPr>
            </w:r>
            <w:r>
              <w:rPr>
                <w:noProof/>
                <w:webHidden/>
              </w:rPr>
              <w:fldChar w:fldCharType="separate"/>
            </w:r>
            <w:r>
              <w:rPr>
                <w:noProof/>
                <w:webHidden/>
              </w:rPr>
              <w:t>3</w:t>
            </w:r>
            <w:r>
              <w:rPr>
                <w:noProof/>
                <w:webHidden/>
              </w:rPr>
              <w:fldChar w:fldCharType="end"/>
            </w:r>
          </w:hyperlink>
        </w:p>
        <w:p w14:paraId="47DEEB23" w14:textId="77777777" w:rsidR="0087328F" w:rsidRDefault="0087328F">
          <w:pPr>
            <w:pStyle w:val="TOC2"/>
            <w:tabs>
              <w:tab w:val="right" w:leader="dot" w:pos="9062"/>
            </w:tabs>
            <w:rPr>
              <w:noProof/>
            </w:rPr>
          </w:pPr>
          <w:hyperlink w:anchor="_Toc241259276" w:history="1">
            <w:r w:rsidRPr="000E1967">
              <w:rPr>
                <w:rStyle w:val="Hyperlink"/>
                <w:noProof/>
              </w:rPr>
              <w:t>1.3 Aim and objectives</w:t>
            </w:r>
            <w:r>
              <w:rPr>
                <w:noProof/>
                <w:webHidden/>
              </w:rPr>
              <w:tab/>
            </w:r>
            <w:r>
              <w:rPr>
                <w:noProof/>
                <w:webHidden/>
              </w:rPr>
              <w:fldChar w:fldCharType="begin"/>
            </w:r>
            <w:r>
              <w:rPr>
                <w:noProof/>
                <w:webHidden/>
              </w:rPr>
              <w:instrText xml:space="preserve"> PAGEREF _Toc241259276 \h </w:instrText>
            </w:r>
            <w:r>
              <w:rPr>
                <w:noProof/>
                <w:webHidden/>
              </w:rPr>
            </w:r>
            <w:r>
              <w:rPr>
                <w:noProof/>
                <w:webHidden/>
              </w:rPr>
              <w:fldChar w:fldCharType="separate"/>
            </w:r>
            <w:r>
              <w:rPr>
                <w:noProof/>
                <w:webHidden/>
              </w:rPr>
              <w:t>4</w:t>
            </w:r>
            <w:r>
              <w:rPr>
                <w:noProof/>
                <w:webHidden/>
              </w:rPr>
              <w:fldChar w:fldCharType="end"/>
            </w:r>
          </w:hyperlink>
        </w:p>
        <w:p w14:paraId="4DEF86EA" w14:textId="77777777" w:rsidR="0087328F" w:rsidRDefault="0087328F">
          <w:pPr>
            <w:pStyle w:val="TOC1"/>
            <w:tabs>
              <w:tab w:val="right" w:leader="dot" w:pos="9062"/>
            </w:tabs>
            <w:rPr>
              <w:noProof/>
            </w:rPr>
          </w:pPr>
          <w:hyperlink w:anchor="_Toc241259277" w:history="1">
            <w:r w:rsidRPr="000E1967">
              <w:rPr>
                <w:rStyle w:val="Hyperlink"/>
                <w:noProof/>
              </w:rPr>
              <w:t>2. Methodology</w:t>
            </w:r>
            <w:r>
              <w:rPr>
                <w:noProof/>
                <w:webHidden/>
              </w:rPr>
              <w:tab/>
            </w:r>
            <w:r>
              <w:rPr>
                <w:noProof/>
                <w:webHidden/>
              </w:rPr>
              <w:fldChar w:fldCharType="begin"/>
            </w:r>
            <w:r>
              <w:rPr>
                <w:noProof/>
                <w:webHidden/>
              </w:rPr>
              <w:instrText xml:space="preserve"> PAGEREF _Toc241259277 \h </w:instrText>
            </w:r>
            <w:r>
              <w:rPr>
                <w:noProof/>
                <w:webHidden/>
              </w:rPr>
            </w:r>
            <w:r>
              <w:rPr>
                <w:noProof/>
                <w:webHidden/>
              </w:rPr>
              <w:fldChar w:fldCharType="separate"/>
            </w:r>
            <w:r>
              <w:rPr>
                <w:noProof/>
                <w:webHidden/>
              </w:rPr>
              <w:t>5</w:t>
            </w:r>
            <w:r>
              <w:rPr>
                <w:noProof/>
                <w:webHidden/>
              </w:rPr>
              <w:fldChar w:fldCharType="end"/>
            </w:r>
          </w:hyperlink>
        </w:p>
        <w:p w14:paraId="791799BE" w14:textId="77777777" w:rsidR="0087328F" w:rsidRDefault="0087328F">
          <w:pPr>
            <w:pStyle w:val="TOC2"/>
            <w:tabs>
              <w:tab w:val="right" w:leader="dot" w:pos="9062"/>
            </w:tabs>
            <w:rPr>
              <w:noProof/>
            </w:rPr>
          </w:pPr>
          <w:hyperlink w:anchor="_Toc241259278" w:history="1">
            <w:r w:rsidRPr="000E1967">
              <w:rPr>
                <w:rStyle w:val="Hyperlink"/>
                <w:noProof/>
              </w:rPr>
              <w:t>2.1 Research design and evidence base</w:t>
            </w:r>
            <w:r>
              <w:rPr>
                <w:noProof/>
                <w:webHidden/>
              </w:rPr>
              <w:tab/>
            </w:r>
            <w:r>
              <w:rPr>
                <w:noProof/>
                <w:webHidden/>
              </w:rPr>
              <w:fldChar w:fldCharType="begin"/>
            </w:r>
            <w:r>
              <w:rPr>
                <w:noProof/>
                <w:webHidden/>
              </w:rPr>
              <w:instrText xml:space="preserve"> PAGEREF _Toc241259278 \h </w:instrText>
            </w:r>
            <w:r>
              <w:rPr>
                <w:noProof/>
                <w:webHidden/>
              </w:rPr>
            </w:r>
            <w:r>
              <w:rPr>
                <w:noProof/>
                <w:webHidden/>
              </w:rPr>
              <w:fldChar w:fldCharType="separate"/>
            </w:r>
            <w:r>
              <w:rPr>
                <w:noProof/>
                <w:webHidden/>
              </w:rPr>
              <w:t>5</w:t>
            </w:r>
            <w:r>
              <w:rPr>
                <w:noProof/>
                <w:webHidden/>
              </w:rPr>
              <w:fldChar w:fldCharType="end"/>
            </w:r>
          </w:hyperlink>
        </w:p>
        <w:p w14:paraId="19720CF4" w14:textId="77777777" w:rsidR="0087328F" w:rsidRDefault="0087328F">
          <w:pPr>
            <w:pStyle w:val="TOC2"/>
            <w:tabs>
              <w:tab w:val="right" w:leader="dot" w:pos="9062"/>
            </w:tabs>
            <w:rPr>
              <w:noProof/>
            </w:rPr>
          </w:pPr>
          <w:hyperlink w:anchor="_Toc241259279" w:history="1">
            <w:r w:rsidRPr="000E1967">
              <w:rPr>
                <w:rStyle w:val="Hyperlink"/>
                <w:noProof/>
              </w:rPr>
              <w:t>2.2 Analytical approach, quality, limitations and ethics</w:t>
            </w:r>
            <w:r>
              <w:rPr>
                <w:noProof/>
                <w:webHidden/>
              </w:rPr>
              <w:tab/>
            </w:r>
            <w:r>
              <w:rPr>
                <w:noProof/>
                <w:webHidden/>
              </w:rPr>
              <w:fldChar w:fldCharType="begin"/>
            </w:r>
            <w:r>
              <w:rPr>
                <w:noProof/>
                <w:webHidden/>
              </w:rPr>
              <w:instrText xml:space="preserve"> PAGEREF _Toc241259279 \h </w:instrText>
            </w:r>
            <w:r>
              <w:rPr>
                <w:noProof/>
                <w:webHidden/>
              </w:rPr>
            </w:r>
            <w:r>
              <w:rPr>
                <w:noProof/>
                <w:webHidden/>
              </w:rPr>
              <w:fldChar w:fldCharType="separate"/>
            </w:r>
            <w:r>
              <w:rPr>
                <w:noProof/>
                <w:webHidden/>
              </w:rPr>
              <w:t>6</w:t>
            </w:r>
            <w:r>
              <w:rPr>
                <w:noProof/>
                <w:webHidden/>
              </w:rPr>
              <w:fldChar w:fldCharType="end"/>
            </w:r>
          </w:hyperlink>
        </w:p>
        <w:p w14:paraId="4767BB17" w14:textId="77777777" w:rsidR="0087328F" w:rsidRDefault="0087328F">
          <w:pPr>
            <w:pStyle w:val="TOC1"/>
            <w:tabs>
              <w:tab w:val="right" w:leader="dot" w:pos="9062"/>
            </w:tabs>
            <w:rPr>
              <w:noProof/>
            </w:rPr>
          </w:pPr>
          <w:hyperlink w:anchor="_Toc241259280" w:history="1">
            <w:r w:rsidRPr="000E1967">
              <w:rPr>
                <w:rStyle w:val="Hyperlink"/>
                <w:noProof/>
              </w:rPr>
              <w:t>3. Market Research and Validation</w:t>
            </w:r>
            <w:r>
              <w:rPr>
                <w:noProof/>
                <w:webHidden/>
              </w:rPr>
              <w:tab/>
            </w:r>
            <w:r>
              <w:rPr>
                <w:noProof/>
                <w:webHidden/>
              </w:rPr>
              <w:fldChar w:fldCharType="begin"/>
            </w:r>
            <w:r>
              <w:rPr>
                <w:noProof/>
                <w:webHidden/>
              </w:rPr>
              <w:instrText xml:space="preserve"> PAGEREF _Toc241259280 \h </w:instrText>
            </w:r>
            <w:r>
              <w:rPr>
                <w:noProof/>
                <w:webHidden/>
              </w:rPr>
            </w:r>
            <w:r>
              <w:rPr>
                <w:noProof/>
                <w:webHidden/>
              </w:rPr>
              <w:fldChar w:fldCharType="separate"/>
            </w:r>
            <w:r>
              <w:rPr>
                <w:noProof/>
                <w:webHidden/>
              </w:rPr>
              <w:t>6</w:t>
            </w:r>
            <w:r>
              <w:rPr>
                <w:noProof/>
                <w:webHidden/>
              </w:rPr>
              <w:fldChar w:fldCharType="end"/>
            </w:r>
          </w:hyperlink>
        </w:p>
        <w:p w14:paraId="71814203" w14:textId="77777777" w:rsidR="0087328F" w:rsidRDefault="0087328F">
          <w:pPr>
            <w:pStyle w:val="TOC2"/>
            <w:tabs>
              <w:tab w:val="right" w:leader="dot" w:pos="9062"/>
            </w:tabs>
            <w:rPr>
              <w:noProof/>
            </w:rPr>
          </w:pPr>
          <w:hyperlink w:anchor="_Toc241259281" w:history="1">
            <w:r w:rsidRPr="000E1967">
              <w:rPr>
                <w:rStyle w:val="Hyperlink"/>
                <w:noProof/>
              </w:rPr>
              <w:t>3.1 Current market position and channel-performance problem</w:t>
            </w:r>
            <w:r>
              <w:rPr>
                <w:noProof/>
                <w:webHidden/>
              </w:rPr>
              <w:tab/>
            </w:r>
            <w:r>
              <w:rPr>
                <w:noProof/>
                <w:webHidden/>
              </w:rPr>
              <w:fldChar w:fldCharType="begin"/>
            </w:r>
            <w:r>
              <w:rPr>
                <w:noProof/>
                <w:webHidden/>
              </w:rPr>
              <w:instrText xml:space="preserve"> PAGEREF _Toc241259281 \h </w:instrText>
            </w:r>
            <w:r>
              <w:rPr>
                <w:noProof/>
                <w:webHidden/>
              </w:rPr>
            </w:r>
            <w:r>
              <w:rPr>
                <w:noProof/>
                <w:webHidden/>
              </w:rPr>
              <w:fldChar w:fldCharType="separate"/>
            </w:r>
            <w:r>
              <w:rPr>
                <w:noProof/>
                <w:webHidden/>
              </w:rPr>
              <w:t>6</w:t>
            </w:r>
            <w:r>
              <w:rPr>
                <w:noProof/>
                <w:webHidden/>
              </w:rPr>
              <w:fldChar w:fldCharType="end"/>
            </w:r>
          </w:hyperlink>
        </w:p>
        <w:p w14:paraId="06CE5312" w14:textId="77777777" w:rsidR="0087328F" w:rsidRDefault="0087328F">
          <w:pPr>
            <w:pStyle w:val="TOC2"/>
            <w:tabs>
              <w:tab w:val="right" w:leader="dot" w:pos="9062"/>
            </w:tabs>
            <w:rPr>
              <w:noProof/>
            </w:rPr>
          </w:pPr>
          <w:hyperlink w:anchor="_Toc241259282" w:history="1">
            <w:r w:rsidRPr="000E1967">
              <w:rPr>
                <w:rStyle w:val="Hyperlink"/>
                <w:noProof/>
              </w:rPr>
              <w:t>3.2 Market and customer trends</w:t>
            </w:r>
            <w:r>
              <w:rPr>
                <w:noProof/>
                <w:webHidden/>
              </w:rPr>
              <w:tab/>
            </w:r>
            <w:r>
              <w:rPr>
                <w:noProof/>
                <w:webHidden/>
              </w:rPr>
              <w:fldChar w:fldCharType="begin"/>
            </w:r>
            <w:r>
              <w:rPr>
                <w:noProof/>
                <w:webHidden/>
              </w:rPr>
              <w:instrText xml:space="preserve"> PAGEREF _Toc241259282 \h </w:instrText>
            </w:r>
            <w:r>
              <w:rPr>
                <w:noProof/>
                <w:webHidden/>
              </w:rPr>
            </w:r>
            <w:r>
              <w:rPr>
                <w:noProof/>
                <w:webHidden/>
              </w:rPr>
              <w:fldChar w:fldCharType="separate"/>
            </w:r>
            <w:r>
              <w:rPr>
                <w:noProof/>
                <w:webHidden/>
              </w:rPr>
              <w:t>7</w:t>
            </w:r>
            <w:r>
              <w:rPr>
                <w:noProof/>
                <w:webHidden/>
              </w:rPr>
              <w:fldChar w:fldCharType="end"/>
            </w:r>
          </w:hyperlink>
        </w:p>
        <w:p w14:paraId="34559542" w14:textId="77777777" w:rsidR="0087328F" w:rsidRDefault="0087328F">
          <w:pPr>
            <w:pStyle w:val="TOC2"/>
            <w:tabs>
              <w:tab w:val="right" w:leader="dot" w:pos="9062"/>
            </w:tabs>
            <w:rPr>
              <w:noProof/>
            </w:rPr>
          </w:pPr>
          <w:hyperlink w:anchor="_Toc241259283" w:history="1">
            <w:r w:rsidRPr="000E1967">
              <w:rPr>
                <w:rStyle w:val="Hyperlink"/>
                <w:noProof/>
              </w:rPr>
              <w:t>3.3 Competitor activity and pricing</w:t>
            </w:r>
            <w:r>
              <w:rPr>
                <w:noProof/>
                <w:webHidden/>
              </w:rPr>
              <w:tab/>
            </w:r>
            <w:r>
              <w:rPr>
                <w:noProof/>
                <w:webHidden/>
              </w:rPr>
              <w:fldChar w:fldCharType="begin"/>
            </w:r>
            <w:r>
              <w:rPr>
                <w:noProof/>
                <w:webHidden/>
              </w:rPr>
              <w:instrText xml:space="preserve"> PAGEREF _Toc241259283 \h </w:instrText>
            </w:r>
            <w:r>
              <w:rPr>
                <w:noProof/>
                <w:webHidden/>
              </w:rPr>
            </w:r>
            <w:r>
              <w:rPr>
                <w:noProof/>
                <w:webHidden/>
              </w:rPr>
              <w:fldChar w:fldCharType="separate"/>
            </w:r>
            <w:r>
              <w:rPr>
                <w:noProof/>
                <w:webHidden/>
              </w:rPr>
              <w:t>7</w:t>
            </w:r>
            <w:r>
              <w:rPr>
                <w:noProof/>
                <w:webHidden/>
              </w:rPr>
              <w:fldChar w:fldCharType="end"/>
            </w:r>
          </w:hyperlink>
        </w:p>
        <w:p w14:paraId="524BD5E6" w14:textId="77777777" w:rsidR="0087328F" w:rsidRDefault="0087328F">
          <w:pPr>
            <w:pStyle w:val="TOC2"/>
            <w:tabs>
              <w:tab w:val="right" w:leader="dot" w:pos="9062"/>
            </w:tabs>
            <w:rPr>
              <w:noProof/>
            </w:rPr>
          </w:pPr>
          <w:hyperlink w:anchor="_Toc241259284" w:history="1">
            <w:r w:rsidRPr="000E1967">
              <w:rPr>
                <w:rStyle w:val="Hyperlink"/>
                <w:noProof/>
              </w:rPr>
              <w:t>3.4 Industry challenges, opportunities, threats and validation</w:t>
            </w:r>
            <w:r>
              <w:rPr>
                <w:noProof/>
                <w:webHidden/>
              </w:rPr>
              <w:tab/>
            </w:r>
            <w:r>
              <w:rPr>
                <w:noProof/>
                <w:webHidden/>
              </w:rPr>
              <w:fldChar w:fldCharType="begin"/>
            </w:r>
            <w:r>
              <w:rPr>
                <w:noProof/>
                <w:webHidden/>
              </w:rPr>
              <w:instrText xml:space="preserve"> PAGEREF _Toc241259284 \h </w:instrText>
            </w:r>
            <w:r>
              <w:rPr>
                <w:noProof/>
                <w:webHidden/>
              </w:rPr>
            </w:r>
            <w:r>
              <w:rPr>
                <w:noProof/>
                <w:webHidden/>
              </w:rPr>
              <w:fldChar w:fldCharType="separate"/>
            </w:r>
            <w:r>
              <w:rPr>
                <w:noProof/>
                <w:webHidden/>
              </w:rPr>
              <w:t>9</w:t>
            </w:r>
            <w:r>
              <w:rPr>
                <w:noProof/>
                <w:webHidden/>
              </w:rPr>
              <w:fldChar w:fldCharType="end"/>
            </w:r>
          </w:hyperlink>
        </w:p>
        <w:p w14:paraId="4259B8FD" w14:textId="77777777" w:rsidR="0087328F" w:rsidRDefault="0087328F">
          <w:pPr>
            <w:pStyle w:val="TOC1"/>
            <w:tabs>
              <w:tab w:val="right" w:leader="dot" w:pos="9062"/>
            </w:tabs>
            <w:rPr>
              <w:noProof/>
            </w:rPr>
          </w:pPr>
          <w:hyperlink w:anchor="_Toc241259285" w:history="1">
            <w:r w:rsidRPr="000E1967">
              <w:rPr>
                <w:rStyle w:val="Hyperlink"/>
                <w:noProof/>
              </w:rPr>
              <w:t>4. Risks and Mitigation</w:t>
            </w:r>
            <w:r>
              <w:rPr>
                <w:noProof/>
                <w:webHidden/>
              </w:rPr>
              <w:tab/>
            </w:r>
            <w:r>
              <w:rPr>
                <w:noProof/>
                <w:webHidden/>
              </w:rPr>
              <w:fldChar w:fldCharType="begin"/>
            </w:r>
            <w:r>
              <w:rPr>
                <w:noProof/>
                <w:webHidden/>
              </w:rPr>
              <w:instrText xml:space="preserve"> PAGEREF _Toc241259285 \h </w:instrText>
            </w:r>
            <w:r>
              <w:rPr>
                <w:noProof/>
                <w:webHidden/>
              </w:rPr>
            </w:r>
            <w:r>
              <w:rPr>
                <w:noProof/>
                <w:webHidden/>
              </w:rPr>
              <w:fldChar w:fldCharType="separate"/>
            </w:r>
            <w:r>
              <w:rPr>
                <w:noProof/>
                <w:webHidden/>
              </w:rPr>
              <w:t>10</w:t>
            </w:r>
            <w:r>
              <w:rPr>
                <w:noProof/>
                <w:webHidden/>
              </w:rPr>
              <w:fldChar w:fldCharType="end"/>
            </w:r>
          </w:hyperlink>
        </w:p>
        <w:p w14:paraId="071A92FD" w14:textId="77777777" w:rsidR="0087328F" w:rsidRDefault="0087328F">
          <w:pPr>
            <w:pStyle w:val="TOC1"/>
            <w:tabs>
              <w:tab w:val="right" w:leader="dot" w:pos="9062"/>
            </w:tabs>
            <w:rPr>
              <w:noProof/>
            </w:rPr>
          </w:pPr>
          <w:hyperlink w:anchor="_Toc241259286" w:history="1">
            <w:r w:rsidRPr="000E1967">
              <w:rPr>
                <w:rStyle w:val="Hyperlink"/>
                <w:noProof/>
              </w:rPr>
              <w:t>5. Timeline and Gantt Chart</w:t>
            </w:r>
            <w:r>
              <w:rPr>
                <w:noProof/>
                <w:webHidden/>
              </w:rPr>
              <w:tab/>
            </w:r>
            <w:r>
              <w:rPr>
                <w:noProof/>
                <w:webHidden/>
              </w:rPr>
              <w:fldChar w:fldCharType="begin"/>
            </w:r>
            <w:r>
              <w:rPr>
                <w:noProof/>
                <w:webHidden/>
              </w:rPr>
              <w:instrText xml:space="preserve"> PAGEREF _Toc241259286 \h </w:instrText>
            </w:r>
            <w:r>
              <w:rPr>
                <w:noProof/>
                <w:webHidden/>
              </w:rPr>
            </w:r>
            <w:r>
              <w:rPr>
                <w:noProof/>
                <w:webHidden/>
              </w:rPr>
              <w:fldChar w:fldCharType="separate"/>
            </w:r>
            <w:r>
              <w:rPr>
                <w:noProof/>
                <w:webHidden/>
              </w:rPr>
              <w:t>11</w:t>
            </w:r>
            <w:r>
              <w:rPr>
                <w:noProof/>
                <w:webHidden/>
              </w:rPr>
              <w:fldChar w:fldCharType="end"/>
            </w:r>
          </w:hyperlink>
        </w:p>
        <w:p w14:paraId="2185958E" w14:textId="77777777" w:rsidR="0087328F" w:rsidRDefault="0087328F">
          <w:pPr>
            <w:pStyle w:val="TOC1"/>
            <w:tabs>
              <w:tab w:val="right" w:leader="dot" w:pos="9062"/>
            </w:tabs>
            <w:rPr>
              <w:noProof/>
            </w:rPr>
          </w:pPr>
          <w:hyperlink w:anchor="_Toc241259287" w:history="1">
            <w:r w:rsidRPr="000E1967">
              <w:rPr>
                <w:rStyle w:val="Hyperlink"/>
                <w:noProof/>
              </w:rPr>
              <w:t>References</w:t>
            </w:r>
            <w:r>
              <w:rPr>
                <w:noProof/>
                <w:webHidden/>
              </w:rPr>
              <w:tab/>
            </w:r>
            <w:r>
              <w:rPr>
                <w:noProof/>
                <w:webHidden/>
              </w:rPr>
              <w:fldChar w:fldCharType="begin"/>
            </w:r>
            <w:r>
              <w:rPr>
                <w:noProof/>
                <w:webHidden/>
              </w:rPr>
              <w:instrText xml:space="preserve"> PAGEREF _Toc241259287 \h </w:instrText>
            </w:r>
            <w:r>
              <w:rPr>
                <w:noProof/>
                <w:webHidden/>
              </w:rPr>
            </w:r>
            <w:r>
              <w:rPr>
                <w:noProof/>
                <w:webHidden/>
              </w:rPr>
              <w:fldChar w:fldCharType="separate"/>
            </w:r>
            <w:r>
              <w:rPr>
                <w:noProof/>
                <w:webHidden/>
              </w:rPr>
              <w:t>12</w:t>
            </w:r>
            <w:r>
              <w:rPr>
                <w:noProof/>
                <w:webHidden/>
              </w:rPr>
              <w:fldChar w:fldCharType="end"/>
            </w:r>
          </w:hyperlink>
        </w:p>
        <w:p w14:paraId="1CC7316B" w14:textId="77777777" w:rsidR="0087328F" w:rsidRDefault="0087328F">
          <w:r>
            <w:rPr>
              <w:b/>
              <w:bCs/>
              <w:noProof/>
            </w:rPr>
            <w:fldChar w:fldCharType="end"/>
          </w:r>
        </w:p>
      </w:sdtContent>
    </w:sdt>
    <w:p w14:paraId="20BF9EA1" w14:textId="77777777" w:rsidR="0087328F" w:rsidRDefault="0087328F"/>
    <w:p w14:paraId="72354846" w14:textId="77777777" w:rsidR="0087328F" w:rsidRDefault="0087328F">
      <w:pPr>
        <w:pStyle w:val="TableofFigures"/>
        <w:tabs>
          <w:tab w:val="right" w:leader="dot" w:pos="9062"/>
        </w:tabs>
        <w:rPr>
          <w:noProof/>
        </w:rPr>
      </w:pPr>
      <w:r>
        <w:fldChar w:fldCharType="begin"/>
      </w:r>
      <w:r>
        <w:instrText xml:space="preserve"> TOC \h \z \c "Table" </w:instrText>
      </w:r>
      <w:r>
        <w:fldChar w:fldCharType="separate"/>
      </w:r>
      <w:hyperlink w:anchor="_Toc241259288" w:history="1">
        <w:r w:rsidRPr="00E62A55">
          <w:rPr>
            <w:rStyle w:val="Hyperlink"/>
            <w:noProof/>
          </w:rPr>
          <w:t>Table 1</w:t>
        </w:r>
        <w:r w:rsidRPr="00E62A55">
          <w:rPr>
            <w:rStyle w:val="Hyperlink"/>
            <w:rFonts w:eastAsia="Arial" w:cs="Arial"/>
            <w:noProof/>
          </w:rPr>
          <w:t xml:space="preserve"> </w:t>
        </w:r>
        <w:r w:rsidRPr="00E62A55">
          <w:rPr>
            <w:rStyle w:val="Hyperlink"/>
            <w:noProof/>
          </w:rPr>
          <w:t>Selected competitor channel-performance benchmark</w:t>
        </w:r>
        <w:r>
          <w:rPr>
            <w:noProof/>
            <w:webHidden/>
          </w:rPr>
          <w:tab/>
        </w:r>
        <w:r>
          <w:rPr>
            <w:noProof/>
            <w:webHidden/>
          </w:rPr>
          <w:fldChar w:fldCharType="begin"/>
        </w:r>
        <w:r>
          <w:rPr>
            <w:noProof/>
            <w:webHidden/>
          </w:rPr>
          <w:instrText xml:space="preserve"> PAGEREF _Toc241259288 \h </w:instrText>
        </w:r>
        <w:r>
          <w:rPr>
            <w:noProof/>
            <w:webHidden/>
          </w:rPr>
        </w:r>
        <w:r>
          <w:rPr>
            <w:noProof/>
            <w:webHidden/>
          </w:rPr>
          <w:fldChar w:fldCharType="separate"/>
        </w:r>
        <w:r>
          <w:rPr>
            <w:noProof/>
            <w:webHidden/>
          </w:rPr>
          <w:t>9</w:t>
        </w:r>
        <w:r>
          <w:rPr>
            <w:noProof/>
            <w:webHidden/>
          </w:rPr>
          <w:fldChar w:fldCharType="end"/>
        </w:r>
      </w:hyperlink>
    </w:p>
    <w:p w14:paraId="012291B5" w14:textId="77777777" w:rsidR="0087328F" w:rsidRDefault="0087328F">
      <w:pPr>
        <w:pStyle w:val="TableofFigures"/>
        <w:tabs>
          <w:tab w:val="right" w:leader="dot" w:pos="9062"/>
        </w:tabs>
        <w:rPr>
          <w:noProof/>
        </w:rPr>
      </w:pPr>
      <w:hyperlink w:anchor="_Toc241259289" w:history="1">
        <w:r w:rsidRPr="00E62A55">
          <w:rPr>
            <w:rStyle w:val="Hyperlink"/>
            <w:noProof/>
          </w:rPr>
          <w:t>Table 2</w:t>
        </w:r>
        <w:r w:rsidRPr="00E62A55">
          <w:rPr>
            <w:rStyle w:val="Hyperlink"/>
            <w:rFonts w:eastAsia="Arial" w:cs="Arial"/>
            <w:noProof/>
          </w:rPr>
          <w:t xml:space="preserve"> </w:t>
        </w:r>
        <w:r w:rsidRPr="00E62A55">
          <w:rPr>
            <w:rStyle w:val="Hyperlink"/>
            <w:noProof/>
          </w:rPr>
          <w:t>Selected U.S. everyday-running shoe pricing benchmark</w:t>
        </w:r>
        <w:r>
          <w:rPr>
            <w:noProof/>
            <w:webHidden/>
          </w:rPr>
          <w:tab/>
        </w:r>
        <w:r>
          <w:rPr>
            <w:noProof/>
            <w:webHidden/>
          </w:rPr>
          <w:fldChar w:fldCharType="begin"/>
        </w:r>
        <w:r>
          <w:rPr>
            <w:noProof/>
            <w:webHidden/>
          </w:rPr>
          <w:instrText xml:space="preserve"> PAGEREF _Toc241259289 \h </w:instrText>
        </w:r>
        <w:r>
          <w:rPr>
            <w:noProof/>
            <w:webHidden/>
          </w:rPr>
        </w:r>
        <w:r>
          <w:rPr>
            <w:noProof/>
            <w:webHidden/>
          </w:rPr>
          <w:fldChar w:fldCharType="separate"/>
        </w:r>
        <w:r>
          <w:rPr>
            <w:noProof/>
            <w:webHidden/>
          </w:rPr>
          <w:t>10</w:t>
        </w:r>
        <w:r>
          <w:rPr>
            <w:noProof/>
            <w:webHidden/>
          </w:rPr>
          <w:fldChar w:fldCharType="end"/>
        </w:r>
      </w:hyperlink>
    </w:p>
    <w:p w14:paraId="263C6C00" w14:textId="77777777" w:rsidR="0087328F" w:rsidRDefault="0087328F">
      <w:pPr>
        <w:pStyle w:val="TableofFigures"/>
        <w:tabs>
          <w:tab w:val="right" w:leader="dot" w:pos="9062"/>
        </w:tabs>
        <w:rPr>
          <w:noProof/>
        </w:rPr>
      </w:pPr>
      <w:hyperlink w:anchor="_Toc241259290" w:history="1">
        <w:r w:rsidRPr="00E62A55">
          <w:rPr>
            <w:rStyle w:val="Hyperlink"/>
            <w:noProof/>
          </w:rPr>
          <w:t>Table 3</w:t>
        </w:r>
        <w:r w:rsidRPr="00E62A55">
          <w:rPr>
            <w:rStyle w:val="Hyperlink"/>
            <w:rFonts w:eastAsia="Arial" w:cs="Arial"/>
            <w:noProof/>
          </w:rPr>
          <w:t xml:space="preserve"> </w:t>
        </w:r>
        <w:r w:rsidRPr="00E62A55">
          <w:rPr>
            <w:rStyle w:val="Hyperlink"/>
            <w:noProof/>
          </w:rPr>
          <w:t>Principal risks and mitigation measures</w:t>
        </w:r>
        <w:r>
          <w:rPr>
            <w:noProof/>
            <w:webHidden/>
          </w:rPr>
          <w:tab/>
        </w:r>
        <w:r>
          <w:rPr>
            <w:noProof/>
            <w:webHidden/>
          </w:rPr>
          <w:fldChar w:fldCharType="begin"/>
        </w:r>
        <w:r>
          <w:rPr>
            <w:noProof/>
            <w:webHidden/>
          </w:rPr>
          <w:instrText xml:space="preserve"> PAGEREF _Toc241259290 \h </w:instrText>
        </w:r>
        <w:r>
          <w:rPr>
            <w:noProof/>
            <w:webHidden/>
          </w:rPr>
        </w:r>
        <w:r>
          <w:rPr>
            <w:noProof/>
            <w:webHidden/>
          </w:rPr>
          <w:fldChar w:fldCharType="separate"/>
        </w:r>
        <w:r>
          <w:rPr>
            <w:noProof/>
            <w:webHidden/>
          </w:rPr>
          <w:t>11</w:t>
        </w:r>
        <w:r>
          <w:rPr>
            <w:noProof/>
            <w:webHidden/>
          </w:rPr>
          <w:fldChar w:fldCharType="end"/>
        </w:r>
      </w:hyperlink>
    </w:p>
    <w:p w14:paraId="77080C06" w14:textId="77777777" w:rsidR="0087328F" w:rsidRDefault="0087328F">
      <w:pPr>
        <w:rPr>
          <w:noProof/>
        </w:rPr>
      </w:pPr>
      <w:r>
        <w:fldChar w:fldCharType="end"/>
      </w:r>
      <w:r>
        <w:fldChar w:fldCharType="begin"/>
      </w:r>
      <w:r>
        <w:instrText xml:space="preserve"> TOC \h \z \c "Figure" </w:instrText>
      </w:r>
      <w:r>
        <w:fldChar w:fldCharType="separate"/>
      </w:r>
    </w:p>
    <w:p w14:paraId="0AC22739" w14:textId="77777777" w:rsidR="0087328F" w:rsidRDefault="0087328F">
      <w:pPr>
        <w:pStyle w:val="TableofFigures"/>
        <w:tabs>
          <w:tab w:val="right" w:leader="dot" w:pos="9062"/>
        </w:tabs>
        <w:rPr>
          <w:rFonts w:asciiTheme="minorHAnsi" w:hAnsiTheme="minorHAnsi"/>
          <w:noProof/>
          <w:color w:val="auto"/>
          <w:sz w:val="22"/>
          <w:lang w:eastAsia="en-GB"/>
        </w:rPr>
      </w:pPr>
      <w:hyperlink w:anchor="_Toc241259291" w:history="1">
        <w:r w:rsidRPr="006673CF">
          <w:rPr>
            <w:rStyle w:val="Hyperlink"/>
            <w:noProof/>
          </w:rPr>
          <w:t>Figure 1</w:t>
        </w:r>
        <w:r w:rsidRPr="006673CF">
          <w:rPr>
            <w:rStyle w:val="Hyperlink"/>
            <w:rFonts w:eastAsia="Arial" w:cs="Arial"/>
            <w:noProof/>
          </w:rPr>
          <w:t xml:space="preserve"> </w:t>
        </w:r>
        <w:r w:rsidRPr="006673CF">
          <w:rPr>
            <w:rStyle w:val="Hyperlink"/>
            <w:noProof/>
          </w:rPr>
          <w:t xml:space="preserve">NIKE North America revenue by channel, FY2024-FY2026 </w:t>
        </w:r>
        <w:r w:rsidRPr="006673CF">
          <w:rPr>
            <w:rStyle w:val="Hyperlink"/>
            <w:rFonts w:eastAsia="Arial" w:cs="Arial"/>
            <w:i/>
            <w:noProof/>
          </w:rPr>
          <w:t>Source: Author-created from NIKE, Inc. (2026).</w:t>
        </w:r>
        <w:r>
          <w:rPr>
            <w:noProof/>
            <w:webHidden/>
          </w:rPr>
          <w:tab/>
        </w:r>
        <w:r>
          <w:rPr>
            <w:noProof/>
            <w:webHidden/>
          </w:rPr>
          <w:fldChar w:fldCharType="begin"/>
        </w:r>
        <w:r>
          <w:rPr>
            <w:noProof/>
            <w:webHidden/>
          </w:rPr>
          <w:instrText xml:space="preserve"> PAGEREF _Toc241259291 \h </w:instrText>
        </w:r>
        <w:r>
          <w:rPr>
            <w:noProof/>
            <w:webHidden/>
          </w:rPr>
        </w:r>
        <w:r>
          <w:rPr>
            <w:noProof/>
            <w:webHidden/>
          </w:rPr>
          <w:fldChar w:fldCharType="separate"/>
        </w:r>
        <w:r>
          <w:rPr>
            <w:noProof/>
            <w:webHidden/>
          </w:rPr>
          <w:t>7</w:t>
        </w:r>
        <w:r>
          <w:rPr>
            <w:noProof/>
            <w:webHidden/>
          </w:rPr>
          <w:fldChar w:fldCharType="end"/>
        </w:r>
      </w:hyperlink>
    </w:p>
    <w:p w14:paraId="55677A44" w14:textId="77777777" w:rsidR="0087328F" w:rsidRDefault="0087328F">
      <w:pPr>
        <w:pStyle w:val="TableofFigures"/>
        <w:tabs>
          <w:tab w:val="right" w:leader="dot" w:pos="9062"/>
        </w:tabs>
        <w:rPr>
          <w:rFonts w:asciiTheme="minorHAnsi" w:hAnsiTheme="minorHAnsi"/>
          <w:noProof/>
          <w:color w:val="auto"/>
          <w:sz w:val="22"/>
          <w:lang w:eastAsia="en-GB"/>
        </w:rPr>
      </w:pPr>
      <w:hyperlink w:anchor="_Toc241259292" w:history="1">
        <w:r w:rsidRPr="006673CF">
          <w:rPr>
            <w:rStyle w:val="Hyperlink"/>
            <w:noProof/>
          </w:rPr>
          <w:t>Figure 2</w:t>
        </w:r>
        <w:r w:rsidRPr="006673CF">
          <w:rPr>
            <w:rStyle w:val="Hyperlink"/>
            <w:rFonts w:eastAsia="Arial" w:cs="Arial"/>
            <w:noProof/>
          </w:rPr>
          <w:t xml:space="preserve"> </w:t>
        </w:r>
        <w:r w:rsidRPr="006673CF">
          <w:rPr>
            <w:rStyle w:val="Hyperlink"/>
            <w:noProof/>
          </w:rPr>
          <w:t xml:space="preserve">Proposed 16-week project timeline </w:t>
        </w:r>
        <w:r w:rsidRPr="006673CF">
          <w:rPr>
            <w:rStyle w:val="Hyperlink"/>
            <w:rFonts w:eastAsia="Arial" w:cs="Arial"/>
            <w:i/>
            <w:noProof/>
          </w:rPr>
          <w:t>Source: Author-developed project plan.</w:t>
        </w:r>
        <w:r>
          <w:rPr>
            <w:noProof/>
            <w:webHidden/>
          </w:rPr>
          <w:tab/>
        </w:r>
        <w:r>
          <w:rPr>
            <w:noProof/>
            <w:webHidden/>
          </w:rPr>
          <w:fldChar w:fldCharType="begin"/>
        </w:r>
        <w:r>
          <w:rPr>
            <w:noProof/>
            <w:webHidden/>
          </w:rPr>
          <w:instrText xml:space="preserve"> PAGEREF _Toc241259292 \h </w:instrText>
        </w:r>
        <w:r>
          <w:rPr>
            <w:noProof/>
            <w:webHidden/>
          </w:rPr>
        </w:r>
        <w:r>
          <w:rPr>
            <w:noProof/>
            <w:webHidden/>
          </w:rPr>
          <w:fldChar w:fldCharType="separate"/>
        </w:r>
        <w:r>
          <w:rPr>
            <w:noProof/>
            <w:webHidden/>
          </w:rPr>
          <w:t>12</w:t>
        </w:r>
        <w:r>
          <w:rPr>
            <w:noProof/>
            <w:webHidden/>
          </w:rPr>
          <w:fldChar w:fldCharType="end"/>
        </w:r>
      </w:hyperlink>
    </w:p>
    <w:p w14:paraId="7DCA6442" w14:textId="77777777" w:rsidR="0087328F" w:rsidRDefault="0087328F">
      <w:r>
        <w:fldChar w:fldCharType="end"/>
      </w:r>
    </w:p>
    <w:p w14:paraId="587524D9" w14:textId="77777777" w:rsidR="0087328F" w:rsidRDefault="0087328F"/>
    <w:p w14:paraId="21136FD3" w14:textId="77777777" w:rsidR="0087328F" w:rsidRDefault="0087328F"/>
    <w:p w14:paraId="01B5C713" w14:textId="77777777" w:rsidR="007339A6" w:rsidRPr="0087328F" w:rsidRDefault="00660318" w:rsidP="0087328F">
      <w:pPr>
        <w:pStyle w:val="Heading1"/>
      </w:pPr>
      <w:bookmarkStart w:id="0" w:name="_Toc241259273"/>
      <w:r w:rsidRPr="0087328F">
        <w:lastRenderedPageBreak/>
        <w:t>1. Introduction, Company and Business Idea</w:t>
      </w:r>
      <w:bookmarkEnd w:id="0"/>
    </w:p>
    <w:p w14:paraId="35A2DA14" w14:textId="77777777" w:rsidR="007339A6" w:rsidRPr="0087328F" w:rsidRDefault="00660318" w:rsidP="0087328F">
      <w:pPr>
        <w:pStyle w:val="Heading2"/>
      </w:pPr>
      <w:bookmarkStart w:id="1" w:name="_Toc241259274"/>
      <w:r w:rsidRPr="0087328F">
        <w:t>1.1 Company profile, ownership and strategic context</w:t>
      </w:r>
      <w:bookmarkEnd w:id="1"/>
    </w:p>
    <w:p w14:paraId="4394F142" w14:textId="77777777" w:rsidR="00570B39" w:rsidRDefault="00570B39" w:rsidP="00570B39">
      <w:pPr>
        <w:rPr>
          <w:rFonts w:eastAsia="Arial" w:cs="Arial"/>
        </w:rPr>
      </w:pPr>
      <w:r w:rsidRPr="00570B39">
        <w:rPr>
          <w:rFonts w:eastAsia="Arial" w:cs="Arial"/>
        </w:rPr>
        <w:t>NIKE, Inc. is a multinational company headquartered in Beaverton, Oregon. Its main operations include the design, development, marketing and sale of athletic footwear and apparel, equipment, accessories and services via NIKE Direct and wholesale (NIKE, Inc., 2026). The company began operations as Blue Ribbon Sports in 1964, when Phil Knight and Bill Bowerman formed a business partnership (NIKE, Inc., 2025). NIKE is publicly traded, while Class B common stock is listed on the New York Stock Exchange; its dual-class structure also retains a large founder-related Class A shareholding via Swoosh, LLC (NIKE, Inc., 2026). This arrangement is a combination of accountability to public investors and continued founder-family control of a large portion of the Class A equity.</w:t>
      </w:r>
    </w:p>
    <w:p w14:paraId="43F8401A" w14:textId="77777777" w:rsidR="007339A6" w:rsidRPr="00570B39" w:rsidRDefault="00570B39" w:rsidP="00570B39">
      <w:pPr>
        <w:rPr>
          <w:rFonts w:eastAsia="Arial" w:cs="Arial"/>
        </w:rPr>
      </w:pPr>
      <w:r w:rsidRPr="00570B39">
        <w:rPr>
          <w:rFonts w:eastAsia="Arial" w:cs="Arial"/>
        </w:rPr>
        <w:t>The official mission statement of NIKE states that it aims to inspire and innovate for athletes in the world (NIKE, Inc., n.d.). The strategic direction that it currently follows is commercially relevant to this proposal since the management is considering repositioning NIKE Brand Digital as the full-price platform but reinvesting in the wholesale distribution and brand presentation in the physical retail (NIKE, Inc., 2026). For the purposes of this analysis, North America can be considered a suitable unit of analysis since it is the largest geographic market reported by NIKE Brand and generated US 20.511 billion of revenue in fiscal 2026 (NIKE, Inc., 2026). The operating environment is thus sufficiently large in scale and channel-level disclosure for conducting a focused business-development study</w:t>
      </w:r>
      <w:r w:rsidR="00660318">
        <w:rPr>
          <w:rFonts w:eastAsia="Arial" w:cs="Arial"/>
        </w:rPr>
        <w:t>.</w:t>
      </w:r>
    </w:p>
    <w:p w14:paraId="25BFF818" w14:textId="77777777" w:rsidR="007339A6" w:rsidRDefault="00660318" w:rsidP="0087328F">
      <w:pPr>
        <w:pStyle w:val="Heading2"/>
      </w:pPr>
      <w:bookmarkStart w:id="2" w:name="_Toc241259275"/>
      <w:r>
        <w:t>1.2 Products, target customers, business problem and proposed direction</w:t>
      </w:r>
      <w:bookmarkEnd w:id="2"/>
    </w:p>
    <w:p w14:paraId="509D719B" w14:textId="77777777" w:rsidR="00570B39" w:rsidRPr="00570B39" w:rsidRDefault="00570B39" w:rsidP="00570B39">
      <w:pPr>
        <w:rPr>
          <w:rFonts w:eastAsia="Arial" w:cs="Arial"/>
        </w:rPr>
      </w:pPr>
      <w:r w:rsidRPr="00570B39">
        <w:rPr>
          <w:rFonts w:eastAsia="Arial" w:cs="Arial"/>
        </w:rPr>
        <w:t>NIKE markets performance and lifestyle products in two main channels: NIKE Direct which includes owned retail stores and web platforms and wholesale accounts which includes multi-brand and specialist retailers (NIKE, Inc., 2026). The proposal targets digitally engaged consumers of sportswear in North America who, instead of behaving as separate online or store shoppers, engage across the social, digital and physical touchpoints. The social platforms have become a significant product-discovery channel to shoppers, further strengthening the relevance of a connected customer journey (Salesforce, 2025). The younger consumers are particularly important as the existing retail experience shows that Gen Z expects personalised and seamless experiences on both digital and physical touchpoints (PwC, 2025).</w:t>
      </w:r>
    </w:p>
    <w:p w14:paraId="431C2CB0" w14:textId="77777777" w:rsidR="00570B39" w:rsidRPr="00570B39" w:rsidRDefault="00570B39" w:rsidP="00570B39">
      <w:pPr>
        <w:rPr>
          <w:rFonts w:eastAsia="Arial" w:cs="Arial"/>
        </w:rPr>
      </w:pPr>
      <w:r w:rsidRPr="00570B39">
        <w:rPr>
          <w:rFonts w:eastAsia="Arial" w:cs="Arial"/>
        </w:rPr>
        <w:lastRenderedPageBreak/>
        <w:t>A significant difference between the North American channels of NIKE is the key business-development issue. Wholesale revenue rose by 14% to US$11.958 billion and NIKE Direct revenue decreased by 6% to US$8.553 billion in fiscal 2026, and digital sales and store sales fell by 10 and 2 percent in the region, respectively (NIKE, Inc., 2026). The issue is therefore not to replace wholesale with Direct but to rebuild customer engagement which NIKE controls and maintain the relationships which are already contributing to regional growth. The suggested solution is an integrated omnichannel system that connects membership and digital customisation, NIKE-owned shops and a selected group of wholesale partners to each other, by means of coordinated product access, inventory visibility, fulfilment and membership benefits. An omnichannel strategy is appropriately understood as a continuum of combining online and offline channels throughout the customer journey instead of greater digital activity (</w:t>
      </w:r>
      <w:proofErr w:type="spellStart"/>
      <w:r w:rsidRPr="00570B39">
        <w:rPr>
          <w:rFonts w:eastAsia="Arial" w:cs="Arial"/>
        </w:rPr>
        <w:t>Neslin</w:t>
      </w:r>
      <w:proofErr w:type="spellEnd"/>
      <w:r w:rsidRPr="00570B39">
        <w:rPr>
          <w:rFonts w:eastAsia="Arial" w:cs="Arial"/>
        </w:rPr>
        <w:t>, 2022).</w:t>
      </w:r>
    </w:p>
    <w:p w14:paraId="2AEB2C90" w14:textId="77777777" w:rsidR="007339A6" w:rsidRDefault="00570B39" w:rsidP="00570B39">
      <w:r w:rsidRPr="00570B39">
        <w:rPr>
          <w:rFonts w:eastAsia="Arial" w:cs="Arial"/>
        </w:rPr>
        <w:t>The suggested USP is an integrated membership proposition rather than price leadership: NIKE would integrate athlete-driven product development, membership perks, trusted brand experience and convenient cross-channel experience into a single customer experience. This approach aligns with research indicating that the omnichannel experience is measured by such dimensions as personalisation, availability, information security, delivery, returns and loyalty programmes (Rahman et al., 2022). Personalisation may also enhance cognitive and emotional experience and support loyalty outcomes when incorporated in the broader retail experience (</w:t>
      </w:r>
      <w:proofErr w:type="spellStart"/>
      <w:r w:rsidRPr="00570B39">
        <w:rPr>
          <w:rFonts w:eastAsia="Arial" w:cs="Arial"/>
        </w:rPr>
        <w:t>Tyrviainen</w:t>
      </w:r>
      <w:proofErr w:type="spellEnd"/>
      <w:r w:rsidRPr="00570B39">
        <w:rPr>
          <w:rFonts w:eastAsia="Arial" w:cs="Arial"/>
        </w:rPr>
        <w:t xml:space="preserve">, </w:t>
      </w:r>
      <w:proofErr w:type="spellStart"/>
      <w:r w:rsidRPr="00570B39">
        <w:rPr>
          <w:rFonts w:eastAsia="Arial" w:cs="Arial"/>
        </w:rPr>
        <w:t>Karjaluoto</w:t>
      </w:r>
      <w:proofErr w:type="spellEnd"/>
      <w:r w:rsidRPr="00570B39">
        <w:rPr>
          <w:rFonts w:eastAsia="Arial" w:cs="Arial"/>
        </w:rPr>
        <w:t xml:space="preserve"> and </w:t>
      </w:r>
      <w:proofErr w:type="spellStart"/>
      <w:r w:rsidRPr="00570B39">
        <w:rPr>
          <w:rFonts w:eastAsia="Arial" w:cs="Arial"/>
        </w:rPr>
        <w:t>Saarijarvi</w:t>
      </w:r>
      <w:proofErr w:type="spellEnd"/>
      <w:r w:rsidRPr="00570B39">
        <w:rPr>
          <w:rFonts w:eastAsia="Arial" w:cs="Arial"/>
        </w:rPr>
        <w:t>, 2020)</w:t>
      </w:r>
      <w:r w:rsidR="00660318">
        <w:rPr>
          <w:rFonts w:eastAsia="Arial" w:cs="Arial"/>
        </w:rPr>
        <w:t>.</w:t>
      </w:r>
    </w:p>
    <w:p w14:paraId="1B1954E0" w14:textId="77777777" w:rsidR="007339A6" w:rsidRDefault="00660318" w:rsidP="0087328F">
      <w:pPr>
        <w:pStyle w:val="Heading2"/>
      </w:pPr>
      <w:bookmarkStart w:id="3" w:name="_Toc241259276"/>
      <w:r>
        <w:t>1.3 Aim and objectives</w:t>
      </w:r>
      <w:bookmarkEnd w:id="3"/>
    </w:p>
    <w:p w14:paraId="35D9D092" w14:textId="77777777" w:rsidR="007339A6" w:rsidRDefault="00660318">
      <w:r>
        <w:rPr>
          <w:rFonts w:eastAsia="Arial" w:cs="Arial"/>
        </w:rPr>
        <w:t>The aim is to develop an evidence-based business-development proposal for strengthening NIKE Direct growth in North America through an integrated omnichannel strategy while preserving the commercial value of wholesale relationships. Four objectives guide the study: (1) critically evaluate the causes and commercial implications of NIKE Direct underperformance in North America; (2) analyse market, customer, competitor, pricing and external forces shaping NIKE's channel performance; (3) assess the commercial and operational feasibility of connecting digital, membership, owned-store and selected wholesale touchpoints; and (4) formulate a commercially justified implementation framework with measurable criteria for evaluating incremental value.</w:t>
      </w:r>
    </w:p>
    <w:p w14:paraId="0023378D" w14:textId="77777777" w:rsidR="007339A6" w:rsidRDefault="00660318" w:rsidP="0087328F">
      <w:pPr>
        <w:pStyle w:val="Heading1"/>
      </w:pPr>
      <w:bookmarkStart w:id="4" w:name="_Toc241259277"/>
      <w:r>
        <w:lastRenderedPageBreak/>
        <w:t>2. Methodology</w:t>
      </w:r>
      <w:bookmarkEnd w:id="4"/>
    </w:p>
    <w:p w14:paraId="6216CCC6" w14:textId="77777777" w:rsidR="007339A6" w:rsidRDefault="00660318" w:rsidP="0087328F">
      <w:pPr>
        <w:pStyle w:val="Heading2"/>
      </w:pPr>
      <w:bookmarkStart w:id="5" w:name="_Toc241259278"/>
      <w:r>
        <w:t>2.1 Research design and evidence base</w:t>
      </w:r>
      <w:bookmarkEnd w:id="5"/>
    </w:p>
    <w:p w14:paraId="1FBABCBF" w14:textId="77777777" w:rsidR="00570B39" w:rsidRPr="00570B39" w:rsidRDefault="00570B39" w:rsidP="00570B39">
      <w:pPr>
        <w:rPr>
          <w:rFonts w:eastAsia="Arial" w:cs="Arial"/>
        </w:rPr>
      </w:pPr>
      <w:r w:rsidRPr="00570B39">
        <w:rPr>
          <w:rFonts w:eastAsia="Arial" w:cs="Arial"/>
        </w:rPr>
        <w:t>The research study follows a secondary-data case-study research design since the research question focuses on a single organisation, specific geographic market and identifiable commercial changes that are supported by substantial publicly available evidence. Case-study research is suitable when an organisational problem needs to be examined in context and in various forms of evidence rather than being minimised to one variable (Saunders, Lewis and Thornhill, 2023). Channel revenue, growth rate, market, competitor performance and published pricing data will be considered as quantitative evidence. Qualitative data will consist of corporate strategy disclosures, consumer-trend reports and peer-reviewed studies on omnichannel integration, personalisation, loyalty and customer experience.</w:t>
      </w:r>
    </w:p>
    <w:p w14:paraId="59E7B411" w14:textId="77777777" w:rsidR="00570B39" w:rsidRPr="00570B39" w:rsidRDefault="00570B39" w:rsidP="00570B39">
      <w:pPr>
        <w:rPr>
          <w:rFonts w:eastAsia="Arial" w:cs="Arial"/>
        </w:rPr>
      </w:pPr>
      <w:r w:rsidRPr="00570B39">
        <w:rPr>
          <w:rFonts w:eastAsia="Arial" w:cs="Arial"/>
        </w:rPr>
        <w:t>The selection of sources will focus on audited reports, official investor reports, governmental statistics, peer-reviewed journals and industry research. The commercial evidence will generally be drawn from 2024-2026, with older evidence retained only when needed to provide the necessary historical or theoretical background. Source provenance, reporting period, definition of variables, geographic area and known limitations will be recorded in an evidence matrix. Longitudinal and comparative access can be obtained with secondary evidence, but its suitability to the task requires an understanding of how the original data were defined, collected and reported (Bell, Bryman and Harley, 2022). Reported claims by the company will then be cross-checked with independent industry or academic evidence where an external benchmark is available.</w:t>
      </w:r>
    </w:p>
    <w:p w14:paraId="28F3D15C" w14:textId="77777777" w:rsidR="007339A6" w:rsidRDefault="00570B39" w:rsidP="00570B39">
      <w:r w:rsidRPr="00570B39">
        <w:rPr>
          <w:rFonts w:eastAsia="Arial" w:cs="Arial"/>
        </w:rPr>
        <w:t xml:space="preserve">Evidence will be retained only where its authorship, reporting period and relevance to the claim can be verified. NIKE-specific financial, legal and ownership facts will be supported by corporate filings; theoretical relationships will be supported by peer-reviewed studies; macroeconomic or regulatory information will be backed by government sources; and official competitor disclosures will be used for benchmarking. The consultancy reports will guide interpretation of the market without replacing the existing primary corporate evidence. Mixed findings will not be ignored but will be </w:t>
      </w:r>
      <w:proofErr w:type="spellStart"/>
      <w:r w:rsidRPr="00570B39">
        <w:rPr>
          <w:rFonts w:eastAsia="Arial" w:cs="Arial"/>
        </w:rPr>
        <w:t>analyzed</w:t>
      </w:r>
      <w:proofErr w:type="spellEnd"/>
      <w:r w:rsidRPr="00570B39">
        <w:rPr>
          <w:rFonts w:eastAsia="Arial" w:cs="Arial"/>
        </w:rPr>
        <w:t xml:space="preserve"> using geography, period and metric definitions and will improve auditability (Bell, Bryman and Harley, 2022)</w:t>
      </w:r>
      <w:r w:rsidR="00660318">
        <w:rPr>
          <w:rFonts w:eastAsia="Arial" w:cs="Arial"/>
        </w:rPr>
        <w:t>.</w:t>
      </w:r>
    </w:p>
    <w:p w14:paraId="2CB38074" w14:textId="77777777" w:rsidR="007339A6" w:rsidRDefault="00660318" w:rsidP="0087328F">
      <w:pPr>
        <w:pStyle w:val="Heading2"/>
      </w:pPr>
      <w:bookmarkStart w:id="6" w:name="_Toc241259279"/>
      <w:r>
        <w:lastRenderedPageBreak/>
        <w:t>2.2 Analytical approach, quality, limitations and ethics</w:t>
      </w:r>
      <w:bookmarkEnd w:id="6"/>
    </w:p>
    <w:p w14:paraId="7D53A74C" w14:textId="77777777" w:rsidR="007339A6" w:rsidRDefault="00570B39">
      <w:r w:rsidRPr="00570B39">
        <w:rPr>
          <w:rFonts w:eastAsia="Arial" w:cs="Arial"/>
        </w:rPr>
        <w:t>The longitudinal trend analysis, competitor benchmarking, structured pricing comparison and thematic synthesis will be analysed. The strategic interpretation will selectively rely on the Business Model Canvas, PESTLE, SWOT, competitor analysis, Porters Five Forces and Ansoff Matrix where each of the frameworks directly addresses the evidence and decision problem. Recency screening and source triangulation and clear distinction between reported facts and inferences will be used to enhance credibility. Where possible comparisons will be made using comparable measures, currency-neutral and constant-currency measures will be maintained separately and absolute measures. The main limitations are the lack of confidential customer-level economics, the variations in the definitions of corporate reporting and the rapid development of digital retail. The project will be based on the public and licensed secondary sources, thus the ethical safeguards will be focused on the integrity of the sources, their safe storage, clear referencing and avoidance of unnecessary personal information</w:t>
      </w:r>
      <w:r w:rsidR="00660318">
        <w:rPr>
          <w:rFonts w:eastAsia="Arial" w:cs="Arial"/>
        </w:rPr>
        <w:t>.</w:t>
      </w:r>
    </w:p>
    <w:p w14:paraId="0D46018E" w14:textId="77777777" w:rsidR="007339A6" w:rsidRDefault="00660318" w:rsidP="0087328F">
      <w:pPr>
        <w:pStyle w:val="Heading1"/>
      </w:pPr>
      <w:bookmarkStart w:id="7" w:name="_Toc241259280"/>
      <w:r>
        <w:t>3. Market Research and Validation</w:t>
      </w:r>
      <w:bookmarkEnd w:id="7"/>
    </w:p>
    <w:p w14:paraId="51B64A46" w14:textId="77777777" w:rsidR="007339A6" w:rsidRDefault="00660318" w:rsidP="0087328F">
      <w:pPr>
        <w:pStyle w:val="Heading2"/>
      </w:pPr>
      <w:bookmarkStart w:id="8" w:name="_Toc241259281"/>
      <w:r>
        <w:t>3.1 Current market position and channel-performance problem</w:t>
      </w:r>
      <w:bookmarkEnd w:id="8"/>
    </w:p>
    <w:p w14:paraId="594C4747" w14:textId="77777777" w:rsidR="007339A6" w:rsidRDefault="00570B39">
      <w:r w:rsidRPr="00570B39">
        <w:rPr>
          <w:rFonts w:eastAsia="Arial" w:cs="Arial"/>
        </w:rPr>
        <w:t>NIKE remains commercially significant, yet its performance data in North America indicate that there is a clear channel imbalance despite overall regional improvement. Figure 1 illustrates that the recovery in wholesale revenue occurred in fiscal 2026 whilst NIKE Direct was lower than in the fiscal 2024. At group level, NIKE Direct revenue decreased to US$17.7 billion in fiscal 2026, mainly due to the lower traffic (NIKE, Inc., 2026). The trend supports examining customer re-engagement and channel structure rather than a simple increase of the store capacity or promotional budget</w:t>
      </w:r>
      <w:r w:rsidR="00660318">
        <w:rPr>
          <w:rFonts w:eastAsia="Arial" w:cs="Arial"/>
        </w:rPr>
        <w:t>.</w:t>
      </w:r>
    </w:p>
    <w:p w14:paraId="5E57658E" w14:textId="77777777" w:rsidR="0087328F" w:rsidRDefault="00660318" w:rsidP="0087328F">
      <w:pPr>
        <w:keepNext/>
        <w:spacing w:after="80"/>
        <w:jc w:val="center"/>
      </w:pPr>
      <w:r>
        <w:rPr>
          <w:rFonts w:eastAsia="Arial" w:cs="Arial"/>
          <w:noProof/>
        </w:rPr>
        <w:drawing>
          <wp:inline distT="0" distB="0" distL="0" distR="0" wp14:anchorId="266C39A2" wp14:editId="20EBC821">
            <wp:extent cx="5575300" cy="2017227"/>
            <wp:effectExtent l="0" t="0" r="6350" b="2540"/>
            <wp:docPr id="2" name="Picture 2" descr="Bar chart comparing NIKE North America wholesale and NIKE Direct revenue for fiscal years 2024 to 2026" title="Bar chart comparing NIKE North America wholesale and NIKE Direct revenue for fiscal years 2024 to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ke_channel_performance.png"/>
                    <pic:cNvPicPr/>
                  </pic:nvPicPr>
                  <pic:blipFill>
                    <a:blip r:embed="rId9"/>
                    <a:stretch>
                      <a:fillRect/>
                    </a:stretch>
                  </pic:blipFill>
                  <pic:spPr>
                    <a:xfrm>
                      <a:off x="0" y="0"/>
                      <a:ext cx="5620350" cy="2033527"/>
                    </a:xfrm>
                    <a:prstGeom prst="rect">
                      <a:avLst/>
                    </a:prstGeom>
                  </pic:spPr>
                </pic:pic>
              </a:graphicData>
            </a:graphic>
          </wp:inline>
        </w:drawing>
      </w:r>
    </w:p>
    <w:p w14:paraId="59DFCE9A" w14:textId="77777777" w:rsidR="007339A6" w:rsidRPr="0087328F" w:rsidRDefault="0087328F" w:rsidP="0087328F">
      <w:pPr>
        <w:pStyle w:val="Caption"/>
        <w:jc w:val="center"/>
        <w:rPr>
          <w:b w:val="0"/>
          <w:bCs w:val="0"/>
          <w:color w:val="000000" w:themeColor="text1"/>
        </w:rPr>
      </w:pPr>
      <w:bookmarkStart w:id="9" w:name="_Toc241259291"/>
      <w:r w:rsidRPr="0087328F">
        <w:rPr>
          <w:b w:val="0"/>
          <w:bCs w:val="0"/>
          <w:color w:val="000000" w:themeColor="text1"/>
        </w:rPr>
        <w:t xml:space="preserve">Figure </w:t>
      </w:r>
      <w:r w:rsidRPr="0087328F">
        <w:rPr>
          <w:b w:val="0"/>
          <w:bCs w:val="0"/>
          <w:color w:val="000000" w:themeColor="text1"/>
        </w:rPr>
        <w:fldChar w:fldCharType="begin"/>
      </w:r>
      <w:r w:rsidRPr="0087328F">
        <w:rPr>
          <w:b w:val="0"/>
          <w:bCs w:val="0"/>
          <w:color w:val="000000" w:themeColor="text1"/>
        </w:rPr>
        <w:instrText xml:space="preserve"> SEQ Figure \* ARABIC </w:instrText>
      </w:r>
      <w:r w:rsidRPr="0087328F">
        <w:rPr>
          <w:b w:val="0"/>
          <w:bCs w:val="0"/>
          <w:color w:val="000000" w:themeColor="text1"/>
        </w:rPr>
        <w:fldChar w:fldCharType="separate"/>
      </w:r>
      <w:r>
        <w:rPr>
          <w:b w:val="0"/>
          <w:bCs w:val="0"/>
          <w:noProof/>
          <w:color w:val="000000" w:themeColor="text1"/>
        </w:rPr>
        <w:t>1</w:t>
      </w:r>
      <w:r w:rsidRPr="0087328F">
        <w:rPr>
          <w:b w:val="0"/>
          <w:bCs w:val="0"/>
          <w:color w:val="000000" w:themeColor="text1"/>
        </w:rPr>
        <w:fldChar w:fldCharType="end"/>
      </w:r>
      <w:r w:rsidRPr="0087328F">
        <w:rPr>
          <w:rFonts w:eastAsia="Arial" w:cs="Arial"/>
          <w:b w:val="0"/>
          <w:bCs w:val="0"/>
          <w:color w:val="000000" w:themeColor="text1"/>
          <w:sz w:val="24"/>
          <w:szCs w:val="22"/>
        </w:rPr>
        <w:t xml:space="preserve"> </w:t>
      </w:r>
      <w:r w:rsidRPr="0087328F">
        <w:rPr>
          <w:b w:val="0"/>
          <w:bCs w:val="0"/>
          <w:color w:val="000000" w:themeColor="text1"/>
        </w:rPr>
        <w:t xml:space="preserve">NIKE North America revenue by channel, FY2024-FY2026 </w:t>
      </w:r>
      <w:r w:rsidR="00660318" w:rsidRPr="0087328F">
        <w:rPr>
          <w:rFonts w:eastAsia="Arial" w:cs="Arial"/>
          <w:b w:val="0"/>
          <w:bCs w:val="0"/>
          <w:i/>
          <w:color w:val="000000" w:themeColor="text1"/>
        </w:rPr>
        <w:t>Source: Author-created from NIKE, Inc. (2026).</w:t>
      </w:r>
      <w:bookmarkEnd w:id="9"/>
    </w:p>
    <w:p w14:paraId="7A05D7DD" w14:textId="77777777" w:rsidR="007339A6" w:rsidRDefault="00660318" w:rsidP="0087328F">
      <w:pPr>
        <w:pStyle w:val="Heading2"/>
      </w:pPr>
      <w:bookmarkStart w:id="10" w:name="_Toc241259282"/>
      <w:r>
        <w:lastRenderedPageBreak/>
        <w:t>3.2 Market and customer trends</w:t>
      </w:r>
      <w:bookmarkEnd w:id="10"/>
    </w:p>
    <w:p w14:paraId="4D372508" w14:textId="77777777" w:rsidR="00570B39" w:rsidRPr="00570B39" w:rsidRDefault="00570B39" w:rsidP="00570B39">
      <w:pPr>
        <w:rPr>
          <w:rFonts w:eastAsia="Arial" w:cs="Arial"/>
        </w:rPr>
      </w:pPr>
      <w:r w:rsidRPr="00570B39">
        <w:rPr>
          <w:rFonts w:eastAsia="Arial" w:cs="Arial"/>
        </w:rPr>
        <w:t>The broader sporting-goods segment is attractive despite competitive pressures. According to McKinsey, the sector is projected to grow by about 6% annually in the period between 2024 and 2029, and Nike and adidas reportedly lost about three percentage points of its market share in the period between 2019 and 2024 to their emerging competitors (McKinsey &amp; Company, 2025). The U.S. e-commerce continues to be significant as well: seasonally adjusted retail e-commerce sales amounted to US$340.2 billion in the second quarter of 2026 and constituted 17.1 percent of total retail sales (U.S. Census Bureau, 2026). The loss of digital demand cannot thus be attributed to weakness in NIKE Direct.</w:t>
      </w:r>
    </w:p>
    <w:p w14:paraId="57948589" w14:textId="77777777" w:rsidR="007339A6" w:rsidRDefault="00570B39" w:rsidP="00570B39">
      <w:r w:rsidRPr="00570B39">
        <w:rPr>
          <w:rFonts w:eastAsia="Arial" w:cs="Arial"/>
        </w:rPr>
        <w:t>Instead, customer behaviour is increasingly oriented toward connected journeys. Among the top growth priorities of retailers presented by Deloitte are loyalty, digital commerce and omnichannel experience, and the monthly spending among omnichannel shoppers is higher than that of single-channel shoppers (Deloitte, 2025). Omnichannel cognitive customer experience can be enhanced by integrated product, price, promotion and transaction information (Gao et al., 2021). The implication of these findings is that NIKE has an opportunity to improve continuity in discovery, purchase, fulfilment and after sales service rather than treating each stage separately</w:t>
      </w:r>
      <w:r w:rsidR="00660318">
        <w:rPr>
          <w:rFonts w:eastAsia="Arial" w:cs="Arial"/>
        </w:rPr>
        <w:t>.</w:t>
      </w:r>
    </w:p>
    <w:p w14:paraId="77D3CC9B" w14:textId="77777777" w:rsidR="007339A6" w:rsidRDefault="00660318" w:rsidP="0087328F">
      <w:pPr>
        <w:pStyle w:val="Heading2"/>
      </w:pPr>
      <w:bookmarkStart w:id="11" w:name="_Toc241259283"/>
      <w:r>
        <w:t>3.3 Competitor activity and pricing</w:t>
      </w:r>
      <w:bookmarkEnd w:id="11"/>
    </w:p>
    <w:p w14:paraId="135D4F78" w14:textId="77777777" w:rsidR="007339A6" w:rsidRDefault="00570B39">
      <w:r w:rsidRPr="00570B39">
        <w:rPr>
          <w:rFonts w:eastAsia="Arial" w:cs="Arial"/>
        </w:rPr>
        <w:t>This is supported by competitor evidence which suggests that more robust wholesale relationships need not come at the expense of direct channels. North America In 2025, adidas had 10% currency-neutral brand growth in North America (adidas, 2026a). At group level, the increase in the adidas wholesale revenue is 12 per cent and the growth in DTC revenue is 14 per cent on a currency-neutral basis, reflecting growth across channels (adidas, 2026b). On Holding also announced 30.0% full-year net-sales growth in 2025 as it reported strength in both DTC and wholesale channels (On Holding, 2026a). As of the second quarter of 2026, the DTC sales of On increased by 34.3% (in constant currency) and constituted 45.7% of net sales (On Holding, 2026b)</w:t>
      </w:r>
      <w:r w:rsidR="00660318">
        <w:rPr>
          <w:rFonts w:eastAsia="Arial" w:cs="Arial"/>
        </w:rPr>
        <w:t>.</w:t>
      </w:r>
    </w:p>
    <w:p w14:paraId="7DBE7D7D" w14:textId="77777777" w:rsidR="007339A6" w:rsidRDefault="00660318">
      <w:r>
        <w:rPr>
          <w:rFonts w:eastAsia="Arial" w:cs="Arial"/>
        </w:rPr>
        <w:br w:type="page"/>
      </w:r>
    </w:p>
    <w:p w14:paraId="0FE12EE2" w14:textId="77777777" w:rsidR="0087328F" w:rsidRPr="0087328F" w:rsidRDefault="0087328F" w:rsidP="0087328F">
      <w:pPr>
        <w:pStyle w:val="Caption"/>
        <w:keepNext/>
        <w:rPr>
          <w:b w:val="0"/>
          <w:bCs w:val="0"/>
          <w:color w:val="000000" w:themeColor="text1"/>
        </w:rPr>
      </w:pPr>
      <w:bookmarkStart w:id="12" w:name="_Toc241259288"/>
      <w:r w:rsidRPr="0087328F">
        <w:rPr>
          <w:b w:val="0"/>
          <w:bCs w:val="0"/>
          <w:color w:val="000000" w:themeColor="text1"/>
        </w:rPr>
        <w:lastRenderedPageBreak/>
        <w:t xml:space="preserve">Table </w:t>
      </w:r>
      <w:r w:rsidRPr="0087328F">
        <w:rPr>
          <w:b w:val="0"/>
          <w:bCs w:val="0"/>
          <w:color w:val="000000" w:themeColor="text1"/>
        </w:rPr>
        <w:fldChar w:fldCharType="begin"/>
      </w:r>
      <w:r w:rsidRPr="0087328F">
        <w:rPr>
          <w:b w:val="0"/>
          <w:bCs w:val="0"/>
          <w:color w:val="000000" w:themeColor="text1"/>
        </w:rPr>
        <w:instrText xml:space="preserve"> SEQ Table \* ARABIC </w:instrText>
      </w:r>
      <w:r w:rsidRPr="0087328F">
        <w:rPr>
          <w:b w:val="0"/>
          <w:bCs w:val="0"/>
          <w:color w:val="000000" w:themeColor="text1"/>
        </w:rPr>
        <w:fldChar w:fldCharType="separate"/>
      </w:r>
      <w:r>
        <w:rPr>
          <w:b w:val="0"/>
          <w:bCs w:val="0"/>
          <w:noProof/>
          <w:color w:val="000000" w:themeColor="text1"/>
        </w:rPr>
        <w:t>1</w:t>
      </w:r>
      <w:r w:rsidRPr="0087328F">
        <w:rPr>
          <w:b w:val="0"/>
          <w:bCs w:val="0"/>
          <w:color w:val="000000" w:themeColor="text1"/>
        </w:rPr>
        <w:fldChar w:fldCharType="end"/>
      </w:r>
      <w:r w:rsidRPr="0087328F">
        <w:rPr>
          <w:rFonts w:eastAsia="Arial" w:cs="Arial"/>
          <w:b w:val="0"/>
          <w:bCs w:val="0"/>
          <w:color w:val="000000" w:themeColor="text1"/>
          <w:sz w:val="24"/>
          <w:szCs w:val="22"/>
        </w:rPr>
        <w:t xml:space="preserve"> </w:t>
      </w:r>
      <w:r w:rsidRPr="0087328F">
        <w:rPr>
          <w:b w:val="0"/>
          <w:bCs w:val="0"/>
          <w:color w:val="000000" w:themeColor="text1"/>
        </w:rPr>
        <w:t>Selected competitor channel-performance benchmark</w:t>
      </w:r>
      <w:bookmarkEnd w:id="12"/>
    </w:p>
    <w:tbl>
      <w:tblPr>
        <w:tblStyle w:val="TableGrid"/>
        <w:tblW w:w="0" w:type="auto"/>
        <w:jc w:val="center"/>
        <w:tblLook w:val="04A0" w:firstRow="1" w:lastRow="0" w:firstColumn="1" w:lastColumn="0" w:noHBand="0" w:noVBand="1"/>
      </w:tblPr>
      <w:tblGrid>
        <w:gridCol w:w="2266"/>
        <w:gridCol w:w="2265"/>
        <w:gridCol w:w="2266"/>
        <w:gridCol w:w="2265"/>
      </w:tblGrid>
      <w:tr w:rsidR="007339A6" w14:paraId="6620D467" w14:textId="77777777" w:rsidTr="0087328F">
        <w:trPr>
          <w:cantSplit/>
          <w:tblHeader/>
          <w:jc w:val="center"/>
        </w:trPr>
        <w:tc>
          <w:tcPr>
            <w:tcW w:w="2266" w:type="dxa"/>
            <w:tcMar>
              <w:top w:w="60" w:type="dxa"/>
              <w:left w:w="80" w:type="dxa"/>
              <w:bottom w:w="60" w:type="dxa"/>
              <w:right w:w="80" w:type="dxa"/>
            </w:tcMar>
            <w:vAlign w:val="center"/>
          </w:tcPr>
          <w:p w14:paraId="4CD03AFD" w14:textId="77777777" w:rsidR="007339A6" w:rsidRDefault="00660318">
            <w:pPr>
              <w:spacing w:after="0"/>
              <w:jc w:val="center"/>
            </w:pPr>
            <w:r>
              <w:rPr>
                <w:rFonts w:eastAsia="Arial" w:cs="Arial"/>
                <w:b/>
              </w:rPr>
              <w:t>Company</w:t>
            </w:r>
          </w:p>
        </w:tc>
        <w:tc>
          <w:tcPr>
            <w:tcW w:w="2265" w:type="dxa"/>
            <w:tcMar>
              <w:top w:w="60" w:type="dxa"/>
              <w:left w:w="80" w:type="dxa"/>
              <w:bottom w:w="60" w:type="dxa"/>
              <w:right w:w="80" w:type="dxa"/>
            </w:tcMar>
            <w:vAlign w:val="center"/>
          </w:tcPr>
          <w:p w14:paraId="6B73E029" w14:textId="77777777" w:rsidR="007339A6" w:rsidRDefault="00660318">
            <w:pPr>
              <w:spacing w:after="0"/>
              <w:jc w:val="center"/>
            </w:pPr>
            <w:r>
              <w:rPr>
                <w:rFonts w:eastAsia="Arial" w:cs="Arial"/>
                <w:b/>
              </w:rPr>
              <w:t>Period / scope</w:t>
            </w:r>
          </w:p>
        </w:tc>
        <w:tc>
          <w:tcPr>
            <w:tcW w:w="2266" w:type="dxa"/>
            <w:tcMar>
              <w:top w:w="60" w:type="dxa"/>
              <w:left w:w="80" w:type="dxa"/>
              <w:bottom w:w="60" w:type="dxa"/>
              <w:right w:w="80" w:type="dxa"/>
            </w:tcMar>
            <w:vAlign w:val="center"/>
          </w:tcPr>
          <w:p w14:paraId="576B8672" w14:textId="77777777" w:rsidR="007339A6" w:rsidRDefault="00660318">
            <w:pPr>
              <w:spacing w:after="0"/>
              <w:jc w:val="center"/>
            </w:pPr>
            <w:r>
              <w:rPr>
                <w:rFonts w:eastAsia="Arial" w:cs="Arial"/>
                <w:b/>
              </w:rPr>
              <w:t>Channel evidence</w:t>
            </w:r>
          </w:p>
        </w:tc>
        <w:tc>
          <w:tcPr>
            <w:tcW w:w="2265" w:type="dxa"/>
            <w:tcMar>
              <w:top w:w="60" w:type="dxa"/>
              <w:left w:w="80" w:type="dxa"/>
              <w:bottom w:w="60" w:type="dxa"/>
              <w:right w:w="80" w:type="dxa"/>
            </w:tcMar>
            <w:vAlign w:val="center"/>
          </w:tcPr>
          <w:p w14:paraId="53119F80" w14:textId="77777777" w:rsidR="007339A6" w:rsidRDefault="00660318">
            <w:pPr>
              <w:spacing w:after="0"/>
              <w:jc w:val="center"/>
            </w:pPr>
            <w:r>
              <w:rPr>
                <w:rFonts w:eastAsia="Arial" w:cs="Arial"/>
                <w:b/>
              </w:rPr>
              <w:t>Source</w:t>
            </w:r>
          </w:p>
        </w:tc>
      </w:tr>
      <w:tr w:rsidR="007339A6" w14:paraId="0383B83B" w14:textId="77777777" w:rsidTr="0087328F">
        <w:trPr>
          <w:cantSplit/>
          <w:jc w:val="center"/>
        </w:trPr>
        <w:tc>
          <w:tcPr>
            <w:tcW w:w="2266" w:type="dxa"/>
            <w:tcMar>
              <w:top w:w="60" w:type="dxa"/>
              <w:left w:w="80" w:type="dxa"/>
              <w:bottom w:w="60" w:type="dxa"/>
              <w:right w:w="80" w:type="dxa"/>
            </w:tcMar>
            <w:vAlign w:val="center"/>
          </w:tcPr>
          <w:p w14:paraId="14816AA2" w14:textId="77777777" w:rsidR="007339A6" w:rsidRDefault="00660318">
            <w:pPr>
              <w:spacing w:after="0"/>
              <w:jc w:val="left"/>
            </w:pPr>
            <w:r>
              <w:rPr>
                <w:rFonts w:eastAsia="Arial" w:cs="Arial"/>
              </w:rPr>
              <w:t>NIKE</w:t>
            </w:r>
          </w:p>
        </w:tc>
        <w:tc>
          <w:tcPr>
            <w:tcW w:w="2265" w:type="dxa"/>
            <w:tcMar>
              <w:top w:w="60" w:type="dxa"/>
              <w:left w:w="80" w:type="dxa"/>
              <w:bottom w:w="60" w:type="dxa"/>
              <w:right w:w="80" w:type="dxa"/>
            </w:tcMar>
            <w:vAlign w:val="center"/>
          </w:tcPr>
          <w:p w14:paraId="43E47BF4" w14:textId="77777777" w:rsidR="007339A6" w:rsidRDefault="00660318">
            <w:pPr>
              <w:spacing w:after="0"/>
              <w:jc w:val="left"/>
            </w:pPr>
            <w:r>
              <w:rPr>
                <w:rFonts w:eastAsia="Arial" w:cs="Arial"/>
              </w:rPr>
              <w:t>North America FY2026</w:t>
            </w:r>
          </w:p>
        </w:tc>
        <w:tc>
          <w:tcPr>
            <w:tcW w:w="2266" w:type="dxa"/>
            <w:tcMar>
              <w:top w:w="60" w:type="dxa"/>
              <w:left w:w="80" w:type="dxa"/>
              <w:bottom w:w="60" w:type="dxa"/>
              <w:right w:w="80" w:type="dxa"/>
            </w:tcMar>
            <w:vAlign w:val="center"/>
          </w:tcPr>
          <w:p w14:paraId="2F7414D6" w14:textId="77777777" w:rsidR="007339A6" w:rsidRDefault="00660318">
            <w:pPr>
              <w:spacing w:after="0"/>
              <w:jc w:val="left"/>
            </w:pPr>
            <w:r>
              <w:rPr>
                <w:rFonts w:eastAsia="Arial" w:cs="Arial"/>
              </w:rPr>
              <w:t>Wholesale +14%; NIKE Direct -6%</w:t>
            </w:r>
          </w:p>
        </w:tc>
        <w:tc>
          <w:tcPr>
            <w:tcW w:w="2265" w:type="dxa"/>
            <w:tcMar>
              <w:top w:w="60" w:type="dxa"/>
              <w:left w:w="80" w:type="dxa"/>
              <w:bottom w:w="60" w:type="dxa"/>
              <w:right w:w="80" w:type="dxa"/>
            </w:tcMar>
            <w:vAlign w:val="center"/>
          </w:tcPr>
          <w:p w14:paraId="13501D60" w14:textId="77777777" w:rsidR="007339A6" w:rsidRDefault="00660318">
            <w:pPr>
              <w:spacing w:after="0"/>
              <w:jc w:val="left"/>
            </w:pPr>
            <w:r>
              <w:rPr>
                <w:rFonts w:eastAsia="Arial" w:cs="Arial"/>
              </w:rPr>
              <w:t>NIKE, Inc. (2026)</w:t>
            </w:r>
          </w:p>
        </w:tc>
      </w:tr>
      <w:tr w:rsidR="007339A6" w14:paraId="4350A206" w14:textId="77777777" w:rsidTr="0087328F">
        <w:trPr>
          <w:cantSplit/>
          <w:jc w:val="center"/>
        </w:trPr>
        <w:tc>
          <w:tcPr>
            <w:tcW w:w="2266" w:type="dxa"/>
            <w:tcMar>
              <w:top w:w="60" w:type="dxa"/>
              <w:left w:w="80" w:type="dxa"/>
              <w:bottom w:w="60" w:type="dxa"/>
              <w:right w:w="80" w:type="dxa"/>
            </w:tcMar>
            <w:vAlign w:val="center"/>
          </w:tcPr>
          <w:p w14:paraId="6F3F666E" w14:textId="77777777" w:rsidR="007339A6" w:rsidRDefault="00660318">
            <w:pPr>
              <w:spacing w:after="0"/>
              <w:jc w:val="left"/>
            </w:pPr>
            <w:r>
              <w:rPr>
                <w:rFonts w:eastAsia="Arial" w:cs="Arial"/>
              </w:rPr>
              <w:t>adidas</w:t>
            </w:r>
          </w:p>
        </w:tc>
        <w:tc>
          <w:tcPr>
            <w:tcW w:w="2265" w:type="dxa"/>
            <w:tcMar>
              <w:top w:w="60" w:type="dxa"/>
              <w:left w:w="80" w:type="dxa"/>
              <w:bottom w:w="60" w:type="dxa"/>
              <w:right w:w="80" w:type="dxa"/>
            </w:tcMar>
            <w:vAlign w:val="center"/>
          </w:tcPr>
          <w:p w14:paraId="6E49703C" w14:textId="77777777" w:rsidR="007339A6" w:rsidRDefault="00660318">
            <w:pPr>
              <w:spacing w:after="0"/>
              <w:jc w:val="left"/>
            </w:pPr>
            <w:r>
              <w:rPr>
                <w:rFonts w:eastAsia="Arial" w:cs="Arial"/>
              </w:rPr>
              <w:t>2025</w:t>
            </w:r>
          </w:p>
        </w:tc>
        <w:tc>
          <w:tcPr>
            <w:tcW w:w="2266" w:type="dxa"/>
            <w:tcMar>
              <w:top w:w="60" w:type="dxa"/>
              <w:left w:w="80" w:type="dxa"/>
              <w:bottom w:w="60" w:type="dxa"/>
              <w:right w:w="80" w:type="dxa"/>
            </w:tcMar>
            <w:vAlign w:val="center"/>
          </w:tcPr>
          <w:p w14:paraId="1263ABC1" w14:textId="77777777" w:rsidR="007339A6" w:rsidRDefault="00660318">
            <w:pPr>
              <w:spacing w:after="0"/>
              <w:jc w:val="left"/>
            </w:pPr>
            <w:r>
              <w:rPr>
                <w:rFonts w:eastAsia="Arial" w:cs="Arial"/>
              </w:rPr>
              <w:t>Wholesale +12%; DTC +14% (currency-neutral)</w:t>
            </w:r>
          </w:p>
        </w:tc>
        <w:tc>
          <w:tcPr>
            <w:tcW w:w="2265" w:type="dxa"/>
            <w:tcMar>
              <w:top w:w="60" w:type="dxa"/>
              <w:left w:w="80" w:type="dxa"/>
              <w:bottom w:w="60" w:type="dxa"/>
              <w:right w:w="80" w:type="dxa"/>
            </w:tcMar>
            <w:vAlign w:val="center"/>
          </w:tcPr>
          <w:p w14:paraId="14C0CBA1" w14:textId="77777777" w:rsidR="007339A6" w:rsidRDefault="00660318">
            <w:pPr>
              <w:spacing w:after="0"/>
              <w:jc w:val="left"/>
            </w:pPr>
            <w:r>
              <w:rPr>
                <w:rFonts w:eastAsia="Arial" w:cs="Arial"/>
              </w:rPr>
              <w:t>adidas (2026b)</w:t>
            </w:r>
          </w:p>
        </w:tc>
      </w:tr>
      <w:tr w:rsidR="007339A6" w14:paraId="4E0DEFDE" w14:textId="77777777" w:rsidTr="0087328F">
        <w:trPr>
          <w:cantSplit/>
          <w:jc w:val="center"/>
        </w:trPr>
        <w:tc>
          <w:tcPr>
            <w:tcW w:w="2266" w:type="dxa"/>
            <w:tcMar>
              <w:top w:w="60" w:type="dxa"/>
              <w:left w:w="80" w:type="dxa"/>
              <w:bottom w:w="60" w:type="dxa"/>
              <w:right w:w="80" w:type="dxa"/>
            </w:tcMar>
            <w:vAlign w:val="center"/>
          </w:tcPr>
          <w:p w14:paraId="0764A569" w14:textId="77777777" w:rsidR="007339A6" w:rsidRDefault="00660318">
            <w:pPr>
              <w:spacing w:after="0"/>
              <w:jc w:val="left"/>
            </w:pPr>
            <w:r>
              <w:rPr>
                <w:rFonts w:eastAsia="Arial" w:cs="Arial"/>
              </w:rPr>
              <w:t>On</w:t>
            </w:r>
          </w:p>
        </w:tc>
        <w:tc>
          <w:tcPr>
            <w:tcW w:w="2265" w:type="dxa"/>
            <w:tcMar>
              <w:top w:w="60" w:type="dxa"/>
              <w:left w:w="80" w:type="dxa"/>
              <w:bottom w:w="60" w:type="dxa"/>
              <w:right w:w="80" w:type="dxa"/>
            </w:tcMar>
            <w:vAlign w:val="center"/>
          </w:tcPr>
          <w:p w14:paraId="3B2A6FD5" w14:textId="77777777" w:rsidR="007339A6" w:rsidRDefault="00660318">
            <w:pPr>
              <w:spacing w:after="0"/>
              <w:jc w:val="left"/>
            </w:pPr>
            <w:r>
              <w:rPr>
                <w:rFonts w:eastAsia="Arial" w:cs="Arial"/>
              </w:rPr>
              <w:t>Q2 2026</w:t>
            </w:r>
          </w:p>
        </w:tc>
        <w:tc>
          <w:tcPr>
            <w:tcW w:w="2266" w:type="dxa"/>
            <w:tcMar>
              <w:top w:w="60" w:type="dxa"/>
              <w:left w:w="80" w:type="dxa"/>
              <w:bottom w:w="60" w:type="dxa"/>
              <w:right w:w="80" w:type="dxa"/>
            </w:tcMar>
            <w:vAlign w:val="center"/>
          </w:tcPr>
          <w:p w14:paraId="66110B2E" w14:textId="77777777" w:rsidR="007339A6" w:rsidRDefault="00660318">
            <w:pPr>
              <w:spacing w:after="0"/>
              <w:jc w:val="left"/>
            </w:pPr>
            <w:r>
              <w:rPr>
                <w:rFonts w:eastAsia="Arial" w:cs="Arial"/>
              </w:rPr>
              <w:t>DTC +34.3% constant-currency; 45.7% of net sales</w:t>
            </w:r>
          </w:p>
        </w:tc>
        <w:tc>
          <w:tcPr>
            <w:tcW w:w="2265" w:type="dxa"/>
            <w:tcMar>
              <w:top w:w="60" w:type="dxa"/>
              <w:left w:w="80" w:type="dxa"/>
              <w:bottom w:w="60" w:type="dxa"/>
              <w:right w:w="80" w:type="dxa"/>
            </w:tcMar>
            <w:vAlign w:val="center"/>
          </w:tcPr>
          <w:p w14:paraId="36E6C485" w14:textId="77777777" w:rsidR="007339A6" w:rsidRDefault="00660318">
            <w:pPr>
              <w:spacing w:after="0"/>
              <w:jc w:val="left"/>
            </w:pPr>
            <w:r>
              <w:rPr>
                <w:rFonts w:eastAsia="Arial" w:cs="Arial"/>
              </w:rPr>
              <w:t>On Holding (2026b)</w:t>
            </w:r>
          </w:p>
        </w:tc>
      </w:tr>
    </w:tbl>
    <w:p w14:paraId="07B7F16B" w14:textId="77777777" w:rsidR="007339A6" w:rsidRDefault="007339A6">
      <w:pPr>
        <w:spacing w:after="40"/>
      </w:pPr>
    </w:p>
    <w:p w14:paraId="36B53A36" w14:textId="77777777" w:rsidR="00570B39" w:rsidRPr="00570B39" w:rsidRDefault="00570B39" w:rsidP="00570B39">
      <w:pPr>
        <w:rPr>
          <w:rFonts w:eastAsia="Arial" w:cs="Arial"/>
        </w:rPr>
      </w:pPr>
      <w:r w:rsidRPr="00570B39">
        <w:rPr>
          <w:rFonts w:eastAsia="Arial" w:cs="Arial"/>
        </w:rPr>
        <w:t>The integration of channels thus should be considered a customer and relationship design issue. Studies find that the quality of integration has the potential to enhance customer engagement and responsiveness to relationship programmes, which supports loyalty outcomes (Gao and Huang, 2021). The customer experience and perceived privacy risk are also influenced by service integration, which means that channel continuity has to be measured alongside trust and customer control (Quach et al., 2022). Customer-retention evidence also demonstrates that integration, personalisation and interaction may not have the same effect on purchase behaviours, and hence supports a selective, rather than a universally standardised approach (Yin et al., 2022).</w:t>
      </w:r>
    </w:p>
    <w:p w14:paraId="61870720" w14:textId="77777777" w:rsidR="007339A6" w:rsidRDefault="00570B39" w:rsidP="00570B39">
      <w:r w:rsidRPr="00570B39">
        <w:rPr>
          <w:rFonts w:eastAsia="Arial" w:cs="Arial"/>
        </w:rPr>
        <w:t xml:space="preserve">Table 2 examines price positioning using similar </w:t>
      </w:r>
      <w:proofErr w:type="spellStart"/>
      <w:r w:rsidRPr="00570B39">
        <w:rPr>
          <w:rFonts w:eastAsia="Arial" w:cs="Arial"/>
        </w:rPr>
        <w:t>everyday</w:t>
      </w:r>
      <w:proofErr w:type="spellEnd"/>
      <w:r w:rsidRPr="00570B39">
        <w:rPr>
          <w:rFonts w:eastAsia="Arial" w:cs="Arial"/>
        </w:rPr>
        <w:t xml:space="preserve"> running shoes. The Nike Pegasus 42 is currently priced in the U.S. at US145 (Nike, n.d.). The original U.S. list price of the adidas Supernova Rise 2 is US140, though, depending on the colour selected, it can be available at a reduced price (adidas, n.d.). The </w:t>
      </w:r>
      <w:proofErr w:type="spellStart"/>
      <w:r w:rsidRPr="00570B39">
        <w:rPr>
          <w:rFonts w:eastAsia="Arial" w:cs="Arial"/>
        </w:rPr>
        <w:t>Cloudsurfer</w:t>
      </w:r>
      <w:proofErr w:type="spellEnd"/>
      <w:r w:rsidRPr="00570B39">
        <w:rPr>
          <w:rFonts w:eastAsia="Arial" w:cs="Arial"/>
        </w:rPr>
        <w:t xml:space="preserve"> 2 is listed at US$160 (On, n.d.). The narrow list-price range indicates that price is not likely to be a sustainable Direct-channel differentiator; promotional prices can further affect realised prices, and customer continuity, convenience and membership value should be more strategically important</w:t>
      </w:r>
      <w:r w:rsidR="00660318">
        <w:rPr>
          <w:rFonts w:eastAsia="Arial" w:cs="Arial"/>
        </w:rPr>
        <w:t>.</w:t>
      </w:r>
    </w:p>
    <w:p w14:paraId="14294AD7" w14:textId="77777777" w:rsidR="007339A6" w:rsidRDefault="00660318">
      <w:r>
        <w:rPr>
          <w:rFonts w:eastAsia="Arial" w:cs="Arial"/>
        </w:rPr>
        <w:br w:type="page"/>
      </w:r>
    </w:p>
    <w:p w14:paraId="0F28E962" w14:textId="77777777" w:rsidR="0087328F" w:rsidRPr="0087328F" w:rsidRDefault="0087328F" w:rsidP="0087328F">
      <w:pPr>
        <w:pStyle w:val="Caption"/>
        <w:keepNext/>
        <w:rPr>
          <w:b w:val="0"/>
          <w:bCs w:val="0"/>
          <w:color w:val="000000" w:themeColor="text1"/>
        </w:rPr>
      </w:pPr>
      <w:bookmarkStart w:id="13" w:name="_Toc241259289"/>
      <w:r w:rsidRPr="0087328F">
        <w:rPr>
          <w:b w:val="0"/>
          <w:bCs w:val="0"/>
          <w:color w:val="000000" w:themeColor="text1"/>
        </w:rPr>
        <w:lastRenderedPageBreak/>
        <w:t xml:space="preserve">Table </w:t>
      </w:r>
      <w:r w:rsidRPr="0087328F">
        <w:rPr>
          <w:b w:val="0"/>
          <w:bCs w:val="0"/>
          <w:color w:val="000000" w:themeColor="text1"/>
        </w:rPr>
        <w:fldChar w:fldCharType="begin"/>
      </w:r>
      <w:r w:rsidRPr="0087328F">
        <w:rPr>
          <w:b w:val="0"/>
          <w:bCs w:val="0"/>
          <w:color w:val="000000" w:themeColor="text1"/>
        </w:rPr>
        <w:instrText xml:space="preserve"> SEQ Table \* ARABIC </w:instrText>
      </w:r>
      <w:r w:rsidRPr="0087328F">
        <w:rPr>
          <w:b w:val="0"/>
          <w:bCs w:val="0"/>
          <w:color w:val="000000" w:themeColor="text1"/>
        </w:rPr>
        <w:fldChar w:fldCharType="separate"/>
      </w:r>
      <w:r>
        <w:rPr>
          <w:b w:val="0"/>
          <w:bCs w:val="0"/>
          <w:noProof/>
          <w:color w:val="000000" w:themeColor="text1"/>
        </w:rPr>
        <w:t>2</w:t>
      </w:r>
      <w:r w:rsidRPr="0087328F">
        <w:rPr>
          <w:b w:val="0"/>
          <w:bCs w:val="0"/>
          <w:color w:val="000000" w:themeColor="text1"/>
        </w:rPr>
        <w:fldChar w:fldCharType="end"/>
      </w:r>
      <w:r w:rsidRPr="0087328F">
        <w:rPr>
          <w:rFonts w:eastAsia="Arial" w:cs="Arial"/>
          <w:b w:val="0"/>
          <w:bCs w:val="0"/>
          <w:color w:val="000000" w:themeColor="text1"/>
          <w:sz w:val="24"/>
          <w:szCs w:val="22"/>
        </w:rPr>
        <w:t xml:space="preserve"> </w:t>
      </w:r>
      <w:r w:rsidRPr="0087328F">
        <w:rPr>
          <w:b w:val="0"/>
          <w:bCs w:val="0"/>
          <w:color w:val="000000" w:themeColor="text1"/>
        </w:rPr>
        <w:t>Selected U.S. everyday-running shoe pricing benchmark</w:t>
      </w:r>
      <w:bookmarkEnd w:id="13"/>
    </w:p>
    <w:tbl>
      <w:tblPr>
        <w:tblStyle w:val="TableGrid"/>
        <w:tblW w:w="0" w:type="auto"/>
        <w:jc w:val="center"/>
        <w:tblLook w:val="04A0" w:firstRow="1" w:lastRow="0" w:firstColumn="1" w:lastColumn="0" w:noHBand="0" w:noVBand="1"/>
      </w:tblPr>
      <w:tblGrid>
        <w:gridCol w:w="2266"/>
        <w:gridCol w:w="2266"/>
        <w:gridCol w:w="2265"/>
        <w:gridCol w:w="2265"/>
      </w:tblGrid>
      <w:tr w:rsidR="007339A6" w14:paraId="59978A1B" w14:textId="77777777" w:rsidTr="0087328F">
        <w:trPr>
          <w:cantSplit/>
          <w:tblHeader/>
          <w:jc w:val="center"/>
        </w:trPr>
        <w:tc>
          <w:tcPr>
            <w:tcW w:w="2266" w:type="dxa"/>
            <w:tcMar>
              <w:top w:w="60" w:type="dxa"/>
              <w:left w:w="80" w:type="dxa"/>
              <w:bottom w:w="60" w:type="dxa"/>
              <w:right w:w="80" w:type="dxa"/>
            </w:tcMar>
            <w:vAlign w:val="center"/>
          </w:tcPr>
          <w:p w14:paraId="2F8E0ED2" w14:textId="77777777" w:rsidR="007339A6" w:rsidRDefault="00660318">
            <w:pPr>
              <w:spacing w:after="0"/>
              <w:jc w:val="center"/>
            </w:pPr>
            <w:r>
              <w:rPr>
                <w:rFonts w:eastAsia="Arial" w:cs="Arial"/>
                <w:b/>
              </w:rPr>
              <w:t>Product</w:t>
            </w:r>
          </w:p>
        </w:tc>
        <w:tc>
          <w:tcPr>
            <w:tcW w:w="2266" w:type="dxa"/>
            <w:tcMar>
              <w:top w:w="60" w:type="dxa"/>
              <w:left w:w="80" w:type="dxa"/>
              <w:bottom w:w="60" w:type="dxa"/>
              <w:right w:w="80" w:type="dxa"/>
            </w:tcMar>
            <w:vAlign w:val="center"/>
          </w:tcPr>
          <w:p w14:paraId="77DB6D4C" w14:textId="77777777" w:rsidR="007339A6" w:rsidRDefault="00660318">
            <w:pPr>
              <w:spacing w:after="0"/>
              <w:jc w:val="center"/>
            </w:pPr>
            <w:r>
              <w:rPr>
                <w:rFonts w:eastAsia="Arial" w:cs="Arial"/>
                <w:b/>
              </w:rPr>
              <w:t>Comparable use</w:t>
            </w:r>
          </w:p>
        </w:tc>
        <w:tc>
          <w:tcPr>
            <w:tcW w:w="2265" w:type="dxa"/>
            <w:tcMar>
              <w:top w:w="60" w:type="dxa"/>
              <w:left w:w="80" w:type="dxa"/>
              <w:bottom w:w="60" w:type="dxa"/>
              <w:right w:w="80" w:type="dxa"/>
            </w:tcMar>
            <w:vAlign w:val="center"/>
          </w:tcPr>
          <w:p w14:paraId="37FCE2BD" w14:textId="77777777" w:rsidR="007339A6" w:rsidRDefault="00660318">
            <w:pPr>
              <w:spacing w:after="0"/>
              <w:jc w:val="center"/>
            </w:pPr>
            <w:r>
              <w:rPr>
                <w:rFonts w:eastAsia="Arial" w:cs="Arial"/>
                <w:b/>
              </w:rPr>
              <w:t>Published list price</w:t>
            </w:r>
          </w:p>
        </w:tc>
        <w:tc>
          <w:tcPr>
            <w:tcW w:w="2265" w:type="dxa"/>
            <w:tcMar>
              <w:top w:w="60" w:type="dxa"/>
              <w:left w:w="80" w:type="dxa"/>
              <w:bottom w:w="60" w:type="dxa"/>
              <w:right w:w="80" w:type="dxa"/>
            </w:tcMar>
            <w:vAlign w:val="center"/>
          </w:tcPr>
          <w:p w14:paraId="7B933650" w14:textId="77777777" w:rsidR="007339A6" w:rsidRDefault="00660318">
            <w:pPr>
              <w:spacing w:after="0"/>
              <w:jc w:val="center"/>
            </w:pPr>
            <w:r>
              <w:rPr>
                <w:rFonts w:eastAsia="Arial" w:cs="Arial"/>
                <w:b/>
              </w:rPr>
              <w:t>Source</w:t>
            </w:r>
          </w:p>
        </w:tc>
      </w:tr>
      <w:tr w:rsidR="007339A6" w14:paraId="3ABC781F" w14:textId="77777777" w:rsidTr="0087328F">
        <w:trPr>
          <w:cantSplit/>
          <w:jc w:val="center"/>
        </w:trPr>
        <w:tc>
          <w:tcPr>
            <w:tcW w:w="2266" w:type="dxa"/>
            <w:tcMar>
              <w:top w:w="60" w:type="dxa"/>
              <w:left w:w="80" w:type="dxa"/>
              <w:bottom w:w="60" w:type="dxa"/>
              <w:right w:w="80" w:type="dxa"/>
            </w:tcMar>
            <w:vAlign w:val="center"/>
          </w:tcPr>
          <w:p w14:paraId="259A0F24" w14:textId="77777777" w:rsidR="007339A6" w:rsidRDefault="00660318">
            <w:r>
              <w:rPr>
                <w:rFonts w:eastAsia="Arial" w:cs="Arial"/>
              </w:rPr>
              <w:t>Nike Pegasus 42</w:t>
            </w:r>
          </w:p>
        </w:tc>
        <w:tc>
          <w:tcPr>
            <w:tcW w:w="2266" w:type="dxa"/>
            <w:tcMar>
              <w:top w:w="60" w:type="dxa"/>
              <w:left w:w="80" w:type="dxa"/>
              <w:bottom w:w="60" w:type="dxa"/>
              <w:right w:w="80" w:type="dxa"/>
            </w:tcMar>
            <w:vAlign w:val="center"/>
          </w:tcPr>
          <w:p w14:paraId="2243B00C" w14:textId="77777777" w:rsidR="007339A6" w:rsidRDefault="00660318">
            <w:r>
              <w:rPr>
                <w:rFonts w:eastAsia="Arial" w:cs="Arial"/>
              </w:rPr>
              <w:t>Everyday road running</w:t>
            </w:r>
          </w:p>
        </w:tc>
        <w:tc>
          <w:tcPr>
            <w:tcW w:w="2265" w:type="dxa"/>
            <w:tcMar>
              <w:top w:w="60" w:type="dxa"/>
              <w:left w:w="80" w:type="dxa"/>
              <w:bottom w:w="60" w:type="dxa"/>
              <w:right w:w="80" w:type="dxa"/>
            </w:tcMar>
            <w:vAlign w:val="center"/>
          </w:tcPr>
          <w:p w14:paraId="19C57947" w14:textId="77777777" w:rsidR="007339A6" w:rsidRDefault="00660318">
            <w:r>
              <w:rPr>
                <w:rFonts w:eastAsia="Arial" w:cs="Arial"/>
              </w:rPr>
              <w:t>US$145</w:t>
            </w:r>
          </w:p>
        </w:tc>
        <w:tc>
          <w:tcPr>
            <w:tcW w:w="2265" w:type="dxa"/>
            <w:tcMar>
              <w:top w:w="60" w:type="dxa"/>
              <w:left w:w="80" w:type="dxa"/>
              <w:bottom w:w="60" w:type="dxa"/>
              <w:right w:w="80" w:type="dxa"/>
            </w:tcMar>
            <w:vAlign w:val="center"/>
          </w:tcPr>
          <w:p w14:paraId="47CA661E" w14:textId="77777777" w:rsidR="007339A6" w:rsidRDefault="00660318">
            <w:r>
              <w:rPr>
                <w:rFonts w:eastAsia="Arial" w:cs="Arial"/>
              </w:rPr>
              <w:t>Nike (n.d.)</w:t>
            </w:r>
          </w:p>
        </w:tc>
      </w:tr>
      <w:tr w:rsidR="007339A6" w14:paraId="75A2EA29" w14:textId="77777777" w:rsidTr="0087328F">
        <w:trPr>
          <w:cantSplit/>
          <w:jc w:val="center"/>
        </w:trPr>
        <w:tc>
          <w:tcPr>
            <w:tcW w:w="2266" w:type="dxa"/>
            <w:tcMar>
              <w:top w:w="60" w:type="dxa"/>
              <w:left w:w="80" w:type="dxa"/>
              <w:bottom w:w="60" w:type="dxa"/>
              <w:right w:w="80" w:type="dxa"/>
            </w:tcMar>
            <w:vAlign w:val="center"/>
          </w:tcPr>
          <w:p w14:paraId="6B591453" w14:textId="77777777" w:rsidR="007339A6" w:rsidRDefault="00660318">
            <w:pPr>
              <w:spacing w:after="0"/>
              <w:jc w:val="left"/>
            </w:pPr>
            <w:r>
              <w:rPr>
                <w:rFonts w:eastAsia="Arial" w:cs="Arial"/>
              </w:rPr>
              <w:t>adidas Supernova Rise 2</w:t>
            </w:r>
          </w:p>
        </w:tc>
        <w:tc>
          <w:tcPr>
            <w:tcW w:w="2266" w:type="dxa"/>
            <w:tcMar>
              <w:top w:w="60" w:type="dxa"/>
              <w:left w:w="80" w:type="dxa"/>
              <w:bottom w:w="60" w:type="dxa"/>
              <w:right w:w="80" w:type="dxa"/>
            </w:tcMar>
            <w:vAlign w:val="center"/>
          </w:tcPr>
          <w:p w14:paraId="536DB6E7" w14:textId="77777777" w:rsidR="007339A6" w:rsidRDefault="00660318">
            <w:pPr>
              <w:spacing w:after="0"/>
              <w:jc w:val="left"/>
            </w:pPr>
            <w:proofErr w:type="spellStart"/>
            <w:r>
              <w:rPr>
                <w:rFonts w:eastAsia="Arial" w:cs="Arial"/>
              </w:rPr>
              <w:t>Everyday</w:t>
            </w:r>
            <w:proofErr w:type="spellEnd"/>
            <w:r>
              <w:rPr>
                <w:rFonts w:eastAsia="Arial" w:cs="Arial"/>
              </w:rPr>
              <w:t xml:space="preserve"> running</w:t>
            </w:r>
          </w:p>
        </w:tc>
        <w:tc>
          <w:tcPr>
            <w:tcW w:w="2265" w:type="dxa"/>
            <w:tcMar>
              <w:top w:w="60" w:type="dxa"/>
              <w:left w:w="80" w:type="dxa"/>
              <w:bottom w:w="60" w:type="dxa"/>
              <w:right w:w="80" w:type="dxa"/>
            </w:tcMar>
            <w:vAlign w:val="center"/>
          </w:tcPr>
          <w:p w14:paraId="330E9469" w14:textId="77777777" w:rsidR="007339A6" w:rsidRDefault="00660318">
            <w:pPr>
              <w:spacing w:after="0"/>
              <w:jc w:val="left"/>
            </w:pPr>
            <w:r>
              <w:rPr>
                <w:rFonts w:eastAsia="Arial" w:cs="Arial"/>
              </w:rPr>
              <w:t>US$140 original list price</w:t>
            </w:r>
          </w:p>
        </w:tc>
        <w:tc>
          <w:tcPr>
            <w:tcW w:w="2265" w:type="dxa"/>
            <w:tcMar>
              <w:top w:w="60" w:type="dxa"/>
              <w:left w:w="80" w:type="dxa"/>
              <w:bottom w:w="60" w:type="dxa"/>
              <w:right w:w="80" w:type="dxa"/>
            </w:tcMar>
            <w:vAlign w:val="center"/>
          </w:tcPr>
          <w:p w14:paraId="5160477A" w14:textId="77777777" w:rsidR="007339A6" w:rsidRDefault="00660318">
            <w:pPr>
              <w:spacing w:after="0"/>
              <w:jc w:val="left"/>
            </w:pPr>
            <w:r>
              <w:rPr>
                <w:rFonts w:eastAsia="Arial" w:cs="Arial"/>
              </w:rPr>
              <w:t>adidas (n.d.)</w:t>
            </w:r>
          </w:p>
        </w:tc>
      </w:tr>
      <w:tr w:rsidR="007339A6" w14:paraId="3CDD8BDA" w14:textId="77777777" w:rsidTr="0087328F">
        <w:trPr>
          <w:cantSplit/>
          <w:jc w:val="center"/>
        </w:trPr>
        <w:tc>
          <w:tcPr>
            <w:tcW w:w="2266" w:type="dxa"/>
            <w:tcMar>
              <w:top w:w="60" w:type="dxa"/>
              <w:left w:w="80" w:type="dxa"/>
              <w:bottom w:w="60" w:type="dxa"/>
              <w:right w:w="80" w:type="dxa"/>
            </w:tcMar>
            <w:vAlign w:val="center"/>
          </w:tcPr>
          <w:p w14:paraId="05FE14BE" w14:textId="77777777" w:rsidR="007339A6" w:rsidRDefault="00660318">
            <w:pPr>
              <w:spacing w:after="0"/>
              <w:jc w:val="left"/>
            </w:pPr>
            <w:r>
              <w:rPr>
                <w:rFonts w:eastAsia="Arial" w:cs="Arial"/>
              </w:rPr>
              <w:t xml:space="preserve">On </w:t>
            </w:r>
            <w:proofErr w:type="spellStart"/>
            <w:r>
              <w:rPr>
                <w:rFonts w:eastAsia="Arial" w:cs="Arial"/>
              </w:rPr>
              <w:t>Cloudsurfer</w:t>
            </w:r>
            <w:proofErr w:type="spellEnd"/>
            <w:r>
              <w:rPr>
                <w:rFonts w:eastAsia="Arial" w:cs="Arial"/>
              </w:rPr>
              <w:t xml:space="preserve"> 2</w:t>
            </w:r>
          </w:p>
        </w:tc>
        <w:tc>
          <w:tcPr>
            <w:tcW w:w="2266" w:type="dxa"/>
            <w:tcMar>
              <w:top w:w="60" w:type="dxa"/>
              <w:left w:w="80" w:type="dxa"/>
              <w:bottom w:w="60" w:type="dxa"/>
              <w:right w:w="80" w:type="dxa"/>
            </w:tcMar>
            <w:vAlign w:val="center"/>
          </w:tcPr>
          <w:p w14:paraId="7F6E7B96" w14:textId="77777777" w:rsidR="007339A6" w:rsidRDefault="00660318">
            <w:pPr>
              <w:spacing w:after="0"/>
              <w:jc w:val="left"/>
            </w:pPr>
            <w:proofErr w:type="spellStart"/>
            <w:r>
              <w:rPr>
                <w:rFonts w:eastAsia="Arial" w:cs="Arial"/>
              </w:rPr>
              <w:t>Everyday</w:t>
            </w:r>
            <w:proofErr w:type="spellEnd"/>
            <w:r>
              <w:rPr>
                <w:rFonts w:eastAsia="Arial" w:cs="Arial"/>
              </w:rPr>
              <w:t xml:space="preserve"> running</w:t>
            </w:r>
          </w:p>
        </w:tc>
        <w:tc>
          <w:tcPr>
            <w:tcW w:w="2265" w:type="dxa"/>
            <w:tcMar>
              <w:top w:w="60" w:type="dxa"/>
              <w:left w:w="80" w:type="dxa"/>
              <w:bottom w:w="60" w:type="dxa"/>
              <w:right w:w="80" w:type="dxa"/>
            </w:tcMar>
            <w:vAlign w:val="center"/>
          </w:tcPr>
          <w:p w14:paraId="4C881D08" w14:textId="77777777" w:rsidR="007339A6" w:rsidRDefault="00660318">
            <w:pPr>
              <w:spacing w:after="0"/>
              <w:jc w:val="left"/>
            </w:pPr>
            <w:r>
              <w:rPr>
                <w:rFonts w:eastAsia="Arial" w:cs="Arial"/>
              </w:rPr>
              <w:t>US$160</w:t>
            </w:r>
          </w:p>
        </w:tc>
        <w:tc>
          <w:tcPr>
            <w:tcW w:w="2265" w:type="dxa"/>
            <w:tcMar>
              <w:top w:w="60" w:type="dxa"/>
              <w:left w:w="80" w:type="dxa"/>
              <w:bottom w:w="60" w:type="dxa"/>
              <w:right w:w="80" w:type="dxa"/>
            </w:tcMar>
            <w:vAlign w:val="center"/>
          </w:tcPr>
          <w:p w14:paraId="1CCE9958" w14:textId="77777777" w:rsidR="007339A6" w:rsidRDefault="00660318">
            <w:pPr>
              <w:spacing w:after="0"/>
              <w:jc w:val="left"/>
            </w:pPr>
            <w:r>
              <w:rPr>
                <w:rFonts w:eastAsia="Arial" w:cs="Arial"/>
              </w:rPr>
              <w:t>On (n.d.)</w:t>
            </w:r>
          </w:p>
        </w:tc>
      </w:tr>
    </w:tbl>
    <w:p w14:paraId="1A4AFD98" w14:textId="77777777" w:rsidR="007339A6" w:rsidRDefault="007339A6">
      <w:pPr>
        <w:spacing w:after="40"/>
      </w:pPr>
    </w:p>
    <w:p w14:paraId="49EF6A10" w14:textId="77777777" w:rsidR="007339A6" w:rsidRDefault="00660318" w:rsidP="0087328F">
      <w:pPr>
        <w:pStyle w:val="Heading2"/>
      </w:pPr>
      <w:bookmarkStart w:id="14" w:name="_Toc241259284"/>
      <w:r>
        <w:t>3.4 Industry challenges, opportunities, threats and validation</w:t>
      </w:r>
      <w:bookmarkEnd w:id="14"/>
    </w:p>
    <w:p w14:paraId="00C4CA59" w14:textId="77777777" w:rsidR="00570B39" w:rsidRPr="00570B39" w:rsidRDefault="00570B39" w:rsidP="00570B39">
      <w:pPr>
        <w:rPr>
          <w:rFonts w:eastAsia="Arial" w:cs="Arial"/>
        </w:rPr>
      </w:pPr>
      <w:r w:rsidRPr="00570B39">
        <w:rPr>
          <w:rFonts w:eastAsia="Arial" w:cs="Arial"/>
        </w:rPr>
        <w:t>The main challenge is to enhance Direct engagement, without creating renewed channel conflict or introducing uneconomical complexity. NIKE identifies further investment in technology, online traffic, retail-partner management, future developments and alterations in consumer shopping behaviour as material risks to NIKE Direct (NIKE, Inc., 2026). The opportunity is selective integration to ensure that wholesale reach is complementary to, but not a substitute for NIKE-controlled relationships. Inadequately planned integration may undermine service consistency and trust in the services provided, so governance is as important as convenience (Quach et al., 2022). Strong information-security practices are also essential for customer-level personalisation; the Federal Trade Commission guidelines recommend collecting only the information needed, limiting access and ensuring the secure disposal of information that is no longer needed (Federal Trade Commission, 2023)</w:t>
      </w:r>
      <w:r>
        <w:rPr>
          <w:rFonts w:eastAsia="Arial" w:cs="Arial"/>
        </w:rPr>
        <w:t>.</w:t>
      </w:r>
    </w:p>
    <w:p w14:paraId="18936657" w14:textId="77777777" w:rsidR="007339A6" w:rsidRDefault="00570B39" w:rsidP="00570B39">
      <w:r w:rsidRPr="00570B39">
        <w:rPr>
          <w:rFonts w:eastAsia="Arial" w:cs="Arial"/>
        </w:rPr>
        <w:t>The combined evidence confirms a clear growth opportunity but not a generic digital-transformation strategy. The category is expanding, digital retail is significant and competitors are diversifying their channels and consumer research indicates a preference for interconnected experiences. The suggested model is thus sufficiently supported by evidence to justify the comprehensive commercial analysis, but its commercial value must be estimated through incremental economics rather than the overall channel growth. Member recognition, cross-channel product visibility, selected fulfilment or returns and personalised offers relative to baseline measures should be tested relative to baseline measures through a controlled pilot to conversion, repeat purchase, full-price sell-through, fulfilment cost and partner sell-through</w:t>
      </w:r>
      <w:r w:rsidR="00660318">
        <w:rPr>
          <w:rFonts w:eastAsia="Arial" w:cs="Arial"/>
        </w:rPr>
        <w:t>.</w:t>
      </w:r>
    </w:p>
    <w:p w14:paraId="69C9DF50" w14:textId="77777777" w:rsidR="007339A6" w:rsidRDefault="00660318" w:rsidP="0087328F">
      <w:pPr>
        <w:pStyle w:val="Heading1"/>
      </w:pPr>
      <w:bookmarkStart w:id="15" w:name="_Toc241259285"/>
      <w:r>
        <w:lastRenderedPageBreak/>
        <w:t>4. Risks and Mitigation</w:t>
      </w:r>
      <w:bookmarkEnd w:id="15"/>
    </w:p>
    <w:p w14:paraId="0088DEE3" w14:textId="77777777" w:rsidR="007339A6" w:rsidRDefault="00570B39">
      <w:r w:rsidRPr="00570B39">
        <w:rPr>
          <w:rFonts w:eastAsia="Arial" w:cs="Arial"/>
        </w:rPr>
        <w:t>Disciplined scope and staged validation is essential to feasibility. The key research and implementation risks are summarised in Table 3 and each of them is linked to an evidence-based mitigation. The aim is to avoid treating a commercially attractive concept as a viable one, until the comparability of the data, partner economics, the cost of the technology, and customer response have been tested</w:t>
      </w:r>
      <w:r w:rsidR="00660318">
        <w:rPr>
          <w:rFonts w:eastAsia="Arial" w:cs="Arial"/>
        </w:rPr>
        <w:t>.</w:t>
      </w:r>
    </w:p>
    <w:p w14:paraId="1DDB6BF4" w14:textId="77777777" w:rsidR="0087328F" w:rsidRPr="0087328F" w:rsidRDefault="0087328F" w:rsidP="0087328F">
      <w:pPr>
        <w:pStyle w:val="Caption"/>
        <w:keepNext/>
        <w:rPr>
          <w:b w:val="0"/>
          <w:bCs w:val="0"/>
        </w:rPr>
      </w:pPr>
      <w:bookmarkStart w:id="16" w:name="_Toc241259290"/>
      <w:r w:rsidRPr="0087328F">
        <w:rPr>
          <w:b w:val="0"/>
          <w:bCs w:val="0"/>
          <w:color w:val="000000" w:themeColor="text1"/>
        </w:rPr>
        <w:t xml:space="preserve">Table </w:t>
      </w:r>
      <w:r w:rsidRPr="0087328F">
        <w:rPr>
          <w:b w:val="0"/>
          <w:bCs w:val="0"/>
          <w:color w:val="000000" w:themeColor="text1"/>
        </w:rPr>
        <w:fldChar w:fldCharType="begin"/>
      </w:r>
      <w:r w:rsidRPr="0087328F">
        <w:rPr>
          <w:b w:val="0"/>
          <w:bCs w:val="0"/>
          <w:color w:val="000000" w:themeColor="text1"/>
        </w:rPr>
        <w:instrText xml:space="preserve"> SEQ Table \* ARABIC </w:instrText>
      </w:r>
      <w:r w:rsidRPr="0087328F">
        <w:rPr>
          <w:b w:val="0"/>
          <w:bCs w:val="0"/>
          <w:color w:val="000000" w:themeColor="text1"/>
        </w:rPr>
        <w:fldChar w:fldCharType="separate"/>
      </w:r>
      <w:r w:rsidRPr="0087328F">
        <w:rPr>
          <w:b w:val="0"/>
          <w:bCs w:val="0"/>
          <w:noProof/>
          <w:color w:val="000000" w:themeColor="text1"/>
        </w:rPr>
        <w:t>3</w:t>
      </w:r>
      <w:r w:rsidRPr="0087328F">
        <w:rPr>
          <w:b w:val="0"/>
          <w:bCs w:val="0"/>
          <w:color w:val="000000" w:themeColor="text1"/>
        </w:rPr>
        <w:fldChar w:fldCharType="end"/>
      </w:r>
      <w:r w:rsidRPr="0087328F">
        <w:rPr>
          <w:rFonts w:eastAsia="Arial" w:cs="Arial"/>
          <w:b w:val="0"/>
          <w:bCs w:val="0"/>
          <w:color w:val="000000" w:themeColor="text1"/>
          <w:sz w:val="24"/>
          <w:szCs w:val="22"/>
        </w:rPr>
        <w:t xml:space="preserve"> </w:t>
      </w:r>
      <w:r w:rsidRPr="0087328F">
        <w:rPr>
          <w:b w:val="0"/>
          <w:bCs w:val="0"/>
          <w:color w:val="000000" w:themeColor="text1"/>
        </w:rPr>
        <w:t>Principal risks and mitigation measures</w:t>
      </w:r>
      <w:bookmarkEnd w:id="16"/>
    </w:p>
    <w:tbl>
      <w:tblPr>
        <w:tblStyle w:val="TableGrid"/>
        <w:tblW w:w="0" w:type="auto"/>
        <w:jc w:val="center"/>
        <w:tblLook w:val="04A0" w:firstRow="1" w:lastRow="0" w:firstColumn="1" w:lastColumn="0" w:noHBand="0" w:noVBand="1"/>
      </w:tblPr>
      <w:tblGrid>
        <w:gridCol w:w="3020"/>
        <w:gridCol w:w="3021"/>
        <w:gridCol w:w="3021"/>
      </w:tblGrid>
      <w:tr w:rsidR="007339A6" w14:paraId="088DC7AD" w14:textId="77777777" w:rsidTr="0087328F">
        <w:trPr>
          <w:cantSplit/>
          <w:tblHeader/>
          <w:jc w:val="center"/>
        </w:trPr>
        <w:tc>
          <w:tcPr>
            <w:tcW w:w="3020" w:type="dxa"/>
            <w:tcMar>
              <w:top w:w="60" w:type="dxa"/>
              <w:left w:w="80" w:type="dxa"/>
              <w:bottom w:w="60" w:type="dxa"/>
              <w:right w:w="80" w:type="dxa"/>
            </w:tcMar>
            <w:vAlign w:val="center"/>
          </w:tcPr>
          <w:p w14:paraId="05C9400B" w14:textId="77777777" w:rsidR="007339A6" w:rsidRDefault="00660318">
            <w:pPr>
              <w:spacing w:after="0"/>
              <w:jc w:val="center"/>
            </w:pPr>
            <w:r>
              <w:rPr>
                <w:rFonts w:eastAsia="Arial" w:cs="Arial"/>
                <w:b/>
              </w:rPr>
              <w:t>Risk</w:t>
            </w:r>
          </w:p>
        </w:tc>
        <w:tc>
          <w:tcPr>
            <w:tcW w:w="3021" w:type="dxa"/>
            <w:tcMar>
              <w:top w:w="60" w:type="dxa"/>
              <w:left w:w="80" w:type="dxa"/>
              <w:bottom w:w="60" w:type="dxa"/>
              <w:right w:w="80" w:type="dxa"/>
            </w:tcMar>
            <w:vAlign w:val="center"/>
          </w:tcPr>
          <w:p w14:paraId="14AAA128" w14:textId="77777777" w:rsidR="007339A6" w:rsidRDefault="00660318">
            <w:pPr>
              <w:spacing w:after="0"/>
              <w:jc w:val="center"/>
            </w:pPr>
            <w:r>
              <w:rPr>
                <w:rFonts w:eastAsia="Arial" w:cs="Arial"/>
                <w:b/>
              </w:rPr>
              <w:t>Potential effect</w:t>
            </w:r>
          </w:p>
        </w:tc>
        <w:tc>
          <w:tcPr>
            <w:tcW w:w="3021" w:type="dxa"/>
            <w:tcMar>
              <w:top w:w="60" w:type="dxa"/>
              <w:left w:w="80" w:type="dxa"/>
              <w:bottom w:w="60" w:type="dxa"/>
              <w:right w:w="80" w:type="dxa"/>
            </w:tcMar>
            <w:vAlign w:val="center"/>
          </w:tcPr>
          <w:p w14:paraId="70F52B5F" w14:textId="77777777" w:rsidR="007339A6" w:rsidRDefault="00660318">
            <w:pPr>
              <w:spacing w:after="0"/>
              <w:jc w:val="center"/>
            </w:pPr>
            <w:r>
              <w:rPr>
                <w:rFonts w:eastAsia="Arial" w:cs="Arial"/>
                <w:b/>
              </w:rPr>
              <w:t>Mitigation</w:t>
            </w:r>
          </w:p>
        </w:tc>
      </w:tr>
      <w:tr w:rsidR="007339A6" w14:paraId="7E806CFE" w14:textId="77777777" w:rsidTr="0087328F">
        <w:trPr>
          <w:cantSplit/>
          <w:jc w:val="center"/>
        </w:trPr>
        <w:tc>
          <w:tcPr>
            <w:tcW w:w="3020" w:type="dxa"/>
            <w:tcMar>
              <w:top w:w="60" w:type="dxa"/>
              <w:left w:w="80" w:type="dxa"/>
              <w:bottom w:w="60" w:type="dxa"/>
              <w:right w:w="80" w:type="dxa"/>
            </w:tcMar>
            <w:vAlign w:val="center"/>
          </w:tcPr>
          <w:p w14:paraId="4231DFC9" w14:textId="77777777" w:rsidR="007339A6" w:rsidRDefault="00660318">
            <w:pPr>
              <w:spacing w:after="0"/>
              <w:jc w:val="left"/>
            </w:pPr>
            <w:r>
              <w:rPr>
                <w:rFonts w:eastAsia="Arial" w:cs="Arial"/>
              </w:rPr>
              <w:t>Secondary-data comparability</w:t>
            </w:r>
          </w:p>
        </w:tc>
        <w:tc>
          <w:tcPr>
            <w:tcW w:w="3021" w:type="dxa"/>
            <w:tcMar>
              <w:top w:w="60" w:type="dxa"/>
              <w:left w:w="80" w:type="dxa"/>
              <w:bottom w:w="60" w:type="dxa"/>
              <w:right w:w="80" w:type="dxa"/>
            </w:tcMar>
            <w:vAlign w:val="center"/>
          </w:tcPr>
          <w:p w14:paraId="0E62F4BE" w14:textId="77777777" w:rsidR="007339A6" w:rsidRDefault="00660318">
            <w:pPr>
              <w:spacing w:after="0"/>
              <w:jc w:val="left"/>
            </w:pPr>
            <w:r>
              <w:rPr>
                <w:rFonts w:eastAsia="Arial" w:cs="Arial"/>
              </w:rPr>
              <w:t>Different definitions or periods can distort comparison (Bell, Bryman and Harley, 2022).</w:t>
            </w:r>
          </w:p>
        </w:tc>
        <w:tc>
          <w:tcPr>
            <w:tcW w:w="3021" w:type="dxa"/>
            <w:tcMar>
              <w:top w:w="60" w:type="dxa"/>
              <w:left w:w="80" w:type="dxa"/>
              <w:bottom w:w="60" w:type="dxa"/>
              <w:right w:w="80" w:type="dxa"/>
            </w:tcMar>
            <w:vAlign w:val="center"/>
          </w:tcPr>
          <w:p w14:paraId="0553E4E2" w14:textId="77777777" w:rsidR="007339A6" w:rsidRDefault="00660318">
            <w:pPr>
              <w:spacing w:after="0"/>
              <w:jc w:val="left"/>
            </w:pPr>
            <w:r>
              <w:rPr>
                <w:rFonts w:eastAsia="Arial" w:cs="Arial"/>
              </w:rPr>
              <w:t>Use like-for-like metrics, preserve reporting bases and disclose limitations.</w:t>
            </w:r>
          </w:p>
        </w:tc>
      </w:tr>
      <w:tr w:rsidR="007339A6" w14:paraId="6AFF7BF2" w14:textId="77777777" w:rsidTr="0087328F">
        <w:trPr>
          <w:cantSplit/>
          <w:jc w:val="center"/>
        </w:trPr>
        <w:tc>
          <w:tcPr>
            <w:tcW w:w="3020" w:type="dxa"/>
            <w:tcMar>
              <w:top w:w="60" w:type="dxa"/>
              <w:left w:w="80" w:type="dxa"/>
              <w:bottom w:w="60" w:type="dxa"/>
              <w:right w:w="80" w:type="dxa"/>
            </w:tcMar>
            <w:vAlign w:val="center"/>
          </w:tcPr>
          <w:p w14:paraId="1FE243A3" w14:textId="77777777" w:rsidR="007339A6" w:rsidRDefault="00660318">
            <w:pPr>
              <w:spacing w:after="0"/>
              <w:jc w:val="left"/>
            </w:pPr>
            <w:r>
              <w:rPr>
                <w:rFonts w:eastAsia="Arial" w:cs="Arial"/>
              </w:rPr>
              <w:t>Channel conflict</w:t>
            </w:r>
          </w:p>
        </w:tc>
        <w:tc>
          <w:tcPr>
            <w:tcW w:w="3021" w:type="dxa"/>
            <w:tcMar>
              <w:top w:w="60" w:type="dxa"/>
              <w:left w:w="80" w:type="dxa"/>
              <w:bottom w:w="60" w:type="dxa"/>
              <w:right w:w="80" w:type="dxa"/>
            </w:tcMar>
            <w:vAlign w:val="center"/>
          </w:tcPr>
          <w:p w14:paraId="46498554" w14:textId="77777777" w:rsidR="007339A6" w:rsidRDefault="00660318">
            <w:r>
              <w:rPr>
                <w:rFonts w:eastAsia="Arial" w:cs="Arial"/>
              </w:rPr>
              <w:t>Poorly configured channel integration can weaken engagement and loyalty outcomes (Gao and Huang, 2021).</w:t>
            </w:r>
          </w:p>
        </w:tc>
        <w:tc>
          <w:tcPr>
            <w:tcW w:w="3021" w:type="dxa"/>
            <w:tcMar>
              <w:top w:w="60" w:type="dxa"/>
              <w:left w:w="80" w:type="dxa"/>
              <w:bottom w:w="60" w:type="dxa"/>
              <w:right w:w="80" w:type="dxa"/>
            </w:tcMar>
            <w:vAlign w:val="center"/>
          </w:tcPr>
          <w:p w14:paraId="0D8CBB70" w14:textId="77777777" w:rsidR="007339A6" w:rsidRDefault="00660318">
            <w:pPr>
              <w:spacing w:after="0"/>
              <w:jc w:val="left"/>
            </w:pPr>
            <w:r>
              <w:rPr>
                <w:rFonts w:eastAsia="Arial" w:cs="Arial"/>
              </w:rPr>
              <w:t>Pilot with selected partners and define attribution, service and commercial rules.</w:t>
            </w:r>
          </w:p>
        </w:tc>
      </w:tr>
      <w:tr w:rsidR="007339A6" w14:paraId="5281F86C" w14:textId="77777777" w:rsidTr="0087328F">
        <w:trPr>
          <w:cantSplit/>
          <w:jc w:val="center"/>
        </w:trPr>
        <w:tc>
          <w:tcPr>
            <w:tcW w:w="3020" w:type="dxa"/>
            <w:tcMar>
              <w:top w:w="60" w:type="dxa"/>
              <w:left w:w="80" w:type="dxa"/>
              <w:bottom w:w="60" w:type="dxa"/>
              <w:right w:w="80" w:type="dxa"/>
            </w:tcMar>
            <w:vAlign w:val="center"/>
          </w:tcPr>
          <w:p w14:paraId="6642DEF5" w14:textId="77777777" w:rsidR="007339A6" w:rsidRDefault="00660318">
            <w:pPr>
              <w:spacing w:after="0"/>
              <w:jc w:val="left"/>
            </w:pPr>
            <w:r>
              <w:rPr>
                <w:rFonts w:eastAsia="Arial" w:cs="Arial"/>
              </w:rPr>
              <w:t>Technology and cost</w:t>
            </w:r>
          </w:p>
        </w:tc>
        <w:tc>
          <w:tcPr>
            <w:tcW w:w="3021" w:type="dxa"/>
            <w:tcMar>
              <w:top w:w="60" w:type="dxa"/>
              <w:left w:w="80" w:type="dxa"/>
              <w:bottom w:w="60" w:type="dxa"/>
              <w:right w:w="80" w:type="dxa"/>
            </w:tcMar>
            <w:vAlign w:val="center"/>
          </w:tcPr>
          <w:p w14:paraId="2E705A83" w14:textId="77777777" w:rsidR="007339A6" w:rsidRDefault="00660318">
            <w:pPr>
              <w:spacing w:after="0"/>
              <w:jc w:val="left"/>
            </w:pPr>
            <w:r>
              <w:rPr>
                <w:rFonts w:eastAsia="Arial" w:cs="Arial"/>
              </w:rPr>
              <w:t>NIKE states that Direct and digital capabilities require significant continuing investment (NIKE, Inc., 2026).</w:t>
            </w:r>
          </w:p>
        </w:tc>
        <w:tc>
          <w:tcPr>
            <w:tcW w:w="3021" w:type="dxa"/>
            <w:tcMar>
              <w:top w:w="60" w:type="dxa"/>
              <w:left w:w="80" w:type="dxa"/>
              <w:bottom w:w="60" w:type="dxa"/>
              <w:right w:w="80" w:type="dxa"/>
            </w:tcMar>
            <w:vAlign w:val="center"/>
          </w:tcPr>
          <w:p w14:paraId="274D1095" w14:textId="77777777" w:rsidR="007339A6" w:rsidRDefault="00660318">
            <w:pPr>
              <w:spacing w:after="0"/>
              <w:jc w:val="left"/>
            </w:pPr>
            <w:r>
              <w:rPr>
                <w:rFonts w:eastAsia="Arial" w:cs="Arial"/>
              </w:rPr>
              <w:t>Stage functionality and test incremental economics before scale-up.</w:t>
            </w:r>
          </w:p>
        </w:tc>
      </w:tr>
      <w:tr w:rsidR="007339A6" w14:paraId="5A252CDC" w14:textId="77777777" w:rsidTr="0087328F">
        <w:trPr>
          <w:cantSplit/>
          <w:jc w:val="center"/>
        </w:trPr>
        <w:tc>
          <w:tcPr>
            <w:tcW w:w="3020" w:type="dxa"/>
            <w:tcMar>
              <w:top w:w="60" w:type="dxa"/>
              <w:left w:w="80" w:type="dxa"/>
              <w:bottom w:w="60" w:type="dxa"/>
              <w:right w:w="80" w:type="dxa"/>
            </w:tcMar>
            <w:vAlign w:val="center"/>
          </w:tcPr>
          <w:p w14:paraId="5F242E56" w14:textId="77777777" w:rsidR="007339A6" w:rsidRDefault="00660318">
            <w:pPr>
              <w:spacing w:after="0"/>
              <w:jc w:val="left"/>
            </w:pPr>
            <w:r>
              <w:rPr>
                <w:rFonts w:eastAsia="Arial" w:cs="Arial"/>
              </w:rPr>
              <w:t>Customer/data risk</w:t>
            </w:r>
          </w:p>
        </w:tc>
        <w:tc>
          <w:tcPr>
            <w:tcW w:w="3021" w:type="dxa"/>
            <w:tcMar>
              <w:top w:w="60" w:type="dxa"/>
              <w:left w:w="80" w:type="dxa"/>
              <w:bottom w:w="60" w:type="dxa"/>
              <w:right w:w="80" w:type="dxa"/>
            </w:tcMar>
            <w:vAlign w:val="center"/>
          </w:tcPr>
          <w:p w14:paraId="0A1270B0" w14:textId="77777777" w:rsidR="007339A6" w:rsidRDefault="00660318">
            <w:pPr>
              <w:spacing w:after="0"/>
              <w:jc w:val="left"/>
            </w:pPr>
            <w:r>
              <w:rPr>
                <w:rFonts w:eastAsia="Arial" w:cs="Arial"/>
              </w:rPr>
              <w:t>Unnecessary collection or retention increases information-security exposure (Federal Trade Commission, 2023).</w:t>
            </w:r>
          </w:p>
        </w:tc>
        <w:tc>
          <w:tcPr>
            <w:tcW w:w="3021" w:type="dxa"/>
            <w:tcMar>
              <w:top w:w="60" w:type="dxa"/>
              <w:left w:w="80" w:type="dxa"/>
              <w:bottom w:w="60" w:type="dxa"/>
              <w:right w:w="80" w:type="dxa"/>
            </w:tcMar>
            <w:vAlign w:val="center"/>
          </w:tcPr>
          <w:p w14:paraId="0079C272" w14:textId="77777777" w:rsidR="007339A6" w:rsidRDefault="00660318">
            <w:pPr>
              <w:spacing w:after="0"/>
              <w:jc w:val="left"/>
            </w:pPr>
            <w:r>
              <w:rPr>
                <w:rFonts w:eastAsia="Arial" w:cs="Arial"/>
              </w:rPr>
              <w:t>Apply data minimisation, controlled access and defined retention rules.</w:t>
            </w:r>
          </w:p>
        </w:tc>
      </w:tr>
      <w:tr w:rsidR="007339A6" w14:paraId="308799A0" w14:textId="77777777" w:rsidTr="0087328F">
        <w:trPr>
          <w:cantSplit/>
          <w:jc w:val="center"/>
        </w:trPr>
        <w:tc>
          <w:tcPr>
            <w:tcW w:w="3020" w:type="dxa"/>
            <w:tcMar>
              <w:top w:w="60" w:type="dxa"/>
              <w:left w:w="80" w:type="dxa"/>
              <w:bottom w:w="60" w:type="dxa"/>
              <w:right w:w="80" w:type="dxa"/>
            </w:tcMar>
            <w:vAlign w:val="center"/>
          </w:tcPr>
          <w:p w14:paraId="5F36DC85" w14:textId="77777777" w:rsidR="007339A6" w:rsidRDefault="00660318">
            <w:pPr>
              <w:spacing w:after="0"/>
              <w:jc w:val="left"/>
            </w:pPr>
            <w:r>
              <w:rPr>
                <w:rFonts w:eastAsia="Arial" w:cs="Arial"/>
              </w:rPr>
              <w:t>Adoption uncertainty</w:t>
            </w:r>
          </w:p>
        </w:tc>
        <w:tc>
          <w:tcPr>
            <w:tcW w:w="3021" w:type="dxa"/>
            <w:tcMar>
              <w:top w:w="60" w:type="dxa"/>
              <w:left w:w="80" w:type="dxa"/>
              <w:bottom w:w="60" w:type="dxa"/>
              <w:right w:w="80" w:type="dxa"/>
            </w:tcMar>
            <w:vAlign w:val="center"/>
          </w:tcPr>
          <w:p w14:paraId="56B6D57F" w14:textId="77777777" w:rsidR="007339A6" w:rsidRDefault="00660318">
            <w:pPr>
              <w:spacing w:after="0"/>
              <w:jc w:val="left"/>
            </w:pPr>
            <w:r>
              <w:rPr>
                <w:rFonts w:eastAsia="Arial" w:cs="Arial"/>
              </w:rPr>
              <w:t>Omnichannel elements affect customers differently across purchase behaviours (Yin et al., 2022).</w:t>
            </w:r>
          </w:p>
        </w:tc>
        <w:tc>
          <w:tcPr>
            <w:tcW w:w="3021" w:type="dxa"/>
            <w:tcMar>
              <w:top w:w="60" w:type="dxa"/>
              <w:left w:w="80" w:type="dxa"/>
              <w:bottom w:w="60" w:type="dxa"/>
              <w:right w:w="80" w:type="dxa"/>
            </w:tcMar>
            <w:vAlign w:val="center"/>
          </w:tcPr>
          <w:p w14:paraId="3F295AA7" w14:textId="77777777" w:rsidR="007339A6" w:rsidRDefault="00660318">
            <w:pPr>
              <w:spacing w:after="0"/>
              <w:jc w:val="left"/>
            </w:pPr>
            <w:r>
              <w:rPr>
                <w:rFonts w:eastAsia="Arial" w:cs="Arial"/>
              </w:rPr>
              <w:t>Prioritise services linked to measurable customer needs and testable KPIs.</w:t>
            </w:r>
          </w:p>
        </w:tc>
      </w:tr>
    </w:tbl>
    <w:p w14:paraId="5D1D6A9C" w14:textId="77777777" w:rsidR="007339A6" w:rsidRDefault="007339A6">
      <w:pPr>
        <w:spacing w:after="40"/>
      </w:pPr>
    </w:p>
    <w:p w14:paraId="4C8FDA8F" w14:textId="77777777" w:rsidR="007339A6" w:rsidRDefault="00570B39">
      <w:r w:rsidRPr="00570B39">
        <w:rPr>
          <w:rFonts w:eastAsia="Arial" w:cs="Arial"/>
        </w:rPr>
        <w:t>Financial and operational assessment will include risk assessment and mitigation. Special consideration will be given to whether the incremental value of cross-channel functionality is greater than the technology, fulfilment and partner governance costs and whether personalisation can be provided without further increasing data exposure than is required. It should be implemented only where there is evidence of additional customer or contribution value and not the transfer of existing sales between channels</w:t>
      </w:r>
      <w:r w:rsidR="00660318">
        <w:rPr>
          <w:rFonts w:eastAsia="Arial" w:cs="Arial"/>
        </w:rPr>
        <w:t>.</w:t>
      </w:r>
    </w:p>
    <w:p w14:paraId="45C06B67" w14:textId="77777777" w:rsidR="007339A6" w:rsidRDefault="00660318" w:rsidP="0087328F">
      <w:pPr>
        <w:pStyle w:val="Heading1"/>
      </w:pPr>
      <w:bookmarkStart w:id="17" w:name="_Toc241259286"/>
      <w:r>
        <w:t>5. Timeline and Gantt Chart</w:t>
      </w:r>
      <w:bookmarkEnd w:id="17"/>
    </w:p>
    <w:p w14:paraId="01E524E4" w14:textId="77777777" w:rsidR="007339A6" w:rsidRDefault="00570B39">
      <w:r w:rsidRPr="00570B39">
        <w:rPr>
          <w:rFonts w:eastAsia="Arial" w:cs="Arial"/>
        </w:rPr>
        <w:t>The research will be conducted in 16 weeks. The early activity establishes the evidence base and ethics documentation, middle stages focus on market, competitor, pricing and strategic analysis, the later stages involve the development of the business solution, evaluation of financial implications and final drafting and revision. Figure 2 shows the sequence and enables the analysis tasks to overlap where evidence dependencies permit, and the remaining weeks are reserved to integrate, review and quality review</w:t>
      </w:r>
      <w:r w:rsidR="00660318">
        <w:rPr>
          <w:rFonts w:eastAsia="Arial" w:cs="Arial"/>
        </w:rPr>
        <w:t>.</w:t>
      </w:r>
    </w:p>
    <w:p w14:paraId="4EC4E378" w14:textId="77777777" w:rsidR="0087328F" w:rsidRDefault="00660318" w:rsidP="0087328F">
      <w:pPr>
        <w:keepNext/>
        <w:spacing w:after="80"/>
        <w:jc w:val="center"/>
      </w:pPr>
      <w:r>
        <w:rPr>
          <w:rFonts w:eastAsia="Arial" w:cs="Arial"/>
          <w:noProof/>
        </w:rPr>
        <w:drawing>
          <wp:inline distT="0" distB="0" distL="0" distR="0" wp14:anchorId="10697062" wp14:editId="380923A3">
            <wp:extent cx="5623560" cy="3239941"/>
            <wp:effectExtent l="0" t="0" r="0" b="0"/>
            <wp:docPr id="3" name="Picture 3" descr="Gantt chart showing the proposed 16-week project timeline from evidence collection through final review" title="Gantt chart showing the proposed 16-week project timeline from evidence collection through final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ke_gantt.png"/>
                    <pic:cNvPicPr/>
                  </pic:nvPicPr>
                  <pic:blipFill>
                    <a:blip r:embed="rId10"/>
                    <a:stretch>
                      <a:fillRect/>
                    </a:stretch>
                  </pic:blipFill>
                  <pic:spPr>
                    <a:xfrm>
                      <a:off x="0" y="0"/>
                      <a:ext cx="5623560" cy="3239941"/>
                    </a:xfrm>
                    <a:prstGeom prst="rect">
                      <a:avLst/>
                    </a:prstGeom>
                  </pic:spPr>
                </pic:pic>
              </a:graphicData>
            </a:graphic>
          </wp:inline>
        </w:drawing>
      </w:r>
    </w:p>
    <w:p w14:paraId="7257459D" w14:textId="77777777" w:rsidR="007339A6" w:rsidRPr="0087328F" w:rsidRDefault="0087328F" w:rsidP="0087328F">
      <w:pPr>
        <w:pStyle w:val="Caption"/>
        <w:jc w:val="center"/>
        <w:rPr>
          <w:b w:val="0"/>
          <w:bCs w:val="0"/>
          <w:color w:val="000000" w:themeColor="text1"/>
        </w:rPr>
      </w:pPr>
      <w:bookmarkStart w:id="18" w:name="_Toc241259292"/>
      <w:r w:rsidRPr="0087328F">
        <w:rPr>
          <w:b w:val="0"/>
          <w:bCs w:val="0"/>
          <w:color w:val="000000" w:themeColor="text1"/>
        </w:rPr>
        <w:t xml:space="preserve">Figure </w:t>
      </w:r>
      <w:r w:rsidRPr="0087328F">
        <w:rPr>
          <w:b w:val="0"/>
          <w:bCs w:val="0"/>
          <w:color w:val="000000" w:themeColor="text1"/>
        </w:rPr>
        <w:fldChar w:fldCharType="begin"/>
      </w:r>
      <w:r w:rsidRPr="0087328F">
        <w:rPr>
          <w:b w:val="0"/>
          <w:bCs w:val="0"/>
          <w:color w:val="000000" w:themeColor="text1"/>
        </w:rPr>
        <w:instrText xml:space="preserve"> SEQ Figure \* ARABIC </w:instrText>
      </w:r>
      <w:r w:rsidRPr="0087328F">
        <w:rPr>
          <w:b w:val="0"/>
          <w:bCs w:val="0"/>
          <w:color w:val="000000" w:themeColor="text1"/>
        </w:rPr>
        <w:fldChar w:fldCharType="separate"/>
      </w:r>
      <w:r w:rsidRPr="0087328F">
        <w:rPr>
          <w:b w:val="0"/>
          <w:bCs w:val="0"/>
          <w:noProof/>
          <w:color w:val="000000" w:themeColor="text1"/>
        </w:rPr>
        <w:t>2</w:t>
      </w:r>
      <w:r w:rsidRPr="0087328F">
        <w:rPr>
          <w:b w:val="0"/>
          <w:bCs w:val="0"/>
          <w:color w:val="000000" w:themeColor="text1"/>
        </w:rPr>
        <w:fldChar w:fldCharType="end"/>
      </w:r>
      <w:r w:rsidRPr="0087328F">
        <w:rPr>
          <w:rFonts w:eastAsia="Arial" w:cs="Arial"/>
          <w:b w:val="0"/>
          <w:bCs w:val="0"/>
          <w:color w:val="000000" w:themeColor="text1"/>
          <w:sz w:val="24"/>
          <w:szCs w:val="22"/>
        </w:rPr>
        <w:t xml:space="preserve"> </w:t>
      </w:r>
      <w:r w:rsidRPr="0087328F">
        <w:rPr>
          <w:b w:val="0"/>
          <w:bCs w:val="0"/>
          <w:color w:val="000000" w:themeColor="text1"/>
        </w:rPr>
        <w:t xml:space="preserve">Proposed 16-week project timeline </w:t>
      </w:r>
      <w:r w:rsidR="00660318" w:rsidRPr="0087328F">
        <w:rPr>
          <w:rFonts w:eastAsia="Arial" w:cs="Arial"/>
          <w:b w:val="0"/>
          <w:bCs w:val="0"/>
          <w:i/>
          <w:color w:val="000000" w:themeColor="text1"/>
        </w:rPr>
        <w:t>Source: Author-developed project plan.</w:t>
      </w:r>
      <w:bookmarkEnd w:id="18"/>
    </w:p>
    <w:p w14:paraId="191692C5" w14:textId="77777777" w:rsidR="007339A6" w:rsidRDefault="00660318">
      <w:r>
        <w:rPr>
          <w:rFonts w:eastAsia="Arial" w:cs="Arial"/>
        </w:rPr>
        <w:br w:type="page"/>
      </w:r>
    </w:p>
    <w:p w14:paraId="1209576D" w14:textId="77777777" w:rsidR="007339A6" w:rsidRDefault="00660318" w:rsidP="0087328F">
      <w:pPr>
        <w:pStyle w:val="Heading1"/>
      </w:pPr>
      <w:bookmarkStart w:id="19" w:name="_Toc241259287"/>
      <w:r>
        <w:lastRenderedPageBreak/>
        <w:t>References</w:t>
      </w:r>
      <w:bookmarkEnd w:id="19"/>
    </w:p>
    <w:p w14:paraId="0B6BAB7F" w14:textId="77777777" w:rsidR="007339A6" w:rsidRDefault="00660318" w:rsidP="0087328F">
      <w:pPr>
        <w:ind w:left="360" w:hanging="360"/>
      </w:pPr>
      <w:r>
        <w:rPr>
          <w:rFonts w:eastAsia="Arial" w:cs="Arial"/>
        </w:rPr>
        <w:t xml:space="preserve">adidas (n.d.) </w:t>
      </w:r>
      <w:r>
        <w:rPr>
          <w:rFonts w:eastAsia="Arial" w:cs="Arial"/>
          <w:i/>
        </w:rPr>
        <w:t>Supernova rise 2 running shoes</w:t>
      </w:r>
      <w:r>
        <w:rPr>
          <w:rFonts w:eastAsia="Arial" w:cs="Arial"/>
        </w:rPr>
        <w:t xml:space="preserve">. Available at: </w:t>
      </w:r>
      <w:hyperlink r:id="rId11" w:history="1">
        <w:r w:rsidR="00A92EE3" w:rsidRPr="002F25CF">
          <w:rPr>
            <w:rStyle w:val="Hyperlink"/>
            <w:rFonts w:eastAsia="Arial" w:cs="Arial"/>
          </w:rPr>
          <w:t>https://www.adidas.com/us/supernova-rise-2-running-shoes/IG2176.html</w:t>
        </w:r>
      </w:hyperlink>
      <w:r w:rsidR="00A92EE3">
        <w:rPr>
          <w:rFonts w:eastAsia="Arial" w:cs="Arial"/>
        </w:rPr>
        <w:t xml:space="preserve"> </w:t>
      </w:r>
      <w:r>
        <w:rPr>
          <w:rFonts w:eastAsia="Arial" w:cs="Arial"/>
        </w:rPr>
        <w:t xml:space="preserve"> (Accessed: 25 September 2026).</w:t>
      </w:r>
    </w:p>
    <w:p w14:paraId="3C9ED1C5" w14:textId="77777777" w:rsidR="007339A6" w:rsidRDefault="00660318" w:rsidP="0087328F">
      <w:pPr>
        <w:ind w:left="360" w:hanging="360"/>
      </w:pPr>
      <w:r>
        <w:rPr>
          <w:rFonts w:eastAsia="Arial" w:cs="Arial"/>
        </w:rPr>
        <w:t xml:space="preserve">adidas (2026a) </w:t>
      </w:r>
      <w:r>
        <w:rPr>
          <w:rFonts w:eastAsia="Arial" w:cs="Arial"/>
          <w:i/>
        </w:rPr>
        <w:t>North America</w:t>
      </w:r>
      <w:r>
        <w:rPr>
          <w:rFonts w:eastAsia="Arial" w:cs="Arial"/>
        </w:rPr>
        <w:t xml:space="preserve">. </w:t>
      </w:r>
      <w:r>
        <w:rPr>
          <w:rFonts w:eastAsia="Arial" w:cs="Arial"/>
          <w:i/>
        </w:rPr>
        <w:t>Annual report 2025</w:t>
      </w:r>
      <w:r>
        <w:rPr>
          <w:rFonts w:eastAsia="Arial" w:cs="Arial"/>
        </w:rPr>
        <w:t xml:space="preserve">. Available at: </w:t>
      </w:r>
      <w:hyperlink r:id="rId12" w:history="1">
        <w:r w:rsidR="00A92EE3" w:rsidRPr="002F25CF">
          <w:rPr>
            <w:rStyle w:val="Hyperlink"/>
            <w:rFonts w:eastAsia="Arial" w:cs="Arial"/>
          </w:rPr>
          <w:t>https://report.adidas-group.com/2025/en/group-management-report-financial-review/business-performance-by-segment/north-america.html</w:t>
        </w:r>
      </w:hyperlink>
      <w:r w:rsidR="00A92EE3">
        <w:rPr>
          <w:rFonts w:eastAsia="Arial" w:cs="Arial"/>
        </w:rPr>
        <w:t xml:space="preserve"> </w:t>
      </w:r>
      <w:r>
        <w:rPr>
          <w:rFonts w:eastAsia="Arial" w:cs="Arial"/>
        </w:rPr>
        <w:t xml:space="preserve"> (Accessed: 25 September 2026).</w:t>
      </w:r>
    </w:p>
    <w:p w14:paraId="33E259F8" w14:textId="77777777" w:rsidR="007339A6" w:rsidRDefault="00660318" w:rsidP="0087328F">
      <w:pPr>
        <w:ind w:left="360" w:hanging="360"/>
      </w:pPr>
      <w:r>
        <w:rPr>
          <w:rFonts w:eastAsia="Arial" w:cs="Arial"/>
        </w:rPr>
        <w:t xml:space="preserve">adidas (2026b) </w:t>
      </w:r>
      <w:r>
        <w:rPr>
          <w:rFonts w:eastAsia="Arial" w:cs="Arial"/>
          <w:i/>
        </w:rPr>
        <w:t>Income statement</w:t>
      </w:r>
      <w:r>
        <w:rPr>
          <w:rFonts w:eastAsia="Arial" w:cs="Arial"/>
        </w:rPr>
        <w:t xml:space="preserve">. </w:t>
      </w:r>
      <w:r>
        <w:rPr>
          <w:rFonts w:eastAsia="Arial" w:cs="Arial"/>
          <w:i/>
        </w:rPr>
        <w:t>Annual report 2025</w:t>
      </w:r>
      <w:r>
        <w:rPr>
          <w:rFonts w:eastAsia="Arial" w:cs="Arial"/>
        </w:rPr>
        <w:t xml:space="preserve">. Available at: </w:t>
      </w:r>
      <w:hyperlink r:id="rId13" w:history="1">
        <w:r w:rsidR="00A92EE3" w:rsidRPr="002F25CF">
          <w:rPr>
            <w:rStyle w:val="Hyperlink"/>
            <w:rFonts w:eastAsia="Arial" w:cs="Arial"/>
          </w:rPr>
          <w:t>https://report.adidas-group.com/2025/en/group-management-report-financial-review/business-performance/income-statement.html</w:t>
        </w:r>
      </w:hyperlink>
      <w:r w:rsidR="00A92EE3">
        <w:rPr>
          <w:rFonts w:eastAsia="Arial" w:cs="Arial"/>
        </w:rPr>
        <w:t xml:space="preserve"> </w:t>
      </w:r>
      <w:r>
        <w:rPr>
          <w:rFonts w:eastAsia="Arial" w:cs="Arial"/>
        </w:rPr>
        <w:t xml:space="preserve"> (Accessed: 25 September 2026).</w:t>
      </w:r>
    </w:p>
    <w:p w14:paraId="0DA24C0C" w14:textId="77777777" w:rsidR="007339A6" w:rsidRDefault="00660318" w:rsidP="0087328F">
      <w:pPr>
        <w:ind w:left="360" w:hanging="360"/>
      </w:pPr>
      <w:r>
        <w:rPr>
          <w:rFonts w:eastAsia="Arial" w:cs="Arial"/>
        </w:rPr>
        <w:t xml:space="preserve">Bell, E., Bryman, A. and Harley, B. (2022) </w:t>
      </w:r>
      <w:r>
        <w:rPr>
          <w:rFonts w:eastAsia="Arial" w:cs="Arial"/>
          <w:i/>
        </w:rPr>
        <w:t>Business research methods</w:t>
      </w:r>
      <w:r>
        <w:rPr>
          <w:rFonts w:eastAsia="Arial" w:cs="Arial"/>
        </w:rPr>
        <w:t xml:space="preserve">. 6th </w:t>
      </w:r>
      <w:proofErr w:type="spellStart"/>
      <w:r>
        <w:rPr>
          <w:rFonts w:eastAsia="Arial" w:cs="Arial"/>
        </w:rPr>
        <w:t>edn</w:t>
      </w:r>
      <w:proofErr w:type="spellEnd"/>
      <w:r>
        <w:rPr>
          <w:rFonts w:eastAsia="Arial" w:cs="Arial"/>
        </w:rPr>
        <w:t>. Oxford: Oxford University Press.</w:t>
      </w:r>
    </w:p>
    <w:p w14:paraId="264C30BE" w14:textId="77777777" w:rsidR="007339A6" w:rsidRDefault="00660318" w:rsidP="0087328F">
      <w:pPr>
        <w:ind w:left="360" w:hanging="360"/>
      </w:pPr>
      <w:r>
        <w:rPr>
          <w:rFonts w:eastAsia="Arial" w:cs="Arial"/>
        </w:rPr>
        <w:t xml:space="preserve">Deloitte (2025) </w:t>
      </w:r>
      <w:r>
        <w:rPr>
          <w:rFonts w:eastAsia="Arial" w:cs="Arial"/>
          <w:i/>
        </w:rPr>
        <w:t>2025 retail industry outlook: the promise of intelligent interaction: monetizing mass to micro</w:t>
      </w:r>
      <w:r>
        <w:rPr>
          <w:rFonts w:eastAsia="Arial" w:cs="Arial"/>
        </w:rPr>
        <w:t xml:space="preserve">. Available at: </w:t>
      </w:r>
      <w:hyperlink r:id="rId14" w:history="1">
        <w:r w:rsidR="00A92EE3" w:rsidRPr="002F25CF">
          <w:rPr>
            <w:rStyle w:val="Hyperlink"/>
            <w:rFonts w:eastAsia="Arial" w:cs="Arial"/>
          </w:rPr>
          <w:t>https://www.deloitte.com/us/en/insights/industry/retail-distribution/retail-distribution-industry-outlook-2025.html</w:t>
        </w:r>
      </w:hyperlink>
      <w:r w:rsidR="00A92EE3">
        <w:rPr>
          <w:rFonts w:eastAsia="Arial" w:cs="Arial"/>
        </w:rPr>
        <w:t xml:space="preserve"> </w:t>
      </w:r>
      <w:r>
        <w:rPr>
          <w:rFonts w:eastAsia="Arial" w:cs="Arial"/>
        </w:rPr>
        <w:t xml:space="preserve"> (Accessed: 25 September 2026).</w:t>
      </w:r>
    </w:p>
    <w:p w14:paraId="53F6AE55" w14:textId="77777777" w:rsidR="007339A6" w:rsidRDefault="00660318" w:rsidP="0087328F">
      <w:pPr>
        <w:ind w:left="360" w:hanging="360"/>
      </w:pPr>
      <w:r>
        <w:rPr>
          <w:rFonts w:eastAsia="Arial" w:cs="Arial"/>
        </w:rPr>
        <w:t xml:space="preserve">Federal Trade Commission (2023) </w:t>
      </w:r>
      <w:r>
        <w:rPr>
          <w:rFonts w:eastAsia="Arial" w:cs="Arial"/>
          <w:i/>
        </w:rPr>
        <w:t>Start with security: a guide for business</w:t>
      </w:r>
      <w:r>
        <w:rPr>
          <w:rFonts w:eastAsia="Arial" w:cs="Arial"/>
        </w:rPr>
        <w:t xml:space="preserve">. Available at: </w:t>
      </w:r>
      <w:hyperlink r:id="rId15" w:history="1">
        <w:r w:rsidR="00A92EE3" w:rsidRPr="002F25CF">
          <w:rPr>
            <w:rStyle w:val="Hyperlink"/>
            <w:rFonts w:eastAsia="Arial" w:cs="Arial"/>
          </w:rPr>
          <w:t>https://www.ftc.gov/business-guidance/resources/start-security-guide-business</w:t>
        </w:r>
      </w:hyperlink>
      <w:r w:rsidR="00A92EE3">
        <w:rPr>
          <w:rFonts w:eastAsia="Arial" w:cs="Arial"/>
        </w:rPr>
        <w:t xml:space="preserve"> </w:t>
      </w:r>
      <w:r>
        <w:rPr>
          <w:rFonts w:eastAsia="Arial" w:cs="Arial"/>
        </w:rPr>
        <w:t xml:space="preserve"> (Accessed: 25 September 2026).</w:t>
      </w:r>
    </w:p>
    <w:p w14:paraId="398ACD65" w14:textId="77777777" w:rsidR="007339A6" w:rsidRDefault="00660318" w:rsidP="0087328F">
      <w:pPr>
        <w:ind w:left="360" w:hanging="360"/>
      </w:pPr>
      <w:r>
        <w:rPr>
          <w:rFonts w:eastAsia="Arial" w:cs="Arial"/>
        </w:rPr>
        <w:t xml:space="preserve">Gao, M. and Huang, L. (2021) 'Quality of channel integration and customer loyalty in omnichannel retailing: the mediating role of customer engagement and relationship program receptiveness', </w:t>
      </w:r>
      <w:r>
        <w:rPr>
          <w:rFonts w:eastAsia="Arial" w:cs="Arial"/>
          <w:i/>
        </w:rPr>
        <w:t>Journal of Retailing and Consumer Services</w:t>
      </w:r>
      <w:r>
        <w:rPr>
          <w:rFonts w:eastAsia="Arial" w:cs="Arial"/>
        </w:rPr>
        <w:t>, 63, 102688. https://doi.org/10.1016/j.jretconser.2021.102688.</w:t>
      </w:r>
    </w:p>
    <w:p w14:paraId="1CF65F5B" w14:textId="77777777" w:rsidR="007339A6" w:rsidRDefault="00660318" w:rsidP="0087328F">
      <w:pPr>
        <w:ind w:left="360" w:hanging="360"/>
      </w:pPr>
      <w:r>
        <w:rPr>
          <w:rFonts w:eastAsia="Arial" w:cs="Arial"/>
        </w:rPr>
        <w:t xml:space="preserve">Gao, W., Fan, H., Li, W. and Wang, H. (2021) 'Crafting the customer experience in omnichannel contexts: the role of channel integration', </w:t>
      </w:r>
      <w:r>
        <w:rPr>
          <w:rFonts w:eastAsia="Arial" w:cs="Arial"/>
          <w:i/>
        </w:rPr>
        <w:t>Journal of Business Research</w:t>
      </w:r>
      <w:r>
        <w:rPr>
          <w:rFonts w:eastAsia="Arial" w:cs="Arial"/>
        </w:rPr>
        <w:t>, 126, pp. 12-22. https://doi.org/10.1016/j.jbusres.2020.12.056.</w:t>
      </w:r>
    </w:p>
    <w:p w14:paraId="32B4DA5C" w14:textId="77777777" w:rsidR="007339A6" w:rsidRDefault="00660318" w:rsidP="0087328F">
      <w:pPr>
        <w:ind w:left="360" w:hanging="360"/>
      </w:pPr>
      <w:r>
        <w:rPr>
          <w:rFonts w:eastAsia="Arial" w:cs="Arial"/>
        </w:rPr>
        <w:t xml:space="preserve">McKinsey &amp; Company (2025) </w:t>
      </w:r>
      <w:r>
        <w:rPr>
          <w:rFonts w:eastAsia="Arial" w:cs="Arial"/>
          <w:i/>
        </w:rPr>
        <w:t>Sporting goods 2025: the new balancing act - turning uncertainty into opportunity</w:t>
      </w:r>
      <w:r>
        <w:rPr>
          <w:rFonts w:eastAsia="Arial" w:cs="Arial"/>
        </w:rPr>
        <w:t xml:space="preserve">. Available at: </w:t>
      </w:r>
      <w:hyperlink r:id="rId16" w:history="1">
        <w:r w:rsidR="00A92EE3" w:rsidRPr="002F25CF">
          <w:rPr>
            <w:rStyle w:val="Hyperlink"/>
            <w:rFonts w:eastAsia="Arial" w:cs="Arial"/>
          </w:rPr>
          <w:t>https://www.mckinsey.com/industries/retail/our-insights/sporting-goods-industry-trends</w:t>
        </w:r>
      </w:hyperlink>
      <w:r w:rsidR="00A92EE3">
        <w:rPr>
          <w:rFonts w:eastAsia="Arial" w:cs="Arial"/>
        </w:rPr>
        <w:t xml:space="preserve"> </w:t>
      </w:r>
      <w:r>
        <w:rPr>
          <w:rFonts w:eastAsia="Arial" w:cs="Arial"/>
        </w:rPr>
        <w:t xml:space="preserve"> (Accessed: 25 September 2026).</w:t>
      </w:r>
    </w:p>
    <w:p w14:paraId="5F29CD04" w14:textId="77777777" w:rsidR="007339A6" w:rsidRDefault="00660318" w:rsidP="0087328F">
      <w:pPr>
        <w:ind w:left="360" w:hanging="360"/>
      </w:pPr>
      <w:proofErr w:type="spellStart"/>
      <w:r>
        <w:rPr>
          <w:rFonts w:eastAsia="Arial" w:cs="Arial"/>
        </w:rPr>
        <w:lastRenderedPageBreak/>
        <w:t>Neslin</w:t>
      </w:r>
      <w:proofErr w:type="spellEnd"/>
      <w:r>
        <w:rPr>
          <w:rFonts w:eastAsia="Arial" w:cs="Arial"/>
        </w:rPr>
        <w:t xml:space="preserve">, S.A. (2022) 'The omnichannel continuum: integrating online and offline channels along the customer journey', </w:t>
      </w:r>
      <w:r>
        <w:rPr>
          <w:rFonts w:eastAsia="Arial" w:cs="Arial"/>
          <w:i/>
        </w:rPr>
        <w:t>Journal of Retailing</w:t>
      </w:r>
      <w:r>
        <w:rPr>
          <w:rFonts w:eastAsia="Arial" w:cs="Arial"/>
        </w:rPr>
        <w:t>, 98(1), pp. 111-132. https://doi.org/10.1016/j.jretai.2022.02.003.</w:t>
      </w:r>
    </w:p>
    <w:p w14:paraId="61AB0B3C" w14:textId="77777777" w:rsidR="007339A6" w:rsidRDefault="00660318" w:rsidP="0087328F">
      <w:pPr>
        <w:ind w:left="360" w:hanging="360"/>
      </w:pPr>
      <w:r>
        <w:rPr>
          <w:rFonts w:eastAsia="Arial" w:cs="Arial"/>
        </w:rPr>
        <w:t xml:space="preserve">Nike (n.d.) </w:t>
      </w:r>
      <w:r>
        <w:rPr>
          <w:rFonts w:eastAsia="Arial" w:cs="Arial"/>
          <w:i/>
        </w:rPr>
        <w:t>Nike Pegasus 42 men's road running shoes</w:t>
      </w:r>
      <w:r>
        <w:rPr>
          <w:rFonts w:eastAsia="Arial" w:cs="Arial"/>
        </w:rPr>
        <w:t xml:space="preserve">. Available at: </w:t>
      </w:r>
      <w:hyperlink r:id="rId17" w:history="1">
        <w:r w:rsidR="00A92EE3" w:rsidRPr="002F25CF">
          <w:rPr>
            <w:rStyle w:val="Hyperlink"/>
            <w:rFonts w:eastAsia="Arial" w:cs="Arial"/>
          </w:rPr>
          <w:t>https://www.nike.com/t/pegasus-42-mens-road-running-shoes-S1bYkOza</w:t>
        </w:r>
      </w:hyperlink>
      <w:r w:rsidR="00A92EE3">
        <w:rPr>
          <w:rFonts w:eastAsia="Arial" w:cs="Arial"/>
        </w:rPr>
        <w:t xml:space="preserve"> </w:t>
      </w:r>
      <w:r>
        <w:rPr>
          <w:rFonts w:eastAsia="Arial" w:cs="Arial"/>
        </w:rPr>
        <w:t xml:space="preserve"> (Accessed: 25 September 2026).</w:t>
      </w:r>
    </w:p>
    <w:p w14:paraId="79DAF581" w14:textId="77777777" w:rsidR="007339A6" w:rsidRDefault="00660318" w:rsidP="0087328F">
      <w:pPr>
        <w:ind w:left="360" w:hanging="360"/>
      </w:pPr>
      <w:r>
        <w:rPr>
          <w:rFonts w:eastAsia="Arial" w:cs="Arial"/>
        </w:rPr>
        <w:t xml:space="preserve">NIKE, Inc. (n.d.) </w:t>
      </w:r>
      <w:r>
        <w:rPr>
          <w:rFonts w:eastAsia="Arial" w:cs="Arial"/>
          <w:i/>
        </w:rPr>
        <w:t>Our mission</w:t>
      </w:r>
      <w:r>
        <w:rPr>
          <w:rFonts w:eastAsia="Arial" w:cs="Arial"/>
        </w:rPr>
        <w:t xml:space="preserve">. Available at: </w:t>
      </w:r>
      <w:hyperlink r:id="rId18" w:history="1">
        <w:r w:rsidR="00A92EE3" w:rsidRPr="002F25CF">
          <w:rPr>
            <w:rStyle w:val="Hyperlink"/>
            <w:rFonts w:eastAsia="Arial" w:cs="Arial"/>
          </w:rPr>
          <w:t>https://about.nike.com/en/mission/</w:t>
        </w:r>
      </w:hyperlink>
      <w:r w:rsidR="00A92EE3">
        <w:rPr>
          <w:rFonts w:eastAsia="Arial" w:cs="Arial"/>
        </w:rPr>
        <w:t xml:space="preserve"> </w:t>
      </w:r>
      <w:r>
        <w:rPr>
          <w:rFonts w:eastAsia="Arial" w:cs="Arial"/>
        </w:rPr>
        <w:t xml:space="preserve"> (Accessed: 25 September 2026).</w:t>
      </w:r>
    </w:p>
    <w:p w14:paraId="6009479A" w14:textId="77777777" w:rsidR="007339A6" w:rsidRDefault="00660318" w:rsidP="0087328F">
      <w:pPr>
        <w:ind w:left="360" w:hanging="360"/>
      </w:pPr>
      <w:r>
        <w:rPr>
          <w:rFonts w:eastAsia="Arial" w:cs="Arial"/>
        </w:rPr>
        <w:t xml:space="preserve">NIKE, Inc. (2025) </w:t>
      </w:r>
      <w:r>
        <w:rPr>
          <w:rFonts w:eastAsia="Arial" w:cs="Arial"/>
          <w:i/>
        </w:rPr>
        <w:t>The handshake that started it all</w:t>
      </w:r>
      <w:r>
        <w:rPr>
          <w:rFonts w:eastAsia="Arial" w:cs="Arial"/>
        </w:rPr>
        <w:t xml:space="preserve">, 17 December. Available at: </w:t>
      </w:r>
      <w:hyperlink r:id="rId19" w:history="1">
        <w:r w:rsidR="00A92EE3" w:rsidRPr="002F25CF">
          <w:rPr>
            <w:rStyle w:val="Hyperlink"/>
            <w:rFonts w:eastAsia="Arial" w:cs="Arial"/>
          </w:rPr>
          <w:t>https://about.nike.com/en/magazine/the-handshake-that-started-it-all</w:t>
        </w:r>
      </w:hyperlink>
      <w:r w:rsidR="00A92EE3">
        <w:rPr>
          <w:rFonts w:eastAsia="Arial" w:cs="Arial"/>
        </w:rPr>
        <w:t xml:space="preserve"> </w:t>
      </w:r>
      <w:r>
        <w:rPr>
          <w:rFonts w:eastAsia="Arial" w:cs="Arial"/>
        </w:rPr>
        <w:t xml:space="preserve"> (Accessed: 25 September 2026).</w:t>
      </w:r>
    </w:p>
    <w:p w14:paraId="5F0CD4F5" w14:textId="77777777" w:rsidR="007339A6" w:rsidRDefault="00660318" w:rsidP="0087328F">
      <w:pPr>
        <w:ind w:left="360" w:hanging="360"/>
      </w:pPr>
      <w:r>
        <w:rPr>
          <w:rFonts w:eastAsia="Arial" w:cs="Arial"/>
        </w:rPr>
        <w:t xml:space="preserve">NIKE, Inc. (2026) </w:t>
      </w:r>
      <w:r>
        <w:rPr>
          <w:rFonts w:eastAsia="Arial" w:cs="Arial"/>
          <w:i/>
        </w:rPr>
        <w:t>Form 10-K for the fiscal year ended 31 May 2026</w:t>
      </w:r>
      <w:r>
        <w:rPr>
          <w:rFonts w:eastAsia="Arial" w:cs="Arial"/>
        </w:rPr>
        <w:t xml:space="preserve">. U.S. Securities and Exchange Commission. Available at: </w:t>
      </w:r>
      <w:hyperlink r:id="rId20" w:history="1">
        <w:r w:rsidR="00A92EE3" w:rsidRPr="002F25CF">
          <w:rPr>
            <w:rStyle w:val="Hyperlink"/>
            <w:rFonts w:eastAsia="Arial" w:cs="Arial"/>
          </w:rPr>
          <w:t>https://www.sec.gov/Archives/edgar/data/320187/000032018726000088/nke-20260531.htm</w:t>
        </w:r>
      </w:hyperlink>
      <w:r w:rsidR="00A92EE3">
        <w:rPr>
          <w:rFonts w:eastAsia="Arial" w:cs="Arial"/>
        </w:rPr>
        <w:t xml:space="preserve"> </w:t>
      </w:r>
      <w:r>
        <w:rPr>
          <w:rFonts w:eastAsia="Arial" w:cs="Arial"/>
        </w:rPr>
        <w:t xml:space="preserve"> (Accessed: 25 September 2026).</w:t>
      </w:r>
    </w:p>
    <w:p w14:paraId="0A529812" w14:textId="77777777" w:rsidR="007339A6" w:rsidRDefault="00660318" w:rsidP="0087328F">
      <w:pPr>
        <w:ind w:left="360" w:hanging="360"/>
      </w:pPr>
      <w:r>
        <w:rPr>
          <w:rFonts w:eastAsia="Arial" w:cs="Arial"/>
        </w:rPr>
        <w:t xml:space="preserve">On (n.d.) </w:t>
      </w:r>
      <w:r>
        <w:rPr>
          <w:rFonts w:eastAsia="Arial" w:cs="Arial"/>
          <w:i/>
        </w:rPr>
        <w:t xml:space="preserve">Men's </w:t>
      </w:r>
      <w:proofErr w:type="spellStart"/>
      <w:r>
        <w:rPr>
          <w:rFonts w:eastAsia="Arial" w:cs="Arial"/>
          <w:i/>
        </w:rPr>
        <w:t>Cloudsurfer</w:t>
      </w:r>
      <w:proofErr w:type="spellEnd"/>
      <w:r>
        <w:rPr>
          <w:rFonts w:eastAsia="Arial" w:cs="Arial"/>
          <w:i/>
        </w:rPr>
        <w:t xml:space="preserve"> 2</w:t>
      </w:r>
      <w:r>
        <w:rPr>
          <w:rFonts w:eastAsia="Arial" w:cs="Arial"/>
        </w:rPr>
        <w:t xml:space="preserve">. Available at: </w:t>
      </w:r>
      <w:hyperlink r:id="rId21" w:history="1">
        <w:r w:rsidR="00A92EE3" w:rsidRPr="002F25CF">
          <w:rPr>
            <w:rStyle w:val="Hyperlink"/>
            <w:rFonts w:eastAsia="Arial" w:cs="Arial"/>
          </w:rPr>
          <w:t>https://www.on.com/en-us/products/cloudsurfer-2-3mf1012/mens/black-black-shoes-3MF10121043</w:t>
        </w:r>
      </w:hyperlink>
      <w:r w:rsidR="00A92EE3">
        <w:rPr>
          <w:rFonts w:eastAsia="Arial" w:cs="Arial"/>
        </w:rPr>
        <w:t xml:space="preserve"> </w:t>
      </w:r>
      <w:r>
        <w:rPr>
          <w:rFonts w:eastAsia="Arial" w:cs="Arial"/>
        </w:rPr>
        <w:t xml:space="preserve"> </w:t>
      </w:r>
      <w:r w:rsidR="00A92EE3">
        <w:rPr>
          <w:rFonts w:eastAsia="Arial" w:cs="Arial"/>
        </w:rPr>
        <w:t xml:space="preserve"> </w:t>
      </w:r>
      <w:r>
        <w:rPr>
          <w:rFonts w:eastAsia="Arial" w:cs="Arial"/>
        </w:rPr>
        <w:t>(Accessed: 25 September 2026).</w:t>
      </w:r>
    </w:p>
    <w:p w14:paraId="1DA08E95" w14:textId="77777777" w:rsidR="007339A6" w:rsidRDefault="00660318" w:rsidP="0087328F">
      <w:pPr>
        <w:ind w:left="360" w:hanging="360"/>
      </w:pPr>
      <w:r>
        <w:rPr>
          <w:rFonts w:eastAsia="Arial" w:cs="Arial"/>
        </w:rPr>
        <w:t xml:space="preserve">On Holding (2026a) </w:t>
      </w:r>
      <w:r>
        <w:rPr>
          <w:rFonts w:eastAsia="Arial" w:cs="Arial"/>
          <w:i/>
        </w:rPr>
        <w:t>On announces fourth quarter and full year results, and the filing of its annual report on Form 20-F for 2025</w:t>
      </w:r>
      <w:r>
        <w:rPr>
          <w:rFonts w:eastAsia="Arial" w:cs="Arial"/>
        </w:rPr>
        <w:t xml:space="preserve">, 3 March. Available at: </w:t>
      </w:r>
      <w:hyperlink r:id="rId22" w:history="1">
        <w:r w:rsidR="00A92EE3" w:rsidRPr="002F25CF">
          <w:rPr>
            <w:rStyle w:val="Hyperlink"/>
            <w:rFonts w:eastAsia="Arial" w:cs="Arial"/>
          </w:rPr>
          <w:t>https://investors.on-running.com/news/news-details/2026/On-Announces-Fourth-Quarter-and-Full-Year-Results-and-the-Filing-of-its-Annual-Report-on-Form-20-F-for-2025/default.aspx</w:t>
        </w:r>
      </w:hyperlink>
      <w:r w:rsidR="00A92EE3">
        <w:rPr>
          <w:rFonts w:eastAsia="Arial" w:cs="Arial"/>
        </w:rPr>
        <w:t xml:space="preserve"> </w:t>
      </w:r>
      <w:r>
        <w:rPr>
          <w:rFonts w:eastAsia="Arial" w:cs="Arial"/>
        </w:rPr>
        <w:t xml:space="preserve"> (Accessed: 25 September 2026).</w:t>
      </w:r>
    </w:p>
    <w:p w14:paraId="338AABC4" w14:textId="77777777" w:rsidR="007339A6" w:rsidRDefault="00660318" w:rsidP="0087328F">
      <w:pPr>
        <w:ind w:left="360" w:hanging="360"/>
      </w:pPr>
      <w:r>
        <w:rPr>
          <w:rFonts w:eastAsia="Arial" w:cs="Arial"/>
        </w:rPr>
        <w:t xml:space="preserve">On Holding (2026b) </w:t>
      </w:r>
      <w:r>
        <w:rPr>
          <w:rFonts w:eastAsia="Arial" w:cs="Arial"/>
          <w:i/>
        </w:rPr>
        <w:t>On reports results for the second quarter and six-month period ended June 30, 2026</w:t>
      </w:r>
      <w:r>
        <w:rPr>
          <w:rFonts w:eastAsia="Arial" w:cs="Arial"/>
        </w:rPr>
        <w:t xml:space="preserve">, 11 August. Available at: </w:t>
      </w:r>
      <w:hyperlink r:id="rId23" w:history="1">
        <w:r w:rsidR="00A92EE3" w:rsidRPr="002F25CF">
          <w:rPr>
            <w:rStyle w:val="Hyperlink"/>
            <w:rFonts w:eastAsia="Arial" w:cs="Arial"/>
          </w:rPr>
          <w:t>https://investors.on-running.com/news/news-details/2026/On-Reports-Results-for-the-Second-Quarter-and-Six-Month-Period-Ended-June-30-2026/default.aspx</w:t>
        </w:r>
      </w:hyperlink>
      <w:r w:rsidR="00A92EE3">
        <w:rPr>
          <w:rFonts w:eastAsia="Arial" w:cs="Arial"/>
        </w:rPr>
        <w:t xml:space="preserve"> </w:t>
      </w:r>
      <w:r>
        <w:rPr>
          <w:rFonts w:eastAsia="Arial" w:cs="Arial"/>
        </w:rPr>
        <w:t xml:space="preserve"> (Accessed: 25 September 2026).</w:t>
      </w:r>
    </w:p>
    <w:p w14:paraId="69EC5C89" w14:textId="77777777" w:rsidR="007339A6" w:rsidRDefault="00660318" w:rsidP="0087328F">
      <w:pPr>
        <w:ind w:left="360" w:hanging="360"/>
      </w:pPr>
      <w:r>
        <w:rPr>
          <w:rFonts w:eastAsia="Arial" w:cs="Arial"/>
        </w:rPr>
        <w:t xml:space="preserve">PwC (2025) </w:t>
      </w:r>
      <w:r>
        <w:rPr>
          <w:rFonts w:eastAsia="Arial" w:cs="Arial"/>
          <w:i/>
        </w:rPr>
        <w:t>Next in consumer markets 2025</w:t>
      </w:r>
      <w:r>
        <w:rPr>
          <w:rFonts w:eastAsia="Arial" w:cs="Arial"/>
        </w:rPr>
        <w:t xml:space="preserve">. Available at: </w:t>
      </w:r>
      <w:hyperlink r:id="rId24" w:history="1">
        <w:r w:rsidR="00A92EE3" w:rsidRPr="002F25CF">
          <w:rPr>
            <w:rStyle w:val="Hyperlink"/>
            <w:rFonts w:eastAsia="Arial" w:cs="Arial"/>
          </w:rPr>
          <w:t>https://www.pwc.com/us/en/industries/consumer-markets/library/consumer-markets-trends.html</w:t>
        </w:r>
      </w:hyperlink>
      <w:r w:rsidR="00A92EE3">
        <w:rPr>
          <w:rFonts w:eastAsia="Arial" w:cs="Arial"/>
        </w:rPr>
        <w:t xml:space="preserve"> </w:t>
      </w:r>
      <w:r>
        <w:rPr>
          <w:rFonts w:eastAsia="Arial" w:cs="Arial"/>
        </w:rPr>
        <w:t xml:space="preserve"> (Accessed: 25 September 2026).</w:t>
      </w:r>
    </w:p>
    <w:p w14:paraId="2BA6E7E9" w14:textId="77777777" w:rsidR="007339A6" w:rsidRDefault="00660318" w:rsidP="0087328F">
      <w:pPr>
        <w:ind w:left="360" w:hanging="360"/>
      </w:pPr>
      <w:r>
        <w:rPr>
          <w:rFonts w:eastAsia="Arial" w:cs="Arial"/>
        </w:rPr>
        <w:lastRenderedPageBreak/>
        <w:t xml:space="preserve">Quach, S., </w:t>
      </w:r>
      <w:proofErr w:type="spellStart"/>
      <w:r>
        <w:rPr>
          <w:rFonts w:eastAsia="Arial" w:cs="Arial"/>
        </w:rPr>
        <w:t>Barari</w:t>
      </w:r>
      <w:proofErr w:type="spellEnd"/>
      <w:r>
        <w:rPr>
          <w:rFonts w:eastAsia="Arial" w:cs="Arial"/>
        </w:rPr>
        <w:t xml:space="preserve">, M., Moudry, D.V. and Quach, K. (2022) 'Service integration in omnichannel retailing and its impact on customer experience', </w:t>
      </w:r>
      <w:r>
        <w:rPr>
          <w:rFonts w:eastAsia="Arial" w:cs="Arial"/>
          <w:i/>
        </w:rPr>
        <w:t>Journal of Retailing and Consumer Services</w:t>
      </w:r>
      <w:r>
        <w:rPr>
          <w:rFonts w:eastAsia="Arial" w:cs="Arial"/>
        </w:rPr>
        <w:t>, 65, 102267. https://doi.org/10.1016/j.jretconser.2020.102267.</w:t>
      </w:r>
    </w:p>
    <w:p w14:paraId="3D1B9DF3" w14:textId="77777777" w:rsidR="007339A6" w:rsidRDefault="00660318" w:rsidP="0087328F">
      <w:pPr>
        <w:ind w:left="360" w:hanging="360"/>
      </w:pPr>
      <w:r>
        <w:rPr>
          <w:rFonts w:eastAsia="Arial" w:cs="Arial"/>
        </w:rPr>
        <w:t xml:space="preserve">Rahman, S.M., Carlson, J., </w:t>
      </w:r>
      <w:proofErr w:type="spellStart"/>
      <w:r>
        <w:rPr>
          <w:rFonts w:eastAsia="Arial" w:cs="Arial"/>
        </w:rPr>
        <w:t>Gudergan</w:t>
      </w:r>
      <w:proofErr w:type="spellEnd"/>
      <w:r>
        <w:rPr>
          <w:rFonts w:eastAsia="Arial" w:cs="Arial"/>
        </w:rPr>
        <w:t xml:space="preserve">, S.P., </w:t>
      </w:r>
      <w:proofErr w:type="spellStart"/>
      <w:r>
        <w:rPr>
          <w:rFonts w:eastAsia="Arial" w:cs="Arial"/>
        </w:rPr>
        <w:t>Wetzels</w:t>
      </w:r>
      <w:proofErr w:type="spellEnd"/>
      <w:r>
        <w:rPr>
          <w:rFonts w:eastAsia="Arial" w:cs="Arial"/>
        </w:rPr>
        <w:t xml:space="preserve">, M. and Grewal, D. (2022) 'Perceived omnichannel customer experience (OCX): concept, measurement, and impact', </w:t>
      </w:r>
      <w:r>
        <w:rPr>
          <w:rFonts w:eastAsia="Arial" w:cs="Arial"/>
          <w:i/>
        </w:rPr>
        <w:t>Journal of Retailing</w:t>
      </w:r>
      <w:r>
        <w:rPr>
          <w:rFonts w:eastAsia="Arial" w:cs="Arial"/>
        </w:rPr>
        <w:t>, 98(4), pp. 611-632. https://doi.org/10.1016/j.jretai.2022.03.003.</w:t>
      </w:r>
    </w:p>
    <w:p w14:paraId="678757FB" w14:textId="77777777" w:rsidR="007339A6" w:rsidRDefault="00660318" w:rsidP="0087328F">
      <w:pPr>
        <w:ind w:left="360" w:hanging="360"/>
      </w:pPr>
      <w:r>
        <w:rPr>
          <w:rFonts w:eastAsia="Arial" w:cs="Arial"/>
        </w:rPr>
        <w:t xml:space="preserve">Salesforce (2025) </w:t>
      </w:r>
      <w:r>
        <w:rPr>
          <w:rFonts w:eastAsia="Arial" w:cs="Arial"/>
          <w:i/>
        </w:rPr>
        <w:t>The sixth edition connected shoppers report</w:t>
      </w:r>
      <w:r>
        <w:rPr>
          <w:rFonts w:eastAsia="Arial" w:cs="Arial"/>
        </w:rPr>
        <w:t xml:space="preserve">. Available at: </w:t>
      </w:r>
      <w:hyperlink r:id="rId25" w:history="1">
        <w:r w:rsidR="00A92EE3" w:rsidRPr="002F25CF">
          <w:rPr>
            <w:rStyle w:val="Hyperlink"/>
            <w:rFonts w:eastAsia="Arial" w:cs="Arial"/>
          </w:rPr>
          <w:t>https://www.salesforce.com/resources/research-reports/connected-shoppers-report</w:t>
        </w:r>
      </w:hyperlink>
      <w:r w:rsidR="00A92EE3">
        <w:rPr>
          <w:rFonts w:eastAsia="Arial" w:cs="Arial"/>
        </w:rPr>
        <w:t xml:space="preserve"> </w:t>
      </w:r>
      <w:r>
        <w:rPr>
          <w:rFonts w:eastAsia="Arial" w:cs="Arial"/>
        </w:rPr>
        <w:t xml:space="preserve"> </w:t>
      </w:r>
      <w:r w:rsidR="00A92EE3">
        <w:rPr>
          <w:rFonts w:eastAsia="Arial" w:cs="Arial"/>
        </w:rPr>
        <w:t xml:space="preserve"> </w:t>
      </w:r>
      <w:r>
        <w:rPr>
          <w:rFonts w:eastAsia="Arial" w:cs="Arial"/>
        </w:rPr>
        <w:t>(Accessed: 25 September 2026).</w:t>
      </w:r>
    </w:p>
    <w:p w14:paraId="4E4716D1" w14:textId="77777777" w:rsidR="007339A6" w:rsidRDefault="00660318" w:rsidP="0087328F">
      <w:pPr>
        <w:ind w:left="360" w:hanging="360"/>
      </w:pPr>
      <w:r>
        <w:rPr>
          <w:rFonts w:eastAsia="Arial" w:cs="Arial"/>
        </w:rPr>
        <w:t xml:space="preserve">Saunders, M.N.K., Lewis, P. and Thornhill, A. (2023) </w:t>
      </w:r>
      <w:r>
        <w:rPr>
          <w:rFonts w:eastAsia="Arial" w:cs="Arial"/>
          <w:i/>
        </w:rPr>
        <w:t>Research methods for business students</w:t>
      </w:r>
      <w:r>
        <w:rPr>
          <w:rFonts w:eastAsia="Arial" w:cs="Arial"/>
        </w:rPr>
        <w:t xml:space="preserve">. 9th </w:t>
      </w:r>
      <w:proofErr w:type="spellStart"/>
      <w:r>
        <w:rPr>
          <w:rFonts w:eastAsia="Arial" w:cs="Arial"/>
        </w:rPr>
        <w:t>edn</w:t>
      </w:r>
      <w:proofErr w:type="spellEnd"/>
      <w:r>
        <w:rPr>
          <w:rFonts w:eastAsia="Arial" w:cs="Arial"/>
        </w:rPr>
        <w:t>. Harlow: Pearson.</w:t>
      </w:r>
    </w:p>
    <w:p w14:paraId="18433994" w14:textId="77777777" w:rsidR="007339A6" w:rsidRDefault="00660318" w:rsidP="0087328F">
      <w:pPr>
        <w:ind w:left="360" w:hanging="360"/>
      </w:pPr>
      <w:proofErr w:type="spellStart"/>
      <w:r>
        <w:rPr>
          <w:rFonts w:eastAsia="Arial" w:cs="Arial"/>
        </w:rPr>
        <w:t>Tyrväinen</w:t>
      </w:r>
      <w:proofErr w:type="spellEnd"/>
      <w:r>
        <w:rPr>
          <w:rFonts w:eastAsia="Arial" w:cs="Arial"/>
        </w:rPr>
        <w:t xml:space="preserve">, O., </w:t>
      </w:r>
      <w:proofErr w:type="spellStart"/>
      <w:r>
        <w:rPr>
          <w:rFonts w:eastAsia="Arial" w:cs="Arial"/>
        </w:rPr>
        <w:t>Karjaluoto</w:t>
      </w:r>
      <w:proofErr w:type="spellEnd"/>
      <w:r>
        <w:rPr>
          <w:rFonts w:eastAsia="Arial" w:cs="Arial"/>
        </w:rPr>
        <w:t xml:space="preserve">, H. and </w:t>
      </w:r>
      <w:proofErr w:type="spellStart"/>
      <w:r>
        <w:rPr>
          <w:rFonts w:eastAsia="Arial" w:cs="Arial"/>
        </w:rPr>
        <w:t>Saarijärvi</w:t>
      </w:r>
      <w:proofErr w:type="spellEnd"/>
      <w:r>
        <w:rPr>
          <w:rFonts w:eastAsia="Arial" w:cs="Arial"/>
        </w:rPr>
        <w:t xml:space="preserve">, H. (2020) 'Personalization and hedonic motivation in creating customer experiences and loyalty in omnichannel retail', </w:t>
      </w:r>
      <w:r>
        <w:rPr>
          <w:rFonts w:eastAsia="Arial" w:cs="Arial"/>
          <w:i/>
        </w:rPr>
        <w:t>Journal of Retailing and Consumer Services</w:t>
      </w:r>
      <w:r>
        <w:rPr>
          <w:rFonts w:eastAsia="Arial" w:cs="Arial"/>
        </w:rPr>
        <w:t>, 57, 102233. https://doi.org/10.1016/j.jretconser.2020.102233.</w:t>
      </w:r>
    </w:p>
    <w:p w14:paraId="66049A96" w14:textId="77777777" w:rsidR="007339A6" w:rsidRDefault="00660318" w:rsidP="0087328F">
      <w:pPr>
        <w:ind w:left="360" w:hanging="360"/>
      </w:pPr>
      <w:r>
        <w:rPr>
          <w:rFonts w:eastAsia="Arial" w:cs="Arial"/>
        </w:rPr>
        <w:t xml:space="preserve">U.S. Census Bureau (2026) </w:t>
      </w:r>
      <w:r>
        <w:rPr>
          <w:rFonts w:eastAsia="Arial" w:cs="Arial"/>
          <w:i/>
        </w:rPr>
        <w:t>Quarterly retail e-commerce sales: second quarter 2026</w:t>
      </w:r>
      <w:r>
        <w:rPr>
          <w:rFonts w:eastAsia="Arial" w:cs="Arial"/>
        </w:rPr>
        <w:t xml:space="preserve">, 18 August. Available at: </w:t>
      </w:r>
      <w:hyperlink r:id="rId26" w:history="1">
        <w:r w:rsidR="00AD3A3B" w:rsidRPr="002F25CF">
          <w:rPr>
            <w:rStyle w:val="Hyperlink"/>
            <w:rFonts w:eastAsia="Arial" w:cs="Arial"/>
          </w:rPr>
          <w:t>https://www.census.gov/retail/ecommerce.html</w:t>
        </w:r>
      </w:hyperlink>
      <w:r w:rsidR="00AD3A3B">
        <w:rPr>
          <w:rFonts w:eastAsia="Arial" w:cs="Arial"/>
        </w:rPr>
        <w:t xml:space="preserve"> </w:t>
      </w:r>
      <w:r>
        <w:rPr>
          <w:rFonts w:eastAsia="Arial" w:cs="Arial"/>
        </w:rPr>
        <w:t xml:space="preserve"> (Accessed: 25 September 2026).</w:t>
      </w:r>
    </w:p>
    <w:p w14:paraId="59AB52B1" w14:textId="77777777" w:rsidR="007339A6" w:rsidRDefault="00660318" w:rsidP="0087328F">
      <w:pPr>
        <w:ind w:left="360" w:hanging="360"/>
      </w:pPr>
      <w:r>
        <w:rPr>
          <w:rFonts w:eastAsia="Arial" w:cs="Arial"/>
        </w:rPr>
        <w:t xml:space="preserve">Yin, C.-C., Chiu, H.-C., Hsieh, Y.-C. and Kuo, C.-Y. (2022) 'How to retain customers in omnichannel retailing: considering the roles of brand experience and purchase </w:t>
      </w:r>
      <w:proofErr w:type="spellStart"/>
      <w:r>
        <w:rPr>
          <w:rFonts w:eastAsia="Arial" w:cs="Arial"/>
        </w:rPr>
        <w:t>behavior</w:t>
      </w:r>
      <w:proofErr w:type="spellEnd"/>
      <w:r>
        <w:rPr>
          <w:rFonts w:eastAsia="Arial" w:cs="Arial"/>
        </w:rPr>
        <w:t xml:space="preserve">', </w:t>
      </w:r>
      <w:r>
        <w:rPr>
          <w:rFonts w:eastAsia="Arial" w:cs="Arial"/>
          <w:i/>
        </w:rPr>
        <w:t>Journal of Retailing and Consumer Services</w:t>
      </w:r>
      <w:r>
        <w:rPr>
          <w:rFonts w:eastAsia="Arial" w:cs="Arial"/>
        </w:rPr>
        <w:t>, 69, 103070. https://doi.org/10.1016/j.jretconser.2022.103070.</w:t>
      </w:r>
    </w:p>
    <w:sectPr w:rsidR="007339A6" w:rsidSect="00034616">
      <w:headerReference w:type="default" r:id="rId27"/>
      <w:footerReference w:type="default" r:id="rId28"/>
      <w:pgSz w:w="11906" w:h="16838"/>
      <w:pgMar w:top="1247" w:right="1417" w:bottom="1134"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863F6" w14:textId="77777777" w:rsidR="00CC3B2B" w:rsidRDefault="00CC3B2B">
      <w:pPr>
        <w:spacing w:after="0" w:line="240" w:lineRule="auto"/>
      </w:pPr>
      <w:r>
        <w:separator/>
      </w:r>
    </w:p>
  </w:endnote>
  <w:endnote w:type="continuationSeparator" w:id="0">
    <w:p w14:paraId="707D775F" w14:textId="77777777" w:rsidR="00CC3B2B" w:rsidRDefault="00CC3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B93DB" w14:textId="77777777" w:rsidR="007339A6" w:rsidRDefault="00660318">
    <w:pPr>
      <w:pStyle w:val="Footer"/>
      <w:jc w:val="center"/>
    </w:pPr>
    <w:r>
      <w:rPr>
        <w:sz w:val="20"/>
      </w:rPr>
      <w:fldChar w:fldCharType="begin"/>
    </w:r>
    <w:r>
      <w:rPr>
        <w:sz w:val="20"/>
      </w:rPr>
      <w:instrText xml:space="preserve"> PAGE </w:instrText>
    </w:r>
    <w:r>
      <w:rPr>
        <w:sz w:val="20"/>
      </w:rPr>
      <w:fldChar w:fldCharType="separate"/>
    </w:r>
    <w:r w:rsidR="00A92EE3">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06906" w14:textId="77777777" w:rsidR="00CC3B2B" w:rsidRDefault="00CC3B2B">
      <w:pPr>
        <w:spacing w:after="0" w:line="240" w:lineRule="auto"/>
      </w:pPr>
      <w:r>
        <w:separator/>
      </w:r>
    </w:p>
  </w:footnote>
  <w:footnote w:type="continuationSeparator" w:id="0">
    <w:p w14:paraId="6CC8BB21" w14:textId="77777777" w:rsidR="00CC3B2B" w:rsidRDefault="00CC3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BB4B5" w14:textId="77777777" w:rsidR="007339A6" w:rsidRDefault="007339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90614941">
    <w:abstractNumId w:val="8"/>
  </w:num>
  <w:num w:numId="2" w16cid:durableId="1032027603">
    <w:abstractNumId w:val="6"/>
  </w:num>
  <w:num w:numId="3" w16cid:durableId="240917100">
    <w:abstractNumId w:val="5"/>
  </w:num>
  <w:num w:numId="4" w16cid:durableId="1954245884">
    <w:abstractNumId w:val="4"/>
  </w:num>
  <w:num w:numId="5" w16cid:durableId="1922447670">
    <w:abstractNumId w:val="7"/>
  </w:num>
  <w:num w:numId="6" w16cid:durableId="1613396222">
    <w:abstractNumId w:val="3"/>
  </w:num>
  <w:num w:numId="7" w16cid:durableId="1477604015">
    <w:abstractNumId w:val="2"/>
  </w:num>
  <w:num w:numId="8" w16cid:durableId="609094862">
    <w:abstractNumId w:val="1"/>
  </w:num>
  <w:num w:numId="9" w16cid:durableId="1202671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25E2"/>
    <w:rsid w:val="0013509D"/>
    <w:rsid w:val="0015074B"/>
    <w:rsid w:val="0029639D"/>
    <w:rsid w:val="00326F90"/>
    <w:rsid w:val="00570B39"/>
    <w:rsid w:val="00660318"/>
    <w:rsid w:val="007339A6"/>
    <w:rsid w:val="0087328F"/>
    <w:rsid w:val="009B3DCA"/>
    <w:rsid w:val="009E7838"/>
    <w:rsid w:val="00A92EE3"/>
    <w:rsid w:val="00AA1D8D"/>
    <w:rsid w:val="00AD3A3B"/>
    <w:rsid w:val="00B47730"/>
    <w:rsid w:val="00CB0664"/>
    <w:rsid w:val="00CC3B2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D598A3"/>
  <w14:defaultImageDpi w14:val="300"/>
  <w15:docId w15:val="{84706B54-CD1D-41D7-82D6-AF6F441E4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hAnsi="Arial"/>
      <w:color w:val="000000"/>
      <w:sz w:val="24"/>
      <w:lang w:val="en-GB"/>
    </w:rPr>
  </w:style>
  <w:style w:type="paragraph" w:styleId="Heading1">
    <w:name w:val="heading 1"/>
    <w:basedOn w:val="Normal"/>
    <w:next w:val="Normal"/>
    <w:link w:val="Heading1Char"/>
    <w:autoRedefine/>
    <w:uiPriority w:val="9"/>
    <w:qFormat/>
    <w:rsid w:val="0087328F"/>
    <w:pPr>
      <w:keepNext/>
      <w:keepLines/>
      <w:spacing w:before="160"/>
      <w:outlineLvl w:val="0"/>
    </w:pPr>
    <w:rPr>
      <w:rFonts w:eastAsia="Arial" w:cstheme="majorBidi"/>
      <w:b/>
      <w:bCs/>
      <w:szCs w:val="28"/>
    </w:rPr>
  </w:style>
  <w:style w:type="paragraph" w:styleId="Heading2">
    <w:name w:val="heading 2"/>
    <w:basedOn w:val="Normal"/>
    <w:next w:val="Normal"/>
    <w:link w:val="Heading2Char"/>
    <w:autoRedefine/>
    <w:uiPriority w:val="9"/>
    <w:unhideWhenUsed/>
    <w:qFormat/>
    <w:rsid w:val="0087328F"/>
    <w:pPr>
      <w:keepNext/>
      <w:keepLines/>
      <w:spacing w:before="160"/>
      <w:outlineLvl w:val="1"/>
    </w:pPr>
    <w:rPr>
      <w:rFonts w:eastAsia="Arial"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7328F"/>
    <w:rPr>
      <w:rFonts w:ascii="Arial" w:eastAsia="Arial" w:hAnsi="Arial" w:cstheme="majorBidi"/>
      <w:b/>
      <w:bCs/>
      <w:color w:val="000000"/>
      <w:sz w:val="24"/>
      <w:szCs w:val="28"/>
    </w:rPr>
  </w:style>
  <w:style w:type="character" w:customStyle="1" w:styleId="Heading2Char">
    <w:name w:val="Heading 2 Char"/>
    <w:basedOn w:val="DefaultParagraphFont"/>
    <w:link w:val="Heading2"/>
    <w:uiPriority w:val="9"/>
    <w:rsid w:val="0087328F"/>
    <w:rPr>
      <w:rFonts w:ascii="Arial" w:eastAsia="Arial" w:hAnsi="Arial" w:cstheme="majorBidi"/>
      <w:b/>
      <w:bCs/>
      <w:color w:val="000000"/>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160"/>
      <w:contextualSpacing/>
    </w:pPr>
    <w:rPr>
      <w:rFonts w:asciiTheme="majorHAnsi" w:eastAsiaTheme="majorEastAsia" w:hAnsiTheme="majorHAnsi" w:cstheme="majorBidi"/>
      <w:b/>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92EE3"/>
    <w:rPr>
      <w:color w:val="0000FF" w:themeColor="hyperlink"/>
      <w:u w:val="single"/>
    </w:rPr>
  </w:style>
  <w:style w:type="character" w:styleId="UnresolvedMention">
    <w:name w:val="Unresolved Mention"/>
    <w:basedOn w:val="DefaultParagraphFont"/>
    <w:uiPriority w:val="99"/>
    <w:semiHidden/>
    <w:unhideWhenUsed/>
    <w:rsid w:val="00A92EE3"/>
    <w:rPr>
      <w:color w:val="605E5C"/>
      <w:shd w:val="clear" w:color="auto" w:fill="E1DFDD"/>
    </w:rPr>
  </w:style>
  <w:style w:type="character" w:styleId="FollowedHyperlink">
    <w:name w:val="FollowedHyperlink"/>
    <w:basedOn w:val="DefaultParagraphFont"/>
    <w:uiPriority w:val="99"/>
    <w:semiHidden/>
    <w:unhideWhenUsed/>
    <w:rsid w:val="00A92EE3"/>
    <w:rPr>
      <w:color w:val="800080" w:themeColor="followedHyperlink"/>
      <w:u w:val="single"/>
    </w:rPr>
  </w:style>
  <w:style w:type="paragraph" w:styleId="TOC1">
    <w:name w:val="toc 1"/>
    <w:basedOn w:val="Normal"/>
    <w:next w:val="Normal"/>
    <w:autoRedefine/>
    <w:uiPriority w:val="39"/>
    <w:unhideWhenUsed/>
    <w:rsid w:val="0087328F"/>
    <w:pPr>
      <w:spacing w:after="100"/>
    </w:pPr>
  </w:style>
  <w:style w:type="paragraph" w:styleId="TOC2">
    <w:name w:val="toc 2"/>
    <w:basedOn w:val="Normal"/>
    <w:next w:val="Normal"/>
    <w:autoRedefine/>
    <w:uiPriority w:val="39"/>
    <w:unhideWhenUsed/>
    <w:rsid w:val="0087328F"/>
    <w:pPr>
      <w:spacing w:after="100"/>
      <w:ind w:left="240"/>
    </w:pPr>
  </w:style>
  <w:style w:type="paragraph" w:styleId="TableofFigures">
    <w:name w:val="table of figures"/>
    <w:basedOn w:val="Normal"/>
    <w:next w:val="Normal"/>
    <w:uiPriority w:val="99"/>
    <w:unhideWhenUsed/>
    <w:rsid w:val="008732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rt.adidas-group.com/2025/en/group-management-report-financial-review/business-performance/income-statement.html" TargetMode="External"/><Relationship Id="rId18" Type="http://schemas.openxmlformats.org/officeDocument/2006/relationships/hyperlink" Target="https://about.nike.com/en/mission/" TargetMode="External"/><Relationship Id="rId26" Type="http://schemas.openxmlformats.org/officeDocument/2006/relationships/hyperlink" Target="https://www.census.gov/retail/ecommerce.html" TargetMode="External"/><Relationship Id="rId3" Type="http://schemas.openxmlformats.org/officeDocument/2006/relationships/styles" Target="styles.xml"/><Relationship Id="rId21" Type="http://schemas.openxmlformats.org/officeDocument/2006/relationships/hyperlink" Target="https://www.on.com/en-us/products/cloudsurfer-2-3mf1012/mens/black-black-shoes-3MF10121043" TargetMode="External"/><Relationship Id="rId7" Type="http://schemas.openxmlformats.org/officeDocument/2006/relationships/endnotes" Target="endnotes.xml"/><Relationship Id="rId12" Type="http://schemas.openxmlformats.org/officeDocument/2006/relationships/hyperlink" Target="https://report.adidas-group.com/2025/en/group-management-report-financial-review/business-performance-by-segment/north-america.html" TargetMode="External"/><Relationship Id="rId17" Type="http://schemas.openxmlformats.org/officeDocument/2006/relationships/hyperlink" Target="https://www.nike.com/t/pegasus-42-mens-road-running-shoes-S1bYkOza" TargetMode="External"/><Relationship Id="rId25" Type="http://schemas.openxmlformats.org/officeDocument/2006/relationships/hyperlink" Target="https://www.salesforce.com/resources/research-reports/connected-shoppers-report" TargetMode="External"/><Relationship Id="rId2" Type="http://schemas.openxmlformats.org/officeDocument/2006/relationships/numbering" Target="numbering.xml"/><Relationship Id="rId16" Type="http://schemas.openxmlformats.org/officeDocument/2006/relationships/hyperlink" Target="https://www.mckinsey.com/industries/retail/our-insights/sporting-goods-industry-trends" TargetMode="External"/><Relationship Id="rId20" Type="http://schemas.openxmlformats.org/officeDocument/2006/relationships/hyperlink" Target="https://www.sec.gov/Archives/edgar/data/320187/000032018726000088/nke-20260531.ht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idas.com/us/supernova-rise-2-running-shoes/IG2176.html" TargetMode="External"/><Relationship Id="rId24" Type="http://schemas.openxmlformats.org/officeDocument/2006/relationships/hyperlink" Target="https://www.pwc.com/us/en/industries/consumer-markets/library/consumer-markets-trends.html" TargetMode="External"/><Relationship Id="rId5" Type="http://schemas.openxmlformats.org/officeDocument/2006/relationships/webSettings" Target="webSettings.xml"/><Relationship Id="rId15" Type="http://schemas.openxmlformats.org/officeDocument/2006/relationships/hyperlink" Target="https://www.ftc.gov/business-guidance/resources/start-security-guide-business" TargetMode="External"/><Relationship Id="rId23" Type="http://schemas.openxmlformats.org/officeDocument/2006/relationships/hyperlink" Target="https://investors.on-running.com/news/news-details/2026/On-Reports-Results-for-the-Second-Quarter-and-Six-Month-Period-Ended-June-30-2026/default.aspx"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about.nike.com/en/magazine/the-handshake-that-started-it-a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us/en/insights/industry/retail-distribution/retail-distribution-industry-outlook-2025.html" TargetMode="External"/><Relationship Id="rId22" Type="http://schemas.openxmlformats.org/officeDocument/2006/relationships/hyperlink" Target="https://investors.on-running.com/news/news-details/2026/On-Announces-Fourth-Quarter-and-Full-Year-Results-and-the-Filing-of-its-Annual-Report-on-Form-20-F-for-2025/default.aspx"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087362-F39C-4F4E-AC29-DE727A2CB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4202</Words>
  <Characters>23958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28104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Neel Manishbhai Korat (2523741)</cp:lastModifiedBy>
  <cp:revision>3</cp:revision>
  <dcterms:created xsi:type="dcterms:W3CDTF">2026-09-25T14:59:00Z</dcterms:created>
  <dcterms:modified xsi:type="dcterms:W3CDTF">2026-10-08T18:11:00Z</dcterms:modified>
  <cp:category/>
</cp:coreProperties>
</file>