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366F" w:rsidRPr="00AE3560" w:rsidRDefault="0077366F" w:rsidP="003326AF">
      <w:pPr>
        <w:pStyle w:val="BodyText"/>
        <w:jc w:val="center"/>
        <w:rPr>
          <w:b/>
          <w:bCs/>
          <w:sz w:val="58"/>
          <w:szCs w:val="58"/>
        </w:rPr>
      </w:pPr>
      <w:r>
        <w:rPr>
          <w:noProof/>
          <w:lang w:val="en-US" w:eastAsia="en-US" w:bidi="ar-SA"/>
        </w:rPr>
        <w:drawing>
          <wp:inline distT="0" distB="0" distL="0" distR="0">
            <wp:extent cx="4272915" cy="1328420"/>
            <wp:effectExtent l="0" t="0" r="0" b="0"/>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r="21430"/>
                    <a:stretch>
                      <a:fillRect/>
                    </a:stretch>
                  </pic:blipFill>
                  <pic:spPr bwMode="auto">
                    <a:xfrm>
                      <a:off x="0" y="0"/>
                      <a:ext cx="4272915" cy="132842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7366F" w:rsidRPr="00AE3560" w:rsidRDefault="0077366F" w:rsidP="00B7160A">
      <w:pPr>
        <w:spacing w:line="240" w:lineRule="auto"/>
        <w:jc w:val="center"/>
        <w:rPr>
          <w:b/>
          <w:bCs/>
          <w:sz w:val="58"/>
          <w:szCs w:val="58"/>
        </w:rPr>
      </w:pPr>
    </w:p>
    <w:p w:rsidR="00C93C3A" w:rsidRPr="00612A9A" w:rsidRDefault="003F7AC6" w:rsidP="00AE3560">
      <w:pPr>
        <w:jc w:val="center"/>
        <w:rPr>
          <w:b/>
          <w:bCs/>
          <w:sz w:val="32"/>
          <w:szCs w:val="32"/>
        </w:rPr>
      </w:pPr>
      <w:r w:rsidRPr="00612A9A">
        <w:rPr>
          <w:b/>
          <w:bCs/>
          <w:sz w:val="32"/>
          <w:szCs w:val="32"/>
        </w:rPr>
        <w:t>Sefydliad Dysgu Canol Dinas</w:t>
      </w:r>
      <w:r w:rsidR="00D65A4A" w:rsidRPr="00612A9A">
        <w:rPr>
          <w:b/>
          <w:bCs/>
          <w:sz w:val="32"/>
          <w:szCs w:val="32"/>
        </w:rPr>
        <w:t xml:space="preserve"> /</w:t>
      </w:r>
    </w:p>
    <w:p w:rsidR="00C93C3A" w:rsidRPr="00612A9A" w:rsidRDefault="00D65A4A" w:rsidP="00AE3560">
      <w:pPr>
        <w:jc w:val="center"/>
        <w:rPr>
          <w:b/>
          <w:bCs/>
          <w:sz w:val="32"/>
          <w:szCs w:val="32"/>
        </w:rPr>
      </w:pPr>
      <w:r w:rsidRPr="00612A9A">
        <w:rPr>
          <w:b/>
          <w:bCs/>
          <w:sz w:val="32"/>
          <w:szCs w:val="32"/>
        </w:rPr>
        <w:t xml:space="preserve">Institute of </w:t>
      </w:r>
      <w:r w:rsidR="00DE0F98" w:rsidRPr="00612A9A">
        <w:rPr>
          <w:b/>
          <w:bCs/>
          <w:sz w:val="32"/>
          <w:szCs w:val="32"/>
        </w:rPr>
        <w:t>Inner City Learning</w:t>
      </w:r>
    </w:p>
    <w:p w:rsidR="00092170" w:rsidRPr="00612A9A" w:rsidRDefault="00092170" w:rsidP="00AE3560">
      <w:pPr>
        <w:jc w:val="center"/>
        <w:rPr>
          <w:b/>
          <w:bCs/>
          <w:sz w:val="32"/>
          <w:szCs w:val="32"/>
        </w:rPr>
      </w:pPr>
    </w:p>
    <w:p w:rsidR="0065314E" w:rsidRDefault="00DA7AF0" w:rsidP="003326AF">
      <w:pPr>
        <w:jc w:val="center"/>
        <w:rPr>
          <w:b/>
          <w:bCs/>
          <w:sz w:val="32"/>
          <w:szCs w:val="32"/>
        </w:rPr>
      </w:pPr>
      <w:r w:rsidRPr="00612A9A">
        <w:rPr>
          <w:b/>
          <w:bCs/>
          <w:sz w:val="32"/>
          <w:szCs w:val="32"/>
        </w:rPr>
        <w:t>M</w:t>
      </w:r>
      <w:r w:rsidR="00D65A4A" w:rsidRPr="00612A9A">
        <w:rPr>
          <w:b/>
          <w:bCs/>
          <w:sz w:val="32"/>
          <w:szCs w:val="32"/>
        </w:rPr>
        <w:t xml:space="preserve">Sc </w:t>
      </w:r>
      <w:r w:rsidRPr="00612A9A">
        <w:rPr>
          <w:b/>
          <w:bCs/>
          <w:sz w:val="32"/>
          <w:szCs w:val="32"/>
        </w:rPr>
        <w:t xml:space="preserve">Public </w:t>
      </w:r>
      <w:r w:rsidR="00D65A4A" w:rsidRPr="00612A9A">
        <w:rPr>
          <w:b/>
          <w:bCs/>
          <w:sz w:val="32"/>
          <w:szCs w:val="32"/>
        </w:rPr>
        <w:t xml:space="preserve">Health </w:t>
      </w:r>
      <w:r w:rsidR="00A07A8B" w:rsidRPr="00612A9A">
        <w:rPr>
          <w:b/>
          <w:bCs/>
          <w:sz w:val="32"/>
          <w:szCs w:val="32"/>
        </w:rPr>
        <w:t xml:space="preserve">and </w:t>
      </w:r>
      <w:r w:rsidR="00AA1F5A" w:rsidRPr="00612A9A">
        <w:rPr>
          <w:b/>
          <w:bCs/>
          <w:sz w:val="32"/>
          <w:szCs w:val="32"/>
        </w:rPr>
        <w:br/>
      </w:r>
      <w:r w:rsidR="00A07A8B" w:rsidRPr="00612A9A">
        <w:rPr>
          <w:b/>
          <w:bCs/>
          <w:sz w:val="32"/>
          <w:szCs w:val="32"/>
        </w:rPr>
        <w:t>Social Care</w:t>
      </w:r>
      <w:r w:rsidR="008C2FC6">
        <w:rPr>
          <w:b/>
          <w:bCs/>
          <w:sz w:val="32"/>
          <w:szCs w:val="32"/>
        </w:rPr>
        <w:t xml:space="preserve"> </w:t>
      </w:r>
      <w:r w:rsidR="00195132" w:rsidRPr="00612A9A">
        <w:rPr>
          <w:b/>
          <w:bCs/>
          <w:sz w:val="32"/>
          <w:szCs w:val="32"/>
        </w:rPr>
        <w:t xml:space="preserve">in </w:t>
      </w:r>
      <w:r w:rsidRPr="00612A9A">
        <w:rPr>
          <w:b/>
          <w:bCs/>
          <w:sz w:val="32"/>
          <w:szCs w:val="32"/>
        </w:rPr>
        <w:t>Practice</w:t>
      </w:r>
    </w:p>
    <w:p w:rsidR="003326AF" w:rsidRDefault="003326AF" w:rsidP="003326AF">
      <w:pPr>
        <w:jc w:val="center"/>
        <w:rPr>
          <w:b/>
          <w:bCs/>
          <w:sz w:val="32"/>
          <w:szCs w:val="32"/>
        </w:rPr>
      </w:pPr>
    </w:p>
    <w:p w:rsidR="00860CB2" w:rsidRPr="00612A9A" w:rsidRDefault="00C60E5F" w:rsidP="00AE3560">
      <w:pPr>
        <w:jc w:val="center"/>
        <w:rPr>
          <w:b/>
          <w:bCs/>
          <w:sz w:val="32"/>
          <w:szCs w:val="32"/>
        </w:rPr>
      </w:pPr>
      <w:bookmarkStart w:id="0" w:name="_Hlk131937255"/>
      <w:r w:rsidRPr="00612A9A">
        <w:rPr>
          <w:b/>
          <w:bCs/>
          <w:sz w:val="32"/>
          <w:szCs w:val="32"/>
        </w:rPr>
        <w:t>THE ROLE OF DIGITAL HEALTH PROMOTION IN TYPE 2 DIABETES PREVENTION AND MANAGEMENT AMONG ADULTS IN THE GLOBAL PUBLIC HEALTH SYSTEM</w:t>
      </w:r>
    </w:p>
    <w:p w:rsidR="00410B1C" w:rsidRPr="00AE3560" w:rsidRDefault="00410B1C" w:rsidP="00AE3560">
      <w:pPr>
        <w:rPr>
          <w:b/>
          <w:bCs/>
          <w:sz w:val="56"/>
          <w:szCs w:val="56"/>
        </w:rPr>
      </w:pPr>
    </w:p>
    <w:p w:rsidR="00732B5A" w:rsidRPr="00612A9A" w:rsidRDefault="00860CB2" w:rsidP="00AE3560">
      <w:pPr>
        <w:jc w:val="center"/>
        <w:rPr>
          <w:b/>
          <w:bCs/>
          <w:sz w:val="32"/>
          <w:szCs w:val="32"/>
        </w:rPr>
      </w:pPr>
      <w:r w:rsidRPr="00612A9A">
        <w:rPr>
          <w:b/>
          <w:bCs/>
          <w:sz w:val="32"/>
          <w:szCs w:val="32"/>
        </w:rPr>
        <w:t>Full Name</w:t>
      </w:r>
      <w:r w:rsidR="003326AF">
        <w:rPr>
          <w:b/>
          <w:bCs/>
          <w:sz w:val="32"/>
          <w:szCs w:val="32"/>
        </w:rPr>
        <w:t xml:space="preserve">: </w:t>
      </w:r>
      <w:r w:rsidR="003F5596" w:rsidRPr="003F5596">
        <w:rPr>
          <w:b/>
          <w:bCs/>
          <w:sz w:val="32"/>
          <w:szCs w:val="32"/>
        </w:rPr>
        <w:t>Rucha Vaghela</w:t>
      </w:r>
    </w:p>
    <w:p w:rsidR="00732B5A" w:rsidRPr="00612A9A" w:rsidRDefault="00732B5A" w:rsidP="00AE3560">
      <w:pPr>
        <w:jc w:val="center"/>
        <w:rPr>
          <w:b/>
          <w:bCs/>
          <w:sz w:val="32"/>
          <w:szCs w:val="32"/>
        </w:rPr>
      </w:pPr>
    </w:p>
    <w:p w:rsidR="00860CB2" w:rsidRPr="00612A9A" w:rsidRDefault="00860CB2" w:rsidP="00AE3560">
      <w:pPr>
        <w:jc w:val="center"/>
        <w:rPr>
          <w:b/>
          <w:bCs/>
          <w:sz w:val="32"/>
          <w:szCs w:val="32"/>
        </w:rPr>
      </w:pPr>
      <w:r w:rsidRPr="00612A9A">
        <w:rPr>
          <w:b/>
          <w:bCs/>
          <w:sz w:val="32"/>
          <w:szCs w:val="32"/>
        </w:rPr>
        <w:t>Student Number</w:t>
      </w:r>
      <w:r w:rsidR="009A5C47">
        <w:rPr>
          <w:b/>
          <w:bCs/>
          <w:sz w:val="32"/>
          <w:szCs w:val="32"/>
        </w:rPr>
        <w:t xml:space="preserve">: </w:t>
      </w:r>
      <w:r w:rsidR="003F5596" w:rsidRPr="003F5596">
        <w:rPr>
          <w:b/>
          <w:bCs/>
          <w:sz w:val="32"/>
          <w:szCs w:val="32"/>
        </w:rPr>
        <w:t>2437863</w:t>
      </w:r>
    </w:p>
    <w:p w:rsidR="00860CB2" w:rsidRPr="00612A9A" w:rsidRDefault="00860CB2" w:rsidP="00AE3560">
      <w:pPr>
        <w:rPr>
          <w:b/>
          <w:bCs/>
          <w:sz w:val="32"/>
          <w:szCs w:val="32"/>
        </w:rPr>
      </w:pPr>
    </w:p>
    <w:p w:rsidR="00860CB2" w:rsidRPr="00612A9A" w:rsidRDefault="00A670C5" w:rsidP="00AE3560">
      <w:pPr>
        <w:jc w:val="center"/>
        <w:rPr>
          <w:b/>
          <w:bCs/>
          <w:sz w:val="32"/>
          <w:szCs w:val="32"/>
        </w:rPr>
      </w:pPr>
      <w:r w:rsidRPr="00612A9A">
        <w:rPr>
          <w:b/>
          <w:bCs/>
          <w:sz w:val="32"/>
          <w:szCs w:val="32"/>
        </w:rPr>
        <w:t>Supervisor Nam</w:t>
      </w:r>
      <w:r w:rsidR="009A5C47">
        <w:rPr>
          <w:b/>
          <w:bCs/>
          <w:sz w:val="32"/>
          <w:szCs w:val="32"/>
        </w:rPr>
        <w:t xml:space="preserve">e: </w:t>
      </w:r>
      <w:r w:rsidR="003F5596" w:rsidRPr="003F5596">
        <w:rPr>
          <w:b/>
          <w:bCs/>
          <w:sz w:val="32"/>
          <w:szCs w:val="32"/>
        </w:rPr>
        <w:t>Dr.Hamdi Hussain</w:t>
      </w:r>
    </w:p>
    <w:p w:rsidR="00E01DB3" w:rsidRDefault="00E01DB3" w:rsidP="00371FF8"/>
    <w:p w:rsidR="00860CB2" w:rsidRPr="00AE3560" w:rsidRDefault="00860CB2" w:rsidP="00AE3560">
      <w:pPr>
        <w:jc w:val="center"/>
        <w:rPr>
          <w:sz w:val="24"/>
          <w:szCs w:val="24"/>
        </w:rPr>
      </w:pPr>
      <w:r w:rsidRPr="00AE3560">
        <w:rPr>
          <w:sz w:val="24"/>
          <w:szCs w:val="24"/>
        </w:rPr>
        <w:t xml:space="preserve">Dissertation submitted as part of the requirements for the award </w:t>
      </w:r>
      <w:r w:rsidR="00010C5D" w:rsidRPr="00AE3560">
        <w:rPr>
          <w:sz w:val="24"/>
          <w:szCs w:val="24"/>
        </w:rPr>
        <w:t xml:space="preserve">of </w:t>
      </w:r>
      <w:r w:rsidRPr="00AE3560">
        <w:rPr>
          <w:sz w:val="24"/>
          <w:szCs w:val="24"/>
        </w:rPr>
        <w:t>MSc Public Health and Social Care in Practice</w:t>
      </w:r>
    </w:p>
    <w:p w:rsidR="00860CB2" w:rsidRPr="00AE3560" w:rsidRDefault="00860CB2" w:rsidP="00AE3560">
      <w:pPr>
        <w:jc w:val="center"/>
        <w:rPr>
          <w:sz w:val="24"/>
          <w:szCs w:val="24"/>
        </w:rPr>
      </w:pPr>
    </w:p>
    <w:p w:rsidR="00860CB2" w:rsidRPr="00AE3560" w:rsidRDefault="00106B30" w:rsidP="00AE3560">
      <w:pPr>
        <w:jc w:val="center"/>
        <w:rPr>
          <w:b/>
          <w:bCs/>
          <w:sz w:val="24"/>
          <w:szCs w:val="24"/>
          <w:u w:val="single"/>
          <w:lang w:eastAsia="en-US" w:bidi="ar-SA"/>
        </w:rPr>
      </w:pPr>
      <w:r w:rsidRPr="00AE3560">
        <w:rPr>
          <w:sz w:val="24"/>
          <w:szCs w:val="24"/>
          <w:lang w:eastAsia="en-US" w:bidi="ar-SA"/>
        </w:rPr>
        <w:t>M</w:t>
      </w:r>
      <w:r w:rsidR="003F5596">
        <w:rPr>
          <w:sz w:val="24"/>
          <w:szCs w:val="24"/>
          <w:lang w:eastAsia="en-US" w:bidi="ar-SA"/>
        </w:rPr>
        <w:t>ay</w:t>
      </w:r>
      <w:r w:rsidRPr="00AE3560">
        <w:rPr>
          <w:sz w:val="24"/>
          <w:szCs w:val="24"/>
          <w:lang w:eastAsia="en-US" w:bidi="ar-SA"/>
        </w:rPr>
        <w:t>/</w:t>
      </w:r>
      <w:r w:rsidR="003F5596">
        <w:rPr>
          <w:sz w:val="24"/>
          <w:szCs w:val="24"/>
          <w:lang w:eastAsia="en-US" w:bidi="ar-SA"/>
        </w:rPr>
        <w:t>2026</w:t>
      </w:r>
    </w:p>
    <w:bookmarkEnd w:id="0"/>
    <w:p w:rsidR="005C2C7A" w:rsidRPr="00CE29E9" w:rsidRDefault="005C2C7A" w:rsidP="00FD5210">
      <w:pPr>
        <w:pStyle w:val="Heading1"/>
        <w:jc w:val="center"/>
      </w:pPr>
      <w:r w:rsidRPr="00CE29E9">
        <w:lastRenderedPageBreak/>
        <w:t>DECLARATION</w:t>
      </w:r>
    </w:p>
    <w:p w:rsidR="005C2C7A" w:rsidRPr="00AA1F5A" w:rsidRDefault="005C2C7A" w:rsidP="00371FF8"/>
    <w:p w:rsidR="00757B37" w:rsidRPr="00EA4708" w:rsidRDefault="00757B37" w:rsidP="00371FF8">
      <w:r w:rsidRPr="00EA4708">
        <w:t xml:space="preserve">I, </w:t>
      </w:r>
      <w:r w:rsidR="00BF1123">
        <w:rPr>
          <w:i/>
          <w:iCs/>
        </w:rPr>
        <w:t>Rucha Vaghela</w:t>
      </w:r>
      <w:r w:rsidRPr="00EA4708">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757B37" w:rsidRPr="00EA4708" w:rsidRDefault="00757B37" w:rsidP="00371FF8"/>
    <w:p w:rsidR="00757B37" w:rsidRPr="00EA4708" w:rsidRDefault="00757B37" w:rsidP="00371FF8">
      <w:r w:rsidRPr="00EA4708">
        <w:t>Signature:</w:t>
      </w:r>
      <w:r w:rsidR="007E3AD7" w:rsidRPr="007E3AD7">
        <w:t xml:space="preserve">Rucha </w:t>
      </w:r>
      <w:r w:rsidR="00E16EC3">
        <w:t>J</w:t>
      </w:r>
      <w:r w:rsidR="007E3AD7" w:rsidRPr="007E3AD7">
        <w:t>astinkumar Vaghela</w:t>
      </w:r>
    </w:p>
    <w:p w:rsidR="00757B37" w:rsidRPr="00EA4708" w:rsidRDefault="00757B37" w:rsidP="00371FF8"/>
    <w:p w:rsidR="005F4CBF" w:rsidRPr="00EA4708" w:rsidRDefault="00757B37" w:rsidP="00371FF8">
      <w:r w:rsidRPr="00EA4708">
        <w:t xml:space="preserve">Date: </w:t>
      </w:r>
      <w:r w:rsidR="007E3AD7" w:rsidRPr="007E3AD7">
        <w:t>12 May 2026</w:t>
      </w:r>
    </w:p>
    <w:p w:rsidR="005F4CBF" w:rsidRPr="00EA4708" w:rsidRDefault="005F4CBF" w:rsidP="00371FF8"/>
    <w:p w:rsidR="005F4CBF" w:rsidRDefault="005F4CBF" w:rsidP="00371FF8"/>
    <w:p w:rsidR="005F4CBF" w:rsidRDefault="005F4CBF" w:rsidP="00371FF8"/>
    <w:p w:rsidR="005F4CBF" w:rsidRDefault="005F4CBF"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757B37" w:rsidRDefault="00757B37" w:rsidP="00371FF8"/>
    <w:p w:rsidR="00EA4708" w:rsidRDefault="00EA4708" w:rsidP="00371FF8"/>
    <w:p w:rsidR="00EA4708" w:rsidRDefault="00EA4708" w:rsidP="00371FF8"/>
    <w:p w:rsidR="00FA5739" w:rsidRDefault="00FA5739">
      <w:pPr>
        <w:spacing w:line="240" w:lineRule="auto"/>
        <w:jc w:val="left"/>
        <w:rPr>
          <w:b/>
          <w:sz w:val="28"/>
          <w:szCs w:val="28"/>
        </w:rPr>
      </w:pPr>
      <w:r>
        <w:br w:type="page"/>
      </w:r>
    </w:p>
    <w:p w:rsidR="005C2C7A" w:rsidRPr="00DA5D26" w:rsidRDefault="005C2C7A" w:rsidP="00FD5210">
      <w:pPr>
        <w:pStyle w:val="Heading1"/>
        <w:jc w:val="center"/>
      </w:pPr>
      <w:r w:rsidRPr="00DA5D26">
        <w:lastRenderedPageBreak/>
        <w:t>ACKNOWLEDGEMENTS</w:t>
      </w:r>
    </w:p>
    <w:p w:rsidR="005C2C7A" w:rsidRDefault="00C60E5F" w:rsidP="00371FF8">
      <w:pPr>
        <w:rPr>
          <w:lang w:eastAsia="en-IN" w:bidi="ar-SA"/>
        </w:rPr>
      </w:pPr>
      <w:r w:rsidRPr="00C60E5F">
        <w:rPr>
          <w:lang w:eastAsia="en-IN" w:bidi="ar-SA"/>
        </w:rPr>
        <w:t>I would like to thank my tutor for providing me immense support and contribute by providing timely feedback to complete this research work with effectiveness. I would like to extinct my heartful appreciation to my tutor for providing me with continuous encouragement that has made me significantly increase the quality of the work. I would also like to thank my colleagues and peers for providing me with support and academic intellectual guidance that have made me to confront with the different challenging phases within this research. I am also thankful to my family for providing me encouragement as well as making me motivated whenever I felt discouraged. I am very grateful to everyone aforementioned for their contribution that I have made to complete this work effectively.</w:t>
      </w:r>
    </w:p>
    <w:p w:rsidR="0037504C" w:rsidRDefault="0037504C">
      <w:pPr>
        <w:spacing w:line="240" w:lineRule="auto"/>
        <w:jc w:val="left"/>
        <w:rPr>
          <w:lang w:eastAsia="en-IN" w:bidi="ar-SA"/>
        </w:rPr>
      </w:pPr>
      <w:r>
        <w:rPr>
          <w:lang w:eastAsia="en-IN" w:bidi="ar-SA"/>
        </w:rPr>
        <w:br w:type="page"/>
      </w:r>
    </w:p>
    <w:p w:rsidR="00F978CE" w:rsidRPr="00CE29E9" w:rsidRDefault="005C2C7A" w:rsidP="00FD5210">
      <w:pPr>
        <w:pStyle w:val="Heading1"/>
        <w:jc w:val="center"/>
      </w:pPr>
      <w:r w:rsidRPr="00CE29E9">
        <w:lastRenderedPageBreak/>
        <w:t>ABSTRACT</w:t>
      </w:r>
    </w:p>
    <w:p w:rsidR="000A7868" w:rsidRDefault="000A7868" w:rsidP="00371FF8"/>
    <w:p w:rsidR="00C60E5F" w:rsidRPr="00FD5210" w:rsidRDefault="00C60E5F" w:rsidP="00371FF8">
      <w:pPr>
        <w:rPr>
          <w:b/>
          <w:bCs/>
          <w:i/>
          <w:iCs/>
          <w:lang w:eastAsia="en-IN" w:bidi="ar-SA"/>
        </w:rPr>
      </w:pPr>
      <w:r w:rsidRPr="00FD5210">
        <w:rPr>
          <w:b/>
          <w:bCs/>
          <w:i/>
          <w:iCs/>
          <w:lang w:eastAsia="en-IN" w:bidi="ar-SA"/>
        </w:rPr>
        <w:t>Background</w:t>
      </w:r>
    </w:p>
    <w:p w:rsidR="00C60E5F" w:rsidRPr="00C60E5F" w:rsidRDefault="00C60E5F" w:rsidP="00371FF8">
      <w:pPr>
        <w:rPr>
          <w:lang w:eastAsia="en-IN" w:bidi="ar-SA"/>
        </w:rPr>
      </w:pPr>
      <w:r w:rsidRPr="00C60E5F">
        <w:rPr>
          <w:lang w:eastAsia="en-IN" w:bidi="ar-SA"/>
        </w:rPr>
        <w:t>The research related for identifying different data related to the digital health promotion in the global public health system, especially for type 2 diabetes management, has been discussed. It is noted that, regarding clinical outcomes, the key indicator of diabetes management is glycaemic control, which can be improved through digital tools. Glycaemic control and weight loss are critical in preventing progression from prediabetes to T2DM. As per the evidence, digital programmes are a great way to improve those factors. Many users hesitate to share sensitive health information due to data privacy and security reasons, which leads to distrust in digital platforms. </w:t>
      </w:r>
    </w:p>
    <w:p w:rsidR="00C60E5F" w:rsidRPr="00FD5210" w:rsidRDefault="00C60E5F" w:rsidP="00371FF8">
      <w:pPr>
        <w:rPr>
          <w:b/>
          <w:bCs/>
          <w:i/>
          <w:iCs/>
          <w:lang w:eastAsia="en-IN" w:bidi="ar-SA"/>
        </w:rPr>
      </w:pPr>
      <w:r w:rsidRPr="00FD5210">
        <w:rPr>
          <w:b/>
          <w:bCs/>
          <w:i/>
          <w:iCs/>
          <w:lang w:eastAsia="en-IN" w:bidi="ar-SA"/>
        </w:rPr>
        <w:t>Methods</w:t>
      </w:r>
    </w:p>
    <w:p w:rsidR="00C60E5F" w:rsidRPr="00C60E5F" w:rsidRDefault="00C60E5F" w:rsidP="00371FF8">
      <w:pPr>
        <w:rPr>
          <w:lang w:eastAsia="en-IN" w:bidi="ar-SA"/>
        </w:rPr>
      </w:pPr>
      <w:r w:rsidRPr="00C60E5F">
        <w:rPr>
          <w:lang w:eastAsia="en-IN" w:bidi="ar-SA"/>
        </w:rPr>
        <w:t>The evaluation of the role of digital health promotion in the prevention and management of type two diabetes using 10 selected studies has been done. 8 quantitative studies were critically appraised using the JBI and NOS tools. These reflect strong evidence from a randomised control trial with improved glycaemic control and behaviour change. The two qualitative studies give information about the patient experience and engagement challenges. The findings are reflecting that digital interventions generally impact on health but depend on the maintenance of design and accessibility.</w:t>
      </w:r>
    </w:p>
    <w:p w:rsidR="00C60E5F" w:rsidRPr="00FD5210" w:rsidRDefault="00C60E5F" w:rsidP="00371FF8">
      <w:pPr>
        <w:rPr>
          <w:b/>
          <w:bCs/>
          <w:i/>
          <w:iCs/>
          <w:lang w:eastAsia="en-IN" w:bidi="ar-SA"/>
        </w:rPr>
      </w:pPr>
      <w:r w:rsidRPr="00FD5210">
        <w:rPr>
          <w:b/>
          <w:bCs/>
          <w:i/>
          <w:iCs/>
          <w:lang w:eastAsia="en-IN" w:bidi="ar-SA"/>
        </w:rPr>
        <w:t>Results</w:t>
      </w:r>
    </w:p>
    <w:p w:rsidR="00C60E5F" w:rsidRPr="00C60E5F" w:rsidRDefault="00C60E5F" w:rsidP="00371FF8">
      <w:pPr>
        <w:rPr>
          <w:lang w:eastAsia="en-IN" w:bidi="ar-SA"/>
        </w:rPr>
      </w:pPr>
      <w:r w:rsidRPr="00C60E5F">
        <w:rPr>
          <w:lang w:eastAsia="en-IN" w:bidi="ar-SA"/>
        </w:rPr>
        <w:t>This study presents a thematic synthesis of selected studies examining digital health promotion in Type 2 diabetes prevention and management. Key themes include types of digital interventions, behavioural and clinical outcomes, barriers to adoption, and facilitators of effectiveness. The findings highlight the potential of digital tools while emphasising the importance of user engagement, accessibility, and integration within healthcare systems.</w:t>
      </w:r>
    </w:p>
    <w:p w:rsidR="00C60E5F" w:rsidRPr="00FD5210" w:rsidRDefault="00C60E5F" w:rsidP="00371FF8">
      <w:pPr>
        <w:rPr>
          <w:b/>
          <w:bCs/>
          <w:i/>
          <w:iCs/>
          <w:lang w:eastAsia="en-IN" w:bidi="ar-SA"/>
        </w:rPr>
      </w:pPr>
      <w:r w:rsidRPr="00FD5210">
        <w:rPr>
          <w:b/>
          <w:bCs/>
          <w:i/>
          <w:iCs/>
          <w:lang w:eastAsia="en-IN" w:bidi="ar-SA"/>
        </w:rPr>
        <w:t xml:space="preserve">Conclusion </w:t>
      </w:r>
    </w:p>
    <w:p w:rsidR="00C60E5F" w:rsidRPr="00C60E5F" w:rsidRDefault="00C60E5F" w:rsidP="00371FF8">
      <w:pPr>
        <w:rPr>
          <w:lang w:val="en-IN" w:eastAsia="en-IN" w:bidi="ar-SA"/>
        </w:rPr>
      </w:pPr>
      <w:r w:rsidRPr="00C60E5F">
        <w:rPr>
          <w:lang w:val="en-IN" w:eastAsia="en-IN" w:bidi="ar-SA"/>
        </w:rPr>
        <w:t>To summarise, it can be noted that adults with type 2 diabetes in the global public health system required to other certain strategy so that they can overcome the barriers. Recommendations such as the use of simplified dashboards in mobile health apps and conduction of digital literacy training programs and campaigns would be effective in enhancing transparency and building trust. Moreover, the study has also highlighted the implications of the findings and the recommendations for future research, acknowledging that the method is suitable for expanding the scope of the research in future.</w:t>
      </w:r>
    </w:p>
    <w:p w:rsidR="005C2C7A" w:rsidRPr="005A3315" w:rsidRDefault="005C2C7A" w:rsidP="00371FF8"/>
    <w:p w:rsidR="005C2C7A" w:rsidRPr="005A3315" w:rsidRDefault="005C2C7A" w:rsidP="00371FF8"/>
    <w:p w:rsidR="00FD5210" w:rsidRDefault="00FD5210">
      <w:pPr>
        <w:spacing w:line="240" w:lineRule="auto"/>
        <w:jc w:val="left"/>
      </w:pPr>
      <w:r>
        <w:br w:type="page"/>
      </w:r>
    </w:p>
    <w:sdt>
      <w:sdtPr>
        <w:rPr>
          <w:rFonts w:ascii="Arial" w:eastAsia="Calibri Light" w:hAnsi="Arial" w:cs="Arial"/>
          <w:b/>
          <w:bCs/>
          <w:color w:val="auto"/>
          <w:sz w:val="22"/>
          <w:szCs w:val="22"/>
        </w:rPr>
        <w:id w:val="1292093389"/>
        <w:docPartObj>
          <w:docPartGallery w:val="Table of Contents"/>
          <w:docPartUnique/>
        </w:docPartObj>
      </w:sdtPr>
      <w:sdtEndPr>
        <w:rPr>
          <w:noProof/>
        </w:rPr>
      </w:sdtEndPr>
      <w:sdtContent>
        <w:p w:rsidR="00FD5210" w:rsidRPr="00FA5739" w:rsidRDefault="00FD5210" w:rsidP="009A5C47">
          <w:pPr>
            <w:pStyle w:val="TOCHeading"/>
            <w:spacing w:after="240"/>
            <w:jc w:val="center"/>
            <w:rPr>
              <w:rFonts w:ascii="Arial" w:hAnsi="Arial" w:cs="Arial"/>
              <w:b/>
              <w:bCs/>
              <w:color w:val="auto"/>
            </w:rPr>
          </w:pPr>
          <w:r w:rsidRPr="00FA5739">
            <w:rPr>
              <w:rFonts w:ascii="Arial" w:hAnsi="Arial" w:cs="Arial"/>
              <w:b/>
              <w:bCs/>
              <w:color w:val="auto"/>
            </w:rPr>
            <w:t>Table of Contents</w:t>
          </w:r>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r w:rsidRPr="00A33066">
            <w:rPr>
              <w:rFonts w:ascii="Arial" w:hAnsi="Arial" w:cs="Arial"/>
            </w:rPr>
            <w:fldChar w:fldCharType="begin"/>
          </w:r>
          <w:r w:rsidR="00FD5210" w:rsidRPr="00FA5739">
            <w:rPr>
              <w:rFonts w:ascii="Arial" w:hAnsi="Arial" w:cs="Arial"/>
            </w:rPr>
            <w:instrText xml:space="preserve"> TOC \o "1-3" \h \z \u </w:instrText>
          </w:r>
          <w:r w:rsidRPr="00A33066">
            <w:rPr>
              <w:rFonts w:ascii="Arial" w:hAnsi="Arial" w:cs="Arial"/>
            </w:rPr>
            <w:fldChar w:fldCharType="separate"/>
          </w:r>
          <w:hyperlink w:anchor="_Toc228461232" w:history="1">
            <w:r w:rsidR="00FD5210" w:rsidRPr="00FA5739">
              <w:rPr>
                <w:rStyle w:val="Hyperlink"/>
                <w:rFonts w:ascii="Arial" w:hAnsi="Arial" w:cs="Arial"/>
                <w:noProof/>
                <w:lang w:bidi="en-GB"/>
              </w:rPr>
              <w:t>CHAPTER 1: INTRODUCTION AND BACKGROUND</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12</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3" w:history="1">
            <w:r w:rsidR="00FD5210" w:rsidRPr="00FA5739">
              <w:rPr>
                <w:rStyle w:val="Hyperlink"/>
                <w:rFonts w:ascii="Arial" w:hAnsi="Arial" w:cs="Arial"/>
                <w:noProof/>
              </w:rPr>
              <w:t>1.1 Introduction to the Topic</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12</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4" w:history="1">
            <w:r w:rsidR="00FD5210" w:rsidRPr="00FA5739">
              <w:rPr>
                <w:rStyle w:val="Hyperlink"/>
                <w:rFonts w:ascii="Arial" w:hAnsi="Arial" w:cs="Arial"/>
                <w:noProof/>
              </w:rPr>
              <w:t>1.2 Background and Current Context</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13</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5" w:history="1">
            <w:r w:rsidR="00FD5210" w:rsidRPr="00FA5739">
              <w:rPr>
                <w:rStyle w:val="Hyperlink"/>
                <w:rFonts w:ascii="Arial" w:hAnsi="Arial" w:cs="Arial"/>
                <w:noProof/>
              </w:rPr>
              <w:t>1.3 Rationale for Research / Problem Statement</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6" w:history="1">
            <w:r w:rsidR="00FD5210" w:rsidRPr="00FA5739">
              <w:rPr>
                <w:rStyle w:val="Hyperlink"/>
                <w:rFonts w:ascii="Arial" w:hAnsi="Arial" w:cs="Arial"/>
                <w:noProof/>
              </w:rPr>
              <w:t>1.4 Research Questions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7" w:history="1">
            <w:r w:rsidR="00FD5210" w:rsidRPr="00FA5739">
              <w:rPr>
                <w:rStyle w:val="Hyperlink"/>
                <w:rFonts w:ascii="Arial" w:hAnsi="Arial" w:cs="Arial"/>
                <w:noProof/>
              </w:rPr>
              <w:t>1.5 Research Aim</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8" w:history="1">
            <w:r w:rsidR="00FD5210" w:rsidRPr="00FA5739">
              <w:rPr>
                <w:rStyle w:val="Hyperlink"/>
                <w:rFonts w:ascii="Arial" w:hAnsi="Arial" w:cs="Arial"/>
                <w:noProof/>
              </w:rPr>
              <w:t>1.6 Research Objectives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39" w:history="1">
            <w:r w:rsidR="00FD5210" w:rsidRPr="00FA5739">
              <w:rPr>
                <w:rStyle w:val="Hyperlink"/>
                <w:rFonts w:ascii="Arial" w:hAnsi="Arial" w:cs="Arial"/>
                <w:noProof/>
              </w:rPr>
              <w:t>1.7 Chapter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_Toc228461239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16</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40" w:history="1">
            <w:r w:rsidR="00FD5210" w:rsidRPr="00FA5739">
              <w:rPr>
                <w:rStyle w:val="Hyperlink"/>
                <w:rFonts w:ascii="Arial" w:hAnsi="Arial" w:cs="Arial"/>
                <w:noProof/>
                <w:lang w:bidi="en-GB"/>
              </w:rPr>
              <w:t>CHAPTER 2: Literature Review</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_Toc228461240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1" w:history="1">
            <w:r w:rsidR="00FD5210" w:rsidRPr="00FA5739">
              <w:rPr>
                <w:rStyle w:val="Hyperlink"/>
                <w:rFonts w:ascii="Arial" w:hAnsi="Arial" w:cs="Arial"/>
                <w:noProof/>
              </w:rPr>
              <w:t>2.1 Introduction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_Toc228461241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2" w:history="1">
            <w:r w:rsidR="00FD5210" w:rsidRPr="00FA5739">
              <w:rPr>
                <w:rStyle w:val="Hyperlink"/>
                <w:rFonts w:ascii="Arial" w:hAnsi="Arial" w:cs="Arial"/>
                <w:noProof/>
              </w:rPr>
              <w:t>2.2 Significance of Digital Health Promotion in the Global Public Health System</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3" w:history="1">
            <w:r w:rsidR="00FD5210" w:rsidRPr="00FA5739">
              <w:rPr>
                <w:rStyle w:val="Hyperlink"/>
                <w:rFonts w:ascii="Arial" w:hAnsi="Arial" w:cs="Arial"/>
                <w:noProof/>
              </w:rPr>
              <w:t>2.3 Impact of digital health interventions in preventing Type 2 diabetes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18</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4" w:history="1">
            <w:r w:rsidR="00FD5210" w:rsidRPr="00FA5739">
              <w:rPr>
                <w:rStyle w:val="Hyperlink"/>
                <w:rFonts w:ascii="Arial" w:hAnsi="Arial" w:cs="Arial"/>
                <w:noProof/>
              </w:rPr>
              <w:t>2.4 Digital tools impact self-management behaviours and clinical outcomes of Type 2 diabetes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19</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5" w:history="1">
            <w:r w:rsidR="00FD5210" w:rsidRPr="00FA5739">
              <w:rPr>
                <w:rStyle w:val="Hyperlink"/>
                <w:rFonts w:ascii="Arial" w:hAnsi="Arial" w:cs="Arial"/>
                <w:noProof/>
              </w:rPr>
              <w:t>2.5 Facilitators impacting the adoption of digital health technologies in the population with type 2 diabetes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20</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6" w:history="1">
            <w:r w:rsidR="00FD5210" w:rsidRPr="00FA5739">
              <w:rPr>
                <w:rStyle w:val="Hyperlink"/>
                <w:rFonts w:ascii="Arial" w:hAnsi="Arial" w:cs="Arial"/>
                <w:noProof/>
              </w:rPr>
              <w:t>2.6 Barriers impacting the adoption of digital health technologies in this population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7" w:history="1">
            <w:r w:rsidR="00FD5210" w:rsidRPr="00FA5739">
              <w:rPr>
                <w:rStyle w:val="Hyperlink"/>
                <w:rFonts w:ascii="Arial" w:hAnsi="Arial" w:cs="Arial"/>
                <w:noProof/>
              </w:rPr>
              <w:t>2.7 Theoretical framework</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8" w:history="1">
            <w:r w:rsidR="00FD5210" w:rsidRPr="00FA5739">
              <w:rPr>
                <w:rStyle w:val="Hyperlink"/>
                <w:rFonts w:ascii="Arial" w:hAnsi="Arial" w:cs="Arial"/>
                <w:noProof/>
              </w:rPr>
              <w:t>2.8 Literature gap</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23</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49" w:history="1">
            <w:r w:rsidR="00FD5210" w:rsidRPr="00FA5739">
              <w:rPr>
                <w:rStyle w:val="Hyperlink"/>
                <w:rFonts w:ascii="Arial" w:hAnsi="Arial" w:cs="Arial"/>
                <w:noProof/>
              </w:rPr>
              <w:t>2.9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_Toc228461249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24</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50" w:history="1">
            <w:r w:rsidR="00FD5210" w:rsidRPr="00FA5739">
              <w:rPr>
                <w:rStyle w:val="Hyperlink"/>
                <w:rFonts w:ascii="Arial" w:hAnsi="Arial" w:cs="Arial"/>
                <w:noProof/>
                <w:lang w:bidi="en-GB"/>
              </w:rPr>
              <w:t>CHAPTER 3: METHODOLOGY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_Toc228461250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1" w:history="1">
            <w:r w:rsidR="00FD5210" w:rsidRPr="00FA5739">
              <w:rPr>
                <w:rStyle w:val="Hyperlink"/>
                <w:rFonts w:ascii="Arial" w:hAnsi="Arial" w:cs="Arial"/>
                <w:noProof/>
              </w:rPr>
              <w:t>3.1 Introduction to Chapter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_Toc228461251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2" w:history="1">
            <w:r w:rsidR="00FD5210" w:rsidRPr="00FA5739">
              <w:rPr>
                <w:rStyle w:val="Hyperlink"/>
                <w:rFonts w:ascii="Arial" w:hAnsi="Arial" w:cs="Arial"/>
                <w:noProof/>
              </w:rPr>
              <w:t>3.2 Systematic Literature Review (SLR)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3" w:history="1">
            <w:r w:rsidR="00FD5210" w:rsidRPr="00FA5739">
              <w:rPr>
                <w:rStyle w:val="Hyperlink"/>
                <w:rFonts w:ascii="Arial" w:hAnsi="Arial" w:cs="Arial"/>
                <w:noProof/>
              </w:rPr>
              <w:t>3.3 Search Strategy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4" w:history="1">
            <w:r w:rsidR="00FD5210" w:rsidRPr="00FA5739">
              <w:rPr>
                <w:rStyle w:val="Hyperlink"/>
                <w:rFonts w:ascii="Arial" w:hAnsi="Arial" w:cs="Arial"/>
                <w:noProof/>
              </w:rPr>
              <w:t>3.4 Search terms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5" w:history="1">
            <w:r w:rsidR="00FD5210" w:rsidRPr="00FA5739">
              <w:rPr>
                <w:rStyle w:val="Hyperlink"/>
                <w:rFonts w:ascii="Arial" w:hAnsi="Arial" w:cs="Arial"/>
                <w:noProof/>
              </w:rPr>
              <w:t>3.5 Key Words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6" w:history="1">
            <w:r w:rsidR="00FD5210" w:rsidRPr="00FA5739">
              <w:rPr>
                <w:rStyle w:val="Hyperlink"/>
                <w:rFonts w:ascii="Arial" w:hAnsi="Arial" w:cs="Arial"/>
                <w:noProof/>
              </w:rPr>
              <w:t>3.6 Database</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7" w:history="1">
            <w:r w:rsidR="00FD5210" w:rsidRPr="00FA5739">
              <w:rPr>
                <w:rStyle w:val="Hyperlink"/>
                <w:rFonts w:ascii="Arial" w:hAnsi="Arial" w:cs="Arial"/>
                <w:noProof/>
              </w:rPr>
              <w:t>3.7 Inclusion/Exclusion Criteria</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8" w:history="1">
            <w:r w:rsidR="00FD5210" w:rsidRPr="00FA5739">
              <w:rPr>
                <w:rStyle w:val="Hyperlink"/>
                <w:rFonts w:ascii="Arial" w:hAnsi="Arial" w:cs="Arial"/>
                <w:noProof/>
              </w:rPr>
              <w:t>3.7.1 Inclusion Criteria</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59" w:history="1">
            <w:r w:rsidR="00FD5210" w:rsidRPr="00FA5739">
              <w:rPr>
                <w:rStyle w:val="Hyperlink"/>
                <w:rFonts w:ascii="Arial" w:hAnsi="Arial" w:cs="Arial"/>
                <w:noProof/>
              </w:rPr>
              <w:t>3.7.2 Exclusion Criteria</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_Toc228461259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28</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0" w:history="1">
            <w:r w:rsidR="00FD5210" w:rsidRPr="00FA5739">
              <w:rPr>
                <w:rStyle w:val="Hyperlink"/>
                <w:rFonts w:ascii="Arial" w:hAnsi="Arial" w:cs="Arial"/>
                <w:noProof/>
              </w:rPr>
              <w:t>3.8 Search Results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_Toc228461260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28</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1" w:history="1">
            <w:r w:rsidR="00FD5210" w:rsidRPr="00FA5739">
              <w:rPr>
                <w:rStyle w:val="Hyperlink"/>
                <w:rFonts w:ascii="Arial" w:hAnsi="Arial" w:cs="Arial"/>
                <w:noProof/>
              </w:rPr>
              <w:t>3.9 Ethical Considerations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_Toc228461261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30</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2" w:history="1">
            <w:r w:rsidR="00FD5210" w:rsidRPr="00FA5739">
              <w:rPr>
                <w:rStyle w:val="Hyperlink"/>
                <w:rFonts w:ascii="Arial" w:hAnsi="Arial" w:cs="Arial"/>
                <w:noProof/>
              </w:rPr>
              <w:t>3.10 Chapter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30</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63" w:history="1">
            <w:r w:rsidR="00FD5210" w:rsidRPr="00FA5739">
              <w:rPr>
                <w:rStyle w:val="Hyperlink"/>
                <w:rFonts w:ascii="Arial" w:hAnsi="Arial" w:cs="Arial"/>
                <w:noProof/>
                <w:lang w:bidi="en-GB"/>
              </w:rPr>
              <w:t>CHAPTER 4: DATA EXTRACTION AND EVALUATION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4" w:history="1">
            <w:r w:rsidR="00FD5210" w:rsidRPr="00FA5739">
              <w:rPr>
                <w:rStyle w:val="Hyperlink"/>
                <w:rFonts w:ascii="Arial" w:hAnsi="Arial" w:cs="Arial"/>
                <w:noProof/>
              </w:rPr>
              <w:t>4.1 Introduction to Chapter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5" w:history="1">
            <w:r w:rsidR="00FD5210" w:rsidRPr="00FA5739">
              <w:rPr>
                <w:rStyle w:val="Hyperlink"/>
                <w:rFonts w:ascii="Arial" w:hAnsi="Arial" w:cs="Arial"/>
                <w:noProof/>
              </w:rPr>
              <w:t>4.2 Data Extraction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6" w:history="1">
            <w:r w:rsidR="00FD5210" w:rsidRPr="00FA5739">
              <w:rPr>
                <w:rStyle w:val="Hyperlink"/>
                <w:rFonts w:ascii="Arial" w:hAnsi="Arial" w:cs="Arial"/>
                <w:noProof/>
              </w:rPr>
              <w:t>4.3 Brief introduction to critical appraisal and paper quality assessment</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7" w:history="1">
            <w:r w:rsidR="00FD5210" w:rsidRPr="00FA5739">
              <w:rPr>
                <w:rStyle w:val="Hyperlink"/>
                <w:rFonts w:ascii="Arial" w:hAnsi="Arial" w:cs="Arial"/>
                <w:noProof/>
              </w:rPr>
              <w:t>4.4 Critical Appraisal Tools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32</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8" w:history="1">
            <w:r w:rsidR="00FD5210" w:rsidRPr="00FA5739">
              <w:rPr>
                <w:rStyle w:val="Hyperlink"/>
                <w:rFonts w:ascii="Arial" w:hAnsi="Arial" w:cs="Arial"/>
                <w:noProof/>
              </w:rPr>
              <w:t>4.5 Evaluation of Qualitative Studies using any appropriate tool</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32</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69" w:history="1">
            <w:r w:rsidR="00FD5210" w:rsidRPr="00FA5739">
              <w:rPr>
                <w:rStyle w:val="Hyperlink"/>
                <w:rFonts w:ascii="Arial" w:hAnsi="Arial" w:cs="Arial"/>
                <w:noProof/>
              </w:rPr>
              <w:t>4.6 Evaluation of Quantitative Studies using an appropriate tool</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_Toc228461269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33</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0" w:history="1">
            <w:r w:rsidR="00FD5210" w:rsidRPr="00FA5739">
              <w:rPr>
                <w:rStyle w:val="Hyperlink"/>
                <w:rFonts w:ascii="Arial" w:hAnsi="Arial" w:cs="Arial"/>
                <w:noProof/>
              </w:rPr>
              <w:t>4.7 Evaluation of Mixed Methods Studies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_Toc228461270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35</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1" w:history="1">
            <w:r w:rsidR="00FD5210" w:rsidRPr="00FA5739">
              <w:rPr>
                <w:rStyle w:val="Hyperlink"/>
                <w:rFonts w:ascii="Arial" w:hAnsi="Arial" w:cs="Arial"/>
                <w:noProof/>
              </w:rPr>
              <w:t>4.8 Chapter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_Toc228461271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36</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72" w:history="1">
            <w:r w:rsidR="00FD5210" w:rsidRPr="00FA5739">
              <w:rPr>
                <w:rStyle w:val="Hyperlink"/>
                <w:rFonts w:ascii="Arial" w:hAnsi="Arial" w:cs="Arial"/>
                <w:noProof/>
                <w:lang w:bidi="en-GB"/>
              </w:rPr>
              <w:t>CHAPTER 5: DATA ANALYSIS AND SYNTHESIS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3" w:history="1">
            <w:r w:rsidR="00FD5210" w:rsidRPr="00FA5739">
              <w:rPr>
                <w:rStyle w:val="Hyperlink"/>
                <w:rFonts w:ascii="Arial" w:hAnsi="Arial" w:cs="Arial"/>
                <w:noProof/>
              </w:rPr>
              <w:t>5.1 Introduction to Chapter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4" w:history="1">
            <w:r w:rsidR="00FD5210" w:rsidRPr="00FA5739">
              <w:rPr>
                <w:rStyle w:val="Hyperlink"/>
                <w:rFonts w:ascii="Arial" w:hAnsi="Arial" w:cs="Arial"/>
                <w:noProof/>
              </w:rPr>
              <w:t>5.3 Data analysis tool</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5" w:history="1">
            <w:r w:rsidR="00FD5210" w:rsidRPr="00FA5739">
              <w:rPr>
                <w:rStyle w:val="Hyperlink"/>
                <w:rFonts w:ascii="Arial" w:hAnsi="Arial" w:cs="Arial"/>
                <w:noProof/>
              </w:rPr>
              <w:t>5.4 Characteristics of the identified studies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76" w:history="1">
            <w:r w:rsidR="00FD5210" w:rsidRPr="00FA5739">
              <w:rPr>
                <w:rStyle w:val="Hyperlink"/>
                <w:rFonts w:ascii="Arial" w:hAnsi="Arial" w:cs="Arial"/>
                <w:noProof/>
              </w:rPr>
              <w:t>5.5 Emerging Themes from included studies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_Toc228461276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38</w:t>
            </w:r>
            <w:r w:rsidRPr="00FA5739">
              <w:rPr>
                <w:rFonts w:ascii="Arial" w:hAnsi="Arial" w:cs="Arial"/>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77" w:history="1">
            <w:r w:rsidR="00FD5210" w:rsidRPr="00FA5739">
              <w:rPr>
                <w:rStyle w:val="Hyperlink"/>
                <w:noProof/>
                <w:lang w:bidi="en-GB"/>
              </w:rPr>
              <w:t>5.5.1 Themes and Sub-Themes of the study</w:t>
            </w:r>
            <w:r w:rsidR="00FD5210" w:rsidRPr="00FA5739">
              <w:rPr>
                <w:noProof/>
                <w:webHidden/>
              </w:rPr>
              <w:tab/>
            </w:r>
            <w:r w:rsidRPr="00FA5739">
              <w:rPr>
                <w:noProof/>
                <w:webHidden/>
              </w:rPr>
              <w:fldChar w:fldCharType="begin"/>
            </w:r>
            <w:r w:rsidR="00FD5210" w:rsidRPr="00FA5739">
              <w:rPr>
                <w:noProof/>
                <w:webHidden/>
              </w:rPr>
              <w:instrText xml:space="preserve"> PAGEREF _Toc228461277 \h </w:instrText>
            </w:r>
            <w:r w:rsidRPr="00FA5739">
              <w:rPr>
                <w:noProof/>
                <w:webHidden/>
              </w:rPr>
            </w:r>
            <w:r w:rsidRPr="00FA5739">
              <w:rPr>
                <w:noProof/>
                <w:webHidden/>
              </w:rPr>
              <w:fldChar w:fldCharType="separate"/>
            </w:r>
            <w:r w:rsidR="009A5C47">
              <w:rPr>
                <w:noProof/>
                <w:webHidden/>
              </w:rPr>
              <w:t>38</w:t>
            </w:r>
            <w:r w:rsidRPr="00FA5739">
              <w:rPr>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78" w:history="1">
            <w:r w:rsidR="00FD5210" w:rsidRPr="00FA5739">
              <w:rPr>
                <w:rStyle w:val="Hyperlink"/>
                <w:noProof/>
                <w:lang w:bidi="en-GB"/>
              </w:rPr>
              <w:t>5.5.2 Theme 1: Digital interventions for type 2 diabetes prevention and management</w:t>
            </w:r>
            <w:r w:rsidR="00FD5210" w:rsidRPr="00FA5739">
              <w:rPr>
                <w:noProof/>
                <w:webHidden/>
              </w:rPr>
              <w:tab/>
            </w:r>
            <w:r w:rsidRPr="00FA5739">
              <w:rPr>
                <w:noProof/>
                <w:webHidden/>
              </w:rPr>
              <w:fldChar w:fldCharType="begin"/>
            </w:r>
            <w:r w:rsidR="00FD5210" w:rsidRPr="00FA5739">
              <w:rPr>
                <w:noProof/>
                <w:webHidden/>
              </w:rPr>
              <w:instrText xml:space="preserve"> PAGEREF _Toc228461278 \h </w:instrText>
            </w:r>
            <w:r w:rsidRPr="00FA5739">
              <w:rPr>
                <w:noProof/>
                <w:webHidden/>
              </w:rPr>
            </w:r>
            <w:r w:rsidRPr="00FA5739">
              <w:rPr>
                <w:noProof/>
                <w:webHidden/>
              </w:rPr>
              <w:fldChar w:fldCharType="separate"/>
            </w:r>
            <w:r w:rsidR="009A5C47">
              <w:rPr>
                <w:noProof/>
                <w:webHidden/>
              </w:rPr>
              <w:t>40</w:t>
            </w:r>
            <w:r w:rsidRPr="00FA5739">
              <w:rPr>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79" w:history="1">
            <w:r w:rsidR="00FD5210" w:rsidRPr="00FA5739">
              <w:rPr>
                <w:rStyle w:val="Hyperlink"/>
                <w:noProof/>
                <w:lang w:bidi="en-GB"/>
              </w:rPr>
              <w:t>5.5.3 Theme 2: Impact on lifestyle behaviour and Self-Management practises</w:t>
            </w:r>
            <w:r w:rsidR="00FD5210" w:rsidRPr="00FA5739">
              <w:rPr>
                <w:noProof/>
                <w:webHidden/>
              </w:rPr>
              <w:tab/>
            </w:r>
            <w:r w:rsidRPr="00FA5739">
              <w:rPr>
                <w:noProof/>
                <w:webHidden/>
              </w:rPr>
              <w:fldChar w:fldCharType="begin"/>
            </w:r>
            <w:r w:rsidR="00FD5210" w:rsidRPr="00FA5739">
              <w:rPr>
                <w:noProof/>
                <w:webHidden/>
              </w:rPr>
              <w:instrText xml:space="preserve"> PAGEREF _Toc228461279 \h </w:instrText>
            </w:r>
            <w:r w:rsidRPr="00FA5739">
              <w:rPr>
                <w:noProof/>
                <w:webHidden/>
              </w:rPr>
            </w:r>
            <w:r w:rsidRPr="00FA5739">
              <w:rPr>
                <w:noProof/>
                <w:webHidden/>
              </w:rPr>
              <w:fldChar w:fldCharType="separate"/>
            </w:r>
            <w:r w:rsidR="009A5C47">
              <w:rPr>
                <w:noProof/>
                <w:webHidden/>
              </w:rPr>
              <w:t>41</w:t>
            </w:r>
            <w:r w:rsidRPr="00FA5739">
              <w:rPr>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80" w:history="1">
            <w:r w:rsidR="00FD5210" w:rsidRPr="00FA5739">
              <w:rPr>
                <w:rStyle w:val="Hyperlink"/>
                <w:noProof/>
                <w:lang w:bidi="en-GB"/>
              </w:rPr>
              <w:t>5.5.4 Theme 3: Clinical and health system outcomes of digital health promotion</w:t>
            </w:r>
            <w:r w:rsidR="00FD5210" w:rsidRPr="00FA5739">
              <w:rPr>
                <w:noProof/>
                <w:webHidden/>
              </w:rPr>
              <w:tab/>
            </w:r>
            <w:r w:rsidRPr="00FA5739">
              <w:rPr>
                <w:noProof/>
                <w:webHidden/>
              </w:rPr>
              <w:fldChar w:fldCharType="begin"/>
            </w:r>
            <w:r w:rsidR="00FD5210" w:rsidRPr="00FA5739">
              <w:rPr>
                <w:noProof/>
                <w:webHidden/>
              </w:rPr>
              <w:instrText xml:space="preserve"> PAGEREF _Toc228461280 \h </w:instrText>
            </w:r>
            <w:r w:rsidRPr="00FA5739">
              <w:rPr>
                <w:noProof/>
                <w:webHidden/>
              </w:rPr>
            </w:r>
            <w:r w:rsidRPr="00FA5739">
              <w:rPr>
                <w:noProof/>
                <w:webHidden/>
              </w:rPr>
              <w:fldChar w:fldCharType="separate"/>
            </w:r>
            <w:r w:rsidR="009A5C47">
              <w:rPr>
                <w:noProof/>
                <w:webHidden/>
              </w:rPr>
              <w:t>42</w:t>
            </w:r>
            <w:r w:rsidRPr="00FA5739">
              <w:rPr>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81" w:history="1">
            <w:r w:rsidR="00FD5210" w:rsidRPr="00FA5739">
              <w:rPr>
                <w:rStyle w:val="Hyperlink"/>
                <w:noProof/>
                <w:lang w:bidi="en-GB"/>
              </w:rPr>
              <w:t>5.5.5 Theme 4: Barriers affecting adaptation and sustained engagement</w:t>
            </w:r>
            <w:r w:rsidR="00FD5210" w:rsidRPr="00FA5739">
              <w:rPr>
                <w:noProof/>
                <w:webHidden/>
              </w:rPr>
              <w:tab/>
            </w:r>
            <w:r w:rsidRPr="00FA5739">
              <w:rPr>
                <w:noProof/>
                <w:webHidden/>
              </w:rPr>
              <w:fldChar w:fldCharType="begin"/>
            </w:r>
            <w:r w:rsidR="00FD5210" w:rsidRPr="00FA5739">
              <w:rPr>
                <w:noProof/>
                <w:webHidden/>
              </w:rPr>
              <w:instrText xml:space="preserve"> PAGEREF _Toc228461281 \h </w:instrText>
            </w:r>
            <w:r w:rsidRPr="00FA5739">
              <w:rPr>
                <w:noProof/>
                <w:webHidden/>
              </w:rPr>
            </w:r>
            <w:r w:rsidRPr="00FA5739">
              <w:rPr>
                <w:noProof/>
                <w:webHidden/>
              </w:rPr>
              <w:fldChar w:fldCharType="separate"/>
            </w:r>
            <w:r w:rsidR="009A5C47">
              <w:rPr>
                <w:noProof/>
                <w:webHidden/>
              </w:rPr>
              <w:t>43</w:t>
            </w:r>
            <w:r w:rsidRPr="00FA5739">
              <w:rPr>
                <w:noProof/>
                <w:webHidden/>
              </w:rPr>
              <w:fldChar w:fldCharType="end"/>
            </w:r>
          </w:hyperlink>
        </w:p>
        <w:p w:rsidR="00FD5210" w:rsidRPr="00FA5739" w:rsidRDefault="00A33066" w:rsidP="00FA5739">
          <w:pPr>
            <w:pStyle w:val="TOC3"/>
            <w:tabs>
              <w:tab w:val="right" w:leader="dot" w:pos="9016"/>
            </w:tabs>
            <w:rPr>
              <w:rFonts w:eastAsiaTheme="minorEastAsia"/>
              <w:noProof/>
              <w:kern w:val="2"/>
              <w:lang w:val="en-IN"/>
            </w:rPr>
          </w:pPr>
          <w:hyperlink w:anchor="_Toc228461282" w:history="1">
            <w:r w:rsidR="00FD5210" w:rsidRPr="00FA5739">
              <w:rPr>
                <w:rStyle w:val="Hyperlink"/>
                <w:noProof/>
                <w:lang w:bidi="en-GB"/>
              </w:rPr>
              <w:t>5.5.6 Theme 5: Facilitators and enablers of successful digital health promotion</w:t>
            </w:r>
            <w:r w:rsidR="00FD5210" w:rsidRPr="00FA5739">
              <w:rPr>
                <w:noProof/>
                <w:webHidden/>
              </w:rPr>
              <w:tab/>
            </w:r>
            <w:r w:rsidRPr="00FA5739">
              <w:rPr>
                <w:noProof/>
                <w:webHidden/>
              </w:rPr>
              <w:fldChar w:fldCharType="begin"/>
            </w:r>
            <w:r w:rsidR="00FD5210" w:rsidRPr="00FA5739">
              <w:rPr>
                <w:noProof/>
                <w:webHidden/>
              </w:rPr>
              <w:instrText xml:space="preserve"> PAGEREF _Toc228461282 \h </w:instrText>
            </w:r>
            <w:r w:rsidRPr="00FA5739">
              <w:rPr>
                <w:noProof/>
                <w:webHidden/>
              </w:rPr>
            </w:r>
            <w:r w:rsidRPr="00FA5739">
              <w:rPr>
                <w:noProof/>
                <w:webHidden/>
              </w:rPr>
              <w:fldChar w:fldCharType="separate"/>
            </w:r>
            <w:r w:rsidR="009A5C47">
              <w:rPr>
                <w:noProof/>
                <w:webHidden/>
              </w:rPr>
              <w:t>44</w:t>
            </w:r>
            <w:r w:rsidRPr="00FA5739">
              <w:rPr>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83" w:history="1">
            <w:r w:rsidR="00FD5210" w:rsidRPr="00FA5739">
              <w:rPr>
                <w:rStyle w:val="Hyperlink"/>
                <w:rFonts w:ascii="Arial" w:hAnsi="Arial" w:cs="Arial"/>
                <w:noProof/>
              </w:rPr>
              <w:t>5.6 Chapter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45</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84" w:history="1">
            <w:r w:rsidR="00FD5210" w:rsidRPr="00FA5739">
              <w:rPr>
                <w:rStyle w:val="Hyperlink"/>
                <w:rFonts w:ascii="Arial" w:hAnsi="Arial" w:cs="Arial"/>
                <w:noProof/>
                <w:lang w:bidi="en-GB"/>
              </w:rPr>
              <w:t>CHAPTER 6: DISCUSSION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47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85" w:history="1">
            <w:r w:rsidR="00FD5210" w:rsidRPr="00FA5739">
              <w:rPr>
                <w:rStyle w:val="Hyperlink"/>
                <w:rFonts w:ascii="Arial" w:hAnsi="Arial" w:cs="Arial"/>
                <w:noProof/>
              </w:rPr>
              <w:t>6.1 Introduction to Chapter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47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86" w:history="1">
            <w:r w:rsidR="00FD5210" w:rsidRPr="00FA5739">
              <w:rPr>
                <w:rStyle w:val="Hyperlink"/>
                <w:rFonts w:ascii="Arial" w:hAnsi="Arial" w:cs="Arial"/>
                <w:noProof/>
              </w:rPr>
              <w:t>6.2 Discussion of Key findings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47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87" w:history="1">
            <w:r w:rsidR="00FD5210" w:rsidRPr="00FA5739">
              <w:rPr>
                <w:rStyle w:val="Hyperlink"/>
                <w:rFonts w:ascii="Arial" w:hAnsi="Arial" w:cs="Arial"/>
                <w:noProof/>
              </w:rPr>
              <w:t>6.3 Strengths and Limitations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50</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88" w:history="1">
            <w:r w:rsidR="00FD5210" w:rsidRPr="00FA5739">
              <w:rPr>
                <w:rStyle w:val="Hyperlink"/>
                <w:rFonts w:ascii="Arial" w:hAnsi="Arial" w:cs="Arial"/>
                <w:noProof/>
              </w:rPr>
              <w:t>6.4 Chapter Summary</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50</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89" w:history="1">
            <w:r w:rsidR="00FD5210" w:rsidRPr="00FA5739">
              <w:rPr>
                <w:rStyle w:val="Hyperlink"/>
                <w:rFonts w:ascii="Arial" w:hAnsi="Arial" w:cs="Arial"/>
                <w:noProof/>
                <w:lang w:bidi="en-GB"/>
              </w:rPr>
              <w:t>CHAPTER 7: RECOMMENDATIONS AND CONCLUSION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_Toc228461289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0" w:history="1">
            <w:r w:rsidR="00FD5210" w:rsidRPr="00FA5739">
              <w:rPr>
                <w:rStyle w:val="Hyperlink"/>
                <w:rFonts w:ascii="Arial" w:hAnsi="Arial" w:cs="Arial"/>
                <w:noProof/>
              </w:rPr>
              <w:t>7.1 Introduction to Chapter</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_Toc228461290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1" w:history="1">
            <w:r w:rsidR="00FD5210" w:rsidRPr="00FA5739">
              <w:rPr>
                <w:rStyle w:val="Hyperlink"/>
                <w:rFonts w:ascii="Arial" w:hAnsi="Arial" w:cs="Arial"/>
                <w:noProof/>
              </w:rPr>
              <w:t>7.2 Implications of findings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_Toc228461291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2" w:history="1">
            <w:r w:rsidR="00FD5210" w:rsidRPr="00FA5739">
              <w:rPr>
                <w:rStyle w:val="Hyperlink"/>
                <w:rFonts w:ascii="Arial" w:hAnsi="Arial" w:cs="Arial"/>
                <w:noProof/>
              </w:rPr>
              <w:t>7.3 Recommendations for Practice</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_Toc228461292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51</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3" w:history="1">
            <w:r w:rsidR="00FD5210" w:rsidRPr="00FA5739">
              <w:rPr>
                <w:rStyle w:val="Hyperlink"/>
                <w:rFonts w:ascii="Arial" w:hAnsi="Arial" w:cs="Arial"/>
                <w:noProof/>
              </w:rPr>
              <w:t>7.4 Recommendations for Future Research</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_Toc228461293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52</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4" w:history="1">
            <w:r w:rsidR="00FD5210" w:rsidRPr="00FA5739">
              <w:rPr>
                <w:rStyle w:val="Hyperlink"/>
                <w:rFonts w:ascii="Arial" w:hAnsi="Arial" w:cs="Arial"/>
                <w:noProof/>
              </w:rPr>
              <w:t>7.5 Conclusion</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_Toc228461294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52</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95" w:history="1">
            <w:r w:rsidR="00FD5210" w:rsidRPr="00FA5739">
              <w:rPr>
                <w:rStyle w:val="Hyperlink"/>
                <w:rFonts w:ascii="Arial" w:hAnsi="Arial" w:cs="Arial"/>
                <w:noProof/>
              </w:rPr>
              <w:t>REFERENCES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_Toc228461295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54</w:t>
            </w:r>
            <w:r w:rsidRPr="00FA5739">
              <w:rPr>
                <w:rFonts w:ascii="Arial" w:hAnsi="Arial" w:cs="Arial"/>
                <w:noProof/>
                <w:webHidden/>
              </w:rPr>
              <w:fldChar w:fldCharType="end"/>
            </w:r>
          </w:hyperlink>
        </w:p>
        <w:p w:rsidR="00FD5210" w:rsidRPr="00FA5739" w:rsidRDefault="00A33066" w:rsidP="00FA5739">
          <w:pPr>
            <w:pStyle w:val="TOC1"/>
            <w:tabs>
              <w:tab w:val="right" w:leader="dot" w:pos="9016"/>
            </w:tabs>
            <w:spacing w:line="360" w:lineRule="auto"/>
            <w:rPr>
              <w:rFonts w:ascii="Arial" w:eastAsiaTheme="minorEastAsia" w:hAnsi="Arial" w:cs="Arial"/>
              <w:noProof/>
              <w:kern w:val="2"/>
              <w:lang w:val="en-IN" w:eastAsia="en-IN"/>
            </w:rPr>
          </w:pPr>
          <w:hyperlink w:anchor="_Toc228461296" w:history="1">
            <w:r w:rsidR="00FD5210" w:rsidRPr="00FA5739">
              <w:rPr>
                <w:rStyle w:val="Hyperlink"/>
                <w:rFonts w:ascii="Arial" w:hAnsi="Arial" w:cs="Arial"/>
                <w:noProof/>
              </w:rPr>
              <w:t>APPENDICES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_Toc228461296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66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7" w:history="1">
            <w:r w:rsidR="00FD5210" w:rsidRPr="00FA5739">
              <w:rPr>
                <w:rStyle w:val="Hyperlink"/>
                <w:rFonts w:ascii="Arial" w:hAnsi="Arial" w:cs="Arial"/>
                <w:noProof/>
              </w:rPr>
              <w:t>Appendix 1: Data extraction table</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_Toc228461297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66</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8" w:history="1">
            <w:r w:rsidR="00FD5210" w:rsidRPr="00FA5739">
              <w:rPr>
                <w:rStyle w:val="Hyperlink"/>
                <w:rFonts w:ascii="Arial" w:hAnsi="Arial" w:cs="Arial"/>
                <w:noProof/>
              </w:rPr>
              <w:t>Appendix 2: Quality assessment of quantitative studies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_Toc228461298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77</w:t>
            </w:r>
            <w:r w:rsidRPr="00FA5739">
              <w:rPr>
                <w:rFonts w:ascii="Arial" w:hAnsi="Arial" w:cs="Arial"/>
                <w:noProof/>
                <w:webHidden/>
              </w:rPr>
              <w:fldChar w:fldCharType="end"/>
            </w:r>
          </w:hyperlink>
        </w:p>
        <w:p w:rsidR="00FD5210" w:rsidRPr="00FA5739" w:rsidRDefault="00A33066" w:rsidP="00FA5739">
          <w:pPr>
            <w:pStyle w:val="TOC2"/>
            <w:tabs>
              <w:tab w:val="right" w:leader="dot" w:pos="9016"/>
            </w:tabs>
            <w:spacing w:line="360" w:lineRule="auto"/>
            <w:rPr>
              <w:rFonts w:ascii="Arial" w:eastAsiaTheme="minorEastAsia" w:hAnsi="Arial" w:cs="Arial"/>
              <w:noProof/>
              <w:kern w:val="2"/>
              <w:lang w:val="en-IN" w:eastAsia="en-IN"/>
            </w:rPr>
          </w:pPr>
          <w:hyperlink w:anchor="_Toc228461299" w:history="1">
            <w:r w:rsidR="00FD5210" w:rsidRPr="00FA5739">
              <w:rPr>
                <w:rStyle w:val="Hyperlink"/>
                <w:rFonts w:ascii="Arial" w:hAnsi="Arial" w:cs="Arial"/>
                <w:noProof/>
              </w:rPr>
              <w:t>Appendix 3: Quality assessment of qualitative studies</w:t>
            </w:r>
            <w:r w:rsidR="00FD5210" w:rsidRPr="00FA5739">
              <w:rPr>
                <w:rFonts w:ascii="Arial" w:hAnsi="Arial" w:cs="Arial"/>
                <w:noProof/>
                <w:webHidden/>
              </w:rPr>
              <w:tab/>
            </w:r>
            <w:r w:rsidRPr="00FA5739">
              <w:rPr>
                <w:rFonts w:ascii="Arial" w:hAnsi="Arial" w:cs="Arial"/>
                <w:noProof/>
                <w:webHidden/>
              </w:rPr>
              <w:fldChar w:fldCharType="begin"/>
            </w:r>
            <w:r w:rsidR="00FD5210" w:rsidRPr="00FA5739">
              <w:rPr>
                <w:rFonts w:ascii="Arial" w:hAnsi="Arial" w:cs="Arial"/>
                <w:noProof/>
                <w:webHidden/>
              </w:rPr>
              <w:instrText xml:space="preserve"> PAGEREF _Toc228461299 \h </w:instrText>
            </w:r>
            <w:r w:rsidRPr="00FA5739">
              <w:rPr>
                <w:rFonts w:ascii="Arial" w:hAnsi="Arial" w:cs="Arial"/>
                <w:noProof/>
                <w:webHidden/>
              </w:rPr>
            </w:r>
            <w:r w:rsidRPr="00FA5739">
              <w:rPr>
                <w:rFonts w:ascii="Arial" w:hAnsi="Arial" w:cs="Arial"/>
                <w:noProof/>
                <w:webHidden/>
              </w:rPr>
              <w:fldChar w:fldCharType="separate"/>
            </w:r>
            <w:r w:rsidR="009A5C47">
              <w:rPr>
                <w:rFonts w:ascii="Arial" w:hAnsi="Arial" w:cs="Arial"/>
                <w:noProof/>
                <w:webHidden/>
              </w:rPr>
              <w:t>79</w:t>
            </w:r>
            <w:r w:rsidRPr="00FA5739">
              <w:rPr>
                <w:rFonts w:ascii="Arial" w:hAnsi="Arial" w:cs="Arial"/>
                <w:noProof/>
                <w:webHidden/>
              </w:rPr>
              <w:fldChar w:fldCharType="end"/>
            </w:r>
          </w:hyperlink>
        </w:p>
        <w:p w:rsidR="00FD5210" w:rsidRPr="00FA5739" w:rsidRDefault="00A33066" w:rsidP="00FA5739">
          <w:r w:rsidRPr="00FA5739">
            <w:rPr>
              <w:b/>
              <w:bCs/>
              <w:noProof/>
            </w:rPr>
            <w:fldChar w:fldCharType="end"/>
          </w:r>
        </w:p>
      </w:sdtContent>
    </w:sdt>
    <w:p w:rsidR="005C2C7A" w:rsidRPr="00FA5739" w:rsidRDefault="005C2C7A" w:rsidP="00FA5739"/>
    <w:p w:rsidR="00371FF8" w:rsidRDefault="00371FF8" w:rsidP="00371FF8">
      <w:pPr>
        <w:rPr>
          <w:rFonts w:eastAsiaTheme="minorHAnsi"/>
          <w:lang w:eastAsia="en-US" w:bidi="ar-SA"/>
        </w:rPr>
      </w:pPr>
      <w:bookmarkStart w:id="1" w:name="_Hlk132185196"/>
      <w:r>
        <w:br w:type="page"/>
      </w:r>
    </w:p>
    <w:p w:rsidR="005F4CBF" w:rsidRPr="00984E2B" w:rsidRDefault="00CE29E9" w:rsidP="00984E2B">
      <w:pPr>
        <w:pStyle w:val="TableofFigures"/>
        <w:jc w:val="center"/>
        <w:rPr>
          <w:rFonts w:ascii="Arial" w:hAnsi="Arial" w:cs="Arial"/>
          <w:b/>
          <w:bCs/>
          <w:sz w:val="28"/>
          <w:szCs w:val="28"/>
        </w:rPr>
      </w:pPr>
      <w:r w:rsidRPr="00984E2B">
        <w:rPr>
          <w:rFonts w:ascii="Arial" w:hAnsi="Arial" w:cs="Arial"/>
          <w:b/>
          <w:bCs/>
          <w:sz w:val="28"/>
          <w:szCs w:val="28"/>
        </w:rPr>
        <w:lastRenderedPageBreak/>
        <w:t>LIST OF TABLES</w:t>
      </w:r>
    </w:p>
    <w:bookmarkEnd w:id="1"/>
    <w:p w:rsidR="005F4CBF" w:rsidRDefault="005F4CBF" w:rsidP="00371FF8">
      <w:pPr>
        <w:pStyle w:val="TableofFigures"/>
      </w:pPr>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r w:rsidRPr="00A33066">
        <w:fldChar w:fldCharType="begin"/>
      </w:r>
      <w:r w:rsidR="00984E2B">
        <w:instrText xml:space="preserve"> TOC \h \z \t "Heading 5" \c "Table" </w:instrText>
      </w:r>
      <w:r w:rsidRPr="00A33066">
        <w:fldChar w:fldCharType="separate"/>
      </w:r>
      <w:hyperlink w:anchor="_Toc228461194" w:history="1">
        <w:r w:rsidR="00984E2B" w:rsidRPr="00984E2B">
          <w:rPr>
            <w:rStyle w:val="Hyperlink"/>
            <w:rFonts w:ascii="Arial" w:hAnsi="Arial" w:cs="Arial"/>
            <w:noProof/>
            <w:color w:val="auto"/>
            <w:lang w:bidi="en-GB"/>
          </w:rPr>
          <w:t>Table 3.1: PICO Framework</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_Toc228461194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29</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95" w:history="1">
        <w:r w:rsidR="00984E2B" w:rsidRPr="00984E2B">
          <w:rPr>
            <w:rStyle w:val="Hyperlink"/>
            <w:rFonts w:ascii="Arial" w:hAnsi="Arial" w:cs="Arial"/>
            <w:noProof/>
            <w:color w:val="auto"/>
            <w:lang w:bidi="en-GB"/>
          </w:rPr>
          <w:t>Table 5.1: Themes and Sub Themes</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_Toc228461195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43</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96" w:history="1">
        <w:r w:rsidR="00984E2B" w:rsidRPr="00984E2B">
          <w:rPr>
            <w:rStyle w:val="Hyperlink"/>
            <w:rFonts w:ascii="Arial" w:hAnsi="Arial" w:cs="Arial"/>
            <w:noProof/>
            <w:color w:val="auto"/>
            <w:lang w:bidi="en-GB"/>
          </w:rPr>
          <w:t>Table 1</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_Toc228461196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76</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97" w:history="1">
        <w:r w:rsidR="00984E2B" w:rsidRPr="00984E2B">
          <w:rPr>
            <w:rStyle w:val="Hyperlink"/>
            <w:rFonts w:ascii="Arial" w:hAnsi="Arial" w:cs="Arial"/>
            <w:noProof/>
            <w:color w:val="auto"/>
            <w:lang w:bidi="en-GB"/>
          </w:rPr>
          <w:t>Table 2</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_Toc228461197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78</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98" w:history="1">
        <w:r w:rsidR="00984E2B" w:rsidRPr="00984E2B">
          <w:rPr>
            <w:rStyle w:val="Hyperlink"/>
            <w:rFonts w:ascii="Arial" w:hAnsi="Arial" w:cs="Arial"/>
            <w:noProof/>
            <w:color w:val="auto"/>
            <w:lang w:bidi="en-GB"/>
          </w:rPr>
          <w:t>Table 3</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_Toc228461198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78</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99" w:history="1">
        <w:r w:rsidR="00984E2B" w:rsidRPr="00984E2B">
          <w:rPr>
            <w:rStyle w:val="Hyperlink"/>
            <w:rFonts w:ascii="Arial" w:hAnsi="Arial" w:cs="Arial"/>
            <w:noProof/>
            <w:color w:val="auto"/>
            <w:lang w:bidi="en-GB"/>
          </w:rPr>
          <w:t>Table 4</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_Toc228461199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79</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200" w:history="1">
        <w:r w:rsidR="00984E2B" w:rsidRPr="00984E2B">
          <w:rPr>
            <w:rStyle w:val="Hyperlink"/>
            <w:rFonts w:ascii="Arial" w:hAnsi="Arial" w:cs="Arial"/>
            <w:noProof/>
            <w:color w:val="auto"/>
            <w:lang w:bidi="en-GB"/>
          </w:rPr>
          <w:t>Table 5</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_Toc228461200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80</w:t>
        </w:r>
        <w:r w:rsidRPr="00984E2B">
          <w:rPr>
            <w:rFonts w:ascii="Arial" w:hAnsi="Arial" w:cs="Arial"/>
            <w:noProof/>
            <w:webHidden/>
          </w:rPr>
          <w:fldChar w:fldCharType="end"/>
        </w:r>
      </w:hyperlink>
    </w:p>
    <w:p w:rsidR="00117BFE" w:rsidRDefault="00A33066" w:rsidP="00371FF8">
      <w:pPr>
        <w:rPr>
          <w:lang w:eastAsia="en-US" w:bidi="ar-SA"/>
        </w:rPr>
      </w:pPr>
      <w:r>
        <w:rPr>
          <w:lang w:eastAsia="en-US" w:bidi="ar-SA"/>
        </w:rPr>
        <w:fldChar w:fldCharType="end"/>
      </w:r>
    </w:p>
    <w:p w:rsidR="00117BFE" w:rsidRDefault="00117BFE" w:rsidP="00371FF8">
      <w:pPr>
        <w:rPr>
          <w:lang w:eastAsia="en-US" w:bidi="ar-SA"/>
        </w:rPr>
      </w:pPr>
    </w:p>
    <w:p w:rsidR="00713568" w:rsidRDefault="00713568" w:rsidP="00371FF8">
      <w:pPr>
        <w:pStyle w:val="TableofFigures"/>
      </w:pPr>
    </w:p>
    <w:p w:rsidR="00713568" w:rsidRDefault="00713568" w:rsidP="00371FF8">
      <w:pPr>
        <w:pStyle w:val="TableofFigures"/>
      </w:pPr>
    </w:p>
    <w:p w:rsidR="00371FF8" w:rsidRDefault="00371FF8" w:rsidP="00371FF8">
      <w:pPr>
        <w:rPr>
          <w:rFonts w:eastAsiaTheme="minorHAnsi"/>
          <w:lang w:eastAsia="en-US" w:bidi="ar-SA"/>
        </w:rPr>
      </w:pPr>
      <w:r>
        <w:br w:type="page"/>
      </w:r>
    </w:p>
    <w:p w:rsidR="00371FF8" w:rsidRDefault="00CE29E9" w:rsidP="00371FF8">
      <w:pPr>
        <w:pStyle w:val="TableofFigures"/>
        <w:spacing w:line="360" w:lineRule="auto"/>
        <w:rPr>
          <w:rFonts w:ascii="Arial" w:hAnsi="Arial" w:cs="Arial"/>
          <w:b/>
          <w:bCs/>
          <w:sz w:val="28"/>
          <w:szCs w:val="28"/>
        </w:rPr>
      </w:pPr>
      <w:r w:rsidRPr="00371FF8">
        <w:rPr>
          <w:rFonts w:ascii="Arial" w:hAnsi="Arial" w:cs="Arial"/>
          <w:b/>
          <w:bCs/>
          <w:sz w:val="28"/>
          <w:szCs w:val="28"/>
        </w:rPr>
        <w:lastRenderedPageBreak/>
        <w:t>LIST OF FIGURES</w:t>
      </w:r>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r w:rsidRPr="00A33066">
        <w:rPr>
          <w:rFonts w:ascii="Arial" w:hAnsi="Arial" w:cs="Arial"/>
        </w:rPr>
        <w:fldChar w:fldCharType="begin"/>
      </w:r>
      <w:r w:rsidR="00371FF8" w:rsidRPr="00371FF8">
        <w:rPr>
          <w:rFonts w:ascii="Arial" w:hAnsi="Arial" w:cs="Arial"/>
        </w:rPr>
        <w:instrText xml:space="preserve"> TOC \h \z \t "Heading 4" \c "Figure" </w:instrText>
      </w:r>
      <w:r w:rsidRPr="00A33066">
        <w:rPr>
          <w:rFonts w:ascii="Arial" w:hAnsi="Arial" w:cs="Arial"/>
        </w:rPr>
        <w:fldChar w:fldCharType="separate"/>
      </w:r>
      <w:hyperlink w:anchor="_Toc228461152" w:history="1">
        <w:r w:rsidR="00984E2B" w:rsidRPr="00984E2B">
          <w:rPr>
            <w:rStyle w:val="Hyperlink"/>
            <w:rFonts w:ascii="Arial" w:eastAsia="Arial" w:hAnsi="Arial" w:cs="Arial"/>
            <w:noProof/>
          </w:rPr>
          <w:t>Figure 1.1:Digital diabetes for diabetes prevention</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_Toc228461152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15</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3" w:history="1">
        <w:r w:rsidR="00984E2B" w:rsidRPr="00984E2B">
          <w:rPr>
            <w:rStyle w:val="Hyperlink"/>
            <w:rFonts w:ascii="Arial" w:eastAsia="Arial" w:hAnsi="Arial" w:cs="Arial"/>
            <w:noProof/>
          </w:rPr>
          <w:t>Figure 1.2:Plant-Based Diets and Phytochemicals in the Management of Diabetes</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_Toc228461153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16</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4" w:history="1">
        <w:r w:rsidR="00984E2B" w:rsidRPr="00984E2B">
          <w:rPr>
            <w:rStyle w:val="Hyperlink"/>
            <w:rFonts w:ascii="Arial" w:eastAsia="Arial" w:hAnsi="Arial" w:cs="Arial"/>
            <w:noProof/>
          </w:rPr>
          <w:t>Figure 1.3:Digital Health in Diabetes Care</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_Toc228461154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17</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5" w:history="1">
        <w:r w:rsidR="00984E2B" w:rsidRPr="00984E2B">
          <w:rPr>
            <w:rStyle w:val="Hyperlink"/>
            <w:rFonts w:ascii="Arial" w:hAnsi="Arial" w:cs="Arial"/>
            <w:noProof/>
          </w:rPr>
          <w:t>Figure 2.1: Digital health market development</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_Toc228461155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20</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6" w:history="1">
        <w:r w:rsidR="00984E2B" w:rsidRPr="00984E2B">
          <w:rPr>
            <w:rStyle w:val="Hyperlink"/>
            <w:rFonts w:ascii="Arial" w:hAnsi="Arial" w:cs="Arial"/>
            <w:noProof/>
          </w:rPr>
          <w:t>Figure 2.2: Impact of diabetes clinic</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_Toc228461156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21</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7" w:history="1">
        <w:r w:rsidR="00984E2B" w:rsidRPr="00984E2B">
          <w:rPr>
            <w:rStyle w:val="Hyperlink"/>
            <w:rFonts w:ascii="Arial" w:hAnsi="Arial" w:cs="Arial"/>
            <w:noProof/>
          </w:rPr>
          <w:t>Figure 2.3: Digital tools</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_Toc228461157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22</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8" w:history="1">
        <w:r w:rsidR="00984E2B" w:rsidRPr="00984E2B">
          <w:rPr>
            <w:rStyle w:val="Hyperlink"/>
            <w:rFonts w:ascii="Arial" w:hAnsi="Arial" w:cs="Arial"/>
            <w:noProof/>
          </w:rPr>
          <w:t>Figure 2.4: The health belief model</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_Toc228461158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25</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59" w:history="1">
        <w:r w:rsidR="00984E2B" w:rsidRPr="00984E2B">
          <w:rPr>
            <w:rStyle w:val="Hyperlink"/>
            <w:rFonts w:ascii="Arial" w:hAnsi="Arial" w:cs="Arial"/>
            <w:noProof/>
          </w:rPr>
          <w:t>Figure 2.5: Technology acceptance model</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_Toc228461159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26</w:t>
        </w:r>
        <w:r w:rsidRPr="00984E2B">
          <w:rPr>
            <w:rFonts w:ascii="Arial" w:hAnsi="Arial" w:cs="Arial"/>
            <w:noProof/>
            <w:webHidden/>
          </w:rPr>
          <w:fldChar w:fldCharType="end"/>
        </w:r>
      </w:hyperlink>
    </w:p>
    <w:p w:rsidR="00984E2B" w:rsidRPr="00984E2B" w:rsidRDefault="00A33066" w:rsidP="00984E2B">
      <w:pPr>
        <w:pStyle w:val="TableofFigures"/>
        <w:tabs>
          <w:tab w:val="right" w:leader="dot" w:pos="9016"/>
        </w:tabs>
        <w:spacing w:line="360" w:lineRule="auto"/>
        <w:rPr>
          <w:rFonts w:ascii="Arial" w:eastAsiaTheme="minorEastAsia" w:hAnsi="Arial" w:cs="Arial"/>
          <w:noProof/>
          <w:kern w:val="2"/>
          <w:sz w:val="24"/>
          <w:szCs w:val="24"/>
          <w:lang w:val="en-IN" w:eastAsia="en-IN"/>
        </w:rPr>
      </w:pPr>
      <w:hyperlink w:anchor="_Toc228461160" w:history="1">
        <w:r w:rsidR="00984E2B" w:rsidRPr="00984E2B">
          <w:rPr>
            <w:rStyle w:val="Hyperlink"/>
            <w:rFonts w:ascii="Arial" w:hAnsi="Arial" w:cs="Arial"/>
            <w:noProof/>
          </w:rPr>
          <w:t>Figure 3.1: PRISMA flow chart</w:t>
        </w:r>
        <w:r w:rsidR="00984E2B" w:rsidRPr="00984E2B">
          <w:rPr>
            <w:rFonts w:ascii="Arial" w:hAnsi="Arial" w:cs="Arial"/>
            <w:noProof/>
            <w:webHidden/>
          </w:rPr>
          <w:tab/>
        </w:r>
        <w:r w:rsidRPr="00984E2B">
          <w:rPr>
            <w:rFonts w:ascii="Arial" w:hAnsi="Arial" w:cs="Arial"/>
            <w:noProof/>
            <w:webHidden/>
          </w:rPr>
          <w:fldChar w:fldCharType="begin"/>
        </w:r>
        <w:r w:rsidR="00984E2B" w:rsidRPr="00984E2B">
          <w:rPr>
            <w:rFonts w:ascii="Arial" w:hAnsi="Arial" w:cs="Arial"/>
            <w:noProof/>
            <w:webHidden/>
          </w:rPr>
          <w:instrText xml:space="preserve"> PAGEREF _Toc228461160 \h </w:instrText>
        </w:r>
        <w:r w:rsidRPr="00984E2B">
          <w:rPr>
            <w:rFonts w:ascii="Arial" w:hAnsi="Arial" w:cs="Arial"/>
            <w:noProof/>
            <w:webHidden/>
          </w:rPr>
        </w:r>
        <w:r w:rsidRPr="00984E2B">
          <w:rPr>
            <w:rFonts w:ascii="Arial" w:hAnsi="Arial" w:cs="Arial"/>
            <w:noProof/>
            <w:webHidden/>
          </w:rPr>
          <w:fldChar w:fldCharType="separate"/>
        </w:r>
        <w:r w:rsidR="00984E2B" w:rsidRPr="00984E2B">
          <w:rPr>
            <w:rFonts w:ascii="Arial" w:hAnsi="Arial" w:cs="Arial"/>
            <w:noProof/>
            <w:webHidden/>
          </w:rPr>
          <w:t>32</w:t>
        </w:r>
        <w:r w:rsidRPr="00984E2B">
          <w:rPr>
            <w:rFonts w:ascii="Arial" w:hAnsi="Arial" w:cs="Arial"/>
            <w:noProof/>
            <w:webHidden/>
          </w:rPr>
          <w:fldChar w:fldCharType="end"/>
        </w:r>
      </w:hyperlink>
    </w:p>
    <w:p w:rsidR="00371FF8" w:rsidRPr="00371FF8" w:rsidRDefault="00A33066" w:rsidP="00371FF8">
      <w:pPr>
        <w:rPr>
          <w:lang w:eastAsia="en-US" w:bidi="ar-SA"/>
        </w:rPr>
      </w:pPr>
      <w:r w:rsidRPr="00371FF8">
        <w:rPr>
          <w:lang w:eastAsia="en-US" w:bidi="ar-SA"/>
        </w:rPr>
        <w:fldChar w:fldCharType="end"/>
      </w:r>
    </w:p>
    <w:p w:rsidR="00371FF8" w:rsidRDefault="00371FF8">
      <w:pPr>
        <w:spacing w:line="240" w:lineRule="auto"/>
        <w:jc w:val="left"/>
        <w:rPr>
          <w:b/>
          <w:bCs/>
          <w:sz w:val="28"/>
          <w:szCs w:val="28"/>
          <w:lang w:eastAsia="en-US" w:bidi="ar-SA"/>
        </w:rPr>
      </w:pPr>
      <w:r>
        <w:rPr>
          <w:b/>
          <w:bCs/>
          <w:sz w:val="28"/>
          <w:szCs w:val="28"/>
          <w:lang w:eastAsia="en-US" w:bidi="ar-SA"/>
        </w:rPr>
        <w:br w:type="page"/>
      </w:r>
    </w:p>
    <w:p w:rsidR="006018FE" w:rsidRPr="00371FF8" w:rsidRDefault="00713568" w:rsidP="00371FF8">
      <w:pPr>
        <w:jc w:val="center"/>
        <w:rPr>
          <w:b/>
          <w:bCs/>
          <w:sz w:val="28"/>
          <w:szCs w:val="28"/>
          <w:lang w:eastAsia="en-US" w:bidi="ar-SA"/>
        </w:rPr>
      </w:pPr>
      <w:r w:rsidRPr="00371FF8">
        <w:rPr>
          <w:b/>
          <w:bCs/>
          <w:sz w:val="28"/>
          <w:szCs w:val="28"/>
          <w:lang w:eastAsia="en-US" w:bidi="ar-SA"/>
        </w:rPr>
        <w:lastRenderedPageBreak/>
        <w:t>ABBREVIATIONS</w:t>
      </w:r>
    </w:p>
    <w:p w:rsidR="00371FF8" w:rsidRPr="00371FF8" w:rsidRDefault="00371FF8" w:rsidP="00371FF8">
      <w:pPr>
        <w:rPr>
          <w:lang w:eastAsia="en-IN" w:bidi="ar-SA"/>
        </w:rPr>
      </w:pPr>
      <w:r w:rsidRPr="00371FF8">
        <w:rPr>
          <w:lang w:eastAsia="en-IN" w:bidi="ar-SA"/>
        </w:rPr>
        <w:t>T2D: Type 2 diabetes</w:t>
      </w:r>
    </w:p>
    <w:p w:rsidR="00371FF8" w:rsidRPr="00371FF8" w:rsidRDefault="00371FF8" w:rsidP="00371FF8">
      <w:pPr>
        <w:rPr>
          <w:lang w:eastAsia="en-IN" w:bidi="ar-SA"/>
        </w:rPr>
      </w:pPr>
      <w:r w:rsidRPr="00371FF8">
        <w:rPr>
          <w:lang w:eastAsia="en-IN" w:bidi="ar-SA"/>
        </w:rPr>
        <w:t xml:space="preserve">DHIs: Digital health interventions </w:t>
      </w:r>
    </w:p>
    <w:p w:rsidR="00371FF8" w:rsidRPr="00371FF8" w:rsidRDefault="00371FF8" w:rsidP="00371FF8">
      <w:pPr>
        <w:rPr>
          <w:lang w:eastAsia="en-IN" w:bidi="ar-SA"/>
        </w:rPr>
      </w:pPr>
      <w:r w:rsidRPr="00371FF8">
        <w:rPr>
          <w:lang w:eastAsia="en-IN" w:bidi="ar-SA"/>
        </w:rPr>
        <w:t xml:space="preserve">mHealth: Mobile Health </w:t>
      </w:r>
    </w:p>
    <w:p w:rsidR="00371FF8" w:rsidRPr="00371FF8" w:rsidRDefault="00371FF8" w:rsidP="00371FF8">
      <w:pPr>
        <w:rPr>
          <w:lang w:eastAsia="en-IN" w:bidi="ar-SA"/>
        </w:rPr>
      </w:pPr>
      <w:r w:rsidRPr="00371FF8">
        <w:rPr>
          <w:lang w:eastAsia="en-IN" w:bidi="ar-SA"/>
        </w:rPr>
        <w:t xml:space="preserve">UK: United Kingdom </w:t>
      </w:r>
    </w:p>
    <w:p w:rsidR="00371FF8" w:rsidRPr="00371FF8" w:rsidRDefault="00371FF8" w:rsidP="00371FF8">
      <w:pPr>
        <w:rPr>
          <w:lang w:eastAsia="en-IN" w:bidi="ar-SA"/>
        </w:rPr>
      </w:pPr>
      <w:r w:rsidRPr="00371FF8">
        <w:rPr>
          <w:lang w:eastAsia="en-IN" w:bidi="ar-SA"/>
        </w:rPr>
        <w:t xml:space="preserve">SLR: Systematic Literature Review </w:t>
      </w:r>
    </w:p>
    <w:p w:rsidR="00371FF8" w:rsidRPr="00371FF8" w:rsidRDefault="00371FF8" w:rsidP="00371FF8">
      <w:pPr>
        <w:rPr>
          <w:lang w:eastAsia="en-IN" w:bidi="ar-SA"/>
        </w:rPr>
      </w:pPr>
      <w:r w:rsidRPr="00371FF8">
        <w:rPr>
          <w:lang w:eastAsia="en-IN" w:bidi="ar-SA"/>
        </w:rPr>
        <w:t xml:space="preserve">PICO: Population, Intervention, Comparison and Outcome Framework </w:t>
      </w:r>
    </w:p>
    <w:p w:rsidR="00371FF8" w:rsidRPr="00371FF8" w:rsidRDefault="00371FF8" w:rsidP="00371FF8">
      <w:pPr>
        <w:rPr>
          <w:lang w:eastAsia="en-IN" w:bidi="ar-SA"/>
        </w:rPr>
      </w:pPr>
      <w:r w:rsidRPr="00371FF8">
        <w:rPr>
          <w:lang w:eastAsia="en-IN" w:bidi="ar-SA"/>
        </w:rPr>
        <w:t xml:space="preserve">PRISMA: Preferred Reporting Items for Systematic Reviews and Meta-Analyses </w:t>
      </w:r>
    </w:p>
    <w:p w:rsidR="00371FF8" w:rsidRPr="00371FF8" w:rsidRDefault="00371FF8" w:rsidP="00371FF8">
      <w:pPr>
        <w:rPr>
          <w:lang w:eastAsia="en-IN"/>
        </w:rPr>
      </w:pPr>
      <w:r w:rsidRPr="00371FF8">
        <w:rPr>
          <w:lang w:eastAsia="en-IN"/>
        </w:rPr>
        <w:t xml:space="preserve">CASP: Critical Appraisal Skills Programme tool </w:t>
      </w:r>
    </w:p>
    <w:p w:rsidR="00371FF8" w:rsidRPr="00371FF8" w:rsidRDefault="00371FF8" w:rsidP="00371FF8">
      <w:pPr>
        <w:rPr>
          <w:lang w:eastAsia="en-IN" w:bidi="ar-SA"/>
        </w:rPr>
      </w:pPr>
      <w:r w:rsidRPr="00371FF8">
        <w:rPr>
          <w:lang w:eastAsia="en-IN" w:bidi="ar-SA"/>
        </w:rPr>
        <w:t xml:space="preserve">JBI: Joanna Briggs Institute </w:t>
      </w:r>
    </w:p>
    <w:p w:rsidR="006018FE" w:rsidRDefault="00371FF8" w:rsidP="00371FF8">
      <w:pPr>
        <w:rPr>
          <w:lang w:eastAsia="en-IN" w:bidi="ar-SA"/>
        </w:rPr>
      </w:pPr>
      <w:r w:rsidRPr="00371FF8">
        <w:rPr>
          <w:lang w:eastAsia="en-IN" w:bidi="ar-SA"/>
        </w:rPr>
        <w:t>NOS: Newcastle-Ottawa Scale </w:t>
      </w:r>
    </w:p>
    <w:p w:rsidR="005B426E" w:rsidRPr="006D31AE" w:rsidRDefault="005B426E" w:rsidP="00371FF8">
      <w:pPr>
        <w:rPr>
          <w:rFonts w:eastAsia="Times New Roman"/>
          <w:kern w:val="22"/>
          <w:sz w:val="24"/>
          <w:szCs w:val="24"/>
        </w:rPr>
      </w:pPr>
      <w:r>
        <w:rPr>
          <w:lang w:eastAsia="en-IN" w:bidi="ar-SA"/>
        </w:rPr>
        <w:t xml:space="preserve">AI: Artificial Intelligence </w:t>
      </w:r>
    </w:p>
    <w:p w:rsidR="006018FE" w:rsidRPr="006D31AE" w:rsidRDefault="006018FE" w:rsidP="00371FF8"/>
    <w:p w:rsidR="006018FE" w:rsidRPr="006D31AE" w:rsidRDefault="006018FE" w:rsidP="00371FF8"/>
    <w:p w:rsidR="006018FE" w:rsidRDefault="006018FE"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D40127" w:rsidRDefault="00D40127" w:rsidP="00371FF8"/>
    <w:p w:rsidR="006018FE" w:rsidRPr="005A3315" w:rsidRDefault="006018FE" w:rsidP="00371FF8"/>
    <w:p w:rsidR="00CB2B31" w:rsidRPr="00371FF8" w:rsidRDefault="005C2C7A" w:rsidP="00371FF8">
      <w:pPr>
        <w:pStyle w:val="Heading1"/>
      </w:pPr>
      <w:bookmarkStart w:id="2" w:name="_Toc228461232"/>
      <w:r w:rsidRPr="00371FF8">
        <w:t>CHAPTE</w:t>
      </w:r>
      <w:r w:rsidR="00C764A3" w:rsidRPr="00371FF8">
        <w:t xml:space="preserve">R 1: </w:t>
      </w:r>
      <w:r w:rsidR="009E0439" w:rsidRPr="00371FF8">
        <w:t>INTRODUCTION AND BACKGROUND</w:t>
      </w:r>
      <w:bookmarkEnd w:id="2"/>
    </w:p>
    <w:p w:rsidR="00371FF8" w:rsidRPr="00371FF8" w:rsidRDefault="00371FF8" w:rsidP="00371FF8">
      <w:pPr>
        <w:pStyle w:val="Heading2"/>
      </w:pPr>
      <w:bookmarkStart w:id="3" w:name="_Toc228366993"/>
      <w:bookmarkStart w:id="4" w:name="_Toc228461233"/>
      <w:r w:rsidRPr="00371FF8">
        <w:t>1.1 Introduction to the Topic</w:t>
      </w:r>
      <w:bookmarkEnd w:id="3"/>
      <w:bookmarkEnd w:id="4"/>
    </w:p>
    <w:p w:rsidR="00371FF8" w:rsidRPr="00E50FAB" w:rsidRDefault="00371FF8" w:rsidP="00371FF8">
      <w:pPr>
        <w:rPr>
          <w:lang w:val="en-IN" w:eastAsia="en-IN" w:bidi="ar-SA"/>
        </w:rPr>
      </w:pPr>
      <w:r w:rsidRPr="00371FF8">
        <w:rPr>
          <w:lang w:eastAsia="en-IN" w:bidi="ar-SA"/>
        </w:rPr>
        <w:t xml:space="preserve">Type 2 diabetes (T2D) is a persistent metabolic condition that involves insulin resistance and insulin impaired sugar control and can be preceded by a period of prediabetes that is characterised by intermediate hyperglycaemia (Nanditha </w:t>
      </w:r>
      <w:r w:rsidRPr="00371FF8">
        <w:rPr>
          <w:i/>
          <w:iCs/>
          <w:lang w:eastAsia="en-IN" w:bidi="ar-SA"/>
        </w:rPr>
        <w:t>et al.,</w:t>
      </w:r>
      <w:r w:rsidRPr="00371FF8">
        <w:rPr>
          <w:lang w:eastAsia="en-IN" w:bidi="ar-SA"/>
        </w:rPr>
        <w:t xml:space="preserve"> 2020). It constitutes a significant and localized world-wide health problem, whose prevalence trend is projected to increase exponentially, causing strain on health care and population systems across the globe. </w:t>
      </w:r>
      <w:r w:rsidR="00E50FAB" w:rsidRPr="00BC08F0">
        <w:rPr>
          <w:lang w:val="en-IN" w:eastAsia="en-IN" w:bidi="ar-SA"/>
        </w:rPr>
        <w:t xml:space="preserve">If this chronic condition is left untreated, then it can cause heart diseases, sometimes stroke, damage the kidneys, nerves, and eyes, which can lead to blindness. </w:t>
      </w:r>
      <w:r w:rsidRPr="00371FF8">
        <w:rPr>
          <w:lang w:eastAsia="en-IN" w:bidi="ar-SA"/>
        </w:rPr>
        <w:t xml:space="preserve">Digital health promotion can be referred to as the application of technologies, including mobile applications, telehealth, and SMS-based interventions, in health education, behaviour change, and managing diseases (Kerr </w:t>
      </w:r>
      <w:r w:rsidRPr="00371FF8">
        <w:rPr>
          <w:i/>
          <w:iCs/>
          <w:lang w:eastAsia="en-IN" w:bidi="ar-SA"/>
        </w:rPr>
        <w:t>et al.</w:t>
      </w:r>
      <w:r w:rsidRPr="00371FF8">
        <w:rPr>
          <w:lang w:eastAsia="en-IN" w:bidi="ar-SA"/>
        </w:rPr>
        <w:t xml:space="preserve"> 2024).</w:t>
      </w:r>
    </w:p>
    <w:p w:rsidR="00371FF8" w:rsidRPr="00371FF8" w:rsidRDefault="00371FF8" w:rsidP="00371FF8">
      <w:pPr>
        <w:rPr>
          <w:lang w:eastAsia="en-IN" w:bidi="ar-SA"/>
        </w:rPr>
      </w:pPr>
      <w:r w:rsidRPr="00371FF8">
        <w:rPr>
          <w:lang w:eastAsia="en-IN" w:bidi="ar-SA"/>
        </w:rPr>
        <w:t>This paper is about how digital health intervention can help to prevent and self-manage T2D in adults, with special reference to the situation in the global world</w:t>
      </w:r>
      <w:r w:rsidR="002B1A50">
        <w:rPr>
          <w:lang w:eastAsia="en-IN" w:bidi="ar-SA"/>
        </w:rPr>
        <w:t xml:space="preserve">, </w:t>
      </w:r>
      <w:r w:rsidR="002B1A50" w:rsidRPr="00BC08F0">
        <w:rPr>
          <w:lang w:eastAsia="en-IN" w:bidi="ar-SA"/>
        </w:rPr>
        <w:t xml:space="preserve">it is also highlighted in </w:t>
      </w:r>
      <w:r w:rsidR="002B1A50" w:rsidRPr="00BC08F0">
        <w:rPr>
          <w:b/>
          <w:bCs/>
          <w:i/>
          <w:iCs/>
          <w:lang w:eastAsia="en-IN" w:bidi="ar-SA"/>
        </w:rPr>
        <w:t>figure 1.1</w:t>
      </w:r>
      <w:r w:rsidRPr="00BC08F0">
        <w:rPr>
          <w:lang w:eastAsia="en-IN" w:bidi="ar-SA"/>
        </w:rPr>
        <w:t>.</w:t>
      </w:r>
      <w:r w:rsidRPr="00371FF8">
        <w:rPr>
          <w:lang w:eastAsia="en-IN" w:bidi="ar-SA"/>
        </w:rPr>
        <w:t xml:space="preserve">The adults have a high risk since lifestyle choices are a problem but tend to show reduced participation in conventional health programmes (McGough </w:t>
      </w:r>
      <w:r w:rsidRPr="00371FF8">
        <w:rPr>
          <w:i/>
          <w:iCs/>
          <w:lang w:eastAsia="en-IN" w:bidi="ar-SA"/>
        </w:rPr>
        <w:t>et al.,</w:t>
      </w:r>
      <w:r w:rsidRPr="00371FF8">
        <w:rPr>
          <w:lang w:eastAsia="en-IN" w:bidi="ar-SA"/>
        </w:rPr>
        <w:t xml:space="preserve"> 2019). The available studies have brought out both opportunities and challenges of digital tools in health behaviour and glycaemic outcomes improvement.</w:t>
      </w:r>
    </w:p>
    <w:p w:rsidR="00371FF8" w:rsidRPr="00371FF8" w:rsidRDefault="00371FF8" w:rsidP="00371FF8">
      <w:pPr>
        <w:jc w:val="center"/>
        <w:rPr>
          <w:lang w:eastAsia="en-IN" w:bidi="ar-SA"/>
        </w:rPr>
      </w:pPr>
      <w:r w:rsidRPr="00371FF8">
        <w:rPr>
          <w:noProof/>
          <w:lang w:val="en-US" w:eastAsia="en-US" w:bidi="ar-SA"/>
        </w:rPr>
        <w:drawing>
          <wp:inline distT="0" distB="0" distL="0" distR="0">
            <wp:extent cx="3186546" cy="3173610"/>
            <wp:effectExtent l="76200" t="76200" r="109220" b="122555"/>
            <wp:docPr id="1640393875" name="Picture 2" descr="Digital diabetes: Perspectives for diabetes prevention, management and  research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Digital diabetes: Perspectives for diabetes prevention, management and  research - ScienceDirect"/>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95236" cy="31822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1FF8" w:rsidRPr="00371FF8" w:rsidRDefault="00371FF8" w:rsidP="00371FF8">
      <w:pPr>
        <w:pStyle w:val="Heading4"/>
        <w:rPr>
          <w:rFonts w:eastAsia="Arial"/>
        </w:rPr>
      </w:pPr>
      <w:bookmarkStart w:id="5" w:name="_Toc227606445"/>
      <w:bookmarkStart w:id="6" w:name="_Toc228461152"/>
      <w:r w:rsidRPr="00371FF8">
        <w:rPr>
          <w:rFonts w:eastAsia="Arial"/>
        </w:rPr>
        <w:t>Figure 1.1:Digital diabetes for diabetes prevention</w:t>
      </w:r>
      <w:bookmarkEnd w:id="5"/>
      <w:bookmarkEnd w:id="6"/>
    </w:p>
    <w:p w:rsidR="00371FF8" w:rsidRPr="00371FF8" w:rsidRDefault="00371FF8" w:rsidP="00371FF8">
      <w:pPr>
        <w:jc w:val="center"/>
        <w:rPr>
          <w:lang w:eastAsia="en-IN" w:bidi="ar-SA"/>
        </w:rPr>
      </w:pPr>
      <w:r w:rsidRPr="00371FF8">
        <w:rPr>
          <w:lang w:eastAsia="en-IN" w:bidi="ar-SA"/>
        </w:rPr>
        <w:t>(Source:Fagherazzi and Ravaud, 2019)</w:t>
      </w:r>
    </w:p>
    <w:p w:rsidR="00371FF8" w:rsidRPr="00371FF8" w:rsidRDefault="00371FF8" w:rsidP="00371FF8">
      <w:pPr>
        <w:rPr>
          <w:b/>
          <w:bCs/>
          <w:lang w:eastAsia="en-IN" w:bidi="ar-SA"/>
        </w:rPr>
      </w:pPr>
      <w:r w:rsidRPr="00371FF8">
        <w:rPr>
          <w:lang w:eastAsia="en-IN" w:bidi="ar-SA"/>
        </w:rPr>
        <w:lastRenderedPageBreak/>
        <w:t>This study is relevant because it seeks to fill the gap that exists between the rising burden of T2D and the requirement of scalable and cost-effective interventions. This research offers insights into the effectiveness and feasibility of digital health promotion strategies through a critical analysis of how digital health promotion should be integrated in the current public health systems.</w:t>
      </w:r>
    </w:p>
    <w:p w:rsidR="00371FF8" w:rsidRPr="00371FF8" w:rsidRDefault="00371FF8" w:rsidP="00371FF8">
      <w:pPr>
        <w:pStyle w:val="Heading2"/>
      </w:pPr>
      <w:bookmarkStart w:id="7" w:name="_Toc228366994"/>
      <w:bookmarkStart w:id="8" w:name="_Toc228461234"/>
      <w:r w:rsidRPr="00371FF8">
        <w:t>1.2 Background and Current Context</w:t>
      </w:r>
      <w:bookmarkEnd w:id="7"/>
      <w:bookmarkEnd w:id="8"/>
    </w:p>
    <w:p w:rsidR="00371FF8" w:rsidRPr="00371FF8" w:rsidRDefault="00371FF8" w:rsidP="00371FF8">
      <w:pPr>
        <w:rPr>
          <w:lang w:eastAsia="en-IN" w:bidi="ar-SA"/>
        </w:rPr>
      </w:pPr>
      <w:r w:rsidRPr="00371FF8">
        <w:rPr>
          <w:lang w:eastAsia="en-IN" w:bidi="ar-SA"/>
        </w:rPr>
        <w:t xml:space="preserve">Type 2 diabetes has become a major issue across the world, with the number of cases predicted to exceed its 2017 figure of 425 million in 2045 (Nanditha </w:t>
      </w:r>
      <w:r w:rsidRPr="00371FF8">
        <w:rPr>
          <w:i/>
          <w:iCs/>
          <w:lang w:eastAsia="en-IN" w:bidi="ar-SA"/>
        </w:rPr>
        <w:t>et al</w:t>
      </w:r>
      <w:r w:rsidRPr="00371FF8">
        <w:rPr>
          <w:lang w:eastAsia="en-IN" w:bidi="ar-SA"/>
        </w:rPr>
        <w:t xml:space="preserve">., 2020). </w:t>
      </w:r>
      <w:r w:rsidR="00E50FAB" w:rsidRPr="00BC08F0">
        <w:rPr>
          <w:lang w:val="en-IN" w:eastAsia="en-IN" w:bidi="ar-SA"/>
        </w:rPr>
        <w:t>This is noted to be a chronic condition that creates a metabolic disorder where the body becomes resistant to insulin and creates a high blood sugar level.</w:t>
      </w:r>
      <w:r w:rsidRPr="00371FF8">
        <w:rPr>
          <w:lang w:eastAsia="en-IN" w:bidi="ar-SA"/>
        </w:rPr>
        <w:t xml:space="preserve">This sudden surge demonstrates the need to find effective prevention and management means. T2D is linked to grave morbidity, mortality, and costs of the healthcare sector as it is linked to cardiovascular disease, kidney failure, and lower quality of life, rendering it a complex condition with adverse outcomes (Pal </w:t>
      </w:r>
      <w:r w:rsidRPr="00371FF8">
        <w:rPr>
          <w:i/>
          <w:iCs/>
          <w:lang w:eastAsia="en-IN" w:bidi="ar-SA"/>
        </w:rPr>
        <w:t>et al.,</w:t>
      </w:r>
      <w:r w:rsidRPr="00371FF8">
        <w:rPr>
          <w:lang w:eastAsia="en-IN" w:bidi="ar-SA"/>
        </w:rPr>
        <w:t xml:space="preserve"> 2018; Cunningham </w:t>
      </w:r>
      <w:r w:rsidRPr="00371FF8">
        <w:rPr>
          <w:i/>
          <w:iCs/>
          <w:lang w:eastAsia="en-IN" w:bidi="ar-SA"/>
        </w:rPr>
        <w:t>et al</w:t>
      </w:r>
      <w:r w:rsidRPr="00371FF8">
        <w:rPr>
          <w:lang w:eastAsia="en-IN" w:bidi="ar-SA"/>
        </w:rPr>
        <w:t xml:space="preserve">., 2022). The disease is especially common in the world, with the prevalence reaching one per ten people over 40 (Turnbull </w:t>
      </w:r>
      <w:r w:rsidRPr="00371FF8">
        <w:rPr>
          <w:i/>
          <w:iCs/>
          <w:lang w:eastAsia="en-IN" w:bidi="ar-SA"/>
        </w:rPr>
        <w:t>et al</w:t>
      </w:r>
      <w:r w:rsidRPr="00371FF8">
        <w:rPr>
          <w:lang w:eastAsia="en-IN" w:bidi="ar-SA"/>
        </w:rPr>
        <w:t>., 2020).</w:t>
      </w:r>
    </w:p>
    <w:p w:rsidR="00371FF8" w:rsidRPr="00371FF8" w:rsidRDefault="00371FF8" w:rsidP="00371FF8">
      <w:pPr>
        <w:rPr>
          <w:lang w:eastAsia="en-IN" w:bidi="ar-SA"/>
        </w:rPr>
      </w:pPr>
      <w:r w:rsidRPr="00371FF8">
        <w:rPr>
          <w:lang w:eastAsia="en-IN" w:bidi="ar-SA"/>
        </w:rPr>
        <w:t xml:space="preserve">Conventionally, the prevention of diabetes has been based on intensive lifestyle interventions such as diet variation, physical activities, and weight loss (Duong </w:t>
      </w:r>
      <w:r w:rsidRPr="00371FF8">
        <w:rPr>
          <w:i/>
          <w:iCs/>
          <w:lang w:eastAsia="en-IN" w:bidi="ar-SA"/>
        </w:rPr>
        <w:t>et al.</w:t>
      </w:r>
      <w:r w:rsidRPr="00371FF8">
        <w:rPr>
          <w:lang w:eastAsia="en-IN" w:bidi="ar-SA"/>
        </w:rPr>
        <w:t xml:space="preserve"> 2025). Randomised controlled trials have proved that these interventions may either assist in delaying or inhibiting the development of T2D in individuals who have impaired glucose tolerance (McGough </w:t>
      </w:r>
      <w:r w:rsidRPr="00371FF8">
        <w:rPr>
          <w:i/>
          <w:iCs/>
          <w:lang w:eastAsia="en-IN" w:bidi="ar-SA"/>
        </w:rPr>
        <w:t>et al.,</w:t>
      </w:r>
      <w:r w:rsidRPr="00371FF8">
        <w:rPr>
          <w:lang w:eastAsia="en-IN" w:bidi="ar-SA"/>
        </w:rPr>
        <w:t xml:space="preserve"> 2019). Nevertheless, such programmes tend to be resource-consuming, involving the use of face-to-face meetings and prolonged interaction, and hence challenging to implement on a population-wide level (Nanditha </w:t>
      </w:r>
      <w:r w:rsidRPr="00371FF8">
        <w:rPr>
          <w:i/>
          <w:iCs/>
          <w:lang w:eastAsia="en-IN" w:bidi="ar-SA"/>
        </w:rPr>
        <w:t>et al.,</w:t>
      </w:r>
      <w:r w:rsidRPr="00371FF8">
        <w:rPr>
          <w:lang w:eastAsia="en-IN" w:bidi="ar-SA"/>
        </w:rPr>
        <w:t xml:space="preserve"> 2020). As an example, structured behavioural interventions are available in the form of NHS Diabetes Prevention Programme in England, but their adoption is not optimal, especially when it comes to working-age adults (McGough </w:t>
      </w:r>
      <w:r w:rsidRPr="00371FF8">
        <w:rPr>
          <w:i/>
          <w:iCs/>
          <w:lang w:eastAsia="en-IN" w:bidi="ar-SA"/>
        </w:rPr>
        <w:t>et al.,</w:t>
      </w:r>
      <w:r w:rsidRPr="00371FF8">
        <w:rPr>
          <w:lang w:eastAsia="en-IN" w:bidi="ar-SA"/>
        </w:rPr>
        <w:t xml:space="preserve"> 2019).</w:t>
      </w:r>
    </w:p>
    <w:p w:rsidR="00371FF8" w:rsidRPr="00371FF8" w:rsidRDefault="00371FF8" w:rsidP="00371FF8">
      <w:pPr>
        <w:jc w:val="center"/>
        <w:rPr>
          <w:lang w:eastAsia="en-IN" w:bidi="ar-SA"/>
        </w:rPr>
      </w:pPr>
      <w:r w:rsidRPr="00371FF8">
        <w:rPr>
          <w:noProof/>
          <w:lang w:val="en-US" w:eastAsia="en-US" w:bidi="ar-SA"/>
        </w:rPr>
        <w:drawing>
          <wp:inline distT="0" distB="0" distL="0" distR="0">
            <wp:extent cx="3609109" cy="2376942"/>
            <wp:effectExtent l="76200" t="76200" r="106045" b="118745"/>
            <wp:docPr id="1235562538" name="Picture 3" descr="Plant-Based Diets and Phytochemicals in the Management of Diabetes Mellitus  and Prevention of Its Complications: A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Plant-Based Diets and Phytochemicals in the Management of Diabetes Mellitus  and Prevention of Its Complications: A Review"/>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17357" cy="23823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1FF8" w:rsidRPr="00371FF8" w:rsidRDefault="00371FF8" w:rsidP="00371FF8">
      <w:pPr>
        <w:pStyle w:val="Heading4"/>
        <w:rPr>
          <w:rFonts w:eastAsia="Arial"/>
        </w:rPr>
      </w:pPr>
      <w:bookmarkStart w:id="9" w:name="_Toc227606446"/>
      <w:bookmarkStart w:id="10" w:name="_Toc228461153"/>
      <w:r w:rsidRPr="00371FF8">
        <w:rPr>
          <w:rFonts w:eastAsia="Arial"/>
        </w:rPr>
        <w:lastRenderedPageBreak/>
        <w:t>Figure 1.2:Plant-Based Diets and Phytochemicals in the Management of Diabetes</w:t>
      </w:r>
      <w:bookmarkEnd w:id="9"/>
      <w:bookmarkEnd w:id="10"/>
    </w:p>
    <w:p w:rsidR="00371FF8" w:rsidRPr="00371FF8" w:rsidRDefault="00371FF8" w:rsidP="00371FF8">
      <w:pPr>
        <w:jc w:val="center"/>
        <w:rPr>
          <w:lang w:eastAsia="en-IN" w:bidi="ar-SA"/>
        </w:rPr>
      </w:pPr>
      <w:r w:rsidRPr="00371FF8">
        <w:rPr>
          <w:lang w:eastAsia="en-IN" w:bidi="ar-SA"/>
        </w:rPr>
        <w:t xml:space="preserve">(Source:Ansari </w:t>
      </w:r>
      <w:r w:rsidRPr="00371FF8">
        <w:rPr>
          <w:i/>
          <w:iCs/>
          <w:lang w:eastAsia="en-IN" w:bidi="ar-SA"/>
        </w:rPr>
        <w:t>et al.,</w:t>
      </w:r>
      <w:r w:rsidRPr="00371FF8">
        <w:rPr>
          <w:lang w:eastAsia="en-IN" w:bidi="ar-SA"/>
        </w:rPr>
        <w:t xml:space="preserve"> 2024)</w:t>
      </w:r>
    </w:p>
    <w:p w:rsidR="00371FF8" w:rsidRPr="00371FF8" w:rsidRDefault="00371FF8" w:rsidP="00371FF8">
      <w:pPr>
        <w:rPr>
          <w:lang w:eastAsia="en-IN" w:bidi="ar-SA"/>
        </w:rPr>
      </w:pPr>
      <w:r w:rsidRPr="00371FF8">
        <w:rPr>
          <w:lang w:eastAsia="en-IN" w:bidi="ar-SA"/>
        </w:rPr>
        <w:t xml:space="preserve">Digital health interventions (DHIs) are one of the likely ways in breaking these limitations. These are mobile health (mHealth) applications, SMS messaging, telehealth consultations, and online education platforms (Moschonis </w:t>
      </w:r>
      <w:r w:rsidRPr="00371FF8">
        <w:rPr>
          <w:i/>
          <w:iCs/>
          <w:lang w:eastAsia="en-IN" w:bidi="ar-SA"/>
        </w:rPr>
        <w:t>et al.</w:t>
      </w:r>
      <w:r w:rsidRPr="00371FF8">
        <w:rPr>
          <w:lang w:eastAsia="en-IN" w:bidi="ar-SA"/>
        </w:rPr>
        <w:t xml:space="preserve"> 2023). They are flexible, accessible, and scalable, meaning that people can receive support when and where it is convenient to them (Pal </w:t>
      </w:r>
      <w:r w:rsidRPr="00371FF8">
        <w:rPr>
          <w:i/>
          <w:iCs/>
          <w:lang w:eastAsia="en-IN" w:bidi="ar-SA"/>
        </w:rPr>
        <w:t>et al.,</w:t>
      </w:r>
      <w:r w:rsidRPr="00371FF8">
        <w:rPr>
          <w:lang w:eastAsia="en-IN" w:bidi="ar-SA"/>
        </w:rPr>
        <w:t xml:space="preserve"> 2018). Indicatively, SMS-based intervention grounded on behavioural theory like the transtheoretical model has proven effective in fostering lifestyle change and lowering the prevalence of T2D (Nanditha </w:t>
      </w:r>
      <w:r w:rsidRPr="00371FF8">
        <w:rPr>
          <w:i/>
          <w:iCs/>
          <w:lang w:eastAsia="en-IN" w:bidi="ar-SA"/>
        </w:rPr>
        <w:t>et al.,</w:t>
      </w:r>
      <w:r w:rsidRPr="00371FF8">
        <w:rPr>
          <w:lang w:eastAsia="en-IN" w:bidi="ar-SA"/>
        </w:rPr>
        <w:t xml:space="preserve"> 2020).</w:t>
      </w:r>
    </w:p>
    <w:p w:rsidR="00371FF8" w:rsidRPr="00371FF8" w:rsidRDefault="00371FF8" w:rsidP="00371FF8">
      <w:pPr>
        <w:rPr>
          <w:lang w:eastAsia="en-IN" w:bidi="ar-SA"/>
        </w:rPr>
      </w:pPr>
      <w:r w:rsidRPr="00371FF8">
        <w:rPr>
          <w:lang w:eastAsia="en-IN" w:bidi="ar-SA"/>
        </w:rPr>
        <w:t>Recent findings indicate that digital interventions have the potential to produce small changes in clinical outcomes. To illustrate, apps-based interventions have been linked to a decrease in both HbA1c and fasting glucose, especially in people whose initial glycaemic status is higher (Kim</w:t>
      </w:r>
      <w:r w:rsidRPr="00371FF8">
        <w:rPr>
          <w:i/>
          <w:iCs/>
          <w:lang w:eastAsia="en-IN" w:bidi="ar-SA"/>
        </w:rPr>
        <w:t xml:space="preserve"> et al.,</w:t>
      </w:r>
      <w:r w:rsidRPr="00371FF8">
        <w:rPr>
          <w:lang w:eastAsia="en-IN" w:bidi="ar-SA"/>
        </w:rPr>
        <w:t xml:space="preserve"> 2024). On the same note, mHealth, telehealth, and pharmacist support integrated solutions have demonstrated promise in improving diabetes management and engagement with patients (Gerber </w:t>
      </w:r>
      <w:r w:rsidRPr="00371FF8">
        <w:rPr>
          <w:i/>
          <w:iCs/>
          <w:lang w:eastAsia="en-IN" w:bidi="ar-SA"/>
        </w:rPr>
        <w:t>et al.,</w:t>
      </w:r>
      <w:r w:rsidRPr="00371FF8">
        <w:rPr>
          <w:lang w:eastAsia="en-IN" w:bidi="ar-SA"/>
        </w:rPr>
        <w:t xml:space="preserve"> 2023). Such results suggest that digital technologies can be used as a complement to conventional medical care and make it more accessible, especially in the case of underserved groups.</w:t>
      </w:r>
    </w:p>
    <w:p w:rsidR="00371FF8" w:rsidRPr="00371FF8" w:rsidRDefault="00371FF8" w:rsidP="00371FF8">
      <w:pPr>
        <w:rPr>
          <w:lang w:eastAsia="en-IN" w:bidi="ar-SA"/>
        </w:rPr>
      </w:pPr>
      <w:r w:rsidRPr="00371FF8">
        <w:rPr>
          <w:lang w:eastAsia="en-IN" w:bidi="ar-SA"/>
        </w:rPr>
        <w:t xml:space="preserve">Even though these advantages exist, not everyone has equal response to digital health interventions. Limits to adoption, high attrition rates, and poor user engagement are also major challenges (Pal </w:t>
      </w:r>
      <w:r w:rsidRPr="00371FF8">
        <w:rPr>
          <w:i/>
          <w:iCs/>
          <w:lang w:eastAsia="en-IN" w:bidi="ar-SA"/>
        </w:rPr>
        <w:t>et al.,</w:t>
      </w:r>
      <w:r w:rsidRPr="00371FF8">
        <w:rPr>
          <w:lang w:eastAsia="en-IN" w:bidi="ar-SA"/>
        </w:rPr>
        <w:t xml:space="preserve"> 2018). Usability, perceived usefulness and the level of personalisation provided by the intervention are some of the factors that affect the involvement. Moreover, there are such factors as digital literacy, socioeconomic status, and access to technology, which are decisive factors on the success of these interventions (Turnbull </w:t>
      </w:r>
      <w:r w:rsidRPr="00371FF8">
        <w:rPr>
          <w:i/>
          <w:iCs/>
          <w:lang w:eastAsia="en-IN" w:bidi="ar-SA"/>
        </w:rPr>
        <w:t>et al.,</w:t>
      </w:r>
      <w:r w:rsidRPr="00371FF8">
        <w:rPr>
          <w:lang w:eastAsia="en-IN" w:bidi="ar-SA"/>
        </w:rPr>
        <w:t xml:space="preserve"> 2020).</w:t>
      </w:r>
    </w:p>
    <w:p w:rsidR="00371FF8" w:rsidRPr="00371FF8" w:rsidRDefault="00371FF8" w:rsidP="00984E2B">
      <w:pPr>
        <w:jc w:val="center"/>
        <w:rPr>
          <w:lang w:eastAsia="en-IN" w:bidi="ar-SA"/>
        </w:rPr>
      </w:pPr>
      <w:r w:rsidRPr="00371FF8">
        <w:rPr>
          <w:noProof/>
          <w:lang w:val="en-US" w:eastAsia="en-US" w:bidi="ar-SA"/>
        </w:rPr>
        <w:drawing>
          <wp:inline distT="0" distB="0" distL="0" distR="0">
            <wp:extent cx="4329546" cy="2457572"/>
            <wp:effectExtent l="76200" t="76200" r="109220" b="114300"/>
            <wp:docPr id="1299898181" name="Picture 4" descr="Digital Health in Diabetes Care: A Narrative Review from Monitoring to the  Management of Systemic and Neurologic Com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Digital Health in Diabetes Care: A Narrative Review from Monitoring to the  Management of Systemic and Neurologic Complications"/>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337338" cy="2461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1FF8" w:rsidRPr="00371FF8" w:rsidRDefault="00371FF8" w:rsidP="00371FF8">
      <w:pPr>
        <w:pStyle w:val="Heading4"/>
        <w:rPr>
          <w:rFonts w:eastAsia="Arial"/>
        </w:rPr>
      </w:pPr>
      <w:bookmarkStart w:id="11" w:name="_Toc227606447"/>
      <w:bookmarkStart w:id="12" w:name="_Toc228461154"/>
      <w:r w:rsidRPr="00371FF8">
        <w:rPr>
          <w:rFonts w:eastAsia="Arial"/>
        </w:rPr>
        <w:lastRenderedPageBreak/>
        <w:t>Figure 1.3:Digital Health in Diabetes Care</w:t>
      </w:r>
      <w:bookmarkEnd w:id="11"/>
      <w:bookmarkEnd w:id="12"/>
    </w:p>
    <w:p w:rsidR="00371FF8" w:rsidRPr="00371FF8" w:rsidRDefault="00371FF8" w:rsidP="00371FF8">
      <w:pPr>
        <w:jc w:val="center"/>
        <w:rPr>
          <w:lang w:eastAsia="en-IN" w:bidi="ar-SA"/>
        </w:rPr>
      </w:pPr>
      <w:r w:rsidRPr="00371FF8">
        <w:rPr>
          <w:lang w:eastAsia="en-IN" w:bidi="ar-SA"/>
        </w:rPr>
        <w:t xml:space="preserve">(Source:Maida </w:t>
      </w:r>
      <w:r w:rsidRPr="00371FF8">
        <w:rPr>
          <w:i/>
          <w:iCs/>
          <w:lang w:eastAsia="en-IN" w:bidi="ar-SA"/>
        </w:rPr>
        <w:t>et al.,</w:t>
      </w:r>
      <w:r w:rsidRPr="00371FF8">
        <w:rPr>
          <w:lang w:eastAsia="en-IN" w:bidi="ar-SA"/>
        </w:rPr>
        <w:t xml:space="preserve"> 2025)</w:t>
      </w:r>
    </w:p>
    <w:p w:rsidR="00371FF8" w:rsidRPr="00371FF8" w:rsidRDefault="00371FF8" w:rsidP="00371FF8">
      <w:pPr>
        <w:rPr>
          <w:lang w:eastAsia="en-IN" w:bidi="ar-SA"/>
        </w:rPr>
      </w:pPr>
      <w:r w:rsidRPr="00371FF8">
        <w:rPr>
          <w:lang w:eastAsia="en-IN" w:bidi="ar-SA"/>
        </w:rPr>
        <w:t xml:space="preserve">The self-management paradigm, which informs most of the digital interventions, places the burden on individuals to treat their condition by change of lifestyle and medication adherence (Ossenbrink </w:t>
      </w:r>
      <w:r w:rsidRPr="00371FF8">
        <w:rPr>
          <w:i/>
          <w:iCs/>
          <w:lang w:eastAsia="en-IN" w:bidi="ar-SA"/>
        </w:rPr>
        <w:t>et al.</w:t>
      </w:r>
      <w:r w:rsidRPr="00371FF8">
        <w:rPr>
          <w:lang w:eastAsia="en-IN" w:bidi="ar-SA"/>
        </w:rPr>
        <w:t xml:space="preserve"> 2023). Although this method may empower patients, it is also presumed that these people should possess the resources, knowledge, and motivation in order to do it. Such an assumption might not be applicable to all the populations, especially low health literacy and socioeconomic disadvantaged groups (Turnbull </w:t>
      </w:r>
      <w:r w:rsidRPr="00371FF8">
        <w:rPr>
          <w:i/>
          <w:iCs/>
          <w:lang w:eastAsia="en-IN" w:bidi="ar-SA"/>
        </w:rPr>
        <w:t>et al.,</w:t>
      </w:r>
      <w:r w:rsidRPr="00371FF8">
        <w:rPr>
          <w:lang w:eastAsia="en-IN" w:bidi="ar-SA"/>
        </w:rPr>
        <w:t xml:space="preserve"> 2020). Additionally, psychological and social aspects of life with diabetes, such as identity shifts and stigma, might affect the use of self-care practices and online resources.</w:t>
      </w:r>
    </w:p>
    <w:p w:rsidR="00371FF8" w:rsidRPr="00371FF8" w:rsidRDefault="00371FF8" w:rsidP="00371FF8">
      <w:pPr>
        <w:rPr>
          <w:lang w:eastAsia="en-IN" w:bidi="ar-SA"/>
        </w:rPr>
      </w:pPr>
      <w:r w:rsidRPr="00371FF8">
        <w:rPr>
          <w:lang w:eastAsia="en-IN" w:bidi="ar-SA"/>
        </w:rPr>
        <w:t xml:space="preserve">Digital health is becoming more and more established in the national healthcare strategies to enhance access and minimize inequalities. Digital interventions like diabetes prevention services should be used to enhance existing face-to-face interventions and ensure more younger and working populations participate (McGough </w:t>
      </w:r>
      <w:r w:rsidRPr="00371FF8">
        <w:rPr>
          <w:i/>
          <w:iCs/>
          <w:lang w:eastAsia="en-IN" w:bidi="ar-SA"/>
        </w:rPr>
        <w:t>et al.,</w:t>
      </w:r>
      <w:r w:rsidRPr="00371FF8">
        <w:rPr>
          <w:lang w:eastAsia="en-IN" w:bidi="ar-SA"/>
        </w:rPr>
        <w:t xml:space="preserve"> 2019). Online education systems and personal health records, as well, allow patients to engage in their own treatment and make informed choices (Cunningham </w:t>
      </w:r>
      <w:r w:rsidRPr="00371FF8">
        <w:rPr>
          <w:i/>
          <w:iCs/>
          <w:lang w:eastAsia="en-IN" w:bidi="ar-SA"/>
        </w:rPr>
        <w:t>et al.,</w:t>
      </w:r>
      <w:r w:rsidRPr="00371FF8">
        <w:rPr>
          <w:lang w:eastAsia="en-IN" w:bidi="ar-SA"/>
        </w:rPr>
        <w:t xml:space="preserve"> 2022).</w:t>
      </w:r>
    </w:p>
    <w:p w:rsidR="00371FF8" w:rsidRPr="00371FF8" w:rsidRDefault="00371FF8" w:rsidP="00371FF8">
      <w:pPr>
        <w:rPr>
          <w:lang w:eastAsia="en-IN" w:bidi="ar-SA"/>
        </w:rPr>
      </w:pPr>
      <w:r w:rsidRPr="00371FF8">
        <w:rPr>
          <w:lang w:eastAsia="en-IN" w:bidi="ar-SA"/>
        </w:rPr>
        <w:t>Nevertheless, little evidence exists concerning the effectiveness and cost-efficiency of such digital methods in the long-term. Although some gains in behavioural as well as clinical outcomes have been noted within a short period, there is a challenge of maintaining the same during a long period of time. Additionally, the access and engagement differences also raise questions as to whether digital health intervention can, instead of narrowing, distract health disparities.</w:t>
      </w:r>
    </w:p>
    <w:p w:rsidR="00371FF8" w:rsidRPr="00371FF8" w:rsidRDefault="00371FF8" w:rsidP="00371FF8">
      <w:pPr>
        <w:rPr>
          <w:b/>
          <w:bCs/>
          <w:lang w:eastAsia="en-IN" w:bidi="ar-SA"/>
        </w:rPr>
      </w:pPr>
      <w:r w:rsidRPr="00371FF8">
        <w:rPr>
          <w:lang w:eastAsia="en-IN" w:bidi="ar-SA"/>
        </w:rPr>
        <w:t xml:space="preserve">Altogether, the existing situation underscores the opportunities and the constraint of digital health promotion to deal with the increasing burden of T2D (Lee </w:t>
      </w:r>
      <w:r w:rsidRPr="00371FF8">
        <w:rPr>
          <w:i/>
          <w:iCs/>
          <w:lang w:eastAsia="en-IN" w:bidi="ar-SA"/>
        </w:rPr>
        <w:t>et al.</w:t>
      </w:r>
      <w:r w:rsidRPr="00371FF8">
        <w:rPr>
          <w:lang w:eastAsia="en-IN" w:bidi="ar-SA"/>
        </w:rPr>
        <w:t xml:space="preserve"> 2022). Although digital tools open up new and scalable solutions, their application requires deep consideration, user-enrolled interaction, and implementation in the context of wide healthcare systems.</w:t>
      </w:r>
    </w:p>
    <w:p w:rsidR="00371FF8" w:rsidRPr="00371FF8" w:rsidRDefault="00371FF8" w:rsidP="00371FF8">
      <w:pPr>
        <w:pStyle w:val="Heading2"/>
      </w:pPr>
      <w:bookmarkStart w:id="13" w:name="_Toc228366995"/>
      <w:bookmarkStart w:id="14" w:name="_Toc228461235"/>
      <w:r w:rsidRPr="00371FF8">
        <w:t>1.3 Rationale for Research / Problem Statement</w:t>
      </w:r>
      <w:bookmarkEnd w:id="13"/>
      <w:bookmarkEnd w:id="14"/>
    </w:p>
    <w:p w:rsidR="00371FF8" w:rsidRPr="00371FF8" w:rsidRDefault="00371FF8" w:rsidP="00371FF8">
      <w:pPr>
        <w:rPr>
          <w:lang w:eastAsia="en-IN" w:bidi="ar-SA"/>
        </w:rPr>
      </w:pPr>
      <w:r w:rsidRPr="00371FF8">
        <w:rPr>
          <w:lang w:eastAsia="en-IN" w:bidi="ar-SA"/>
        </w:rPr>
        <w:t>The growing rates of Type 2 diabetes prevalence and the constraints of the conventional prevention and management methods make it necessary to consider the innovative methods of intervention like digital health promotion (Shaban</w:t>
      </w:r>
      <w:r w:rsidRPr="00371FF8">
        <w:rPr>
          <w:i/>
          <w:iCs/>
          <w:lang w:eastAsia="en-IN" w:bidi="ar-SA"/>
        </w:rPr>
        <w:t xml:space="preserve"> et al.</w:t>
      </w:r>
      <w:r w:rsidRPr="00371FF8">
        <w:rPr>
          <w:lang w:eastAsia="en-IN" w:bidi="ar-SA"/>
        </w:rPr>
        <w:t xml:space="preserve"> 2024). Though digital interventions are scalable and flexible, the evidence on their long-term effectiveness is limited, especially with high-risk adults and under-communicators of the health programmes (Baradez </w:t>
      </w:r>
      <w:r w:rsidRPr="00371FF8">
        <w:rPr>
          <w:i/>
          <w:iCs/>
          <w:lang w:eastAsia="en-IN" w:bidi="ar-SA"/>
        </w:rPr>
        <w:t>et al.</w:t>
      </w:r>
      <w:r w:rsidRPr="00371FF8">
        <w:rPr>
          <w:lang w:eastAsia="en-IN" w:bidi="ar-SA"/>
        </w:rPr>
        <w:t xml:space="preserve"> 2022). This research is conducted to critically assess the potential of digital health tools in the enhancement of prevention and self-management outcomes of T2D in the global public health system (Gerber </w:t>
      </w:r>
      <w:r w:rsidRPr="00371FF8">
        <w:rPr>
          <w:i/>
          <w:iCs/>
          <w:lang w:eastAsia="en-IN" w:bidi="ar-SA"/>
        </w:rPr>
        <w:t>et al.,</w:t>
      </w:r>
      <w:r w:rsidRPr="00371FF8">
        <w:rPr>
          <w:lang w:eastAsia="en-IN" w:bidi="ar-SA"/>
        </w:rPr>
        <w:t xml:space="preserve"> 2023). The study is worked out specifically among adults as they have their own behavioural, social, and technological engagement patterns. This study </w:t>
      </w:r>
      <w:r w:rsidRPr="00371FF8">
        <w:rPr>
          <w:lang w:eastAsia="en-IN" w:bidi="ar-SA"/>
        </w:rPr>
        <w:lastRenderedPageBreak/>
        <w:t>will be limited to the digital interventions like mobile applications, SMS based programmes and online platform. It excludes more wholesome healthcare system reforms and drug interventions. This study will address current gaps in evidence and inform more effective and inclusive digital health strategies.</w:t>
      </w:r>
    </w:p>
    <w:p w:rsidR="00371FF8" w:rsidRPr="00371FF8" w:rsidRDefault="00371FF8" w:rsidP="00371FF8">
      <w:pPr>
        <w:pStyle w:val="Heading2"/>
      </w:pPr>
      <w:bookmarkStart w:id="15" w:name="_Toc228366996"/>
      <w:bookmarkStart w:id="16" w:name="_Toc228461236"/>
      <w:r w:rsidRPr="00371FF8">
        <w:t>1.4 Research Questions</w:t>
      </w:r>
      <w:bookmarkEnd w:id="15"/>
      <w:bookmarkEnd w:id="16"/>
    </w:p>
    <w:p w:rsidR="00371FF8" w:rsidRPr="00371FF8" w:rsidRDefault="00371FF8" w:rsidP="00371FF8">
      <w:pPr>
        <w:pStyle w:val="ListParagraph"/>
        <w:numPr>
          <w:ilvl w:val="0"/>
          <w:numId w:val="26"/>
        </w:numPr>
        <w:rPr>
          <w:lang w:eastAsia="en-IN" w:bidi="ar-SA"/>
        </w:rPr>
      </w:pPr>
      <w:r w:rsidRPr="00371FF8">
        <w:rPr>
          <w:lang w:eastAsia="en-IN" w:bidi="ar-SA"/>
        </w:rPr>
        <w:t>What potential impact do digital health interventions have on preventing Type 2 diabetes in adults in the global world?</w:t>
      </w:r>
    </w:p>
    <w:p w:rsidR="00371FF8" w:rsidRPr="00371FF8" w:rsidRDefault="00371FF8" w:rsidP="00371FF8">
      <w:pPr>
        <w:pStyle w:val="ListParagraph"/>
        <w:numPr>
          <w:ilvl w:val="0"/>
          <w:numId w:val="26"/>
        </w:numPr>
        <w:rPr>
          <w:lang w:eastAsia="en-IN" w:bidi="ar-SA"/>
        </w:rPr>
      </w:pPr>
      <w:r w:rsidRPr="00371FF8">
        <w:rPr>
          <w:lang w:eastAsia="en-IN" w:bidi="ar-SA"/>
        </w:rPr>
        <w:t>How do digital tools affect self-management behaviours and clinical outcomes among Type 2 diabetes people?</w:t>
      </w:r>
    </w:p>
    <w:p w:rsidR="00371FF8" w:rsidRPr="00371FF8" w:rsidRDefault="00371FF8" w:rsidP="00371FF8">
      <w:pPr>
        <w:pStyle w:val="ListParagraph"/>
        <w:numPr>
          <w:ilvl w:val="0"/>
          <w:numId w:val="26"/>
        </w:numPr>
        <w:rPr>
          <w:lang w:eastAsia="en-IN" w:bidi="ar-SA"/>
        </w:rPr>
      </w:pPr>
      <w:r w:rsidRPr="00371FF8">
        <w:rPr>
          <w:lang w:eastAsia="en-IN" w:bidi="ar-SA"/>
        </w:rPr>
        <w:t xml:space="preserve">What barriers and facilitators affect the adoption of digital health technologies in this population? </w:t>
      </w:r>
    </w:p>
    <w:p w:rsidR="00371FF8" w:rsidRPr="00371FF8" w:rsidRDefault="00371FF8" w:rsidP="00371FF8">
      <w:pPr>
        <w:pStyle w:val="Heading2"/>
      </w:pPr>
      <w:bookmarkStart w:id="17" w:name="_Toc228366997"/>
      <w:bookmarkStart w:id="18" w:name="_Toc228461237"/>
      <w:r w:rsidRPr="00371FF8">
        <w:t>1.5 Research Aim</w:t>
      </w:r>
      <w:bookmarkEnd w:id="17"/>
      <w:bookmarkEnd w:id="18"/>
    </w:p>
    <w:p w:rsidR="00371FF8" w:rsidRPr="00371FF8" w:rsidRDefault="00371FF8" w:rsidP="00371FF8">
      <w:pPr>
        <w:rPr>
          <w:lang w:eastAsia="en-IN" w:bidi="ar-SA"/>
        </w:rPr>
      </w:pPr>
      <w:r w:rsidRPr="00371FF8">
        <w:rPr>
          <w:lang w:eastAsia="en-IN" w:bidi="ar-SA"/>
        </w:rPr>
        <w:t>To evaluate the impact of digital health tools on preventing and improving self-management of Type 2 diabetes among adults.</w:t>
      </w:r>
    </w:p>
    <w:p w:rsidR="00371FF8" w:rsidRPr="00371FF8" w:rsidRDefault="00371FF8" w:rsidP="00371FF8">
      <w:pPr>
        <w:pStyle w:val="Heading2"/>
      </w:pPr>
      <w:bookmarkStart w:id="19" w:name="_Toc228366998"/>
      <w:bookmarkStart w:id="20" w:name="_Toc228461238"/>
      <w:r w:rsidRPr="00371FF8">
        <w:t>1.6 Research Objectives</w:t>
      </w:r>
      <w:bookmarkEnd w:id="19"/>
      <w:bookmarkEnd w:id="20"/>
    </w:p>
    <w:p w:rsidR="00371FF8" w:rsidRPr="00371FF8" w:rsidRDefault="00371FF8" w:rsidP="00371FF8">
      <w:pPr>
        <w:pStyle w:val="ListParagraph"/>
        <w:numPr>
          <w:ilvl w:val="0"/>
          <w:numId w:val="27"/>
        </w:numPr>
        <w:rPr>
          <w:lang w:eastAsia="en-IN" w:bidi="ar-SA"/>
        </w:rPr>
      </w:pPr>
      <w:r w:rsidRPr="00371FF8">
        <w:rPr>
          <w:lang w:eastAsia="en-IN" w:bidi="ar-SA"/>
        </w:rPr>
        <w:t xml:space="preserve">To analyse digital interventions used for the prevention of Type 2 diabetes in the global world. </w:t>
      </w:r>
    </w:p>
    <w:p w:rsidR="00371FF8" w:rsidRPr="00371FF8" w:rsidRDefault="00371FF8" w:rsidP="00371FF8">
      <w:pPr>
        <w:pStyle w:val="ListParagraph"/>
        <w:numPr>
          <w:ilvl w:val="0"/>
          <w:numId w:val="27"/>
        </w:numPr>
        <w:rPr>
          <w:lang w:eastAsia="en-IN" w:bidi="ar-SA"/>
        </w:rPr>
      </w:pPr>
      <w:r w:rsidRPr="00371FF8">
        <w:rPr>
          <w:lang w:eastAsia="en-IN" w:bidi="ar-SA"/>
        </w:rPr>
        <w:t xml:space="preserve">To examine their efficacy in improving lifestyle behaviours and clinical outcomes. </w:t>
      </w:r>
    </w:p>
    <w:p w:rsidR="00371FF8" w:rsidRPr="00371FF8" w:rsidRDefault="00371FF8" w:rsidP="00371FF8">
      <w:pPr>
        <w:pStyle w:val="ListParagraph"/>
        <w:numPr>
          <w:ilvl w:val="0"/>
          <w:numId w:val="27"/>
        </w:numPr>
        <w:rPr>
          <w:lang w:eastAsia="en-IN" w:bidi="ar-SA"/>
        </w:rPr>
      </w:pPr>
      <w:r w:rsidRPr="00371FF8">
        <w:rPr>
          <w:lang w:eastAsia="en-IN" w:bidi="ar-SA"/>
        </w:rPr>
        <w:t xml:space="preserve">To identify barriers and facilitators influencing the adoption of digital health tools among adults. </w:t>
      </w:r>
    </w:p>
    <w:p w:rsidR="00371FF8" w:rsidRPr="00371FF8" w:rsidRDefault="00371FF8" w:rsidP="00371FF8">
      <w:pPr>
        <w:pStyle w:val="Heading2"/>
      </w:pPr>
      <w:bookmarkStart w:id="21" w:name="_Toc228366999"/>
      <w:bookmarkStart w:id="22" w:name="_Toc228461239"/>
      <w:r w:rsidRPr="00371FF8">
        <w:t>1.7 Chapter Summary</w:t>
      </w:r>
      <w:bookmarkEnd w:id="21"/>
      <w:bookmarkEnd w:id="22"/>
    </w:p>
    <w:p w:rsidR="00371FF8" w:rsidRPr="00371FF8" w:rsidRDefault="00371FF8" w:rsidP="00371FF8">
      <w:pPr>
        <w:rPr>
          <w:lang w:eastAsia="en-IN" w:bidi="ar-SA"/>
        </w:rPr>
      </w:pPr>
      <w:r w:rsidRPr="00371FF8">
        <w:rPr>
          <w:lang w:eastAsia="en-IN" w:bidi="ar-SA"/>
        </w:rPr>
        <w:t>This chapter has outlined the research topic, the increasing national burden of Type 2 diabetes on public health and the emergence of digital health promotion as a means of prevention and management. It has presented the background, challenges that are important, and the importance of this study. The research question, objectives and aim are also clearly articulated. The following chapter (Chapter 2) will provide a literature review, critically assessing existing studies on digital health interventions and their effectiveness in preventing and self-managing diabetes.</w:t>
      </w:r>
    </w:p>
    <w:p w:rsidR="005C2C7A" w:rsidRPr="009E0439" w:rsidRDefault="005C2C7A" w:rsidP="00371FF8"/>
    <w:p w:rsidR="003B0B29" w:rsidRPr="00CB2B31" w:rsidRDefault="003B0B29" w:rsidP="00371FF8">
      <w:pPr>
        <w:pStyle w:val="BodyText"/>
      </w:pPr>
    </w:p>
    <w:p w:rsidR="00371FF8" w:rsidRDefault="00371FF8" w:rsidP="00371FF8">
      <w:r>
        <w:br w:type="page"/>
      </w:r>
    </w:p>
    <w:p w:rsidR="00371FF8" w:rsidRPr="00371FF8" w:rsidRDefault="00371FF8" w:rsidP="00371FF8">
      <w:pPr>
        <w:pStyle w:val="Heading1"/>
      </w:pPr>
      <w:bookmarkStart w:id="23" w:name="_Toc228367000"/>
      <w:bookmarkStart w:id="24" w:name="_Toc228461240"/>
      <w:r w:rsidRPr="00371FF8">
        <w:lastRenderedPageBreak/>
        <w:t>CHAPTER 2: Literature Review</w:t>
      </w:r>
      <w:bookmarkEnd w:id="23"/>
      <w:bookmarkEnd w:id="24"/>
    </w:p>
    <w:p w:rsidR="00371FF8" w:rsidRPr="00371FF8" w:rsidRDefault="00371FF8" w:rsidP="00371FF8">
      <w:pPr>
        <w:pStyle w:val="Heading2"/>
      </w:pPr>
      <w:bookmarkStart w:id="25" w:name="_Toc228367001"/>
      <w:bookmarkStart w:id="26" w:name="_Toc228461241"/>
      <w:r w:rsidRPr="00371FF8">
        <w:t>2.1 Introduction</w:t>
      </w:r>
      <w:bookmarkEnd w:id="25"/>
      <w:bookmarkEnd w:id="26"/>
      <w:r w:rsidRPr="00371FF8">
        <w:t> </w:t>
      </w:r>
    </w:p>
    <w:p w:rsidR="00371FF8" w:rsidRPr="00371FF8" w:rsidRDefault="00371FF8" w:rsidP="00371FF8">
      <w:r w:rsidRPr="00371FF8">
        <w:t>The literature review section is extremely important as it increases the depth of the overall research. In the following, the significance of digital health promotion in global public health is identified along with the impact of digital health interventions in preventing type 2 diabetes. Overall, the challenges for the digital health interventions and the theoretical framework that is connected to the research topic are also evaluated in the following.</w:t>
      </w:r>
    </w:p>
    <w:p w:rsidR="00371FF8" w:rsidRPr="00371FF8" w:rsidRDefault="00371FF8" w:rsidP="00371FF8">
      <w:pPr>
        <w:pStyle w:val="Heading2"/>
      </w:pPr>
      <w:bookmarkStart w:id="27" w:name="_Toc228367002"/>
      <w:bookmarkStart w:id="28" w:name="_Toc228461242"/>
      <w:r w:rsidRPr="00371FF8">
        <w:t>2.2 Significance of Digital Health Promotion in the Global Public Health System</w:t>
      </w:r>
      <w:bookmarkEnd w:id="27"/>
      <w:bookmarkEnd w:id="28"/>
      <w:r w:rsidRPr="00371FF8">
        <w:t> </w:t>
      </w:r>
    </w:p>
    <w:p w:rsidR="00371FF8" w:rsidRPr="00371FF8" w:rsidRDefault="00371FF8" w:rsidP="00371FF8">
      <w:r w:rsidRPr="00371FF8">
        <w:t xml:space="preserve">As per Mbewe </w:t>
      </w:r>
      <w:r w:rsidRPr="00371FF8">
        <w:rPr>
          <w:i/>
          <w:iCs/>
        </w:rPr>
        <w:t>et al.</w:t>
      </w:r>
      <w:r w:rsidRPr="00371FF8">
        <w:t xml:space="preserve"> (2026), public health systems are strengthened by expanding access, enabling databases and interventions, and improving efficiency. This is one of the main strategies that can be referred to as digital health promotion. The way the population engages with preventive care has changed with digital tools such as mobile health apps, telemedicine, and electronic health records. According to Yu </w:t>
      </w:r>
      <w:r w:rsidRPr="00371FF8">
        <w:rPr>
          <w:i/>
          <w:iCs/>
        </w:rPr>
        <w:t xml:space="preserve">et al. </w:t>
      </w:r>
      <w:r w:rsidRPr="00371FF8">
        <w:t>(2026), digital health promotion supports early disease detection and promotes healthy behaviour. The technologies also reduce pressure on health care services by shifting the focus from treatment to prevention. </w:t>
      </w:r>
    </w:p>
    <w:p w:rsidR="00371FF8" w:rsidRPr="00371FF8" w:rsidRDefault="00371FF8" w:rsidP="002B5527">
      <w:pPr>
        <w:jc w:val="center"/>
      </w:pPr>
      <w:r w:rsidRPr="00371FF8">
        <w:rPr>
          <w:noProof/>
          <w:lang w:val="en-US" w:eastAsia="en-US" w:bidi="ar-SA"/>
        </w:rPr>
        <w:drawing>
          <wp:inline distT="0" distB="0" distL="0" distR="0">
            <wp:extent cx="5314950" cy="3171825"/>
            <wp:effectExtent l="0" t="0" r="0" b="0"/>
            <wp:docPr id="3612379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14950" cy="3171825"/>
                    </a:xfrm>
                    <a:prstGeom prst="rect">
                      <a:avLst/>
                    </a:prstGeom>
                    <a:noFill/>
                    <a:ln>
                      <a:noFill/>
                    </a:ln>
                  </pic:spPr>
                </pic:pic>
              </a:graphicData>
            </a:graphic>
          </wp:inline>
        </w:drawing>
      </w:r>
    </w:p>
    <w:p w:rsidR="00371FF8" w:rsidRPr="00371FF8" w:rsidRDefault="00371FF8" w:rsidP="002B5527">
      <w:pPr>
        <w:pStyle w:val="Heading4"/>
      </w:pPr>
      <w:bookmarkStart w:id="29" w:name="_Toc228461155"/>
      <w:r w:rsidRPr="00371FF8">
        <w:t>Figure 2.1: Digital health market development</w:t>
      </w:r>
      <w:bookmarkEnd w:id="29"/>
    </w:p>
    <w:p w:rsidR="00371FF8" w:rsidRPr="00371FF8" w:rsidRDefault="00371FF8" w:rsidP="002B5527">
      <w:pPr>
        <w:jc w:val="center"/>
      </w:pPr>
      <w:r w:rsidRPr="00371FF8">
        <w:t>(Source: Liebenspacher and Siegfried, 2022)</w:t>
      </w:r>
    </w:p>
    <w:p w:rsidR="00371FF8" w:rsidRPr="00371FF8" w:rsidRDefault="00371FF8" w:rsidP="00371FF8">
      <w:r w:rsidRPr="00371FF8">
        <w:t xml:space="preserve">From the above graph, it is clear that the digital health development has increased by 657 million by the end of 2025 (Liebenspacher and Siegfried, 2022). As per Azelton </w:t>
      </w:r>
      <w:r w:rsidRPr="00371FF8">
        <w:rPr>
          <w:i/>
          <w:iCs/>
        </w:rPr>
        <w:t>et al.</w:t>
      </w:r>
      <w:r w:rsidRPr="00371FF8">
        <w:t xml:space="preserve"> (2021), </w:t>
      </w:r>
      <w:r w:rsidRPr="00371FF8">
        <w:lastRenderedPageBreak/>
        <w:t xml:space="preserve">due to this reason, digital strategies, including remote consultations and online health platforms, help in enhancing patient accessibility and continuity of care. AlNamlah </w:t>
      </w:r>
      <w:r w:rsidRPr="00371FF8">
        <w:rPr>
          <w:i/>
          <w:iCs/>
        </w:rPr>
        <w:t>et al.</w:t>
      </w:r>
      <w:r w:rsidRPr="00371FF8">
        <w:t xml:space="preserve"> (2026), noted that younger and tech-savvy populations are impacted by digital campaigns targeting smoking cessation, mental health awareness, and physical activities. For example, in 2023, approximately 75% of adults in England used online services to access health information (NHS, 2024). This scenario reflects the growing dependence on digital platforms in health promotion. Khobragade </w:t>
      </w:r>
      <w:r w:rsidRPr="00371FF8">
        <w:rPr>
          <w:i/>
          <w:iCs/>
        </w:rPr>
        <w:t>et al.</w:t>
      </w:r>
      <w:r w:rsidRPr="00371FF8">
        <w:t xml:space="preserve"> (2026), contradicted that during the COVID-19 pandemic, real-time surveillance and rapid public health response are also part of digital health promotion. However, unequal access to technology, data privacy concerns, and digital exclusions are some challenges. Addressing these issues is important to ensure equitable health outcomes. </w:t>
      </w:r>
    </w:p>
    <w:p w:rsidR="00371FF8" w:rsidRPr="00371FF8" w:rsidRDefault="00371FF8" w:rsidP="00371FF8">
      <w:pPr>
        <w:pStyle w:val="Heading2"/>
      </w:pPr>
      <w:bookmarkStart w:id="30" w:name="_Toc228367003"/>
      <w:bookmarkStart w:id="31" w:name="_Toc228461243"/>
      <w:r w:rsidRPr="00371FF8">
        <w:t>2.3 Impact of digital health interventions in preventing Type 2 diabetes</w:t>
      </w:r>
      <w:bookmarkEnd w:id="30"/>
      <w:bookmarkEnd w:id="31"/>
      <w:r w:rsidRPr="00371FF8">
        <w:t> </w:t>
      </w:r>
    </w:p>
    <w:p w:rsidR="00371FF8" w:rsidRPr="00371FF8" w:rsidRDefault="00371FF8" w:rsidP="00371FF8">
      <w:r w:rsidRPr="00371FF8">
        <w:t xml:space="preserve">According to Kim </w:t>
      </w:r>
      <w:r w:rsidRPr="00371FF8">
        <w:rPr>
          <w:i/>
          <w:iCs/>
        </w:rPr>
        <w:t>et al.</w:t>
      </w:r>
      <w:r w:rsidRPr="00371FF8">
        <w:t xml:space="preserve"> (2026), digital health interventions have the potential to prevent type 2 diabetes among adults. This is done by targeting factors like obesity, physical inactivity, and poor diet. Gong </w:t>
      </w:r>
      <w:r w:rsidRPr="00371FF8">
        <w:rPr>
          <w:i/>
          <w:iCs/>
        </w:rPr>
        <w:t>et al.</w:t>
      </w:r>
      <w:r w:rsidRPr="00371FF8">
        <w:t xml:space="preserve"> (2020), noted that mobile apps, online coaching, and remote monitoring are ways to deliver these interventions. This helps in continuous engagement, personalised feedback, and scalable behaviour change support outside traditional clinical settings. As per Szekely </w:t>
      </w:r>
      <w:r w:rsidRPr="00371FF8">
        <w:rPr>
          <w:i/>
          <w:iCs/>
        </w:rPr>
        <w:t>et al.</w:t>
      </w:r>
      <w:r w:rsidRPr="00371FF8">
        <w:t xml:space="preserve"> (2026), in the global context, digital health promotion can be as effective as face-to-face interventions in reducing key indicators named by programmes such as the NHS digital diabetes prevention programme. </w:t>
      </w:r>
    </w:p>
    <w:p w:rsidR="00371FF8" w:rsidRPr="00371FF8" w:rsidRDefault="00371FF8" w:rsidP="002B5527">
      <w:pPr>
        <w:jc w:val="center"/>
      </w:pPr>
      <w:r w:rsidRPr="00371FF8">
        <w:rPr>
          <w:noProof/>
          <w:lang w:val="en-US" w:eastAsia="en-US" w:bidi="ar-SA"/>
        </w:rPr>
        <w:drawing>
          <wp:inline distT="0" distB="0" distL="0" distR="0">
            <wp:extent cx="3592800" cy="2392513"/>
            <wp:effectExtent l="0" t="0" r="0" b="0"/>
            <wp:docPr id="1801223011" name="Picture 11" descr="How Digital Health Is Transforming Diabetes Care | DigiMedica - digimed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ow Digital Health Is Transforming Diabetes Care | DigiMedica - digimedica"/>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98453" cy="2396278"/>
                    </a:xfrm>
                    <a:prstGeom prst="rect">
                      <a:avLst/>
                    </a:prstGeom>
                    <a:noFill/>
                    <a:ln>
                      <a:noFill/>
                    </a:ln>
                  </pic:spPr>
                </pic:pic>
              </a:graphicData>
            </a:graphic>
          </wp:inline>
        </w:drawing>
      </w:r>
    </w:p>
    <w:p w:rsidR="00371FF8" w:rsidRPr="00371FF8" w:rsidRDefault="00371FF8" w:rsidP="002B5527">
      <w:pPr>
        <w:pStyle w:val="Heading4"/>
      </w:pPr>
      <w:bookmarkStart w:id="32" w:name="_Toc228461156"/>
      <w:r w:rsidRPr="00371FF8">
        <w:t>Figure 2.2: Impact of diabetes clinic</w:t>
      </w:r>
      <w:bookmarkEnd w:id="32"/>
    </w:p>
    <w:p w:rsidR="00371FF8" w:rsidRPr="00371FF8" w:rsidRDefault="00371FF8" w:rsidP="002B5527">
      <w:pPr>
        <w:jc w:val="center"/>
      </w:pPr>
      <w:r w:rsidRPr="00371FF8">
        <w:t xml:space="preserve">(Source: Maida </w:t>
      </w:r>
      <w:r w:rsidRPr="00371FF8">
        <w:rPr>
          <w:i/>
          <w:iCs/>
        </w:rPr>
        <w:t>et al.</w:t>
      </w:r>
      <w:r w:rsidRPr="00371FF8">
        <w:t xml:space="preserve"> 2025)</w:t>
      </w:r>
    </w:p>
    <w:p w:rsidR="00371FF8" w:rsidRPr="00371FF8" w:rsidRDefault="00371FF8" w:rsidP="00371FF8">
      <w:r w:rsidRPr="00371FF8">
        <w:t xml:space="preserve">From the above, it is clear that the digital virtual diabetes cleaning helps in telemonitoring and favours the multi-disciplinary management, which is extremely important for diabetes management (Maida </w:t>
      </w:r>
      <w:r w:rsidRPr="00371FF8">
        <w:rPr>
          <w:i/>
          <w:iCs/>
        </w:rPr>
        <w:t>et al.</w:t>
      </w:r>
      <w:r w:rsidRPr="00371FF8">
        <w:t xml:space="preserve"> 2025). For example, participation in a digital prevention </w:t>
      </w:r>
      <w:r w:rsidRPr="00371FF8">
        <w:lastRenderedPageBreak/>
        <w:t xml:space="preserve">programme was connected with a decrease in HbA1c of −1.6 mmol/mol and weight loss of −3.1 kg after 12 months (Shtg, 2025). This situation indicates clinically meaningful risk reduction. </w:t>
      </w:r>
      <w:r w:rsidR="002C3B30">
        <w:t>A</w:t>
      </w:r>
      <w:r w:rsidRPr="00371FF8">
        <w:t>dults often face time limitations due to work or family commitments. But this can increase accessibility for them. Goal setting, real-time feedback, and social support networks are also there to support long-term adherence. Moreover, Sun</w:t>
      </w:r>
      <w:r w:rsidRPr="00371FF8">
        <w:rPr>
          <w:i/>
          <w:iCs/>
        </w:rPr>
        <w:t xml:space="preserve"> et al.</w:t>
      </w:r>
      <w:r w:rsidRPr="00371FF8">
        <w:t xml:space="preserve"> (2026), also identified that digital platforms help in the early identification of at-risk individuals and facilitate preventive interventions at scale. However, Mwirigi </w:t>
      </w:r>
      <w:r w:rsidRPr="00371FF8">
        <w:rPr>
          <w:i/>
          <w:iCs/>
        </w:rPr>
        <w:t>et al.</w:t>
      </w:r>
      <w:r w:rsidRPr="00371FF8">
        <w:t xml:space="preserve"> (2026) argued that digital literacy, sustained user engagement, and integration with primary care services are some factors on which the effectiveness depends. Overall, this are cost effective and scalable strategy that can be used to reduce the growing burden of T2DM in the global public health system.</w:t>
      </w:r>
    </w:p>
    <w:p w:rsidR="00371FF8" w:rsidRPr="00371FF8" w:rsidRDefault="00371FF8" w:rsidP="00371FF8">
      <w:pPr>
        <w:pStyle w:val="Heading2"/>
      </w:pPr>
      <w:bookmarkStart w:id="33" w:name="_Toc228367004"/>
      <w:bookmarkStart w:id="34" w:name="_Toc228461244"/>
      <w:r w:rsidRPr="00371FF8">
        <w:t>2.4 Digital tools impact self-management behaviours and clinical outcomes of Type 2 diabetes</w:t>
      </w:r>
      <w:bookmarkEnd w:id="33"/>
      <w:bookmarkEnd w:id="34"/>
      <w:r w:rsidRPr="00371FF8">
        <w:t> </w:t>
      </w:r>
    </w:p>
    <w:p w:rsidR="00371FF8" w:rsidRPr="00371FF8" w:rsidRDefault="00371FF8" w:rsidP="00371FF8">
      <w:r w:rsidRPr="00371FF8">
        <w:t xml:space="preserve">According to Kulsuwan </w:t>
      </w:r>
      <w:r w:rsidRPr="00371FF8">
        <w:rPr>
          <w:i/>
          <w:iCs/>
        </w:rPr>
        <w:t>et al.</w:t>
      </w:r>
      <w:r w:rsidRPr="00371FF8">
        <w:t xml:space="preserve"> (2026), digital tools have a measurable impact on both self-management behaviours and clinical outcomes among Individuals with type 2 diabetes. This specifically impacts engagement, adherence, and metabolic control. Turnbull </w:t>
      </w:r>
      <w:r w:rsidRPr="00371FF8">
        <w:rPr>
          <w:i/>
          <w:iCs/>
        </w:rPr>
        <w:t>et al.</w:t>
      </w:r>
      <w:r w:rsidRPr="00371FF8">
        <w:t xml:space="preserve"> (2020) identified that mobile health apps, telehealth platforms, wearable devices, and web-based education programmes are some tools that support patients. These tools help in monitoring diet, medication, glycaemic levels, and physical activity in real time. Pal</w:t>
      </w:r>
      <w:r w:rsidRPr="00371FF8">
        <w:rPr>
          <w:i/>
          <w:iCs/>
        </w:rPr>
        <w:t xml:space="preserve"> et al.</w:t>
      </w:r>
      <w:r w:rsidRPr="00371FF8">
        <w:t xml:space="preserve"> (2018), digital interventions enhance patients’ knowledge, motivation, and consistency in lifestyle modifications in terms of self-management behaviours. </w:t>
      </w:r>
    </w:p>
    <w:p w:rsidR="00371FF8" w:rsidRPr="00371FF8" w:rsidRDefault="00371FF8" w:rsidP="002B5527">
      <w:pPr>
        <w:jc w:val="center"/>
      </w:pPr>
      <w:r w:rsidRPr="00371FF8">
        <w:rPr>
          <w:noProof/>
          <w:lang w:val="en-US" w:eastAsia="en-US" w:bidi="ar-SA"/>
        </w:rPr>
        <w:drawing>
          <wp:inline distT="0" distB="0" distL="0" distR="0">
            <wp:extent cx="5943600" cy="3429000"/>
            <wp:effectExtent l="0" t="0" r="0" b="0"/>
            <wp:docPr id="19592690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429000"/>
                    </a:xfrm>
                    <a:prstGeom prst="rect">
                      <a:avLst/>
                    </a:prstGeom>
                    <a:noFill/>
                    <a:ln>
                      <a:noFill/>
                    </a:ln>
                  </pic:spPr>
                </pic:pic>
              </a:graphicData>
            </a:graphic>
          </wp:inline>
        </w:drawing>
      </w:r>
    </w:p>
    <w:p w:rsidR="00371FF8" w:rsidRPr="00371FF8" w:rsidRDefault="00371FF8" w:rsidP="002B5527">
      <w:pPr>
        <w:pStyle w:val="Heading4"/>
      </w:pPr>
      <w:bookmarkStart w:id="35" w:name="_Toc228461157"/>
      <w:r w:rsidRPr="00371FF8">
        <w:lastRenderedPageBreak/>
        <w:t>Figure 2.3: Digital tools</w:t>
      </w:r>
      <w:bookmarkEnd w:id="35"/>
    </w:p>
    <w:p w:rsidR="00371FF8" w:rsidRPr="00371FF8" w:rsidRDefault="00371FF8" w:rsidP="002B5527">
      <w:pPr>
        <w:jc w:val="center"/>
      </w:pPr>
      <w:r w:rsidRPr="00371FF8">
        <w:t xml:space="preserve">(Source: Fraser </w:t>
      </w:r>
      <w:r w:rsidRPr="00371FF8">
        <w:rPr>
          <w:i/>
          <w:iCs/>
        </w:rPr>
        <w:t>et al.</w:t>
      </w:r>
      <w:r w:rsidRPr="00371FF8">
        <w:t xml:space="preserve"> 2025)</w:t>
      </w:r>
    </w:p>
    <w:p w:rsidR="00371FF8" w:rsidRPr="00371FF8" w:rsidRDefault="00371FF8" w:rsidP="00371FF8">
      <w:r w:rsidRPr="00371FF8">
        <w:t xml:space="preserve">From the above graph, it is clear that in 2024, the digital tools for diabetes management have increased 25% from the previous year (Fraser </w:t>
      </w:r>
      <w:r w:rsidRPr="00371FF8">
        <w:rPr>
          <w:i/>
          <w:iCs/>
        </w:rPr>
        <w:t>et al.</w:t>
      </w:r>
      <w:r w:rsidRPr="00371FF8">
        <w:t xml:space="preserve"> 2025).  For example, goal-setting and feedback loops are some features that boost healthy behaviours and medication adherence. According to the evidence by McGough </w:t>
      </w:r>
      <w:r w:rsidRPr="00371FF8">
        <w:rPr>
          <w:i/>
          <w:iCs/>
        </w:rPr>
        <w:t xml:space="preserve">et al. </w:t>
      </w:r>
      <w:r w:rsidRPr="00371FF8">
        <w:t xml:space="preserve">(2019), patients’ understanding of diabetes is significantly improved through telehealth and app-based interventions. Thanthrige and Wickramasinghe (2026), noted </w:t>
      </w:r>
      <w:r w:rsidRPr="00BC08F0">
        <w:t xml:space="preserve">that telehealth and app-based intervention improving the diabetes care by real time monitoring and personalised feedback and goal setting. This increased maintenance support life changes and help continuous patient provider communication which can enhance the HBA1C outcome effectively. </w:t>
      </w:r>
      <w:r w:rsidRPr="00371FF8">
        <w:t>This also boosts sustained behavioural changes, including better diet control and increased physical activity. </w:t>
      </w:r>
    </w:p>
    <w:p w:rsidR="00371FF8" w:rsidRPr="00371FF8" w:rsidRDefault="00371FF8" w:rsidP="00371FF8">
      <w:r w:rsidRPr="00371FF8">
        <w:t xml:space="preserve">It is identified that 57.9% of studies show significant reductions in HbA1c levels among users of digital interventions (Betancourt </w:t>
      </w:r>
      <w:r w:rsidRPr="00371FF8">
        <w:rPr>
          <w:i/>
          <w:iCs/>
        </w:rPr>
        <w:t xml:space="preserve">et al. </w:t>
      </w:r>
      <w:r w:rsidRPr="00371FF8">
        <w:t xml:space="preserve">2026). These are reductions ranging from −0.5% to −0.9% (Betancourt </w:t>
      </w:r>
      <w:r w:rsidRPr="00371FF8">
        <w:rPr>
          <w:i/>
          <w:iCs/>
        </w:rPr>
        <w:t xml:space="preserve">et al. </w:t>
      </w:r>
      <w:r w:rsidRPr="00371FF8">
        <w:t xml:space="preserve">2026). Shaheen </w:t>
      </w:r>
      <w:r w:rsidRPr="00371FF8">
        <w:rPr>
          <w:i/>
          <w:iCs/>
        </w:rPr>
        <w:t>et al.</w:t>
      </w:r>
      <w:r w:rsidRPr="00371FF8">
        <w:t xml:space="preserve"> (2026), identified that level of improvement is clinically meaningful as even modest reductions in HbA1C are connected with lower risks of complications such as neuropathy and cardiovascular diseases. Timti </w:t>
      </w:r>
      <w:r w:rsidRPr="00371FF8">
        <w:rPr>
          <w:i/>
          <w:iCs/>
        </w:rPr>
        <w:t>et al.</w:t>
      </w:r>
      <w:r w:rsidRPr="00371FF8">
        <w:t xml:space="preserve"> (2026), contradict that the scalability of digital solutions within public health systems is reflected by global-based programmes. These programmes demonstrated improved HbA1C and cost-effective care delivery. Overall, digital tools strengthen self-management capacity and lead to improved clinical outcomes, but sustained engagement, usability, and integration with routine healthcare services are the main factors on which their effectiveness depends.</w:t>
      </w:r>
    </w:p>
    <w:p w:rsidR="00371FF8" w:rsidRPr="00371FF8" w:rsidRDefault="00371FF8" w:rsidP="00371FF8">
      <w:pPr>
        <w:pStyle w:val="Heading2"/>
      </w:pPr>
      <w:bookmarkStart w:id="36" w:name="_Toc228367005"/>
      <w:bookmarkStart w:id="37" w:name="_Toc228461245"/>
      <w:r w:rsidRPr="00371FF8">
        <w:t>2.5 Facilitators impacting the adoption of digital health technologies in the population with type 2 diabetes</w:t>
      </w:r>
      <w:bookmarkEnd w:id="36"/>
      <w:bookmarkEnd w:id="37"/>
      <w:r w:rsidRPr="00371FF8">
        <w:t> </w:t>
      </w:r>
    </w:p>
    <w:p w:rsidR="00371FF8" w:rsidRPr="00371FF8" w:rsidRDefault="00371FF8" w:rsidP="00371FF8">
      <w:r w:rsidRPr="00371FF8">
        <w:t xml:space="preserve">Facilitators influencing the adoption of digital health technologies among people with type 2 diabetes are multifactorial. Bao </w:t>
      </w:r>
      <w:r w:rsidRPr="00371FF8">
        <w:rPr>
          <w:i/>
          <w:iCs/>
        </w:rPr>
        <w:t xml:space="preserve">et al. </w:t>
      </w:r>
      <w:r w:rsidRPr="00371FF8">
        <w:t xml:space="preserve">(2026), noted that technological, individual, and system-level factors are the facilitators influencing the adoption of digital health technologies. Increase in user engagement, acceptability, and supporting the substance use of digital interventions are some ways to use these facilitators. As per Thanthrige and Wickramasinghe (2026), a key facilitator is user-friendly design and functionality. Features like glucose tracking, reminders, easy navigation, and clear data visualization can significantly improve the adoption of digital tools. As per Nanditha </w:t>
      </w:r>
      <w:r w:rsidRPr="00371FF8">
        <w:rPr>
          <w:i/>
          <w:iCs/>
        </w:rPr>
        <w:t xml:space="preserve">et al. </w:t>
      </w:r>
      <w:r w:rsidRPr="00371FF8">
        <w:t xml:space="preserve">(2020), among adults, the encouragement of routine use and decreasing the cognitive burden depends on the easy usability of the tool. Yu (2026) contradicted that another major factor is personalization and tailored feedback. Adaptive goals, real-time feedback, and customised </w:t>
      </w:r>
      <w:r w:rsidRPr="00371FF8">
        <w:lastRenderedPageBreak/>
        <w:t>recommendations increase motivation among users. </w:t>
      </w:r>
      <w:r w:rsidRPr="00BC08F0">
        <w:t>Thanthrige and Wickramasinghe (2026), noted that digital health adaptation in the diabetes increase by usability personalization and clinical integration. In the global countries, the application support glucose monitoring, reminders and remote care which promote the engagement maintenance and continuity.</w:t>
      </w:r>
    </w:p>
    <w:p w:rsidR="00371FF8" w:rsidRPr="00371FF8" w:rsidRDefault="00371FF8" w:rsidP="00371FF8">
      <w:r w:rsidRPr="00371FF8">
        <w:t xml:space="preserve">Doyle </w:t>
      </w:r>
      <w:r w:rsidRPr="00371FF8">
        <w:rPr>
          <w:i/>
          <w:iCs/>
        </w:rPr>
        <w:t>et al.</w:t>
      </w:r>
      <w:r w:rsidRPr="00371FF8">
        <w:t xml:space="preserve"> (2026), identified that personalised feedback was identified as a facilitator by highlighting its central role in engagement. Malik </w:t>
      </w:r>
      <w:r w:rsidRPr="00371FF8">
        <w:rPr>
          <w:i/>
          <w:iCs/>
        </w:rPr>
        <w:t xml:space="preserve">et al. </w:t>
      </w:r>
      <w:r w:rsidRPr="00371FF8">
        <w:t xml:space="preserve">(2026), noted that recommended digital tools or the integration of them into routine care by clinicians are ways to achieve the trust of the patients and make them use the tools consistently. In the NHS context, integration with primary care systems increases tradability and continuity of care. Cunningham </w:t>
      </w:r>
      <w:r w:rsidRPr="00371FF8">
        <w:rPr>
          <w:i/>
          <w:iCs/>
        </w:rPr>
        <w:t>et al.</w:t>
      </w:r>
      <w:r w:rsidRPr="00371FF8">
        <w:t xml:space="preserve"> (2023) identified that online communities or coaching boost sustained engagement by promoting shared experiences. These are part of social and peer support mechanisms. Zin </w:t>
      </w:r>
      <w:r w:rsidRPr="00371FF8">
        <w:rPr>
          <w:i/>
          <w:iCs/>
        </w:rPr>
        <w:t xml:space="preserve">et al. </w:t>
      </w:r>
      <w:r w:rsidRPr="00371FF8">
        <w:t>(2026), identified that higher education levels, prior technology use, and perceived benefits positively impact uptake, as digital literacy and individual motivation also act as enabling factors. Overall adoption of digital health technologies in the T2DM population is promoted by usability, personalization, professional support, and user readiness.</w:t>
      </w:r>
    </w:p>
    <w:p w:rsidR="00371FF8" w:rsidRPr="00371FF8" w:rsidRDefault="00371FF8" w:rsidP="00371FF8">
      <w:pPr>
        <w:pStyle w:val="Heading2"/>
      </w:pPr>
      <w:bookmarkStart w:id="38" w:name="_Toc228367006"/>
      <w:bookmarkStart w:id="39" w:name="_Toc228461246"/>
      <w:r w:rsidRPr="00371FF8">
        <w:t>2.6 Barriers impacting the adoption of digital health technologies in this population</w:t>
      </w:r>
      <w:bookmarkEnd w:id="38"/>
      <w:bookmarkEnd w:id="39"/>
      <w:r w:rsidRPr="00371FF8">
        <w:t> </w:t>
      </w:r>
    </w:p>
    <w:p w:rsidR="00371FF8" w:rsidRPr="00371FF8" w:rsidRDefault="00371FF8" w:rsidP="00371FF8">
      <w:r w:rsidRPr="00371FF8">
        <w:t xml:space="preserve">As per Narayan </w:t>
      </w:r>
      <w:r w:rsidRPr="00371FF8">
        <w:rPr>
          <w:i/>
          <w:iCs/>
        </w:rPr>
        <w:t>et al.</w:t>
      </w:r>
      <w:r w:rsidRPr="00371FF8">
        <w:t xml:space="preserve"> (2026), barriers impacting the adoption of digital health technologies in this population are multifaceted socio economic technological. The main challenge is the limited rate of digital literacy.  Gerber </w:t>
      </w:r>
      <w:r w:rsidRPr="00371FF8">
        <w:rPr>
          <w:i/>
          <w:iCs/>
        </w:rPr>
        <w:t>et al.</w:t>
      </w:r>
      <w:r w:rsidRPr="00371FF8">
        <w:t xml:space="preserve"> (2023), noted that individuals who lack the necessary skills are facing problems using mobile applications or telemedicine platforms. Scott </w:t>
      </w:r>
      <w:r w:rsidRPr="00371FF8">
        <w:rPr>
          <w:i/>
          <w:iCs/>
        </w:rPr>
        <w:t>et al.</w:t>
      </w:r>
      <w:r w:rsidRPr="00371FF8">
        <w:t xml:space="preserve"> (2026), noted that older adults and individuals from non-technical backgrounds find interfaces complicated and intimidating. Another prominent challenge is inadequate access to reliable infrastructure. Kim </w:t>
      </w:r>
      <w:r w:rsidRPr="00371FF8">
        <w:rPr>
          <w:i/>
          <w:iCs/>
        </w:rPr>
        <w:t>et al.</w:t>
      </w:r>
      <w:r w:rsidRPr="00371FF8">
        <w:t xml:space="preserve"> (2024), noted that most people lack smartphones or poor Internet connectivity restrict the usability of digital health solutions, especially in rural or economically disadvantaged regions. It is identified that globally, an estimated 3.8 billion people are offline (Mair </w:t>
      </w:r>
      <w:r w:rsidRPr="00371FF8">
        <w:rPr>
          <w:i/>
          <w:iCs/>
        </w:rPr>
        <w:t>et al.</w:t>
      </w:r>
      <w:r w:rsidRPr="00371FF8">
        <w:t xml:space="preserve"> 2025). This situation reflects the scale of exclusion from digital health ecosystems. </w:t>
      </w:r>
    </w:p>
    <w:p w:rsidR="00371FF8" w:rsidRPr="00371FF8" w:rsidRDefault="00371FF8" w:rsidP="00371FF8">
      <w:r w:rsidRPr="00371FF8">
        <w:t xml:space="preserve">Birati and Tzemah-Shahar (2026), contradicted that in many places, people prefer face-to-face medical consultations, which often results in resistance to adopting virtual healthcare services. This is mainly because of the cultural and behavioural resistance. Additionally, Levia </w:t>
      </w:r>
      <w:r w:rsidRPr="00371FF8">
        <w:rPr>
          <w:i/>
          <w:iCs/>
        </w:rPr>
        <w:t>et al.</w:t>
      </w:r>
      <w:r w:rsidRPr="00371FF8">
        <w:t xml:space="preserve"> (2024) identified that a lack of localised content and language barriers also reduce the use of digital technologies in diverse populations. Finally, Kim </w:t>
      </w:r>
      <w:r w:rsidRPr="00371FF8">
        <w:rPr>
          <w:i/>
          <w:iCs/>
        </w:rPr>
        <w:t>et al.</w:t>
      </w:r>
      <w:r w:rsidRPr="00371FF8">
        <w:t xml:space="preserve"> (2026), opined that factors like subscription fees, device costs, and maintenance expenses reduce </w:t>
      </w:r>
      <w:r w:rsidRPr="00371FF8">
        <w:lastRenderedPageBreak/>
        <w:t>the widespread use of the technologies. Overcoming these challenges requires an approach combining education, infrastructure development, user-centric design, and class-building measures. </w:t>
      </w:r>
    </w:p>
    <w:p w:rsidR="00371FF8" w:rsidRPr="00371FF8" w:rsidRDefault="00371FF8" w:rsidP="00371FF8">
      <w:pPr>
        <w:pStyle w:val="Heading2"/>
      </w:pPr>
      <w:bookmarkStart w:id="40" w:name="_Toc228367007"/>
      <w:bookmarkStart w:id="41" w:name="_Toc228461247"/>
      <w:r w:rsidRPr="00371FF8">
        <w:t>2.7 Theoretical framework</w:t>
      </w:r>
      <w:bookmarkEnd w:id="40"/>
      <w:bookmarkEnd w:id="41"/>
      <w:r w:rsidRPr="00371FF8">
        <w:t> </w:t>
      </w:r>
    </w:p>
    <w:p w:rsidR="00371FF8" w:rsidRPr="002C3B30" w:rsidRDefault="00371FF8" w:rsidP="00371FF8">
      <w:pPr>
        <w:rPr>
          <w:b/>
          <w:bCs/>
          <w:i/>
          <w:iCs/>
        </w:rPr>
      </w:pPr>
      <w:r w:rsidRPr="002C3B30">
        <w:rPr>
          <w:b/>
          <w:bCs/>
          <w:i/>
          <w:iCs/>
        </w:rPr>
        <w:t>Health Belief Model </w:t>
      </w:r>
    </w:p>
    <w:p w:rsidR="00371FF8" w:rsidRPr="00371FF8" w:rsidRDefault="00371FF8" w:rsidP="002C3B30">
      <w:pPr>
        <w:jc w:val="center"/>
      </w:pPr>
      <w:r w:rsidRPr="00371FF8">
        <w:rPr>
          <w:noProof/>
          <w:lang w:val="en-US" w:eastAsia="en-US" w:bidi="ar-SA"/>
        </w:rPr>
        <w:drawing>
          <wp:inline distT="0" distB="0" distL="0" distR="0">
            <wp:extent cx="4400550" cy="3419475"/>
            <wp:effectExtent l="0" t="0" r="0" b="0"/>
            <wp:docPr id="15237701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400550" cy="3419475"/>
                    </a:xfrm>
                    <a:prstGeom prst="rect">
                      <a:avLst/>
                    </a:prstGeom>
                    <a:noFill/>
                    <a:ln>
                      <a:noFill/>
                    </a:ln>
                  </pic:spPr>
                </pic:pic>
              </a:graphicData>
            </a:graphic>
          </wp:inline>
        </w:drawing>
      </w:r>
    </w:p>
    <w:p w:rsidR="00371FF8" w:rsidRPr="00371FF8" w:rsidRDefault="00371FF8" w:rsidP="002C3B30">
      <w:pPr>
        <w:pStyle w:val="Heading4"/>
      </w:pPr>
      <w:bookmarkStart w:id="42" w:name="_Toc228461158"/>
      <w:r w:rsidRPr="00371FF8">
        <w:t>Figure 2.4: The health belief model</w:t>
      </w:r>
      <w:bookmarkEnd w:id="42"/>
    </w:p>
    <w:p w:rsidR="00371FF8" w:rsidRPr="00371FF8" w:rsidRDefault="00371FF8" w:rsidP="002C3B30">
      <w:pPr>
        <w:jc w:val="center"/>
      </w:pPr>
      <w:r w:rsidRPr="00371FF8">
        <w:t>(Source: Li, 2025)</w:t>
      </w:r>
    </w:p>
    <w:p w:rsidR="00371FF8" w:rsidRPr="00371FF8" w:rsidRDefault="00371FF8" w:rsidP="00371FF8">
      <w:r w:rsidRPr="00371FF8">
        <w:t xml:space="preserve">The health belief model explains how people make decisions about health behaviour based on their beliefs and perceptions (Fenech </w:t>
      </w:r>
      <w:r w:rsidRPr="00371FF8">
        <w:rPr>
          <w:i/>
          <w:iCs/>
        </w:rPr>
        <w:t>et al.</w:t>
      </w:r>
      <w:r w:rsidRPr="00371FF8">
        <w:t xml:space="preserve"> 2026). In the context of type 2 diabetes, it helps to understand the reasons why individuals ignore or adopt digital health interventions for the prevention and management of existing issues. The key factors that are being focused on by the model are perceived susceptibility, perceived severity, perceived benefits, and perceived barriers (Li, 2025). It is shown that if there is a risk of diabetes or the condition has serious consequences, most of the adults are likely to use digital tools, such as mobile apps or SMS based programs. </w:t>
      </w:r>
    </w:p>
    <w:p w:rsidR="00371FF8" w:rsidRDefault="00371FF8" w:rsidP="00371FF8">
      <w:r w:rsidRPr="00371FF8">
        <w:t xml:space="preserve">Digital health promotion strengthens perceived benefits by offering features like real-time feedback, personalised advice, and convenient monitoring of blood glucose levels (Mekniran </w:t>
      </w:r>
      <w:r w:rsidRPr="00371FF8">
        <w:rPr>
          <w:i/>
          <w:iCs/>
        </w:rPr>
        <w:t>et al.</w:t>
      </w:r>
      <w:r w:rsidRPr="00371FF8">
        <w:t xml:space="preserve"> 2026). But there are barriers like low rates of digital literacy, lack of motivation, or limited access to technology, which can be a major reason for the reduction in digital adoption (Khan </w:t>
      </w:r>
      <w:r w:rsidRPr="00371FF8">
        <w:rPr>
          <w:i/>
          <w:iCs/>
        </w:rPr>
        <w:t>et al.</w:t>
      </w:r>
      <w:r w:rsidRPr="00371FF8">
        <w:t xml:space="preserve"> 2026). The factors that play a major role in encouraging behaviour change are cues to actions, such as reminders and alerts. Overall, HBM is highly relevant for </w:t>
      </w:r>
      <w:r w:rsidRPr="00371FF8">
        <w:lastRenderedPageBreak/>
        <w:t>this research as it explains how beliefs influence engagement with digital interventions, particularly in promoting preventive behaviour and improving long-term diabetes self-management outcomes.</w:t>
      </w:r>
    </w:p>
    <w:p w:rsidR="002C3B30" w:rsidRPr="00371FF8" w:rsidRDefault="002C3B30" w:rsidP="00371FF8"/>
    <w:p w:rsidR="00371FF8" w:rsidRPr="002C3B30" w:rsidRDefault="00371FF8" w:rsidP="00371FF8">
      <w:pPr>
        <w:rPr>
          <w:b/>
          <w:bCs/>
          <w:i/>
          <w:iCs/>
        </w:rPr>
      </w:pPr>
      <w:r w:rsidRPr="002C3B30">
        <w:rPr>
          <w:b/>
          <w:bCs/>
          <w:i/>
          <w:iCs/>
        </w:rPr>
        <w:t>Technology acceptance model </w:t>
      </w:r>
    </w:p>
    <w:p w:rsidR="00371FF8" w:rsidRPr="00371FF8" w:rsidRDefault="00371FF8" w:rsidP="002C3B30">
      <w:pPr>
        <w:jc w:val="center"/>
      </w:pPr>
      <w:r w:rsidRPr="00371FF8">
        <w:rPr>
          <w:noProof/>
          <w:lang w:val="en-US" w:eastAsia="en-US" w:bidi="ar-SA"/>
        </w:rPr>
        <w:drawing>
          <wp:inline distT="0" distB="0" distL="0" distR="0">
            <wp:extent cx="5943600" cy="1800225"/>
            <wp:effectExtent l="0" t="0" r="0" b="0"/>
            <wp:docPr id="15571263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1800225"/>
                    </a:xfrm>
                    <a:prstGeom prst="rect">
                      <a:avLst/>
                    </a:prstGeom>
                    <a:noFill/>
                    <a:ln>
                      <a:noFill/>
                    </a:ln>
                  </pic:spPr>
                </pic:pic>
              </a:graphicData>
            </a:graphic>
          </wp:inline>
        </w:drawing>
      </w:r>
    </w:p>
    <w:p w:rsidR="00371FF8" w:rsidRPr="00371FF8" w:rsidRDefault="00371FF8" w:rsidP="002C3B30">
      <w:pPr>
        <w:pStyle w:val="Heading4"/>
      </w:pPr>
      <w:bookmarkStart w:id="43" w:name="_Toc228461159"/>
      <w:r w:rsidRPr="00371FF8">
        <w:t>Figure 2.5: Technology acceptance model</w:t>
      </w:r>
      <w:bookmarkEnd w:id="43"/>
    </w:p>
    <w:p w:rsidR="00371FF8" w:rsidRPr="00371FF8" w:rsidRDefault="00371FF8" w:rsidP="002C3B30">
      <w:pPr>
        <w:jc w:val="center"/>
      </w:pPr>
      <w:r w:rsidRPr="00371FF8">
        <w:t>(Source: Al-Momani and Ramayah, 2025)</w:t>
      </w:r>
    </w:p>
    <w:p w:rsidR="00371FF8" w:rsidRPr="00371FF8" w:rsidRDefault="00371FF8" w:rsidP="00371FF8">
      <w:r w:rsidRPr="00371FF8">
        <w:t xml:space="preserve">Perceived usefulness and perceived ease of use are the two main factors that are used in the technology acceptance model ( Al-Momani and Ramayah, 2025). TAM explains how users accept and use real technology (AlDhaheri </w:t>
      </w:r>
      <w:r w:rsidRPr="00371FF8">
        <w:rPr>
          <w:i/>
          <w:iCs/>
        </w:rPr>
        <w:t>et al.</w:t>
      </w:r>
      <w:r w:rsidRPr="00371FF8">
        <w:t xml:space="preserve"> 2026). The context of digital health promotion for type 2 diabetes TAM is essential for understanding the reasons for adoption or rejection of health applications, mobile platforms, and digital interventions by individuals. Perceived usefulness explains the extent to which individuals believe that using a digital health tool will improve their diabetes management. </w:t>
      </w:r>
    </w:p>
    <w:p w:rsidR="00371FF8" w:rsidRPr="00371FF8" w:rsidRDefault="00371FF8" w:rsidP="00371FF8">
      <w:r w:rsidRPr="00371FF8">
        <w:t xml:space="preserve">Individuals are less likely to engage consistently if the digital platforms are difficult to navigate and complex (Mann, 2026). This is because ease of use relates to how simple and user-friendly the technology is. In this research, TAM helps explain variations in user engagement across different studies. If users do not find effective interventions accessible or relevant, they may also fail. Factors such as age, digital skills, and design quality also influence digital acceptance (Yadav </w:t>
      </w:r>
      <w:r w:rsidRPr="00371FF8">
        <w:rPr>
          <w:i/>
          <w:iCs/>
        </w:rPr>
        <w:t>et al.</w:t>
      </w:r>
      <w:r w:rsidRPr="00371FF8">
        <w:t xml:space="preserve"> 2025). Therefore, the importance of designing simple, intuitive, and beneficial digital health tools is clearly highlighted by TAM, which can increase the rate of adoption and sustained use in diabetes prevention and management.</w:t>
      </w:r>
    </w:p>
    <w:p w:rsidR="00371FF8" w:rsidRPr="00371FF8" w:rsidRDefault="00371FF8" w:rsidP="00371FF8">
      <w:pPr>
        <w:pStyle w:val="Heading2"/>
      </w:pPr>
      <w:bookmarkStart w:id="44" w:name="_Toc228367008"/>
      <w:bookmarkStart w:id="45" w:name="_Toc228461248"/>
      <w:r w:rsidRPr="00371FF8">
        <w:t>2.8 Literature gap</w:t>
      </w:r>
      <w:bookmarkEnd w:id="44"/>
      <w:bookmarkEnd w:id="45"/>
      <w:r w:rsidRPr="00371FF8">
        <w:t> </w:t>
      </w:r>
    </w:p>
    <w:p w:rsidR="00371FF8" w:rsidRPr="00371FF8" w:rsidRDefault="00371FF8" w:rsidP="00371FF8">
      <w:r w:rsidRPr="00371FF8">
        <w:t xml:space="preserve">The literature gap is in identifying the cost-effectiveness of the digital health intervention in the public health system. It is extremely important to identify the cost-effectiveness of the digital health intervention for increasing motivation in the patient. </w:t>
      </w:r>
      <w:r w:rsidRPr="00BC08F0">
        <w:t xml:space="preserve">However, the current literature that has been used are lacked in detailing about the cost effectiveness analysis of the digital intervention. While the upfront cost exists, decreased hospital </w:t>
      </w:r>
      <w:r w:rsidR="002C3B30" w:rsidRPr="00BC08F0">
        <w:t>visits</w:t>
      </w:r>
      <w:r w:rsidRPr="00BC08F0">
        <w:t xml:space="preserve"> improved </w:t>
      </w:r>
      <w:r w:rsidRPr="00BC08F0">
        <w:lastRenderedPageBreak/>
        <w:t xml:space="preserve">HBAI1C and </w:t>
      </w:r>
      <w:r w:rsidR="002C3B30" w:rsidRPr="00BC08F0">
        <w:t>long-term</w:t>
      </w:r>
      <w:r w:rsidRPr="00BC08F0">
        <w:t xml:space="preserve"> complication prevention reflecting benefits that may overweight cost with support the healthcare sustainability. If </w:t>
      </w:r>
      <w:r w:rsidRPr="00371FF8">
        <w:t>patients notice that digital health interventions are more cost-effective than traditional ones, then they will become more adaptive to the digital infrastructure. In addition to these, another literature gap is in identifying the impact of digital help tools on long-term diabetes outcomes. This is important to know for identifying the sustainability of prevention by using digital help tools.</w:t>
      </w:r>
    </w:p>
    <w:p w:rsidR="00371FF8" w:rsidRPr="00371FF8" w:rsidRDefault="00371FF8" w:rsidP="00371FF8">
      <w:pPr>
        <w:pStyle w:val="Heading2"/>
      </w:pPr>
      <w:bookmarkStart w:id="46" w:name="_Toc228367009"/>
      <w:bookmarkStart w:id="47" w:name="_Toc228461249"/>
      <w:r w:rsidRPr="00371FF8">
        <w:t>2.9 Summary</w:t>
      </w:r>
      <w:bookmarkEnd w:id="46"/>
      <w:bookmarkEnd w:id="47"/>
      <w:r w:rsidRPr="00371FF8">
        <w:t> </w:t>
      </w:r>
    </w:p>
    <w:p w:rsidR="00371FF8" w:rsidRPr="00371FF8" w:rsidRDefault="00371FF8" w:rsidP="00371FF8">
      <w:r w:rsidRPr="00371FF8">
        <w:t xml:space="preserve">From the above, it is summarised that digital health promotions are important for the Global Public and the system for managing type 2 diabetes. It is noticed that the digital Strategies for including remote consultation and online health platforms help in increasing the accessibility of the patient and maintaining the continuity of the care. The digital health intervention has a direct impact on preventing diabetes, especially in the adult. There are facilitators and digital tools that are boosting the overall engagement of the patient. The technological, individual, and system-level factors are the major facilitators. </w:t>
      </w:r>
    </w:p>
    <w:p w:rsidR="00371FF8" w:rsidRPr="00371FF8" w:rsidRDefault="00371FF8" w:rsidP="00371FF8"/>
    <w:p w:rsidR="00371FF8" w:rsidRPr="00371FF8" w:rsidRDefault="00371FF8" w:rsidP="00371FF8"/>
    <w:p w:rsidR="00371FF8" w:rsidRPr="00371FF8" w:rsidRDefault="00371FF8" w:rsidP="00371FF8">
      <w:r w:rsidRPr="00371FF8">
        <w:br w:type="page"/>
      </w:r>
    </w:p>
    <w:p w:rsidR="00371FF8" w:rsidRPr="00371FF8" w:rsidRDefault="00371FF8" w:rsidP="00371FF8">
      <w:pPr>
        <w:pStyle w:val="Heading1"/>
      </w:pPr>
      <w:bookmarkStart w:id="48" w:name="_Toc228367010"/>
      <w:bookmarkStart w:id="49" w:name="_Toc228461250"/>
      <w:r w:rsidRPr="00371FF8">
        <w:lastRenderedPageBreak/>
        <w:t>CHAPTER 3: METHODOLOGY</w:t>
      </w:r>
      <w:bookmarkEnd w:id="48"/>
      <w:bookmarkEnd w:id="49"/>
    </w:p>
    <w:p w:rsidR="00371FF8" w:rsidRPr="00371FF8" w:rsidRDefault="00371FF8" w:rsidP="00371FF8">
      <w:pPr>
        <w:pStyle w:val="Heading2"/>
      </w:pPr>
      <w:bookmarkStart w:id="50" w:name="_qiowecf4aagt" w:colFirst="0" w:colLast="0"/>
      <w:bookmarkStart w:id="51" w:name="_Toc228367011"/>
      <w:bookmarkStart w:id="52" w:name="_Toc228461251"/>
      <w:bookmarkEnd w:id="50"/>
      <w:r w:rsidRPr="00371FF8">
        <w:t>3.1 Introduction to Chapter</w:t>
      </w:r>
      <w:bookmarkEnd w:id="51"/>
      <w:bookmarkEnd w:id="52"/>
    </w:p>
    <w:p w:rsidR="00371FF8" w:rsidRPr="00371FF8" w:rsidRDefault="00371FF8" w:rsidP="00371FF8">
      <w:r w:rsidRPr="00371FF8">
        <w:t>The methodological chapter explains the research methods integrated into the study, so that the techniques and design of the overall study can be acknowledged appropriately. In this case, a structured method, namely a systematic literature review (SLR), has been integrated to conduct a comprehensive study and explain the selected research topic, which is considered significant. In this chapter, the definition of SLR, the search strategy, and the identification of search terms using the PICO framework have been presented. Moreover, keyword identification, database use with inclusion and exclusion criteria, and highlighting of the search results have also been initiated.</w:t>
      </w:r>
    </w:p>
    <w:p w:rsidR="00371FF8" w:rsidRPr="00371FF8" w:rsidRDefault="00371FF8" w:rsidP="00371FF8">
      <w:pPr>
        <w:pStyle w:val="Heading2"/>
      </w:pPr>
      <w:bookmarkStart w:id="53" w:name="_7hzri2ktu643" w:colFirst="0" w:colLast="0"/>
      <w:bookmarkStart w:id="54" w:name="_Toc228367012"/>
      <w:bookmarkStart w:id="55" w:name="_Toc228461252"/>
      <w:bookmarkEnd w:id="53"/>
      <w:r w:rsidRPr="00371FF8">
        <w:t>3.2 Systematic Literature Review (SLR)</w:t>
      </w:r>
      <w:bookmarkEnd w:id="54"/>
      <w:bookmarkEnd w:id="55"/>
    </w:p>
    <w:p w:rsidR="00371FF8" w:rsidRPr="00371FF8" w:rsidRDefault="00371FF8" w:rsidP="00371FF8">
      <w:r w:rsidRPr="00371FF8">
        <w:t>According to Cabrera and Cabrera (2023), a systematic literature review (SLR) is noted to be a structured method which helps in identifying certain research papers which are synthesised appropriately to make the study relevant and comprehensive. This method is noted to be significant as it helps in serving the purpose of summarising the existing knowledge by identifying different relevant research papers. Moreover, this strategic process helps in identifying the research gap by comparing the findings so that transparency is established. A comprehensive SLR process can be achieved by defining the research questions using a specific framework, developing a search strategy with the identification of databases, keywords and inclusion and exclusion criteria (Bandara and Syed, 2024). After that, an appropriate data extraction with the maintenance of quality assessment of the selected study is required to be done using an appropriate method, so that appropriate findings can be achieved with the comprehensive process.</w:t>
      </w:r>
    </w:p>
    <w:p w:rsidR="00371FF8" w:rsidRPr="00371FF8" w:rsidRDefault="00371FF8" w:rsidP="00371FF8">
      <w:pPr>
        <w:pStyle w:val="Heading2"/>
      </w:pPr>
      <w:bookmarkStart w:id="56" w:name="_36albapbue26" w:colFirst="0" w:colLast="0"/>
      <w:bookmarkStart w:id="57" w:name="_Toc228367013"/>
      <w:bookmarkStart w:id="58" w:name="_Toc228461253"/>
      <w:bookmarkEnd w:id="56"/>
      <w:r w:rsidRPr="00371FF8">
        <w:t>3.3 Search Strategy</w:t>
      </w:r>
      <w:bookmarkEnd w:id="57"/>
      <w:bookmarkEnd w:id="58"/>
    </w:p>
    <w:p w:rsidR="00371FF8" w:rsidRPr="00F77EA3" w:rsidRDefault="00371FF8" w:rsidP="00371FF8">
      <w:pPr>
        <w:rPr>
          <w:lang w:val="en-IN"/>
        </w:rPr>
      </w:pPr>
      <w:r w:rsidRPr="00371FF8">
        <w:t xml:space="preserve">It has been noted by MacFarlane </w:t>
      </w:r>
      <w:r w:rsidRPr="00371FF8">
        <w:rPr>
          <w:i/>
          <w:iCs/>
        </w:rPr>
        <w:t>et al.</w:t>
      </w:r>
      <w:r w:rsidRPr="00371FF8">
        <w:t xml:space="preserve"> (2022) that a search strategy is an organised format that helps in identifying the relevant research papers using a suitable academic database with the application of keywords and inclusion and exclusion criteria</w:t>
      </w:r>
      <w:r w:rsidRPr="00BC08F0">
        <w:t>.</w:t>
      </w:r>
      <w:r w:rsidR="00F77EA3" w:rsidRPr="00BC08F0">
        <w:rPr>
          <w:lang w:val="en-IN"/>
        </w:rPr>
        <w:t>Defining the information by locating accurate and relevant data is possible with the use of an effective search strategy (Gusenbauer and Gauster, 2025).</w:t>
      </w:r>
      <w:r w:rsidRPr="00371FF8">
        <w:t xml:space="preserve">In this case, an appropriate start strategy has been achieved by conducting a comprehensive search so that multiple academic research papers can be explored to retrieve the most suitable one. PubMed has been selected as the core database to find the relevant peer-reviewed academic journals by using relevant keywords and the Boolean operators so that the research questions can be addressed appropriately. The use of the population, intervention, comparison and outcome or PICO framework has also been made, which is noted to be useful in guiding the short strategy and achieve comprehensive search method. To ensure the replicability and transparency of the </w:t>
      </w:r>
      <w:r w:rsidRPr="00371FF8">
        <w:lastRenderedPageBreak/>
        <w:t>overall search strategy, the time limit of the search has been set from 2022 to 2026 to obtain updated information.</w:t>
      </w:r>
    </w:p>
    <w:p w:rsidR="00371FF8" w:rsidRPr="00371FF8" w:rsidRDefault="00371FF8" w:rsidP="00371FF8">
      <w:pPr>
        <w:pStyle w:val="Heading2"/>
      </w:pPr>
      <w:bookmarkStart w:id="59" w:name="_Toc228367014"/>
      <w:bookmarkStart w:id="60" w:name="_Toc228461254"/>
      <w:r w:rsidRPr="00371FF8">
        <w:t>3.4 Search terms</w:t>
      </w:r>
      <w:bookmarkEnd w:id="59"/>
      <w:bookmarkEnd w:id="60"/>
    </w:p>
    <w:p w:rsidR="00371FF8" w:rsidRPr="00371FF8" w:rsidRDefault="00371FF8" w:rsidP="00371FF8">
      <w:r w:rsidRPr="00371FF8">
        <w:t xml:space="preserve">Search terms are the specific keywords or phrases that are included for identifying academic research papers by remaining relevance with the research topic that has been selected (Chigbu </w:t>
      </w:r>
      <w:r w:rsidRPr="00371FF8">
        <w:rPr>
          <w:i/>
          <w:iCs/>
        </w:rPr>
        <w:t>et al.</w:t>
      </w:r>
      <w:r w:rsidRPr="00371FF8">
        <w:t xml:space="preserve"> 2023). These search terms help in creating a connectivity so that every element of the research topic can be acknowledged. For instance, the role of digital health promotion in identifying type 2 diabetes prevention and management has been critically understood among the adults globally. This has been possible with the use of search terms. On the other hand, the use of the PICO framework has been useful in identifying the appropriate population, intervention, context and outcome to acknowledge the researchable elements.</w:t>
      </w:r>
    </w:p>
    <w:p w:rsidR="00371FF8" w:rsidRPr="00371FF8" w:rsidRDefault="00371FF8" w:rsidP="00371FF8">
      <w:r w:rsidRPr="00371FF8">
        <w:t xml:space="preserve">As per Hosseini </w:t>
      </w:r>
      <w:r w:rsidRPr="00371FF8">
        <w:rPr>
          <w:i/>
          <w:iCs/>
        </w:rPr>
        <w:t>et al.</w:t>
      </w:r>
      <w:r w:rsidRPr="00371FF8">
        <w:t xml:space="preserve"> (2024), formulating the research questions becomes easy with the use of the PICO framework. This framework helps in clearly defining the elements for synthesising within the study, making the research relevant and specific. In this research, it has been identify that the population, intervention and the comparison required to be made on the adult who are in between 25 to 45 years old age category so that digital help promotion like mobile health apps and knowledge on the digital lifestyle intervention to prevent type to diabetes in the global setting can be noted for obtaining the outcome by improving the management and prevention of such diseases along among the selected population in the global Public Health system.</w:t>
      </w:r>
    </w:p>
    <w:tbl>
      <w:tblPr>
        <w:tblStyle w:val="TableGrid"/>
        <w:tblW w:w="9360" w:type="dxa"/>
        <w:jc w:val="center"/>
        <w:tblLayout w:type="fixed"/>
        <w:tblLook w:val="0600"/>
      </w:tblPr>
      <w:tblGrid>
        <w:gridCol w:w="4680"/>
        <w:gridCol w:w="4680"/>
      </w:tblGrid>
      <w:tr w:rsidR="00371FF8" w:rsidRPr="00371FF8" w:rsidTr="00F25DD4">
        <w:trPr>
          <w:jc w:val="center"/>
        </w:trPr>
        <w:tc>
          <w:tcPr>
            <w:tcW w:w="4680" w:type="dxa"/>
          </w:tcPr>
          <w:p w:rsidR="00371FF8" w:rsidRPr="00F25DD4" w:rsidRDefault="00371FF8" w:rsidP="00371FF8">
            <w:pPr>
              <w:rPr>
                <w:b/>
                <w:bCs/>
              </w:rPr>
            </w:pPr>
            <w:r w:rsidRPr="00F25DD4">
              <w:rPr>
                <w:b/>
                <w:bCs/>
              </w:rPr>
              <w:t xml:space="preserve">Population </w:t>
            </w:r>
          </w:p>
        </w:tc>
        <w:tc>
          <w:tcPr>
            <w:tcW w:w="4680" w:type="dxa"/>
          </w:tcPr>
          <w:p w:rsidR="00371FF8" w:rsidRPr="00371FF8" w:rsidRDefault="00371FF8" w:rsidP="00371FF8">
            <w:r w:rsidRPr="00371FF8">
              <w:t xml:space="preserve">Adults </w:t>
            </w:r>
          </w:p>
        </w:tc>
      </w:tr>
      <w:tr w:rsidR="00371FF8" w:rsidRPr="00371FF8" w:rsidTr="00F25DD4">
        <w:trPr>
          <w:jc w:val="center"/>
        </w:trPr>
        <w:tc>
          <w:tcPr>
            <w:tcW w:w="4680" w:type="dxa"/>
          </w:tcPr>
          <w:p w:rsidR="00371FF8" w:rsidRPr="00F25DD4" w:rsidRDefault="00371FF8" w:rsidP="00371FF8">
            <w:pPr>
              <w:rPr>
                <w:b/>
                <w:bCs/>
              </w:rPr>
            </w:pPr>
            <w:r w:rsidRPr="00F25DD4">
              <w:rPr>
                <w:b/>
                <w:bCs/>
              </w:rPr>
              <w:t xml:space="preserve">Intervention </w:t>
            </w:r>
          </w:p>
        </w:tc>
        <w:tc>
          <w:tcPr>
            <w:tcW w:w="4680" w:type="dxa"/>
          </w:tcPr>
          <w:p w:rsidR="00371FF8" w:rsidRPr="00371FF8" w:rsidRDefault="00371FF8" w:rsidP="00371FF8">
            <w:r w:rsidRPr="00371FF8">
              <w:t xml:space="preserve">Mobile health apps </w:t>
            </w:r>
          </w:p>
        </w:tc>
      </w:tr>
      <w:tr w:rsidR="00371FF8" w:rsidRPr="00371FF8" w:rsidTr="00F25DD4">
        <w:trPr>
          <w:jc w:val="center"/>
        </w:trPr>
        <w:tc>
          <w:tcPr>
            <w:tcW w:w="4680" w:type="dxa"/>
          </w:tcPr>
          <w:p w:rsidR="00371FF8" w:rsidRPr="00F25DD4" w:rsidRDefault="00371FF8" w:rsidP="00371FF8">
            <w:pPr>
              <w:rPr>
                <w:b/>
                <w:bCs/>
              </w:rPr>
            </w:pPr>
            <w:r w:rsidRPr="00F25DD4">
              <w:rPr>
                <w:b/>
                <w:bCs/>
              </w:rPr>
              <w:t>Comparison</w:t>
            </w:r>
          </w:p>
        </w:tc>
        <w:tc>
          <w:tcPr>
            <w:tcW w:w="4680" w:type="dxa"/>
          </w:tcPr>
          <w:p w:rsidR="00371FF8" w:rsidRPr="00371FF8" w:rsidRDefault="00371FF8" w:rsidP="00371FF8">
            <w:r w:rsidRPr="00371FF8">
              <w:t xml:space="preserve">Traditional health promotion approach </w:t>
            </w:r>
          </w:p>
        </w:tc>
      </w:tr>
      <w:tr w:rsidR="00371FF8" w:rsidRPr="00371FF8" w:rsidTr="00F25DD4">
        <w:trPr>
          <w:jc w:val="center"/>
        </w:trPr>
        <w:tc>
          <w:tcPr>
            <w:tcW w:w="4680" w:type="dxa"/>
          </w:tcPr>
          <w:p w:rsidR="00371FF8" w:rsidRPr="00F25DD4" w:rsidRDefault="00371FF8" w:rsidP="00371FF8">
            <w:pPr>
              <w:rPr>
                <w:b/>
                <w:bCs/>
              </w:rPr>
            </w:pPr>
            <w:r w:rsidRPr="00F25DD4">
              <w:rPr>
                <w:b/>
                <w:bCs/>
              </w:rPr>
              <w:t xml:space="preserve">Outcome </w:t>
            </w:r>
          </w:p>
        </w:tc>
        <w:tc>
          <w:tcPr>
            <w:tcW w:w="4680" w:type="dxa"/>
          </w:tcPr>
          <w:p w:rsidR="00371FF8" w:rsidRPr="00371FF8" w:rsidRDefault="00371FF8" w:rsidP="00371FF8">
            <w:r w:rsidRPr="00371FF8">
              <w:t xml:space="preserve">Improvement in managing and preventing type 2 diabetes </w:t>
            </w:r>
          </w:p>
        </w:tc>
      </w:tr>
    </w:tbl>
    <w:p w:rsidR="00371FF8" w:rsidRPr="00371FF8" w:rsidRDefault="00371FF8" w:rsidP="00F25DD4">
      <w:pPr>
        <w:pStyle w:val="Heading5"/>
      </w:pPr>
      <w:bookmarkStart w:id="61" w:name="_Toc227606496"/>
      <w:bookmarkStart w:id="62" w:name="_Toc228461194"/>
      <w:r w:rsidRPr="00371FF8">
        <w:t>Table 3.1: PICO Framework</w:t>
      </w:r>
      <w:bookmarkEnd w:id="61"/>
      <w:bookmarkEnd w:id="62"/>
    </w:p>
    <w:p w:rsidR="00371FF8" w:rsidRPr="00371FF8" w:rsidRDefault="00371FF8" w:rsidP="00F25DD4">
      <w:pPr>
        <w:jc w:val="center"/>
      </w:pPr>
      <w:r w:rsidRPr="00371FF8">
        <w:t>(Source: Self-created)</w:t>
      </w:r>
    </w:p>
    <w:p w:rsidR="00371FF8" w:rsidRPr="00371FF8" w:rsidRDefault="00371FF8" w:rsidP="00371FF8">
      <w:r w:rsidRPr="00371FF8">
        <w:rPr>
          <w:b/>
          <w:bCs/>
          <w:i/>
          <w:iCs/>
        </w:rPr>
        <w:t>Search question:</w:t>
      </w:r>
      <w:r w:rsidRPr="00371FF8">
        <w:t xml:space="preserve"> What is the Role of Digital Health Promotion in Type 2 diabetes Prevention and Management Among Adults in the global Public Health System?</w:t>
      </w:r>
    </w:p>
    <w:p w:rsidR="00371FF8" w:rsidRPr="00371FF8" w:rsidRDefault="00371FF8" w:rsidP="00371FF8">
      <w:r w:rsidRPr="00371FF8">
        <w:rPr>
          <w:b/>
          <w:bCs/>
          <w:i/>
          <w:iCs/>
        </w:rPr>
        <w:t xml:space="preserve">Database: </w:t>
      </w:r>
      <w:r w:rsidRPr="00371FF8">
        <w:t>The use of PubMed has been integrated so that the relevance peer reviewed journals can be retrieved.</w:t>
      </w:r>
    </w:p>
    <w:p w:rsidR="00371FF8" w:rsidRPr="00371FF8" w:rsidRDefault="00371FF8" w:rsidP="00371FF8">
      <w:r w:rsidRPr="00371FF8">
        <w:t>Different combinations of keywords have made use of a variety of Boolean operators, which are as follows:</w:t>
      </w:r>
    </w:p>
    <w:p w:rsidR="00371FF8" w:rsidRPr="00371FF8" w:rsidRDefault="00371FF8" w:rsidP="00371FF8">
      <w:pPr>
        <w:pStyle w:val="ListParagraph"/>
        <w:numPr>
          <w:ilvl w:val="0"/>
          <w:numId w:val="31"/>
        </w:numPr>
      </w:pPr>
      <w:r w:rsidRPr="00371FF8">
        <w:rPr>
          <w:b/>
          <w:bCs/>
          <w:i/>
          <w:iCs/>
        </w:rPr>
        <w:t>Search 1 (Population):</w:t>
      </w:r>
      <w:r w:rsidRPr="00371FF8">
        <w:t xml:space="preserve"> " Adults" OR Matured adults OR older adults </w:t>
      </w:r>
    </w:p>
    <w:p w:rsidR="00371FF8" w:rsidRPr="00371FF8" w:rsidRDefault="00371FF8" w:rsidP="00371FF8">
      <w:pPr>
        <w:pStyle w:val="ListParagraph"/>
        <w:numPr>
          <w:ilvl w:val="0"/>
          <w:numId w:val="31"/>
        </w:numPr>
      </w:pPr>
      <w:r w:rsidRPr="00371FF8">
        <w:rPr>
          <w:b/>
          <w:bCs/>
          <w:i/>
          <w:iCs/>
        </w:rPr>
        <w:t>Search 2 (Intervention):</w:t>
      </w:r>
      <w:r w:rsidRPr="00371FF8">
        <w:t xml:space="preserve"> Digital Health Promotion AND/OR preventing type 2 </w:t>
      </w:r>
      <w:r w:rsidRPr="00371FF8">
        <w:lastRenderedPageBreak/>
        <w:t>diabetes</w:t>
      </w:r>
    </w:p>
    <w:p w:rsidR="00371FF8" w:rsidRPr="00371FF8" w:rsidRDefault="00371FF8" w:rsidP="00371FF8">
      <w:pPr>
        <w:pStyle w:val="ListParagraph"/>
        <w:numPr>
          <w:ilvl w:val="0"/>
          <w:numId w:val="30"/>
        </w:numPr>
      </w:pPr>
      <w:r w:rsidRPr="00371FF8">
        <w:rPr>
          <w:b/>
          <w:bCs/>
          <w:i/>
          <w:iCs/>
        </w:rPr>
        <w:t>Search 3 (Comparison):</w:t>
      </w:r>
      <w:r w:rsidRPr="00371FF8">
        <w:t xml:space="preserve"> Traditional health promotion approach </w:t>
      </w:r>
    </w:p>
    <w:p w:rsidR="00371FF8" w:rsidRPr="00371FF8" w:rsidRDefault="00371FF8" w:rsidP="00371FF8">
      <w:pPr>
        <w:pStyle w:val="ListParagraph"/>
        <w:numPr>
          <w:ilvl w:val="0"/>
          <w:numId w:val="30"/>
        </w:numPr>
        <w:rPr>
          <w:b/>
          <w:bCs/>
          <w:i/>
          <w:iCs/>
        </w:rPr>
      </w:pPr>
      <w:r w:rsidRPr="00371FF8">
        <w:rPr>
          <w:b/>
          <w:bCs/>
          <w:i/>
          <w:iCs/>
        </w:rPr>
        <w:t>Search 4 (Outcome):</w:t>
      </w:r>
      <w:r w:rsidRPr="00371FF8">
        <w:t xml:space="preserve"> “Improvement in managing type 2 diabetes” AND “preventing type 2 diabetes”</w:t>
      </w:r>
    </w:p>
    <w:p w:rsidR="00371FF8" w:rsidRPr="00371FF8" w:rsidRDefault="00371FF8" w:rsidP="00371FF8">
      <w:r w:rsidRPr="00371FF8">
        <w:t>After the initiation of the individual searches, the end result was achieved by combining all four searches using the AND operator.</w:t>
      </w:r>
    </w:p>
    <w:p w:rsidR="00371FF8" w:rsidRPr="00371FF8" w:rsidRDefault="00371FF8" w:rsidP="00371FF8">
      <w:pPr>
        <w:pStyle w:val="Heading2"/>
      </w:pPr>
      <w:bookmarkStart w:id="63" w:name="_Toc228367015"/>
      <w:bookmarkStart w:id="64" w:name="_Toc228461255"/>
      <w:r w:rsidRPr="00371FF8">
        <w:t>3.5 Key Words</w:t>
      </w:r>
      <w:bookmarkEnd w:id="63"/>
      <w:bookmarkEnd w:id="64"/>
    </w:p>
    <w:p w:rsidR="00371FF8" w:rsidRPr="00371FF8" w:rsidRDefault="00371FF8" w:rsidP="00371FF8">
      <w:r w:rsidRPr="00371FF8">
        <w:t>According to Sivakumar and Sivakumar (2025), keywords are an important set of words that are used in the search strategies for identifying the relevant studies comprehensively. It helps in ensuring effectiveness with the clear definition of the concepts that can be included within the study to satisfy the research questions. This can be used to generate different synonyms or related terms which can be applied within the selected database to refine the search process.  In this case, “Role of Digital Health Promotion”, “Digital Health Promotion”, “Type 2 diabetes Prevention”, “Adults” and “global public health system” have been integrated.</w:t>
      </w:r>
    </w:p>
    <w:p w:rsidR="00371FF8" w:rsidRPr="00371FF8" w:rsidRDefault="00371FF8" w:rsidP="00371FF8">
      <w:pPr>
        <w:pStyle w:val="Heading2"/>
      </w:pPr>
      <w:bookmarkStart w:id="65" w:name="_Toc228367016"/>
      <w:bookmarkStart w:id="66" w:name="_Toc228461256"/>
      <w:r w:rsidRPr="00371FF8">
        <w:t>3.6 Database</w:t>
      </w:r>
      <w:bookmarkEnd w:id="65"/>
      <w:bookmarkEnd w:id="66"/>
    </w:p>
    <w:p w:rsidR="00371FF8" w:rsidRPr="00371FF8" w:rsidRDefault="00371FF8" w:rsidP="00371FF8">
      <w:r w:rsidRPr="00371FF8">
        <w:t xml:space="preserve">Uttley </w:t>
      </w:r>
      <w:r w:rsidRPr="00371FF8">
        <w:rPr>
          <w:i/>
          <w:iCs/>
        </w:rPr>
        <w:t>et al.</w:t>
      </w:r>
      <w:r w:rsidRPr="00371FF8">
        <w:t xml:space="preserve"> (2023) stated that the selection of an appropriate database is required to be done so that critical analysis is possible with the use of a comprehensive search process. The use of a database is included so that the search strategy can be developed with effectiveness for extracting the data and synthesising them within the research study. This helps in drawing meaningful insights by facilitating access to a plethora of information. The use of PubMed has been integrated so that the relevance peer reviewed journals can be retrieved. Final retrieval of the information has been made with the use of Google Scholar so that a full citation can be achieved with the full text PDF.</w:t>
      </w:r>
    </w:p>
    <w:p w:rsidR="00371FF8" w:rsidRPr="00371FF8" w:rsidRDefault="00371FF8" w:rsidP="00371FF8">
      <w:pPr>
        <w:pStyle w:val="Heading2"/>
      </w:pPr>
      <w:bookmarkStart w:id="67" w:name="_Toc228367017"/>
      <w:bookmarkStart w:id="68" w:name="_Toc228461257"/>
      <w:r w:rsidRPr="00371FF8">
        <w:t>3.7 Inclusion/Exclusion Criteria</w:t>
      </w:r>
      <w:bookmarkEnd w:id="67"/>
      <w:bookmarkEnd w:id="68"/>
    </w:p>
    <w:p w:rsidR="00371FF8" w:rsidRPr="00371FF8" w:rsidRDefault="00371FF8" w:rsidP="00371FF8">
      <w:r w:rsidRPr="00371FF8">
        <w:t xml:space="preserve">The inclusion and exclusion criteria are required to be identified within a research study to determine the elements that can be included with special characteristics (Bisby </w:t>
      </w:r>
      <w:r w:rsidRPr="00371FF8">
        <w:rPr>
          <w:i/>
          <w:iCs/>
        </w:rPr>
        <w:t>et al.</w:t>
      </w:r>
      <w:r w:rsidRPr="00371FF8">
        <w:t xml:space="preserve"> 2022). As per the opinions of Shaheen </w:t>
      </w:r>
      <w:r w:rsidRPr="00371FF8">
        <w:rPr>
          <w:i/>
          <w:iCs/>
        </w:rPr>
        <w:t>et al.</w:t>
      </w:r>
      <w:r w:rsidRPr="00371FF8">
        <w:t xml:space="preserve"> (2023), this helps in finding the eligibility of a factor within the study. Disqualification of the elements that do not match the individual and exclusion criteria is made for maintaining the overall reliability and validity of the research. This also has in clearly defining the intervention process that is required to be undertaken for maintaining the internal and external validity. It is very important to maintain the overall consistency of a work so that data integrity can be maintained with fairness and effectiveness.</w:t>
      </w:r>
    </w:p>
    <w:p w:rsidR="00371FF8" w:rsidRPr="00371FF8" w:rsidRDefault="00371FF8" w:rsidP="00371FF8">
      <w:pPr>
        <w:pStyle w:val="Heading2"/>
      </w:pPr>
      <w:bookmarkStart w:id="69" w:name="_Toc228367018"/>
      <w:bookmarkStart w:id="70" w:name="_Toc228461258"/>
      <w:r w:rsidRPr="00371FF8">
        <w:t>3.7.1 Inclusion Criteria</w:t>
      </w:r>
      <w:bookmarkEnd w:id="69"/>
      <w:bookmarkEnd w:id="70"/>
    </w:p>
    <w:p w:rsidR="00371FF8" w:rsidRPr="00371FF8" w:rsidRDefault="00371FF8" w:rsidP="00371FF8">
      <w:r w:rsidRPr="00371FF8">
        <w:t xml:space="preserve">Different types of inclusion criteria have been selected for this research, which are as </w:t>
      </w:r>
      <w:r w:rsidRPr="00371FF8">
        <w:lastRenderedPageBreak/>
        <w:t>follows:</w:t>
      </w:r>
    </w:p>
    <w:p w:rsidR="00371FF8" w:rsidRPr="00371FF8" w:rsidRDefault="00371FF8" w:rsidP="00371FF8">
      <w:pPr>
        <w:pStyle w:val="ListParagraph"/>
        <w:numPr>
          <w:ilvl w:val="0"/>
          <w:numId w:val="28"/>
        </w:numPr>
      </w:pPr>
      <w:r w:rsidRPr="00371FF8">
        <w:t xml:space="preserve">Free full-text PDF </w:t>
      </w:r>
    </w:p>
    <w:p w:rsidR="00371FF8" w:rsidRPr="00371FF8" w:rsidRDefault="00371FF8" w:rsidP="00371FF8">
      <w:pPr>
        <w:pStyle w:val="ListParagraph"/>
        <w:numPr>
          <w:ilvl w:val="0"/>
          <w:numId w:val="28"/>
        </w:numPr>
      </w:pPr>
      <w:r w:rsidRPr="00371FF8">
        <w:t xml:space="preserve">Available in the English language only </w:t>
      </w:r>
    </w:p>
    <w:p w:rsidR="00371FF8" w:rsidRPr="00371FF8" w:rsidRDefault="00371FF8" w:rsidP="00371FF8">
      <w:pPr>
        <w:pStyle w:val="ListParagraph"/>
        <w:numPr>
          <w:ilvl w:val="0"/>
          <w:numId w:val="28"/>
        </w:numPr>
      </w:pPr>
      <w:r w:rsidRPr="00371FF8">
        <w:t>Presence of the selected keywords, specifically “Role of Digital Health Promotion”, “Digital Health Promotion”, “Type 2 diabetes Prevention”, “Adults” and “global Public Health System”</w:t>
      </w:r>
    </w:p>
    <w:p w:rsidR="00371FF8" w:rsidRPr="00371FF8" w:rsidRDefault="00371FF8" w:rsidP="00371FF8">
      <w:pPr>
        <w:pStyle w:val="ListParagraph"/>
        <w:numPr>
          <w:ilvl w:val="0"/>
          <w:numId w:val="28"/>
        </w:numPr>
      </w:pPr>
      <w:r w:rsidRPr="00371FF8">
        <w:t>Published within the last 5 years (2022-2026)</w:t>
      </w:r>
    </w:p>
    <w:p w:rsidR="00371FF8" w:rsidRPr="00371FF8" w:rsidRDefault="00371FF8" w:rsidP="00371FF8">
      <w:pPr>
        <w:pStyle w:val="Heading2"/>
      </w:pPr>
      <w:bookmarkStart w:id="71" w:name="_Toc228367019"/>
      <w:bookmarkStart w:id="72" w:name="_Toc228461259"/>
      <w:r w:rsidRPr="00371FF8">
        <w:t>3.7.2 Exclusion Criteria</w:t>
      </w:r>
      <w:bookmarkEnd w:id="71"/>
      <w:bookmarkEnd w:id="72"/>
    </w:p>
    <w:p w:rsidR="00371FF8" w:rsidRPr="00371FF8" w:rsidRDefault="00371FF8" w:rsidP="00371FF8">
      <w:r w:rsidRPr="00371FF8">
        <w:t>Different types of exclusion criteria have been selected for this research, which are as follows:</w:t>
      </w:r>
    </w:p>
    <w:p w:rsidR="00371FF8" w:rsidRPr="00371FF8" w:rsidRDefault="00371FF8" w:rsidP="00371FF8">
      <w:pPr>
        <w:pStyle w:val="ListParagraph"/>
        <w:numPr>
          <w:ilvl w:val="0"/>
          <w:numId w:val="29"/>
        </w:numPr>
      </w:pPr>
      <w:r w:rsidRPr="00371FF8">
        <w:t xml:space="preserve">Available in paid version or only abstracts </w:t>
      </w:r>
    </w:p>
    <w:p w:rsidR="00371FF8" w:rsidRPr="00371FF8" w:rsidRDefault="00371FF8" w:rsidP="00371FF8">
      <w:pPr>
        <w:pStyle w:val="ListParagraph"/>
        <w:numPr>
          <w:ilvl w:val="0"/>
          <w:numId w:val="29"/>
        </w:numPr>
      </w:pPr>
      <w:r w:rsidRPr="00371FF8">
        <w:t>Available in foreign languages</w:t>
      </w:r>
    </w:p>
    <w:p w:rsidR="00371FF8" w:rsidRPr="00371FF8" w:rsidRDefault="00371FF8" w:rsidP="00371FF8">
      <w:pPr>
        <w:pStyle w:val="ListParagraph"/>
        <w:numPr>
          <w:ilvl w:val="0"/>
          <w:numId w:val="29"/>
        </w:numPr>
      </w:pPr>
      <w:r w:rsidRPr="00371FF8">
        <w:t xml:space="preserve">Absence of the selected keywords </w:t>
      </w:r>
    </w:p>
    <w:p w:rsidR="00371FF8" w:rsidRPr="00371FF8" w:rsidRDefault="00371FF8" w:rsidP="00371FF8">
      <w:pPr>
        <w:pStyle w:val="ListParagraph"/>
        <w:numPr>
          <w:ilvl w:val="0"/>
          <w:numId w:val="29"/>
        </w:numPr>
      </w:pPr>
      <w:r w:rsidRPr="00371FF8">
        <w:t>Not Published within the last 5 years (2022-2026)</w:t>
      </w:r>
    </w:p>
    <w:p w:rsidR="00371FF8" w:rsidRPr="00371FF8" w:rsidRDefault="00371FF8" w:rsidP="00371FF8">
      <w:pPr>
        <w:pStyle w:val="Heading2"/>
      </w:pPr>
      <w:bookmarkStart w:id="73" w:name="_Toc228367020"/>
      <w:bookmarkStart w:id="74" w:name="_Toc228461260"/>
      <w:r w:rsidRPr="00371FF8">
        <w:t>3.8 Search Results</w:t>
      </w:r>
      <w:bookmarkEnd w:id="73"/>
      <w:bookmarkEnd w:id="74"/>
    </w:p>
    <w:p w:rsidR="00371FF8" w:rsidRPr="00371FF8" w:rsidRDefault="00371FF8" w:rsidP="00371FF8">
      <w:r w:rsidRPr="00371FF8">
        <w:t>The use of the PRISMA framework has been integrated within this research for obtaining the systematic reviews by ensuring a transparent process has been followed. The PRISMA guideline is known to be the Preferred Reporting Items for Systematic Reviews and Meta-Analyses, which helps in conducting systematic reviews so that a complete search process can be done by following the set of rules to obtain the results effectively (Mishra and Mishra, 2023). This helps in identifying the results with the maintenance of clarity and relevance. Four different steps are followed for obtaining the search results, such as identification, screening, eligibility and included (Dickson and Yeung, 2022).</w:t>
      </w:r>
    </w:p>
    <w:p w:rsidR="00371FF8" w:rsidRPr="00371FF8" w:rsidRDefault="00371FF8" w:rsidP="00F25DD4">
      <w:pPr>
        <w:jc w:val="center"/>
      </w:pPr>
      <w:r w:rsidRPr="00371FF8">
        <w:rPr>
          <w:noProof/>
          <w:lang w:val="en-US" w:eastAsia="en-US" w:bidi="ar-SA"/>
        </w:rPr>
        <w:lastRenderedPageBreak/>
        <w:drawing>
          <wp:inline distT="0" distB="0" distL="0" distR="0">
            <wp:extent cx="4648603" cy="5121084"/>
            <wp:effectExtent l="76200" t="76200" r="114300" b="118110"/>
            <wp:docPr id="214555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66201" name=""/>
                    <pic:cNvPicPr/>
                  </pic:nvPicPr>
                  <pic:blipFill>
                    <a:blip r:embed="rId17"/>
                    <a:stretch>
                      <a:fillRect/>
                    </a:stretch>
                  </pic:blipFill>
                  <pic:spPr>
                    <a:xfrm>
                      <a:off x="0" y="0"/>
                      <a:ext cx="4648603" cy="5121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1FF8" w:rsidRPr="00371FF8" w:rsidRDefault="00371FF8" w:rsidP="00F25DD4">
      <w:pPr>
        <w:pStyle w:val="Heading4"/>
      </w:pPr>
      <w:bookmarkStart w:id="75" w:name="_Toc227606448"/>
      <w:bookmarkStart w:id="76" w:name="_Toc228461160"/>
      <w:r w:rsidRPr="00371FF8">
        <w:t>Figure 3.1: PRISMA flow chart</w:t>
      </w:r>
      <w:bookmarkEnd w:id="75"/>
      <w:bookmarkEnd w:id="76"/>
    </w:p>
    <w:p w:rsidR="00371FF8" w:rsidRPr="00371FF8" w:rsidRDefault="00371FF8" w:rsidP="00F25DD4">
      <w:pPr>
        <w:jc w:val="center"/>
      </w:pPr>
      <w:r w:rsidRPr="00371FF8">
        <w:t>(Source: Self-Created)</w:t>
      </w:r>
    </w:p>
    <w:p w:rsidR="00371FF8" w:rsidRPr="00371FF8" w:rsidRDefault="00371FF8" w:rsidP="00371FF8">
      <w:r w:rsidRPr="00371FF8">
        <w:t xml:space="preserve">From the above figure, it can be noted that </w:t>
      </w:r>
      <w:r w:rsidRPr="00BC08F0">
        <w:t xml:space="preserve">10 articles have </w:t>
      </w:r>
      <w:r w:rsidRPr="00371FF8">
        <w:t xml:space="preserve">been initially selected due to their relevance and application of inclusion and exclusion criteria, which has been accomplished by following the steps. In this case, these four steps have also been followed for completing the search strategy and selecting the study by synthesising the method. Identification of the relevant studies has been done by using the PRISMA framework, which has helped in identifying, screening and including the relevant studies which are eligible. With the use of a systematic search process, the literary evidence which has relevance has been included after an appropriate filtering and screening process to meet the aim of the research. Initially, 460 records were discovered, of which 325 were found to be relevant after the primary database searches in PubMed and Google Scholar. 135 records discovered with the use of manual searches from different public health system reports and literary evidence. </w:t>
      </w:r>
      <w:r w:rsidRPr="00371FF8">
        <w:lastRenderedPageBreak/>
        <w:t>An appropriate streaming process was then applied for the removal of duplicate records along with the journal articles and books that were published before 2021, and for not having the major keywords, from which 101 records were left. </w:t>
      </w:r>
    </w:p>
    <w:p w:rsidR="00371FF8" w:rsidRPr="00371FF8" w:rsidRDefault="00371FF8" w:rsidP="00371FF8">
      <w:r w:rsidRPr="00371FF8">
        <w:t>After the initial screening process, the second process began with the application of another exclusion factor where the full free PDFs are not available, and only the records have abstracts and titles, and are not published in the English language, which left 21 records for moving forward towards the eligibility phase. A vigorous eligibility process was integrated so that the 21 records that were left could be identified carefully, and the main reasons for exclusion could be noted. The presence of irrelevant content has led to the exclusion of 11 records, which leaves 10 studies to be finally left for the quantitative synthesis within the research. This intensive filtration process has helped in identifying the main exclusion criteria and reducing the papers which have a good amount of information satisfying the PICO research questions that have been formulated.</w:t>
      </w:r>
    </w:p>
    <w:p w:rsidR="00371FF8" w:rsidRPr="00371FF8" w:rsidRDefault="00371FF8" w:rsidP="00371FF8">
      <w:pPr>
        <w:pStyle w:val="Heading2"/>
      </w:pPr>
      <w:bookmarkStart w:id="77" w:name="_Toc228367021"/>
      <w:bookmarkStart w:id="78" w:name="_Toc228461261"/>
      <w:r w:rsidRPr="00371FF8">
        <w:t>3.9 Ethical Considerations</w:t>
      </w:r>
      <w:bookmarkEnd w:id="77"/>
      <w:bookmarkEnd w:id="78"/>
    </w:p>
    <w:p w:rsidR="00371FF8" w:rsidRPr="00371FF8" w:rsidRDefault="00371FF8" w:rsidP="00371FF8">
      <w:r w:rsidRPr="00371FF8">
        <w:t xml:space="preserve">Insertion of secondary qualitative data with the use of systematic literature review has made it compulsory to follow several ethical standards (Nii Laryeafio and Ogbewe, 2023). The included studies were ensured to be reliable and were published in a recognised database. All the university's standards have been maintained appropriately so that ethical approval is followed. The anonymity of the published resources has been carefully maintained by storing them in a password-protected hardware device, which is only accessible to the researcher and the professor who would be checking the research paper. After the final submission of the research paper, all the collected information will be completely removed to maintain the credibility of the research paper (Taquette </w:t>
      </w:r>
      <w:r w:rsidRPr="00371FF8">
        <w:rPr>
          <w:i/>
          <w:iCs/>
        </w:rPr>
        <w:t>et al.</w:t>
      </w:r>
      <w:r w:rsidRPr="00371FF8">
        <w:t xml:space="preserve"> 2022). Moreover, throughout the research, citations have been carefully maintained to eliminate the occurrence of plagiarised content.</w:t>
      </w:r>
    </w:p>
    <w:p w:rsidR="00371FF8" w:rsidRPr="00371FF8" w:rsidRDefault="00371FF8" w:rsidP="00371FF8">
      <w:pPr>
        <w:pStyle w:val="Heading2"/>
      </w:pPr>
      <w:bookmarkStart w:id="79" w:name="_Toc228367022"/>
      <w:bookmarkStart w:id="80" w:name="_Toc228461262"/>
      <w:r w:rsidRPr="00371FF8">
        <w:t>3.10 Chapter Summary</w:t>
      </w:r>
      <w:bookmarkEnd w:id="79"/>
      <w:bookmarkEnd w:id="80"/>
    </w:p>
    <w:p w:rsidR="00371FF8" w:rsidRPr="00371FF8" w:rsidRDefault="00371FF8" w:rsidP="00371FF8">
      <w:r w:rsidRPr="00371FF8">
        <w:t>The overall chapter has been useful in understanding the methods and technique start has been integrated within the research. It has been noted that with the use of a systematic literature review, it is possible to gather the required number of studies to satisfy the research question that has been created using the PICO framework. Identification of the population, intervention, comparison and outcome has been possible with the inclusion of this framework. Moreover, the use of the PRISMA framework has also been integrated for conducting the search and maintaining the relevance of the overall study with the application of inclusion and exclusion criteria. After the final collection of data, these would be appropriately analysed with the utilisation of thematic analysis in the following chapter to establish the purpose of the research and achieve the aim and objective that have been created.</w:t>
      </w:r>
    </w:p>
    <w:p w:rsidR="00371FF8" w:rsidRPr="00371FF8" w:rsidRDefault="00371FF8" w:rsidP="00371FF8"/>
    <w:p w:rsidR="00371FF8" w:rsidRPr="00371FF8" w:rsidRDefault="00371FF8" w:rsidP="00371FF8"/>
    <w:p w:rsidR="00371FF8" w:rsidRPr="00371FF8" w:rsidRDefault="00371FF8" w:rsidP="00371FF8">
      <w:pPr>
        <w:pStyle w:val="Heading1"/>
      </w:pPr>
      <w:bookmarkStart w:id="81" w:name="_Toc228367023"/>
      <w:bookmarkStart w:id="82" w:name="_Toc228461263"/>
      <w:r w:rsidRPr="00371FF8">
        <w:t>CHAPTER 4: DATA EXTRACTION AND EVALUATION</w:t>
      </w:r>
      <w:bookmarkEnd w:id="81"/>
      <w:bookmarkEnd w:id="82"/>
      <w:r w:rsidRPr="00371FF8">
        <w:t> </w:t>
      </w:r>
    </w:p>
    <w:p w:rsidR="00371FF8" w:rsidRPr="00371FF8" w:rsidRDefault="00371FF8" w:rsidP="00371FF8">
      <w:pPr>
        <w:pStyle w:val="Heading2"/>
      </w:pPr>
      <w:bookmarkStart w:id="83" w:name="_Toc228367024"/>
      <w:bookmarkStart w:id="84" w:name="_Toc228461264"/>
      <w:r w:rsidRPr="00371FF8">
        <w:t>4.1 Introduction to Chapter</w:t>
      </w:r>
      <w:bookmarkEnd w:id="83"/>
      <w:bookmarkEnd w:id="84"/>
    </w:p>
    <w:p w:rsidR="00371FF8" w:rsidRPr="00371FF8" w:rsidRDefault="00371FF8" w:rsidP="00371FF8">
      <w:r w:rsidRPr="00371FF8">
        <w:t>The motive of this chapter within a systematic review is to retrieve the information from the selected database so that further analysis can be conducted with the structured method. With the utilisation of this chapter, it is possible to evaluate the data that has been collected and understand the critical appraisal and paper quality assessment tools that are required to be integrated for understanding the relevance of the selected research paper. In this case, 10 research papers have been selected for qualitative synthesis, which has been using primary quantitative research methods to evaluate the meaning.</w:t>
      </w:r>
    </w:p>
    <w:p w:rsidR="00371FF8" w:rsidRPr="00371FF8" w:rsidRDefault="00371FF8" w:rsidP="00371FF8">
      <w:pPr>
        <w:pStyle w:val="Heading2"/>
      </w:pPr>
      <w:bookmarkStart w:id="85" w:name="_Toc228367025"/>
      <w:bookmarkStart w:id="86" w:name="_Toc228461265"/>
      <w:r w:rsidRPr="00371FF8">
        <w:t>4.2 Data Extraction</w:t>
      </w:r>
      <w:bookmarkEnd w:id="85"/>
      <w:bookmarkEnd w:id="86"/>
      <w:r w:rsidRPr="00371FF8">
        <w:t> </w:t>
      </w:r>
    </w:p>
    <w:p w:rsidR="00371FF8" w:rsidRPr="00BC08F0" w:rsidRDefault="00371FF8" w:rsidP="00371FF8">
      <w:r w:rsidRPr="00371FF8">
        <w:t xml:space="preserve">According to Afifi </w:t>
      </w:r>
      <w:r w:rsidRPr="00371FF8">
        <w:rPr>
          <w:i/>
          <w:iCs/>
        </w:rPr>
        <w:t>et al.</w:t>
      </w:r>
      <w:r w:rsidRPr="00371FF8">
        <w:t xml:space="preserve"> (2023), data extraction is noted to be the process of managing the information with critical analysis. This process helps in retrieving the data from different types of sources so that it can be included within a study by identifying its characteristics</w:t>
      </w:r>
      <w:r w:rsidRPr="00BC08F0">
        <w:t>. These data might be structured or completely unstructured, which is required to be identified carefully for capturing the information that is required for research (</w:t>
      </w:r>
      <w:r w:rsidRPr="00BC08F0">
        <w:rPr>
          <w:highlight w:val="white"/>
        </w:rPr>
        <w:t>Saout</w:t>
      </w:r>
      <w:r w:rsidRPr="00BC08F0">
        <w:rPr>
          <w:i/>
          <w:iCs/>
        </w:rPr>
        <w:t>et al.</w:t>
      </w:r>
      <w:r w:rsidRPr="00BC08F0">
        <w:t xml:space="preserve"> 2024). In this case, data extraction has been conducted from the secondary database of PubMed and Google Scholar for retrieving the most useful research papers relevant to the research topic that has been identified. The main characteristics of this research paper have been the studies that have included primary quantitative research methodology within themselves for justifying the formulated research questions. This has been useful in integrating the existing quantitative research papers by not collecting new real-time information (Şahin </w:t>
      </w:r>
      <w:r w:rsidRPr="00BC08F0">
        <w:rPr>
          <w:i/>
          <w:iCs/>
        </w:rPr>
        <w:t>et al.</w:t>
      </w:r>
      <w:r w:rsidRPr="00BC08F0">
        <w:t xml:space="preserve"> 2025).</w:t>
      </w:r>
    </w:p>
    <w:p w:rsidR="00371FF8" w:rsidRPr="00371FF8" w:rsidRDefault="00371FF8" w:rsidP="00371FF8">
      <w:pPr>
        <w:pStyle w:val="Heading2"/>
      </w:pPr>
      <w:bookmarkStart w:id="87" w:name="_Toc228367026"/>
      <w:bookmarkStart w:id="88" w:name="_Toc228461266"/>
      <w:r w:rsidRPr="00371FF8">
        <w:t>4.3 Brief introduction to critical appraisal and paper quality assessment</w:t>
      </w:r>
      <w:bookmarkEnd w:id="87"/>
      <w:bookmarkEnd w:id="88"/>
    </w:p>
    <w:p w:rsidR="00371FF8" w:rsidRPr="0001679F" w:rsidRDefault="00371FF8" w:rsidP="00371FF8">
      <w:pPr>
        <w:rPr>
          <w:lang w:val="en-IN"/>
        </w:rPr>
      </w:pPr>
      <w:r w:rsidRPr="00371FF8">
        <w:t xml:space="preserve">Critical appraisal is noted to be important for maintaining research validity, reliability and relevance. As per Tod </w:t>
      </w:r>
      <w:r w:rsidRPr="00371FF8">
        <w:rPr>
          <w:i/>
          <w:iCs/>
        </w:rPr>
        <w:t>et al.</w:t>
      </w:r>
      <w:r w:rsidRPr="00371FF8">
        <w:t xml:space="preserve"> (2022), it is important in the systematic literature review as it helps in understanding the characteristics of the research paper by checking the research quality for reaching a conclusion which is meaningful. This process helps in avoiding reaching misleading conclusions and trending the research study by making it more credible and analytical (Tod </w:t>
      </w:r>
      <w:r w:rsidRPr="00371FF8">
        <w:rPr>
          <w:i/>
          <w:iCs/>
        </w:rPr>
        <w:t>et al.</w:t>
      </w:r>
      <w:r w:rsidRPr="00371FF8">
        <w:t xml:space="preserve"> 2022</w:t>
      </w:r>
      <w:r w:rsidRPr="00BC08F0">
        <w:t xml:space="preserve">). </w:t>
      </w:r>
      <w:r w:rsidR="0001679F" w:rsidRPr="00BC08F0">
        <w:rPr>
          <w:lang w:val="en-IN"/>
        </w:rPr>
        <w:t xml:space="preserve">This process helps determine the trust that can be placed in a research paper by enabling healthcare professionals to find and use reliable sources as evidence effectively (D'Antoni </w:t>
      </w:r>
      <w:r w:rsidR="0001679F" w:rsidRPr="00BC08F0">
        <w:rPr>
          <w:i/>
          <w:iCs/>
          <w:lang w:val="en-IN"/>
        </w:rPr>
        <w:t>et al.</w:t>
      </w:r>
      <w:r w:rsidR="0001679F" w:rsidRPr="00BC08F0">
        <w:rPr>
          <w:lang w:val="en-IN"/>
        </w:rPr>
        <w:t xml:space="preserve"> 2022). The process helps in the development of useful research questions and in finding relevant studies, so that the quality and validity of the study can be maintained overall. </w:t>
      </w:r>
      <w:r w:rsidRPr="00371FF8">
        <w:t xml:space="preserve">Critical appraisal is also useful in comparing the different studies in terms of methodologies, inconsistencies, and identification of the research gaps. This helps in obtaining reliable results that are scientifically sound and avoids the risk of </w:t>
      </w:r>
      <w:r w:rsidRPr="00371FF8">
        <w:lastRenderedPageBreak/>
        <w:t>errors and bias.</w:t>
      </w:r>
    </w:p>
    <w:p w:rsidR="00371FF8" w:rsidRPr="00371FF8" w:rsidRDefault="00371FF8" w:rsidP="00371FF8">
      <w:pPr>
        <w:pStyle w:val="Heading2"/>
      </w:pPr>
      <w:bookmarkStart w:id="89" w:name="_Toc228367027"/>
      <w:bookmarkStart w:id="90" w:name="_Toc228461267"/>
      <w:r w:rsidRPr="00371FF8">
        <w:t>4.4 Critical Appraisal Tools</w:t>
      </w:r>
      <w:bookmarkEnd w:id="89"/>
      <w:bookmarkEnd w:id="90"/>
      <w:r w:rsidRPr="00371FF8">
        <w:t> </w:t>
      </w:r>
    </w:p>
    <w:p w:rsidR="00371FF8" w:rsidRPr="00371FF8" w:rsidRDefault="00371FF8" w:rsidP="00371FF8">
      <w:r w:rsidRPr="00371FF8">
        <w:t xml:space="preserve">Following the structured checklist is mandatory within the systematic literature review, which helps in thorough evaluation of the quality, and is possible with the use of a critical appraisal tool (Barker </w:t>
      </w:r>
      <w:r w:rsidRPr="00371FF8">
        <w:rPr>
          <w:i/>
          <w:iCs/>
        </w:rPr>
        <w:t>et al.</w:t>
      </w:r>
      <w:r w:rsidRPr="00371FF8">
        <w:t xml:space="preserve"> 2025). Enhancing consistency and transparency is required to be maintained when different research papers are accessed from the database, which have already been utilised in some other research. Therefore, the selection of an appropriate critical appraisal tool is important for focusing on depth and interpretation, along with the statistical evidence that can be gathered without collecting any new quantitative information. </w:t>
      </w:r>
    </w:p>
    <w:p w:rsidR="00556D40" w:rsidRPr="00BC08F0" w:rsidRDefault="00371FF8" w:rsidP="00371FF8">
      <w:pPr>
        <w:rPr>
          <w:lang w:val="en-IN"/>
        </w:rPr>
      </w:pPr>
      <w:r w:rsidRPr="00371FF8">
        <w:t xml:space="preserve">In this case, the inclusion of the CASP tool has been integrated so that the qualitative studies that have used primary quantitative research techniques can be evaluated by checking their quality, reliability and validity. </w:t>
      </w:r>
      <w:r w:rsidRPr="00BC08F0">
        <w:t xml:space="preserve">CASP or Critical Appraisal Skills Programme tool is the structured process to acknowledge the quality and reliability of the selected studies (Orih </w:t>
      </w:r>
      <w:r w:rsidRPr="00BC08F0">
        <w:rPr>
          <w:i/>
          <w:iCs/>
        </w:rPr>
        <w:t>et al.</w:t>
      </w:r>
      <w:r w:rsidRPr="00BC08F0">
        <w:t xml:space="preserve"> 2024). This tool helps in confining the credibility of the research studies by acknowledging their strengths and limitations. </w:t>
      </w:r>
      <w:r w:rsidR="00556D40" w:rsidRPr="00BC08F0">
        <w:rPr>
          <w:lang w:val="en-IN"/>
        </w:rPr>
        <w:t xml:space="preserve">Another benefit of using this tool is that it helps in making informed decisions by enhancing care and safety. The quality evidence is maintained throughout the systematic review, as this framework can confine the validity of the research and know its applicability before implementation (Kolaski </w:t>
      </w:r>
      <w:r w:rsidR="00556D40" w:rsidRPr="00BC08F0">
        <w:rPr>
          <w:i/>
          <w:iCs/>
          <w:lang w:val="en-IN"/>
        </w:rPr>
        <w:t>et al.</w:t>
      </w:r>
      <w:r w:rsidR="00556D40" w:rsidRPr="00BC08F0">
        <w:rPr>
          <w:lang w:val="en-IN"/>
        </w:rPr>
        <w:t xml:space="preserve"> 2023). </w:t>
      </w:r>
    </w:p>
    <w:p w:rsidR="00371FF8" w:rsidRPr="00BC08F0" w:rsidRDefault="00556D40" w:rsidP="00371FF8">
      <w:pPr>
        <w:rPr>
          <w:lang w:val="en-IN"/>
        </w:rPr>
      </w:pPr>
      <w:r w:rsidRPr="00BC08F0">
        <w:rPr>
          <w:lang w:val="en-IN"/>
        </w:rPr>
        <w:t xml:space="preserve">A structured checklist is designed with the use of a touch framework in establishing the rigour within research methodology, so that high-quality research can be formed. </w:t>
      </w:r>
      <w:r w:rsidR="00371FF8" w:rsidRPr="00BC08F0">
        <w:t>10 main questions are included within the CASP qualitative checklist which helps in acknowledging the robustness of the overall research paper by clarifying their contents with the maintenance of transparency and consistency (Sasannia</w:t>
      </w:r>
      <w:r w:rsidR="00371FF8" w:rsidRPr="00BC08F0">
        <w:rPr>
          <w:i/>
          <w:iCs/>
        </w:rPr>
        <w:t xml:space="preserve"> et al.</w:t>
      </w:r>
      <w:r w:rsidR="00371FF8" w:rsidRPr="00BC08F0">
        <w:t xml:space="preserve"> 2022). Flexibility is triggered as well as it is very easy to use which is widely accepted in the academic research papers for confining the subjectivity of the data </w:t>
      </w:r>
      <w:r w:rsidR="00371FF8" w:rsidRPr="00BC08F0">
        <w:rPr>
          <w:b/>
          <w:bCs/>
          <w:i/>
          <w:iCs/>
        </w:rPr>
        <w:t>[Refer to appendix 3]</w:t>
      </w:r>
      <w:r w:rsidR="00371FF8" w:rsidRPr="00BC08F0">
        <w:t>.</w:t>
      </w:r>
    </w:p>
    <w:p w:rsidR="00371FF8" w:rsidRPr="00371FF8" w:rsidRDefault="00371FF8" w:rsidP="00371FF8">
      <w:pPr>
        <w:pStyle w:val="Heading2"/>
      </w:pPr>
      <w:bookmarkStart w:id="91" w:name="_Toc228367028"/>
      <w:bookmarkStart w:id="92" w:name="_Toc228461268"/>
      <w:r w:rsidRPr="00371FF8">
        <w:t>4.5 Evaluation of Qualitative Studies using any appropriate tool</w:t>
      </w:r>
      <w:bookmarkEnd w:id="91"/>
      <w:bookmarkEnd w:id="92"/>
    </w:p>
    <w:p w:rsidR="00371FF8" w:rsidRPr="00371FF8" w:rsidRDefault="00371FF8" w:rsidP="00371FF8">
      <w:r w:rsidRPr="00371FF8">
        <w:t xml:space="preserve">The use of the CASP tool has been integrated as the critical appraisal tool for the qualitative studies that have been included within this research. This qualitative checklist is relevant and significant for evaluating the selected studies so that clear and systematic evidence related to the research questions can be academically recognised (Humayoun </w:t>
      </w:r>
      <w:r w:rsidRPr="00371FF8">
        <w:rPr>
          <w:i/>
          <w:iCs/>
        </w:rPr>
        <w:t>et al.</w:t>
      </w:r>
      <w:r w:rsidRPr="00371FF8">
        <w:t xml:space="preserve"> 2024). Assessment of the study quality using a consistent and structured approach has been possible with the inclusion of the CASP tool. One of the strengths of this critical appraisal tool is that it helps in simplification with the maintenance of clarity, so that it can be applied easily (Asadzandi </w:t>
      </w:r>
      <w:r w:rsidRPr="00371FF8">
        <w:rPr>
          <w:i/>
          <w:iCs/>
        </w:rPr>
        <w:t xml:space="preserve">et al. </w:t>
      </w:r>
      <w:r w:rsidRPr="00371FF8">
        <w:t xml:space="preserve">2022). Moreover, the overall appropriateness by acknowledging its flexible application on different qualitative approaches can be done with the maintenance of ethical strength as well as credibility. However, the CASP tool has a wide range of </w:t>
      </w:r>
      <w:r w:rsidRPr="00371FF8">
        <w:lastRenderedPageBreak/>
        <w:t xml:space="preserve">limitations, such as it does not have a scoring system that provides a clear overview of which study is stronger and which is weaker (Santhanam </w:t>
      </w:r>
      <w:r w:rsidRPr="00371FF8">
        <w:rPr>
          <w:i/>
          <w:iCs/>
        </w:rPr>
        <w:t>et al.</w:t>
      </w:r>
      <w:r w:rsidRPr="00371FF8">
        <w:t xml:space="preserve"> 2025). Inconsistent evaluation can be obtained as the subjectivity is only determined during interpretation. Alternatively, the application of the JBI tool can be included due to its scoring system and greater accessibility. However, the CASP tool is the most suitable as it offers a practical approach by acknowledging the simple process, which is suitable for the users.</w:t>
      </w:r>
    </w:p>
    <w:p w:rsidR="00371FF8" w:rsidRPr="00371FF8" w:rsidRDefault="00371FF8" w:rsidP="00371FF8">
      <w:r w:rsidRPr="00371FF8">
        <w:t xml:space="preserve">Turnbull </w:t>
      </w:r>
      <w:r w:rsidRPr="00371FF8">
        <w:rPr>
          <w:i/>
          <w:iCs/>
        </w:rPr>
        <w:t xml:space="preserve">et al. </w:t>
      </w:r>
      <w:r w:rsidRPr="00371FF8">
        <w:t xml:space="preserve">(2020) and Pal </w:t>
      </w:r>
      <w:r w:rsidRPr="00371FF8">
        <w:rPr>
          <w:i/>
          <w:iCs/>
        </w:rPr>
        <w:t xml:space="preserve">et al. </w:t>
      </w:r>
      <w:r w:rsidRPr="00371FF8">
        <w:t xml:space="preserve">(2018) studied the digital health intervention for type to diabetes patients and their perceptions. This has helped in understanding the subjective elements of the study, where the appropriateness of the qualitative method has been outlined clearly. With the utilisation of a suitable research design, it has been possible for both authors to capture the diversified perspective of the type 2 diabetes patients. Alignment with the research objectives has been showcased in both research papers. Turnbull </w:t>
      </w:r>
      <w:r w:rsidRPr="00371FF8">
        <w:rPr>
          <w:i/>
          <w:iCs/>
        </w:rPr>
        <w:t xml:space="preserve">et al. </w:t>
      </w:r>
      <w:r w:rsidRPr="00371FF8">
        <w:t xml:space="preserve">(2020) focused on generating data from four focus groups with 20 patients that helped in understanding the burden created on many patients, where psychological adjustment and behavioural transformation are required to be noted for successful self-management. On the other hand, Pal </w:t>
      </w:r>
      <w:r w:rsidRPr="00371FF8">
        <w:rPr>
          <w:i/>
          <w:iCs/>
        </w:rPr>
        <w:t xml:space="preserve">et al. </w:t>
      </w:r>
      <w:r w:rsidRPr="00371FF8">
        <w:t xml:space="preserve">(2018) stated that the study integrated the use of semi-structured interviews, where a qualitative design has helped in understanding the perceptions of 21 participants who have been using digital interventions to control type 2 diabetes. The author found that the preferred using the digital interventions in controlling their body, and this technology utilization have influenced their perspective about getting engaged in self-care </w:t>
      </w:r>
      <w:r w:rsidRPr="00371FF8">
        <w:rPr>
          <w:b/>
          <w:bCs/>
          <w:i/>
          <w:iCs/>
        </w:rPr>
        <w:t>[Refer to appendix 3]</w:t>
      </w:r>
      <w:r w:rsidRPr="00371FF8">
        <w:t>.</w:t>
      </w:r>
    </w:p>
    <w:p w:rsidR="00371FF8" w:rsidRPr="00371FF8" w:rsidRDefault="00371FF8" w:rsidP="00371FF8">
      <w:r w:rsidRPr="00371FF8">
        <w:t xml:space="preserve">With the application of the CASP tool, it has been possible to find the relevance of the methods to interpret the findings of the study. It has helped in understanding that the contextual factors that influence the perspective have been captured effectively with the establishment of ethics (Yari </w:t>
      </w:r>
      <w:r w:rsidRPr="00371FF8">
        <w:rPr>
          <w:i/>
          <w:iCs/>
        </w:rPr>
        <w:t>et al.</w:t>
      </w:r>
      <w:r w:rsidRPr="00371FF8">
        <w:t xml:space="preserve"> 2024). These ethical standards have been maintained in both the qualitative study, through which employment of strong methodology has been possible in finding out the requirements of patients with type 2 diabetes. Demonstration of the benefits of technology has also been useful in gathering contributions within the research and in constructing a strong relationship.</w:t>
      </w:r>
    </w:p>
    <w:p w:rsidR="00371FF8" w:rsidRPr="00371FF8" w:rsidRDefault="00371FF8" w:rsidP="00371FF8">
      <w:pPr>
        <w:pStyle w:val="Heading2"/>
      </w:pPr>
      <w:bookmarkStart w:id="93" w:name="_Toc227425455"/>
      <w:bookmarkStart w:id="94" w:name="_Toc228367029"/>
      <w:bookmarkStart w:id="95" w:name="_Toc228461269"/>
      <w:r w:rsidRPr="00371FF8">
        <w:t>4.6 Evaluation of Quantitative Studies using an appropriate tool</w:t>
      </w:r>
      <w:bookmarkEnd w:id="93"/>
      <w:bookmarkEnd w:id="94"/>
      <w:bookmarkEnd w:id="95"/>
    </w:p>
    <w:p w:rsidR="00FC417A" w:rsidRPr="00FC417A" w:rsidRDefault="00371FF8" w:rsidP="00FC417A">
      <w:pPr>
        <w:rPr>
          <w:color w:val="EE0000"/>
          <w:lang w:val="en-IN"/>
        </w:rPr>
      </w:pPr>
      <w:r w:rsidRPr="00371FF8">
        <w:t xml:space="preserve">The quantitative study plays a critical role in identifying the effectiveness of the digital health promotion in the prevention and management of type to diabetes. The studies give a measurable outcome, such as changes in glycaemic control, physical activity level, and behavioural modification. In this review, a total of 8 quantitative studies were critically apprised which include randomised control trials, cluster randomised trials, and cost-effectiveness analysis. The Joanna Briggs Institute (JBI) Critical Appraisal Checklist and the </w:t>
      </w:r>
      <w:r w:rsidRPr="00371FF8">
        <w:lastRenderedPageBreak/>
        <w:t xml:space="preserve">Newcastle-Ottawa Scale (NOS) were the appraisal tools. The JBI tool is used for identifying cross-sectional and experimental studies that focus on validity, reliability, and bias (Stern </w:t>
      </w:r>
      <w:r w:rsidRPr="00371FF8">
        <w:rPr>
          <w:i/>
          <w:iCs/>
        </w:rPr>
        <w:t>et al.</w:t>
      </w:r>
      <w:r w:rsidRPr="00371FF8">
        <w:t xml:space="preserve"> 2026).</w:t>
      </w:r>
      <w:r w:rsidR="00FC417A" w:rsidRPr="00BC08F0">
        <w:rPr>
          <w:lang w:val="en-IN"/>
        </w:rPr>
        <w:t xml:space="preserve">This tool has the ability to establish trust by determining the relevance of the research questions to the results found within the study through effective evaluation. This helps in confining the validity of the overall study by minimising the risk of bias (Munn </w:t>
      </w:r>
      <w:r w:rsidR="00FC417A" w:rsidRPr="00BC08F0">
        <w:rPr>
          <w:i/>
          <w:iCs/>
          <w:lang w:val="en-IN"/>
        </w:rPr>
        <w:t>et al.</w:t>
      </w:r>
      <w:r w:rsidR="00FC417A" w:rsidRPr="00BC08F0">
        <w:rPr>
          <w:lang w:val="en-IN"/>
        </w:rPr>
        <w:t xml:space="preserve"> 2023). The use of JBI is made within the systematic reviews to extract quantitative data by following the reviewing protocol with an appropriate explanation. On the other hand, the Newcastle-Ottawa Scale (NOS) helps in assessing the quality of the non-randomised studies by quick integration. This helps in remaining consistent within entire studies by following a comprehensive evaluation guide. Moreover, it helps in improving the quality of the research by supporting the evidence-based practice that has been leading to better outcomes.</w:t>
      </w:r>
    </w:p>
    <w:p w:rsidR="00371FF8" w:rsidRPr="00371FF8" w:rsidRDefault="00371FF8" w:rsidP="00371FF8">
      <w:r w:rsidRPr="00371FF8">
        <w:t xml:space="preserve">The NOS is justified for the cohort-based evaluation, particularly in the identification of selection, comparability, and outcome domains (Shah </w:t>
      </w:r>
      <w:r w:rsidRPr="00371FF8">
        <w:rPr>
          <w:i/>
          <w:iCs/>
        </w:rPr>
        <w:t>et al.</w:t>
      </w:r>
      <w:r w:rsidRPr="00371FF8">
        <w:t xml:space="preserve"> 2026). The use of the tools is significant as they confirm systematic evaluation of methodological quality. </w:t>
      </w:r>
    </w:p>
    <w:p w:rsidR="00371FF8" w:rsidRPr="00371FF8" w:rsidRDefault="00371FF8" w:rsidP="00371FF8">
      <w:r w:rsidRPr="00371FF8">
        <w:t xml:space="preserve">These tools help in identifying strengths, limitations, and potential bias in the included studies. Among the studies, 6 studies were randomised control trial, which include Levia </w:t>
      </w:r>
      <w:r w:rsidRPr="00371FF8">
        <w:rPr>
          <w:i/>
          <w:iCs/>
        </w:rPr>
        <w:t>et al.</w:t>
      </w:r>
      <w:r w:rsidRPr="00371FF8">
        <w:t xml:space="preserve"> (2025); Kim </w:t>
      </w:r>
      <w:r w:rsidRPr="00371FF8">
        <w:rPr>
          <w:i/>
          <w:iCs/>
        </w:rPr>
        <w:t>et al.</w:t>
      </w:r>
      <w:r w:rsidRPr="00371FF8">
        <w:t xml:space="preserve"> (2024); Gerber</w:t>
      </w:r>
      <w:r w:rsidRPr="00371FF8">
        <w:rPr>
          <w:i/>
          <w:iCs/>
        </w:rPr>
        <w:t xml:space="preserve"> et al.</w:t>
      </w:r>
      <w:r w:rsidRPr="00371FF8">
        <w:t xml:space="preserve"> (2023), Azelton </w:t>
      </w:r>
      <w:r w:rsidRPr="00371FF8">
        <w:rPr>
          <w:i/>
          <w:iCs/>
        </w:rPr>
        <w:t xml:space="preserve">et al. </w:t>
      </w:r>
      <w:r w:rsidRPr="00371FF8">
        <w:t xml:space="preserve">(2021); Gong </w:t>
      </w:r>
      <w:r w:rsidRPr="00371FF8">
        <w:rPr>
          <w:i/>
          <w:iCs/>
        </w:rPr>
        <w:t xml:space="preserve">et al. </w:t>
      </w:r>
      <w:r w:rsidRPr="00371FF8">
        <w:t xml:space="preserve">(2020); and Nanditha </w:t>
      </w:r>
      <w:r w:rsidRPr="00371FF8">
        <w:rPr>
          <w:i/>
          <w:iCs/>
        </w:rPr>
        <w:t>et al.</w:t>
      </w:r>
      <w:r w:rsidRPr="00371FF8">
        <w:t xml:space="preserve"> (2020). The studies primarily have an objective for identifying the effectiveness of digital interventions like mobile application text messaging systems and digital coaching platforms, for improving the diabetes related outcome. For example, it is identified that Kim </w:t>
      </w:r>
      <w:r w:rsidRPr="00371FF8">
        <w:rPr>
          <w:i/>
          <w:iCs/>
        </w:rPr>
        <w:t>et al.</w:t>
      </w:r>
      <w:r w:rsidRPr="00371FF8">
        <w:t xml:space="preserve"> (2024) and Gerber </w:t>
      </w:r>
      <w:r w:rsidRPr="00371FF8">
        <w:rPr>
          <w:i/>
          <w:iCs/>
        </w:rPr>
        <w:t>et al.</w:t>
      </w:r>
      <w:r w:rsidRPr="00371FF8">
        <w:t xml:space="preserve"> (2023) state about app-dependent intervention for improving glycaemic control and physical activity. On the other hand, Gong </w:t>
      </w:r>
      <w:r w:rsidRPr="00371FF8">
        <w:rPr>
          <w:i/>
          <w:iCs/>
        </w:rPr>
        <w:t>et al.</w:t>
      </w:r>
      <w:r w:rsidRPr="00371FF8">
        <w:t xml:space="preserve"> (2020) identified the interaction of the conversional agent for self-management support </w:t>
      </w:r>
      <w:r w:rsidRPr="00371FF8">
        <w:rPr>
          <w:b/>
          <w:bCs/>
          <w:i/>
          <w:iCs/>
        </w:rPr>
        <w:t>[Refer to Appendix 2]</w:t>
      </w:r>
      <w:r w:rsidRPr="00371FF8">
        <w:t>. </w:t>
      </w:r>
    </w:p>
    <w:p w:rsidR="00371FF8" w:rsidRPr="00371FF8" w:rsidRDefault="00371FF8" w:rsidP="00371FF8">
      <w:r w:rsidRPr="00371FF8">
        <w:t xml:space="preserve">While Levia </w:t>
      </w:r>
      <w:r w:rsidRPr="00371FF8">
        <w:rPr>
          <w:i/>
          <w:iCs/>
        </w:rPr>
        <w:t>et al.</w:t>
      </w:r>
      <w:r w:rsidRPr="00371FF8">
        <w:t xml:space="preserve"> (2025) used the cluster randomised design for the primary care setting, in which increasing external validity strength is important, but may introduce variability across clusters. In addition to these, Cunningham </w:t>
      </w:r>
      <w:r w:rsidRPr="00371FF8">
        <w:rPr>
          <w:i/>
          <w:iCs/>
        </w:rPr>
        <w:t>et al.</w:t>
      </w:r>
      <w:r w:rsidRPr="00371FF8">
        <w:t xml:space="preserve"> (2023) noted along them cost utility analysis for identifying economical effectiveness of an online education platform and personal health record over 10 years. The study has different dimensions by identifying sustainability and cost effectiveness instead of short-term clinical outcomes. McGough et al. (2019) noted that quantitative observation and evaluation of digital engagement in the NHS diabetes prevention program highlighted a demographic pattern in the digital update </w:t>
      </w:r>
      <w:r w:rsidRPr="00371FF8">
        <w:rPr>
          <w:b/>
          <w:bCs/>
          <w:i/>
          <w:iCs/>
        </w:rPr>
        <w:t>[Refer to Appendix 2]</w:t>
      </w:r>
      <w:r w:rsidRPr="00371FF8">
        <w:t>.</w:t>
      </w:r>
    </w:p>
    <w:p w:rsidR="00371FF8" w:rsidRPr="00371FF8" w:rsidRDefault="00371FF8" w:rsidP="00371FF8">
      <w:r w:rsidRPr="00371FF8">
        <w:t xml:space="preserve">From the methodological perspective, the majority of the RCTs demonstrate good internal validity for randomisation and control conditions. However, there are limitations; for example, several studies depend on the self-reported behaviour data, which introduces reporting </w:t>
      </w:r>
      <w:r w:rsidRPr="00371FF8">
        <w:lastRenderedPageBreak/>
        <w:t xml:space="preserve">biases. Sample sizes in certain trial where moderate and limited in generalizability.  The cost-utility study by Cunningham et al. (2023) reflects a longitudinal design but is totally dependent on the modelling assumption, which impacts the accuracy. Similarly, McGough et al. (2019) give real-world information but are limited in experimental control and randomised trial </w:t>
      </w:r>
      <w:r w:rsidRPr="00371FF8">
        <w:rPr>
          <w:b/>
          <w:bCs/>
          <w:i/>
          <w:iCs/>
        </w:rPr>
        <w:t>[Refer to Appendix 2]</w:t>
      </w:r>
      <w:r w:rsidRPr="00371FF8">
        <w:t>. </w:t>
      </w:r>
    </w:p>
    <w:p w:rsidR="00371FF8" w:rsidRPr="00371FF8" w:rsidRDefault="00371FF8" w:rsidP="00371FF8">
      <w:r w:rsidRPr="00371FF8">
        <w:t xml:space="preserve">However, despite the limitation, most of the studies made the key appraisal criteria, which include clear inclusion criteria, good statistical analysis, and valid outcome measures. Overall, the appraisal confirms that selected quantitative studies are methodologically sound and justified for addressing the research topic (Ali, 2026). 8 quantitative studies where apprised in which 6 trial and one plaster randomised trial; one was for cost-utility analysis, and one observation and program evaluation. No cross-sectional cohort or case-control studies were conducted. The dominance of the randomised control design increases the strength of the evidence.  However, issues like maintenance, self-reporting variability, and intervention in the delivery need to be considered when interpreting the results. Moreover, the quantitative studies reflect a consistency in using the validated clinical outcome measures. Particularly, the age of HbA1c increases the strength of the reliability of findings across different settings. The use of a randomised control design increases the internal validity and decreases the selection error (Colnet </w:t>
      </w:r>
      <w:r w:rsidRPr="00371FF8">
        <w:rPr>
          <w:i/>
          <w:iCs/>
        </w:rPr>
        <w:t>et al.</w:t>
      </w:r>
      <w:r w:rsidRPr="00371FF8">
        <w:t xml:space="preserve"> 2025). However different in the intervention duration and follow-up periods impact the comparability of the results. Some studies reflect limited reporting on participant maintenance and dropout rate, which is impacting the outcome interpretation as well. However, the variation in the sample size, intervention duration, and digital literacy level in participants can influence the outcome. The factors can impact the consistency and scalability of intervention in different populations, particularly in the low sourced accessibility of the technology and sustainable engagement significant in the challenges.</w:t>
      </w:r>
    </w:p>
    <w:p w:rsidR="00371FF8" w:rsidRPr="00371FF8" w:rsidRDefault="00371FF8" w:rsidP="00371FF8">
      <w:pPr>
        <w:pStyle w:val="Heading2"/>
      </w:pPr>
      <w:bookmarkStart w:id="96" w:name="_Toc228367030"/>
      <w:bookmarkStart w:id="97" w:name="_Toc228461270"/>
      <w:r w:rsidRPr="00371FF8">
        <w:t>4.7 Evaluation of Mixed Methods Studies</w:t>
      </w:r>
      <w:bookmarkEnd w:id="96"/>
      <w:bookmarkEnd w:id="97"/>
    </w:p>
    <w:p w:rsidR="00371FF8" w:rsidRPr="00371FF8" w:rsidRDefault="00371FF8" w:rsidP="00371FF8">
      <w:r w:rsidRPr="00371FF8">
        <w:t xml:space="preserve">The mixed-method appraisal tool was used for identifying the quality of the studies that potentially incorporate both qualitative and quantitative components (Nightingale and Stewart-Lord, 2026). The mixed-method appraisal tool is used for identifying the methodological quality of the studies that connect both qualitative and quantitative research components in a single design (Ananzeh </w:t>
      </w:r>
      <w:r w:rsidRPr="00371FF8">
        <w:rPr>
          <w:i/>
          <w:iCs/>
        </w:rPr>
        <w:t xml:space="preserve">et al. </w:t>
      </w:r>
      <w:r w:rsidRPr="00371FF8">
        <w:t>2026). The mixed method tool is extremely justified as it helps in the simultaneous evaluation of methodological rigor across different research approaches within a single framework. Although the mixed method approach is valuable for giving a comprehensive understanding (Pregoner, 2024). The studies that were included in the particular research are either quantitative or qualitative in design. This is limiting the ability to identify integrated evidence of using MMAT. </w:t>
      </w:r>
    </w:p>
    <w:p w:rsidR="00371FF8" w:rsidRPr="00F5665B" w:rsidRDefault="00F5665B" w:rsidP="00371FF8">
      <w:pPr>
        <w:rPr>
          <w:lang w:val="en-IN"/>
        </w:rPr>
      </w:pPr>
      <w:r w:rsidRPr="00BC08F0">
        <w:rPr>
          <w:lang w:val="en-IN"/>
        </w:rPr>
        <w:lastRenderedPageBreak/>
        <w:t xml:space="preserve">This tool has the versatility to ensure consistency by minimising subjective bias. Informed judgments are possible with the use of this tool, as it helps to obtain a strong conclusion by capturing the evidence effectively (Makabe </w:t>
      </w:r>
      <w:r w:rsidRPr="00BC08F0">
        <w:rPr>
          <w:i/>
          <w:iCs/>
          <w:lang w:val="en-IN"/>
        </w:rPr>
        <w:t>et al.</w:t>
      </w:r>
      <w:r w:rsidRPr="00BC08F0">
        <w:rPr>
          <w:lang w:val="en-IN"/>
        </w:rPr>
        <w:t xml:space="preserve"> 2022). This tool is also noted to be very user-friendly as comprehensive methodological rigour is established with encourages transparency. </w:t>
      </w:r>
      <w:r w:rsidR="00371FF8" w:rsidRPr="00371FF8">
        <w:t xml:space="preserve">The tool is useful for identifying gaps in methodological integration within the existing literature. While quantitative studies provide strong internal validity through experimental design, the qualitative studies give depth in understanding user experiences (Chakraborty and Biswal, 2026). The absence of a clearly defined mixed-method design reflects a lack of studies that connect effectiveness with contextual information (Zahid </w:t>
      </w:r>
      <w:r w:rsidR="00371FF8" w:rsidRPr="00371FF8">
        <w:rPr>
          <w:i/>
          <w:iCs/>
        </w:rPr>
        <w:t>et al.</w:t>
      </w:r>
      <w:r w:rsidR="00371FF8" w:rsidRPr="00371FF8">
        <w:t xml:space="preserve"> 2026). In addition, the absence of clearly defined mixed-method studies is limiting the ability to fully understand the connection between the clinical outcome and patient experience. While the quantitative studies give measurable effectiveness and qualitative studies give deep information, the lack of mixed integration decreases the overall strength of evidence (Haq and Yasin, 2025). The mixed method design needs to better capture how and why digital interventions succeed or fail in real-world settings. Issues like digital literacy, user engagement, and cultural differences are not always adequately mentioned when methods are separated. Therefore, the future of research needs to be private as the integrated supply decision for improving both the validity and applicability of findings in diverse public health contexts. Overall, it can be said that the MMAT gives support to the structure evaluation and highlights a gap in the literature (Ismail </w:t>
      </w:r>
      <w:r w:rsidR="00371FF8" w:rsidRPr="00371FF8">
        <w:rPr>
          <w:i/>
          <w:iCs/>
        </w:rPr>
        <w:t xml:space="preserve">et al. </w:t>
      </w:r>
      <w:r w:rsidR="00371FF8" w:rsidRPr="00371FF8">
        <w:t>2026). This is reflecting a requirement for future research adopting mix method approach for a better understand about the digital health intervention in type to diabetes.</w:t>
      </w:r>
    </w:p>
    <w:p w:rsidR="00371FF8" w:rsidRPr="00371FF8" w:rsidRDefault="00371FF8" w:rsidP="00371FF8">
      <w:pPr>
        <w:pStyle w:val="Heading2"/>
      </w:pPr>
      <w:bookmarkStart w:id="98" w:name="_Toc228367031"/>
      <w:bookmarkStart w:id="99" w:name="_Toc228461271"/>
      <w:r w:rsidRPr="00371FF8">
        <w:t>4.8 Chapter Summary</w:t>
      </w:r>
      <w:bookmarkEnd w:id="98"/>
      <w:bookmarkEnd w:id="99"/>
    </w:p>
    <w:p w:rsidR="00371FF8" w:rsidRPr="00371FF8" w:rsidRDefault="00371FF8" w:rsidP="00371FF8">
      <w:r w:rsidRPr="00371FF8">
        <w:t>To conclude, it has been noted that the chapter has helped in discussing the data extraction process with its evaluation, so that the characteristics of each of the selected articles can be noted. Moreover, this chapter has been useful in defining the critical appraisal tool for the qualitative, quantitative and mixed method studies that have been found within this research. This has been beneficial in reviewing the studies that have been selected and understanding the significance of the tool that has been integrated.</w:t>
      </w:r>
    </w:p>
    <w:p w:rsidR="00371FF8" w:rsidRPr="00371FF8" w:rsidRDefault="00371FF8" w:rsidP="00371FF8"/>
    <w:p w:rsidR="00FC417A" w:rsidRDefault="00FC417A">
      <w:pPr>
        <w:spacing w:line="240" w:lineRule="auto"/>
        <w:jc w:val="left"/>
        <w:rPr>
          <w:b/>
          <w:sz w:val="28"/>
          <w:szCs w:val="28"/>
        </w:rPr>
      </w:pPr>
      <w:bookmarkStart w:id="100" w:name="_Toc228367032"/>
      <w:bookmarkStart w:id="101" w:name="_Toc228461272"/>
      <w:r>
        <w:br w:type="page"/>
      </w:r>
    </w:p>
    <w:p w:rsidR="00371FF8" w:rsidRPr="00371FF8" w:rsidRDefault="00371FF8" w:rsidP="00371FF8">
      <w:pPr>
        <w:pStyle w:val="Heading1"/>
      </w:pPr>
      <w:r w:rsidRPr="00371FF8">
        <w:lastRenderedPageBreak/>
        <w:t>CHAPTER 5: DATA ANALYSIS AND SYNTHESIS</w:t>
      </w:r>
      <w:bookmarkEnd w:id="100"/>
      <w:bookmarkEnd w:id="101"/>
    </w:p>
    <w:p w:rsidR="00371FF8" w:rsidRPr="00371FF8" w:rsidRDefault="00371FF8" w:rsidP="00371FF8">
      <w:pPr>
        <w:pStyle w:val="Heading2"/>
      </w:pPr>
      <w:bookmarkStart w:id="102" w:name="_Toc227427153"/>
      <w:bookmarkStart w:id="103" w:name="_Toc228367033"/>
      <w:bookmarkStart w:id="104" w:name="_Toc228461273"/>
      <w:r w:rsidRPr="00371FF8">
        <w:t>5.1 Introduction to Chapter</w:t>
      </w:r>
      <w:bookmarkEnd w:id="102"/>
      <w:bookmarkEnd w:id="103"/>
      <w:bookmarkEnd w:id="104"/>
    </w:p>
    <w:p w:rsidR="00371FF8" w:rsidRPr="00371FF8" w:rsidRDefault="00371FF8" w:rsidP="00371FF8">
      <w:r w:rsidRPr="00371FF8">
        <w:t xml:space="preserve">The data analysis and synthesis chapter represents the extracted data from the selected studies included in this systematic literature review. The aim of the study is to systematically interpret the findings in order to address research objectives related to the role of digital health promotion in the prevention and management of type 2 diabetes among adults. The chapter focuses on thematic analysis approach and employed the identified patterns relationship and key themes emerging across the studies. The chapter helps to outline the analytical framework and describe how the characteristics included in these studies can present major themes and sub themes derived from the synthesis of evidence. </w:t>
      </w:r>
    </w:p>
    <w:p w:rsidR="00371FF8" w:rsidRPr="00371FF8" w:rsidRDefault="00371FF8" w:rsidP="001C4829">
      <w:pPr>
        <w:pStyle w:val="Heading2"/>
      </w:pPr>
      <w:bookmarkStart w:id="105" w:name="_Toc227427154"/>
      <w:r w:rsidRPr="00371FF8">
        <w:t>5.2 Thematic Analysis</w:t>
      </w:r>
      <w:bookmarkEnd w:id="105"/>
    </w:p>
    <w:p w:rsidR="00371FF8" w:rsidRPr="00371FF8" w:rsidRDefault="00371FF8" w:rsidP="00371FF8">
      <w:r w:rsidRPr="00371FF8">
        <w:rPr>
          <w:color w:val="000000" w:themeColor="text1"/>
          <w:shd w:val="clear" w:color="auto" w:fill="FFFFFF"/>
        </w:rPr>
        <w:t>Squires</w:t>
      </w:r>
      <w:r w:rsidRPr="00371FF8">
        <w:t xml:space="preserve"> (2023) articulated thematic analysis is a qualitative analytical method that can be used to identify analyse interpret and justify the patterns or themes within data. In a widely applied systematic literature review to synthesise the findings from multiple studies thematic synthesis is often referred as one of the effective qualitative analytical tools while analysing the secondary data sources. The approach could be suitable for both qualitative and quantitative research as it allows the integration of diverse findings by organising into meaningful things thereby to enable comprehensive interpretation and comparison across studies thematic analysis is necessary (</w:t>
      </w:r>
      <w:r w:rsidRPr="00371FF8">
        <w:rPr>
          <w:color w:val="000000" w:themeColor="text1"/>
          <w:shd w:val="clear" w:color="auto" w:fill="FFFFFF"/>
        </w:rPr>
        <w:t>Kushnir, 2025</w:t>
      </w:r>
      <w:r w:rsidRPr="00371FF8">
        <w:t>).</w:t>
      </w:r>
    </w:p>
    <w:p w:rsidR="00371FF8" w:rsidRPr="00371FF8" w:rsidRDefault="00371FF8" w:rsidP="00371FF8">
      <w:pPr>
        <w:pStyle w:val="Heading2"/>
      </w:pPr>
      <w:bookmarkStart w:id="106" w:name="_Toc227427155"/>
      <w:bookmarkStart w:id="107" w:name="_Toc228367034"/>
      <w:bookmarkStart w:id="108" w:name="_Toc228461274"/>
      <w:r w:rsidRPr="00371FF8">
        <w:t>5.3 Data analysis tool</w:t>
      </w:r>
      <w:bookmarkEnd w:id="106"/>
      <w:bookmarkEnd w:id="107"/>
      <w:bookmarkEnd w:id="108"/>
    </w:p>
    <w:p w:rsidR="00371FF8" w:rsidRPr="00371FF8" w:rsidRDefault="00371FF8" w:rsidP="00371FF8">
      <w:r w:rsidRPr="00371FF8">
        <w:t>In 2006, Virginia Braun and Victoria Clarke have introduced the thematic analysis framework data as the data analysis tool that can include studies that were already conducted (Braun and Clarke, 2006). The framework significantly involves six key phases 1</w:t>
      </w:r>
      <w:r w:rsidRPr="00371FF8">
        <w:rPr>
          <w:vertAlign w:val="superscript"/>
        </w:rPr>
        <w:t>st</w:t>
      </w:r>
      <w:r w:rsidRPr="00371FF8">
        <w:t xml:space="preserve"> is familiarisation with data, 2</w:t>
      </w:r>
      <w:r w:rsidRPr="00371FF8">
        <w:rPr>
          <w:vertAlign w:val="superscript"/>
        </w:rPr>
        <w:t>nd</w:t>
      </w:r>
      <w:r w:rsidRPr="00371FF8">
        <w:t xml:space="preserve"> is generating initial codes, 3</w:t>
      </w:r>
      <w:r w:rsidRPr="00371FF8">
        <w:rPr>
          <w:vertAlign w:val="superscript"/>
        </w:rPr>
        <w:t>rd</w:t>
      </w:r>
      <w:r w:rsidRPr="00371FF8">
        <w:t xml:space="preserve"> is searching for themes, 4</w:t>
      </w:r>
      <w:r w:rsidRPr="00371FF8">
        <w:rPr>
          <w:vertAlign w:val="superscript"/>
        </w:rPr>
        <w:t>th</w:t>
      </w:r>
      <w:r w:rsidRPr="00371FF8">
        <w:t xml:space="preserve"> is reviewing themes, 5</w:t>
      </w:r>
      <w:r w:rsidRPr="00371FF8">
        <w:rPr>
          <w:vertAlign w:val="superscript"/>
        </w:rPr>
        <w:t>th</w:t>
      </w:r>
      <w:r w:rsidRPr="00371FF8">
        <w:t xml:space="preserve"> is defining and naming themes, and the 6</w:t>
      </w:r>
      <w:r w:rsidRPr="00371FF8">
        <w:rPr>
          <w:vertAlign w:val="superscript"/>
        </w:rPr>
        <w:t>th</w:t>
      </w:r>
      <w:r w:rsidRPr="00371FF8">
        <w:t xml:space="preserve"> and last one is producing the report (Braun and Clarke, 2006). The data analysis tool can provide flexibility and systematic approach to organise as well as synthesise data by ensuring consistency, transparency, and depth that can identify meaningful pattern across the selected studies.</w:t>
      </w:r>
    </w:p>
    <w:p w:rsidR="00371FF8" w:rsidRPr="00371FF8" w:rsidRDefault="00371FF8" w:rsidP="00371FF8">
      <w:pPr>
        <w:pStyle w:val="Heading2"/>
      </w:pPr>
      <w:bookmarkStart w:id="109" w:name="_Toc227427156"/>
      <w:bookmarkStart w:id="110" w:name="_Toc228367035"/>
      <w:bookmarkStart w:id="111" w:name="_Toc228461275"/>
      <w:r w:rsidRPr="00371FF8">
        <w:t>5.4 Characteristics of the identified studies</w:t>
      </w:r>
      <w:bookmarkEnd w:id="109"/>
      <w:bookmarkEnd w:id="110"/>
      <w:bookmarkEnd w:id="111"/>
    </w:p>
    <w:p w:rsidR="00371FF8" w:rsidRPr="00371FF8" w:rsidRDefault="00371FF8" w:rsidP="00371FF8">
      <w:pPr>
        <w:rPr>
          <w:b/>
          <w:bCs/>
          <w:i/>
          <w:iCs/>
        </w:rPr>
      </w:pPr>
      <w:r w:rsidRPr="00371FF8">
        <w:t xml:space="preserve">The PRISMA Framework includes ultimately 10 articles or studies which were conducted across a range of countries </w:t>
      </w:r>
      <w:r w:rsidR="00F25DD4" w:rsidRPr="00371FF8">
        <w:t>in</w:t>
      </w:r>
      <w:r w:rsidRPr="00371FF8">
        <w:t xml:space="preserve"> order to reflect global perspective on digital health intervention for type 2 diabetes prevention and management among adults. Among the 10 studies two were conducted in United Kingdom (</w:t>
      </w:r>
      <w:r w:rsidRPr="00371FF8">
        <w:rPr>
          <w:rFonts w:eastAsia="Times New Roman"/>
          <w:color w:val="0D0D0D" w:themeColor="text1" w:themeTint="F2"/>
          <w:highlight w:val="white"/>
        </w:rPr>
        <w:t>Nanditha</w:t>
      </w:r>
      <w:r w:rsidRPr="00371FF8">
        <w:rPr>
          <w:rFonts w:eastAsia="Times New Roman"/>
          <w:i/>
          <w:iCs/>
          <w:color w:val="0D0D0D" w:themeColor="text1" w:themeTint="F2"/>
        </w:rPr>
        <w:t xml:space="preserve">et al. </w:t>
      </w:r>
      <w:r w:rsidRPr="00371FF8">
        <w:rPr>
          <w:rFonts w:eastAsia="Times New Roman"/>
          <w:color w:val="0D0D0D" w:themeColor="text1" w:themeTint="F2"/>
        </w:rPr>
        <w:t>2020</w:t>
      </w:r>
      <w:r w:rsidRPr="00371FF8">
        <w:t>) and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rPr>
          <w:rFonts w:eastAsia="Times New Roman"/>
          <w:color w:val="0D0D0D" w:themeColor="text1" w:themeTint="F2"/>
        </w:rPr>
        <w:t>2019</w:t>
      </w:r>
      <w:r w:rsidRPr="00371FF8">
        <w:t>). On the other hand</w:t>
      </w:r>
      <w:r w:rsidR="00061DA2">
        <w:t>,</w:t>
      </w:r>
      <w:r w:rsidRPr="00371FF8">
        <w:t xml:space="preserve"> one study was conducted in Spain which is (</w:t>
      </w:r>
      <w:r w:rsidRPr="00371FF8">
        <w:rPr>
          <w:rFonts w:eastAsia="Times New Roman"/>
          <w:color w:val="0D0D0D" w:themeColor="text1" w:themeTint="F2"/>
          <w:highlight w:val="white"/>
        </w:rPr>
        <w:t>Levia</w:t>
      </w:r>
      <w:r w:rsidRPr="00371FF8">
        <w:rPr>
          <w:rFonts w:eastAsia="Times New Roman"/>
          <w:i/>
          <w:iCs/>
          <w:color w:val="0D0D0D" w:themeColor="text1" w:themeTint="F2"/>
        </w:rPr>
        <w:t xml:space="preserve">et al. </w:t>
      </w:r>
      <w:r w:rsidRPr="00371FF8">
        <w:rPr>
          <w:rFonts w:eastAsia="Times New Roman"/>
          <w:color w:val="0D0D0D" w:themeColor="text1" w:themeTint="F2"/>
        </w:rPr>
        <w:t>2025</w:t>
      </w:r>
      <w:r w:rsidRPr="00371FF8">
        <w:t>). Some of the studies were conducted in United States (</w:t>
      </w:r>
      <w:r w:rsidRPr="00371FF8">
        <w:rPr>
          <w:rFonts w:eastAsia="Times New Roman"/>
          <w:color w:val="0D0D0D" w:themeColor="text1" w:themeTint="F2"/>
          <w:highlight w:val="white"/>
        </w:rPr>
        <w:t>Gerber</w:t>
      </w:r>
      <w:r w:rsidRPr="00371FF8">
        <w:rPr>
          <w:rFonts w:eastAsia="Times New Roman"/>
          <w:i/>
          <w:iCs/>
          <w:color w:val="0D0D0D" w:themeColor="text1" w:themeTint="F2"/>
        </w:rPr>
        <w:t xml:space="preserve">et al. </w:t>
      </w:r>
      <w:r w:rsidRPr="00371FF8">
        <w:rPr>
          <w:rFonts w:eastAsia="Times New Roman"/>
          <w:color w:val="0D0D0D" w:themeColor="text1" w:themeTint="F2"/>
        </w:rPr>
        <w:t>2023</w:t>
      </w:r>
      <w:r w:rsidRPr="00371FF8">
        <w:t>) and (</w:t>
      </w:r>
      <w:r w:rsidRPr="00371FF8">
        <w:rPr>
          <w:rFonts w:eastAsia="Times New Roman"/>
          <w:color w:val="0D0D0D" w:themeColor="text1" w:themeTint="F2"/>
          <w:highlight w:val="white"/>
        </w:rPr>
        <w:t>Azelton</w:t>
      </w:r>
      <w:r w:rsidRPr="00371FF8">
        <w:rPr>
          <w:rFonts w:eastAsia="Times New Roman"/>
          <w:i/>
          <w:iCs/>
          <w:color w:val="0D0D0D" w:themeColor="text1" w:themeTint="F2"/>
        </w:rPr>
        <w:t xml:space="preserve">et al. </w:t>
      </w:r>
      <w:r w:rsidRPr="00371FF8">
        <w:rPr>
          <w:rFonts w:eastAsia="Times New Roman"/>
          <w:color w:val="0D0D0D" w:themeColor="text1" w:themeTint="F2"/>
        </w:rPr>
        <w:t>2021</w:t>
      </w:r>
      <w:r w:rsidRPr="00371FF8">
        <w:t>). Whereas, one of the studies contributed its significance towards South Korea (</w:t>
      </w:r>
      <w:r w:rsidRPr="00371FF8">
        <w:rPr>
          <w:rFonts w:eastAsia="Times New Roman"/>
          <w:color w:val="0D0D0D" w:themeColor="text1" w:themeTint="F2"/>
          <w:highlight w:val="white"/>
        </w:rPr>
        <w:t>Kim</w:t>
      </w:r>
      <w:r w:rsidRPr="00371FF8">
        <w:rPr>
          <w:rFonts w:eastAsia="Times New Roman"/>
          <w:i/>
          <w:iCs/>
          <w:color w:val="0D0D0D" w:themeColor="text1" w:themeTint="F2"/>
        </w:rPr>
        <w:t xml:space="preserve">et al. </w:t>
      </w:r>
      <w:r w:rsidRPr="00371FF8">
        <w:rPr>
          <w:rFonts w:eastAsia="Times New Roman"/>
          <w:color w:val="0D0D0D" w:themeColor="text1" w:themeTint="F2"/>
        </w:rPr>
        <w:lastRenderedPageBreak/>
        <w:t>2024</w:t>
      </w:r>
      <w:r w:rsidRPr="00371FF8">
        <w:t>). Additionally, a study represents Australia (</w:t>
      </w:r>
      <w:r w:rsidRPr="00371FF8">
        <w:rPr>
          <w:rFonts w:eastAsia="Times New Roman"/>
          <w:color w:val="0D0D0D" w:themeColor="text1" w:themeTint="F2"/>
          <w:highlight w:val="white"/>
        </w:rPr>
        <w:t>Gong</w:t>
      </w:r>
      <w:r w:rsidRPr="00371FF8">
        <w:rPr>
          <w:rFonts w:eastAsia="Times New Roman"/>
          <w:i/>
          <w:iCs/>
          <w:color w:val="0D0D0D" w:themeColor="text1" w:themeTint="F2"/>
        </w:rPr>
        <w:t xml:space="preserve">et al. </w:t>
      </w:r>
      <w:r w:rsidRPr="00371FF8">
        <w:rPr>
          <w:rFonts w:eastAsia="Times New Roman"/>
          <w:color w:val="0D0D0D" w:themeColor="text1" w:themeTint="F2"/>
        </w:rPr>
        <w:t>2020</w:t>
      </w:r>
      <w:r w:rsidRPr="00371FF8">
        <w:t>) and multinational or broader context studies were conducted like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rPr>
          <w:rFonts w:eastAsia="Times New Roman"/>
          <w:color w:val="0D0D0D" w:themeColor="text1" w:themeTint="F2"/>
        </w:rPr>
        <w:t>2023</w:t>
      </w:r>
      <w:r w:rsidRPr="00371FF8">
        <w:t>), (</w:t>
      </w:r>
      <w:r w:rsidRPr="00371FF8">
        <w:rPr>
          <w:rFonts w:eastAsia="Times New Roman"/>
          <w:color w:val="0D0D0D" w:themeColor="text1" w:themeTint="F2"/>
          <w:highlight w:val="white"/>
        </w:rPr>
        <w:t>Turnbull</w:t>
      </w:r>
      <w:r w:rsidRPr="00371FF8">
        <w:rPr>
          <w:rFonts w:eastAsia="Times New Roman"/>
          <w:i/>
          <w:iCs/>
          <w:color w:val="0D0D0D" w:themeColor="text1" w:themeTint="F2"/>
        </w:rPr>
        <w:t xml:space="preserve">et al. </w:t>
      </w:r>
      <w:r w:rsidRPr="00371FF8">
        <w:rPr>
          <w:rFonts w:eastAsia="Times New Roman"/>
          <w:color w:val="0D0D0D" w:themeColor="text1" w:themeTint="F2"/>
        </w:rPr>
        <w:t>2020</w:t>
      </w:r>
      <w:r w:rsidRPr="00371FF8">
        <w:t>) and (</w:t>
      </w:r>
      <w:r w:rsidRPr="00371FF8">
        <w:rPr>
          <w:rFonts w:eastAsia="Times New Roman"/>
          <w:color w:val="0D0D0D" w:themeColor="text1" w:themeTint="F2"/>
          <w:highlight w:val="white"/>
        </w:rPr>
        <w:t>Pal</w:t>
      </w:r>
      <w:r w:rsidRPr="00371FF8">
        <w:rPr>
          <w:rFonts w:eastAsia="Times New Roman"/>
          <w:i/>
          <w:iCs/>
          <w:color w:val="0D0D0D" w:themeColor="text1" w:themeTint="F2"/>
        </w:rPr>
        <w:t xml:space="preserve">et al. </w:t>
      </w:r>
      <w:r w:rsidRPr="00371FF8">
        <w:rPr>
          <w:rFonts w:eastAsia="Times New Roman"/>
          <w:color w:val="0D0D0D" w:themeColor="text1" w:themeTint="F2"/>
        </w:rPr>
        <w:t>2018</w:t>
      </w:r>
      <w:r w:rsidRPr="00371FF8">
        <w:t>). Thus</w:t>
      </w:r>
      <w:r w:rsidR="00061DA2">
        <w:t>,</w:t>
      </w:r>
      <w:r w:rsidRPr="00371FF8">
        <w:t xml:space="preserve"> the selected studies include Thus the selected studies include randomised control trials with qualitative and quantitative cost-effective analysis. Furthermore, the details regarding study design sample size intervention characteristics are presented in the data extraction tables in the appendices </w:t>
      </w:r>
      <w:r w:rsidRPr="00371FF8">
        <w:rPr>
          <w:b/>
          <w:bCs/>
          <w:i/>
          <w:iCs/>
        </w:rPr>
        <w:t>[Refer to Appendix 1].</w:t>
      </w:r>
    </w:p>
    <w:p w:rsidR="00371FF8" w:rsidRPr="00371FF8" w:rsidRDefault="00371FF8" w:rsidP="00371FF8">
      <w:pPr>
        <w:pStyle w:val="Heading2"/>
      </w:pPr>
      <w:bookmarkStart w:id="112" w:name="_Toc227427157"/>
      <w:bookmarkStart w:id="113" w:name="_Toc228367036"/>
      <w:bookmarkStart w:id="114" w:name="_Toc228461276"/>
      <w:r w:rsidRPr="00371FF8">
        <w:t>5.5 Emerging Themes from included studies</w:t>
      </w:r>
      <w:bookmarkEnd w:id="112"/>
      <w:bookmarkEnd w:id="113"/>
      <w:bookmarkEnd w:id="114"/>
    </w:p>
    <w:p w:rsidR="00371FF8" w:rsidRPr="00371FF8" w:rsidRDefault="00371FF8" w:rsidP="00371FF8">
      <w:r w:rsidRPr="00371FF8">
        <w:t>The analysis of the included studies with the help of systematic literature review have identified several overreaching themes and sub themes related to the role of digital health promotion in order to prevent and manage diabetes type 2 among adults in the global public health system. The themes have captured the main patterns emerging across evidence based and reflected study that can evaluate the objectives concern in prevention oriented digital intervention (Khdhir, 2025). The overall themes have effectively improved the lifestyle behaviour and clinical outcome as well as defined the barriers and facilitators that can influence in the adaptation of digital health. Taking all together the studies suggest the digital health promotion has considerable potential to improve diabetes prevention and self-management although the overall extent can benefit various areas according to the intervention design, user engagement, accessibility, and contextual support. Based on this here are the themes and sub teams that can summarise the overall findings of the study.</w:t>
      </w:r>
    </w:p>
    <w:p w:rsidR="00371FF8" w:rsidRPr="00371FF8" w:rsidRDefault="00371FF8" w:rsidP="00371FF8">
      <w:pPr>
        <w:pStyle w:val="Heading3"/>
      </w:pPr>
      <w:bookmarkStart w:id="115" w:name="_Toc228367037"/>
      <w:bookmarkStart w:id="116" w:name="_Toc228461277"/>
      <w:r w:rsidRPr="00371FF8">
        <w:t>5.5.1 Themes and Sub-Themes of the study</w:t>
      </w:r>
      <w:bookmarkEnd w:id="115"/>
      <w:bookmarkEnd w:id="116"/>
    </w:p>
    <w:tbl>
      <w:tblPr>
        <w:tblStyle w:val="TableGrid"/>
        <w:tblW w:w="0" w:type="auto"/>
        <w:jc w:val="center"/>
        <w:tblLook w:val="04A0"/>
      </w:tblPr>
      <w:tblGrid>
        <w:gridCol w:w="3069"/>
        <w:gridCol w:w="2921"/>
        <w:gridCol w:w="3252"/>
      </w:tblGrid>
      <w:tr w:rsidR="00371FF8" w:rsidRPr="00371FF8" w:rsidTr="00F25DD4">
        <w:trPr>
          <w:jc w:val="center"/>
        </w:trPr>
        <w:tc>
          <w:tcPr>
            <w:tcW w:w="3192" w:type="dxa"/>
            <w:shd w:val="clear" w:color="auto" w:fill="92CDDC" w:themeFill="accent5" w:themeFillTint="99"/>
          </w:tcPr>
          <w:p w:rsidR="00371FF8" w:rsidRPr="00371FF8" w:rsidRDefault="00371FF8" w:rsidP="00371FF8">
            <w:r w:rsidRPr="00371FF8">
              <w:t>Themes</w:t>
            </w:r>
          </w:p>
        </w:tc>
        <w:tc>
          <w:tcPr>
            <w:tcW w:w="3012" w:type="dxa"/>
            <w:shd w:val="clear" w:color="auto" w:fill="92CDDC" w:themeFill="accent5" w:themeFillTint="99"/>
          </w:tcPr>
          <w:p w:rsidR="00371FF8" w:rsidRPr="00371FF8" w:rsidRDefault="00371FF8" w:rsidP="00371FF8">
            <w:r w:rsidRPr="00371FF8">
              <w:t>Sub-Themes</w:t>
            </w:r>
          </w:p>
        </w:tc>
        <w:tc>
          <w:tcPr>
            <w:tcW w:w="3372" w:type="dxa"/>
            <w:shd w:val="clear" w:color="auto" w:fill="92CDDC" w:themeFill="accent5" w:themeFillTint="99"/>
          </w:tcPr>
          <w:p w:rsidR="00371FF8" w:rsidRPr="00371FF8" w:rsidRDefault="00371FF8" w:rsidP="00371FF8">
            <w:r w:rsidRPr="00371FF8">
              <w:t>Related Articles</w:t>
            </w:r>
          </w:p>
        </w:tc>
      </w:tr>
      <w:tr w:rsidR="00371FF8" w:rsidRPr="00371FF8" w:rsidTr="00F25DD4">
        <w:trPr>
          <w:jc w:val="center"/>
        </w:trPr>
        <w:tc>
          <w:tcPr>
            <w:tcW w:w="3192" w:type="dxa"/>
          </w:tcPr>
          <w:p w:rsidR="00371FF8" w:rsidRPr="00371FF8" w:rsidRDefault="00371FF8" w:rsidP="00371FF8">
            <w:r w:rsidRPr="00371FF8">
              <w:t>Theme 1: Digital interventions for type 2 diabetes prevention and management</w:t>
            </w:r>
          </w:p>
        </w:tc>
        <w:tc>
          <w:tcPr>
            <w:tcW w:w="3012" w:type="dxa"/>
          </w:tcPr>
          <w:p w:rsidR="00371FF8" w:rsidRPr="00371FF8" w:rsidRDefault="00371FF8" w:rsidP="00371FF8">
            <w:r w:rsidRPr="00371FF8">
              <w:t>Mobile app-based intervention</w:t>
            </w:r>
          </w:p>
        </w:tc>
        <w:tc>
          <w:tcPr>
            <w:tcW w:w="3372" w:type="dxa"/>
          </w:tcPr>
          <w:p w:rsidR="00371FF8" w:rsidRPr="00371FF8" w:rsidRDefault="00371FF8" w:rsidP="00371FF8">
            <w:r w:rsidRPr="00371FF8">
              <w:t>(</w:t>
            </w:r>
            <w:r w:rsidRPr="00371FF8">
              <w:rPr>
                <w:highlight w:val="white"/>
              </w:rPr>
              <w:t>Gerber</w:t>
            </w:r>
            <w:r w:rsidRPr="00371FF8">
              <w:rPr>
                <w:i/>
                <w:iCs/>
              </w:rPr>
              <w:t xml:space="preserve">et al. </w:t>
            </w:r>
            <w:r w:rsidRPr="00371FF8">
              <w:t>2023), (</w:t>
            </w:r>
            <w:r w:rsidRPr="00371FF8">
              <w:rPr>
                <w:highlight w:val="white"/>
              </w:rPr>
              <w:t>Kim</w:t>
            </w:r>
            <w:r w:rsidRPr="00371FF8">
              <w:rPr>
                <w:i/>
                <w:iCs/>
              </w:rPr>
              <w:t xml:space="preserve">et al. </w:t>
            </w:r>
            <w:r w:rsidRPr="00371FF8">
              <w:t>2024), and (</w:t>
            </w:r>
            <w:r w:rsidRPr="00371FF8">
              <w:rPr>
                <w:highlight w:val="white"/>
              </w:rPr>
              <w:t>Gong</w:t>
            </w:r>
            <w:r w:rsidRPr="00371FF8">
              <w:rPr>
                <w:i/>
                <w:iCs/>
              </w:rPr>
              <w:t xml:space="preserve">et al. </w:t>
            </w:r>
            <w:r w:rsidRPr="00371FF8">
              <w:t>2020)</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SMS and text-based lifestyle support</w:t>
            </w:r>
          </w:p>
        </w:tc>
        <w:tc>
          <w:tcPr>
            <w:tcW w:w="3372" w:type="dxa"/>
          </w:tcPr>
          <w:p w:rsidR="00371FF8" w:rsidRPr="00371FF8" w:rsidRDefault="00371FF8" w:rsidP="00371FF8">
            <w:r w:rsidRPr="00371FF8">
              <w:t>(</w:t>
            </w:r>
            <w:r w:rsidRPr="00371FF8">
              <w:rPr>
                <w:highlight w:val="white"/>
              </w:rPr>
              <w:t>Nanditha</w:t>
            </w:r>
            <w:r w:rsidRPr="00371FF8">
              <w:rPr>
                <w:i/>
                <w:iCs/>
              </w:rPr>
              <w:t xml:space="preserve">et al. </w:t>
            </w:r>
            <w:r w:rsidRPr="00371FF8">
              <w:t>2020) and (</w:t>
            </w:r>
            <w:r w:rsidRPr="00371FF8">
              <w:rPr>
                <w:highlight w:val="white"/>
              </w:rPr>
              <w:t>Levia</w:t>
            </w:r>
            <w:r w:rsidRPr="00371FF8">
              <w:rPr>
                <w:i/>
                <w:iCs/>
              </w:rPr>
              <w:t xml:space="preserve">et al. </w:t>
            </w:r>
            <w:r w:rsidRPr="00371FF8">
              <w:t>2025)</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Online education and digital health coaching</w:t>
            </w:r>
          </w:p>
        </w:tc>
        <w:tc>
          <w:tcPr>
            <w:tcW w:w="3372" w:type="dxa"/>
          </w:tcPr>
          <w:p w:rsidR="00371FF8" w:rsidRPr="00371FF8" w:rsidRDefault="00371FF8" w:rsidP="00371FF8">
            <w:r w:rsidRPr="00371FF8">
              <w:t>(</w:t>
            </w:r>
            <w:r w:rsidRPr="00371FF8">
              <w:rPr>
                <w:highlight w:val="white"/>
              </w:rPr>
              <w:t>Azelton</w:t>
            </w:r>
            <w:r w:rsidRPr="00371FF8">
              <w:rPr>
                <w:i/>
                <w:iCs/>
              </w:rPr>
              <w:t xml:space="preserve">et al. </w:t>
            </w:r>
            <w:r w:rsidRPr="00371FF8">
              <w:t>2021) and (</w:t>
            </w:r>
            <w:r w:rsidRPr="00371FF8">
              <w:rPr>
                <w:highlight w:val="white"/>
              </w:rPr>
              <w:t>Cunningham</w:t>
            </w:r>
            <w:r w:rsidRPr="00371FF8">
              <w:rPr>
                <w:i/>
                <w:iCs/>
              </w:rPr>
              <w:t xml:space="preserve">et al. </w:t>
            </w:r>
            <w:r w:rsidRPr="00371FF8">
              <w:t>2023)</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Digitally enabled prevention programmes in public health setting</w:t>
            </w:r>
          </w:p>
        </w:tc>
        <w:tc>
          <w:tcPr>
            <w:tcW w:w="3372" w:type="dxa"/>
          </w:tcPr>
          <w:p w:rsidR="00371FF8" w:rsidRPr="00371FF8" w:rsidRDefault="00371FF8" w:rsidP="00371FF8">
            <w:r w:rsidRPr="00371FF8">
              <w:t>(</w:t>
            </w:r>
            <w:r w:rsidRPr="00371FF8">
              <w:rPr>
                <w:highlight w:val="white"/>
              </w:rPr>
              <w:t>McGough</w:t>
            </w:r>
            <w:r w:rsidRPr="00371FF8">
              <w:rPr>
                <w:i/>
                <w:iCs/>
              </w:rPr>
              <w:t xml:space="preserve">et al. </w:t>
            </w:r>
            <w:r w:rsidRPr="00371FF8">
              <w:t>2019) and (</w:t>
            </w:r>
            <w:r w:rsidRPr="00371FF8">
              <w:rPr>
                <w:highlight w:val="white"/>
              </w:rPr>
              <w:t>Levia</w:t>
            </w:r>
            <w:r w:rsidRPr="00371FF8">
              <w:rPr>
                <w:i/>
                <w:iCs/>
              </w:rPr>
              <w:t xml:space="preserve">et al. </w:t>
            </w:r>
            <w:r w:rsidRPr="00371FF8">
              <w:t>2025)</w:t>
            </w:r>
          </w:p>
          <w:p w:rsidR="00371FF8" w:rsidRPr="00371FF8" w:rsidRDefault="00371FF8" w:rsidP="00371FF8"/>
        </w:tc>
      </w:tr>
      <w:tr w:rsidR="00371FF8" w:rsidRPr="00371FF8" w:rsidTr="00F25DD4">
        <w:trPr>
          <w:jc w:val="center"/>
        </w:trPr>
        <w:tc>
          <w:tcPr>
            <w:tcW w:w="3192" w:type="dxa"/>
          </w:tcPr>
          <w:p w:rsidR="00371FF8" w:rsidRPr="00371FF8" w:rsidRDefault="00371FF8" w:rsidP="00371FF8">
            <w:r w:rsidRPr="00371FF8">
              <w:t>Theme 2: Impact on lifestyle behaviour and Self-</w:t>
            </w:r>
            <w:r w:rsidRPr="00371FF8">
              <w:lastRenderedPageBreak/>
              <w:t>Management practises</w:t>
            </w:r>
          </w:p>
        </w:tc>
        <w:tc>
          <w:tcPr>
            <w:tcW w:w="3012" w:type="dxa"/>
          </w:tcPr>
          <w:p w:rsidR="00371FF8" w:rsidRPr="00371FF8" w:rsidRDefault="00371FF8" w:rsidP="00371FF8">
            <w:r w:rsidRPr="00371FF8">
              <w:lastRenderedPageBreak/>
              <w:t xml:space="preserve">Improvement in physical activity and lifestyle </w:t>
            </w:r>
            <w:r w:rsidRPr="00371FF8">
              <w:lastRenderedPageBreak/>
              <w:t>modification</w:t>
            </w:r>
          </w:p>
        </w:tc>
        <w:tc>
          <w:tcPr>
            <w:tcW w:w="3372" w:type="dxa"/>
          </w:tcPr>
          <w:p w:rsidR="00371FF8" w:rsidRPr="00371FF8" w:rsidRDefault="00371FF8" w:rsidP="00371FF8">
            <w:r w:rsidRPr="00371FF8">
              <w:lastRenderedPageBreak/>
              <w:t>(</w:t>
            </w:r>
            <w:r w:rsidRPr="00371FF8">
              <w:rPr>
                <w:highlight w:val="white"/>
              </w:rPr>
              <w:t>Nanditha</w:t>
            </w:r>
            <w:r w:rsidRPr="00371FF8">
              <w:rPr>
                <w:i/>
                <w:iCs/>
              </w:rPr>
              <w:t xml:space="preserve">et al. </w:t>
            </w:r>
            <w:r w:rsidRPr="00371FF8">
              <w:t>2020), (</w:t>
            </w:r>
            <w:r w:rsidRPr="00371FF8">
              <w:rPr>
                <w:highlight w:val="white"/>
              </w:rPr>
              <w:t>Azelton</w:t>
            </w:r>
            <w:r w:rsidRPr="00371FF8">
              <w:rPr>
                <w:i/>
                <w:iCs/>
              </w:rPr>
              <w:t xml:space="preserve">et al. </w:t>
            </w:r>
            <w:r w:rsidRPr="00371FF8">
              <w:t xml:space="preserve">2021), and </w:t>
            </w:r>
            <w:r w:rsidRPr="00371FF8">
              <w:lastRenderedPageBreak/>
              <w:t>(</w:t>
            </w:r>
            <w:r w:rsidRPr="00371FF8">
              <w:rPr>
                <w:highlight w:val="white"/>
              </w:rPr>
              <w:t>Kim</w:t>
            </w:r>
            <w:r w:rsidRPr="00371FF8">
              <w:rPr>
                <w:i/>
                <w:iCs/>
              </w:rPr>
              <w:t xml:space="preserve">et al. </w:t>
            </w:r>
            <w:r w:rsidRPr="00371FF8">
              <w:t>2024)</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Enhanced diabetes self-care knowledge and behavioural confidence</w:t>
            </w:r>
          </w:p>
        </w:tc>
        <w:tc>
          <w:tcPr>
            <w:tcW w:w="3372" w:type="dxa"/>
          </w:tcPr>
          <w:p w:rsidR="00371FF8" w:rsidRPr="00371FF8" w:rsidRDefault="00371FF8" w:rsidP="00371FF8">
            <w:r w:rsidRPr="00371FF8">
              <w:t>(</w:t>
            </w:r>
            <w:r w:rsidRPr="00371FF8">
              <w:rPr>
                <w:highlight w:val="white"/>
              </w:rPr>
              <w:t>Gong</w:t>
            </w:r>
            <w:r w:rsidRPr="00371FF8">
              <w:rPr>
                <w:i/>
                <w:iCs/>
              </w:rPr>
              <w:t xml:space="preserve">et al. </w:t>
            </w:r>
            <w:r w:rsidRPr="00371FF8">
              <w:t>2020), (</w:t>
            </w:r>
            <w:r w:rsidRPr="00371FF8">
              <w:rPr>
                <w:highlight w:val="white"/>
              </w:rPr>
              <w:t>Turnbull</w:t>
            </w:r>
            <w:r w:rsidRPr="00371FF8">
              <w:rPr>
                <w:i/>
                <w:iCs/>
              </w:rPr>
              <w:t xml:space="preserve">et al. </w:t>
            </w:r>
            <w:r w:rsidRPr="00371FF8">
              <w:t>2020), and (</w:t>
            </w:r>
            <w:r w:rsidRPr="00371FF8">
              <w:rPr>
                <w:highlight w:val="white"/>
              </w:rPr>
              <w:t>Pal</w:t>
            </w:r>
            <w:r w:rsidRPr="00371FF8">
              <w:rPr>
                <w:i/>
                <w:iCs/>
              </w:rPr>
              <w:t xml:space="preserve">et al. </w:t>
            </w:r>
            <w:r w:rsidRPr="00371FF8">
              <w:t>2018)</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Support for medication adherence, monitoring, and routine management</w:t>
            </w:r>
          </w:p>
        </w:tc>
        <w:tc>
          <w:tcPr>
            <w:tcW w:w="3372" w:type="dxa"/>
          </w:tcPr>
          <w:p w:rsidR="00371FF8" w:rsidRPr="00371FF8" w:rsidRDefault="00371FF8" w:rsidP="00371FF8">
            <w:r w:rsidRPr="00371FF8">
              <w:t>(</w:t>
            </w:r>
            <w:r w:rsidRPr="00371FF8">
              <w:rPr>
                <w:highlight w:val="white"/>
              </w:rPr>
              <w:t>Gerber</w:t>
            </w:r>
            <w:r w:rsidRPr="00371FF8">
              <w:rPr>
                <w:i/>
                <w:iCs/>
              </w:rPr>
              <w:t xml:space="preserve">et al. </w:t>
            </w:r>
            <w:r w:rsidRPr="00371FF8">
              <w:t>2023, (</w:t>
            </w:r>
            <w:r w:rsidRPr="00371FF8">
              <w:rPr>
                <w:highlight w:val="white"/>
              </w:rPr>
              <w:t>Gong</w:t>
            </w:r>
            <w:r w:rsidRPr="00371FF8">
              <w:rPr>
                <w:i/>
                <w:iCs/>
              </w:rPr>
              <w:t xml:space="preserve">et al. </w:t>
            </w:r>
            <w:r w:rsidRPr="00371FF8">
              <w:t>2020), and (</w:t>
            </w:r>
            <w:r w:rsidRPr="00371FF8">
              <w:rPr>
                <w:highlight w:val="white"/>
              </w:rPr>
              <w:t>Cunningham</w:t>
            </w:r>
            <w:r w:rsidRPr="00371FF8">
              <w:rPr>
                <w:i/>
                <w:iCs/>
              </w:rPr>
              <w:t xml:space="preserve">et al. </w:t>
            </w:r>
            <w:r w:rsidRPr="00371FF8">
              <w:t>2023)</w:t>
            </w:r>
          </w:p>
          <w:p w:rsidR="00371FF8" w:rsidRPr="00371FF8" w:rsidRDefault="00371FF8" w:rsidP="00371FF8"/>
        </w:tc>
      </w:tr>
      <w:tr w:rsidR="00371FF8" w:rsidRPr="00371FF8" w:rsidTr="00F25DD4">
        <w:trPr>
          <w:jc w:val="center"/>
        </w:trPr>
        <w:tc>
          <w:tcPr>
            <w:tcW w:w="3192" w:type="dxa"/>
          </w:tcPr>
          <w:p w:rsidR="00371FF8" w:rsidRPr="00371FF8" w:rsidRDefault="00371FF8" w:rsidP="00371FF8">
            <w:r w:rsidRPr="00371FF8">
              <w:t>Theme 3: Clinical and health system outcomes of digital health promotion</w:t>
            </w:r>
          </w:p>
        </w:tc>
        <w:tc>
          <w:tcPr>
            <w:tcW w:w="3012" w:type="dxa"/>
          </w:tcPr>
          <w:p w:rsidR="00371FF8" w:rsidRPr="00371FF8" w:rsidRDefault="00371FF8" w:rsidP="00371FF8">
            <w:r w:rsidRPr="00371FF8">
              <w:t>Glycaemic control and HbA1c improvement</w:t>
            </w:r>
          </w:p>
        </w:tc>
        <w:tc>
          <w:tcPr>
            <w:tcW w:w="3372" w:type="dxa"/>
          </w:tcPr>
          <w:p w:rsidR="00371FF8" w:rsidRPr="00371FF8" w:rsidRDefault="00371FF8" w:rsidP="00371FF8">
            <w:r w:rsidRPr="00371FF8">
              <w:t>(</w:t>
            </w:r>
            <w:r w:rsidRPr="00371FF8">
              <w:rPr>
                <w:highlight w:val="white"/>
              </w:rPr>
              <w:t>Gerber</w:t>
            </w:r>
            <w:r w:rsidRPr="00371FF8">
              <w:rPr>
                <w:i/>
                <w:iCs/>
              </w:rPr>
              <w:t xml:space="preserve">et al. </w:t>
            </w:r>
            <w:r w:rsidRPr="00371FF8">
              <w:t>2023), (</w:t>
            </w:r>
            <w:r w:rsidRPr="00371FF8">
              <w:rPr>
                <w:highlight w:val="white"/>
              </w:rPr>
              <w:t>Azelton</w:t>
            </w:r>
            <w:r w:rsidRPr="00371FF8">
              <w:rPr>
                <w:i/>
                <w:iCs/>
              </w:rPr>
              <w:t xml:space="preserve">et al. </w:t>
            </w:r>
            <w:r w:rsidRPr="00371FF8">
              <w:t>2021), and (</w:t>
            </w:r>
            <w:r w:rsidRPr="00371FF8">
              <w:rPr>
                <w:highlight w:val="white"/>
              </w:rPr>
              <w:t>Kim</w:t>
            </w:r>
            <w:r w:rsidRPr="00371FF8">
              <w:rPr>
                <w:i/>
                <w:iCs/>
              </w:rPr>
              <w:t xml:space="preserve">et al. </w:t>
            </w:r>
            <w:r w:rsidRPr="00371FF8">
              <w:t>2024)</w:t>
            </w:r>
          </w:p>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Prevention of progression to type 2 diabetes among adults</w:t>
            </w:r>
          </w:p>
        </w:tc>
        <w:tc>
          <w:tcPr>
            <w:tcW w:w="3372" w:type="dxa"/>
          </w:tcPr>
          <w:p w:rsidR="00371FF8" w:rsidRPr="00371FF8" w:rsidRDefault="00371FF8" w:rsidP="00371FF8">
            <w:r w:rsidRPr="00371FF8">
              <w:t>(</w:t>
            </w:r>
            <w:r w:rsidRPr="00371FF8">
              <w:rPr>
                <w:highlight w:val="white"/>
              </w:rPr>
              <w:t>Nanditha</w:t>
            </w:r>
            <w:r w:rsidRPr="00371FF8">
              <w:rPr>
                <w:i/>
                <w:iCs/>
              </w:rPr>
              <w:t xml:space="preserve">et al. </w:t>
            </w:r>
            <w:r w:rsidRPr="00371FF8">
              <w:t>2020), (</w:t>
            </w:r>
            <w:r w:rsidRPr="00371FF8">
              <w:rPr>
                <w:highlight w:val="white"/>
              </w:rPr>
              <w:t>McGough</w:t>
            </w:r>
            <w:r w:rsidRPr="00371FF8">
              <w:rPr>
                <w:i/>
                <w:iCs/>
              </w:rPr>
              <w:t xml:space="preserve">et al. </w:t>
            </w:r>
            <w:r w:rsidRPr="00371FF8">
              <w:t>2019), and (</w:t>
            </w:r>
            <w:r w:rsidRPr="00371FF8">
              <w:rPr>
                <w:highlight w:val="white"/>
              </w:rPr>
              <w:t>Levia</w:t>
            </w:r>
            <w:r w:rsidRPr="00371FF8">
              <w:rPr>
                <w:i/>
                <w:iCs/>
              </w:rPr>
              <w:t xml:space="preserve">et al. </w:t>
            </w:r>
            <w:r w:rsidRPr="00371FF8">
              <w:t>2025)</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Cost-effectiveness and scalability within public health system</w:t>
            </w:r>
          </w:p>
        </w:tc>
        <w:tc>
          <w:tcPr>
            <w:tcW w:w="3372" w:type="dxa"/>
          </w:tcPr>
          <w:p w:rsidR="00371FF8" w:rsidRPr="00371FF8" w:rsidRDefault="00371FF8" w:rsidP="00371FF8">
            <w:r w:rsidRPr="00371FF8">
              <w:t>(</w:t>
            </w:r>
            <w:r w:rsidRPr="00371FF8">
              <w:rPr>
                <w:highlight w:val="white"/>
              </w:rPr>
              <w:t>McGough</w:t>
            </w:r>
            <w:r w:rsidRPr="00371FF8">
              <w:rPr>
                <w:i/>
                <w:iCs/>
              </w:rPr>
              <w:t xml:space="preserve">et al. </w:t>
            </w:r>
            <w:r w:rsidRPr="00371FF8">
              <w:t>2019) (</w:t>
            </w:r>
            <w:r w:rsidRPr="00371FF8">
              <w:rPr>
                <w:highlight w:val="white"/>
              </w:rPr>
              <w:t>Levia</w:t>
            </w:r>
            <w:r w:rsidRPr="00371FF8">
              <w:rPr>
                <w:i/>
                <w:iCs/>
              </w:rPr>
              <w:t xml:space="preserve">et al. </w:t>
            </w:r>
            <w:r w:rsidRPr="00371FF8">
              <w:t>2025) and (</w:t>
            </w:r>
            <w:r w:rsidRPr="00371FF8">
              <w:rPr>
                <w:highlight w:val="white"/>
              </w:rPr>
              <w:t>Cunningham</w:t>
            </w:r>
            <w:r w:rsidRPr="00371FF8">
              <w:rPr>
                <w:i/>
                <w:iCs/>
              </w:rPr>
              <w:t xml:space="preserve">et al. </w:t>
            </w:r>
            <w:r w:rsidRPr="00371FF8">
              <w:t>2023)</w:t>
            </w:r>
          </w:p>
          <w:p w:rsidR="00371FF8" w:rsidRPr="00371FF8" w:rsidRDefault="00371FF8" w:rsidP="00371FF8"/>
        </w:tc>
      </w:tr>
      <w:tr w:rsidR="00371FF8" w:rsidRPr="00371FF8" w:rsidTr="00F25DD4">
        <w:trPr>
          <w:jc w:val="center"/>
        </w:trPr>
        <w:tc>
          <w:tcPr>
            <w:tcW w:w="3192" w:type="dxa"/>
          </w:tcPr>
          <w:p w:rsidR="00371FF8" w:rsidRPr="00371FF8" w:rsidRDefault="00371FF8" w:rsidP="00371FF8">
            <w:r w:rsidRPr="00371FF8">
              <w:t>Theme 4: Barriers affecting adaptation and sustained engagement</w:t>
            </w:r>
          </w:p>
        </w:tc>
        <w:tc>
          <w:tcPr>
            <w:tcW w:w="3012" w:type="dxa"/>
          </w:tcPr>
          <w:p w:rsidR="00371FF8" w:rsidRPr="00371FF8" w:rsidRDefault="00371FF8" w:rsidP="00371FF8">
            <w:r w:rsidRPr="00371FF8">
              <w:t>Digital literacy and usability challenge</w:t>
            </w:r>
          </w:p>
        </w:tc>
        <w:tc>
          <w:tcPr>
            <w:tcW w:w="3372" w:type="dxa"/>
          </w:tcPr>
          <w:p w:rsidR="00371FF8" w:rsidRPr="00371FF8" w:rsidRDefault="00371FF8" w:rsidP="00371FF8">
            <w:r w:rsidRPr="00371FF8">
              <w:t>(</w:t>
            </w:r>
            <w:r w:rsidRPr="00371FF8">
              <w:rPr>
                <w:highlight w:val="white"/>
              </w:rPr>
              <w:t>Turnbull</w:t>
            </w:r>
            <w:r w:rsidRPr="00371FF8">
              <w:rPr>
                <w:i/>
                <w:iCs/>
              </w:rPr>
              <w:t xml:space="preserve">et al. </w:t>
            </w:r>
            <w:r w:rsidRPr="00371FF8">
              <w:t>2020) and (</w:t>
            </w:r>
            <w:r w:rsidRPr="00371FF8">
              <w:rPr>
                <w:highlight w:val="white"/>
              </w:rPr>
              <w:t>Pal</w:t>
            </w:r>
            <w:r w:rsidRPr="00371FF8">
              <w:rPr>
                <w:i/>
                <w:iCs/>
              </w:rPr>
              <w:t xml:space="preserve">et al. </w:t>
            </w:r>
            <w:r w:rsidRPr="00371FF8">
              <w:t>2018)</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Low engagement, attrition, and inconsistent participation</w:t>
            </w:r>
          </w:p>
        </w:tc>
        <w:tc>
          <w:tcPr>
            <w:tcW w:w="3372" w:type="dxa"/>
          </w:tcPr>
          <w:p w:rsidR="00371FF8" w:rsidRPr="00371FF8" w:rsidRDefault="00371FF8" w:rsidP="00371FF8">
            <w:r w:rsidRPr="00371FF8">
              <w:t>(</w:t>
            </w:r>
            <w:r w:rsidRPr="00371FF8">
              <w:rPr>
                <w:highlight w:val="white"/>
              </w:rPr>
              <w:t>McGough</w:t>
            </w:r>
            <w:r w:rsidRPr="00371FF8">
              <w:rPr>
                <w:i/>
                <w:iCs/>
              </w:rPr>
              <w:t xml:space="preserve">et al. </w:t>
            </w:r>
            <w:r w:rsidRPr="00371FF8">
              <w:t>2019), (</w:t>
            </w:r>
            <w:r w:rsidRPr="00371FF8">
              <w:rPr>
                <w:highlight w:val="white"/>
              </w:rPr>
              <w:t>Gerber</w:t>
            </w:r>
            <w:r w:rsidRPr="00371FF8">
              <w:rPr>
                <w:i/>
                <w:iCs/>
              </w:rPr>
              <w:t xml:space="preserve">et al. </w:t>
            </w:r>
            <w:r w:rsidRPr="00371FF8">
              <w:t>2023), and (</w:t>
            </w:r>
            <w:r w:rsidRPr="00371FF8">
              <w:rPr>
                <w:highlight w:val="white"/>
              </w:rPr>
              <w:t>Azelton</w:t>
            </w:r>
            <w:r w:rsidRPr="00371FF8">
              <w:rPr>
                <w:i/>
                <w:iCs/>
              </w:rPr>
              <w:t xml:space="preserve">et al. </w:t>
            </w:r>
            <w:r w:rsidRPr="00371FF8">
              <w:t>2021)</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Socioeconomic, motivational, and contextual constraints</w:t>
            </w:r>
          </w:p>
        </w:tc>
        <w:tc>
          <w:tcPr>
            <w:tcW w:w="3372" w:type="dxa"/>
          </w:tcPr>
          <w:p w:rsidR="00371FF8" w:rsidRPr="00371FF8" w:rsidRDefault="00371FF8" w:rsidP="00371FF8">
            <w:r w:rsidRPr="00371FF8">
              <w:t>(</w:t>
            </w:r>
            <w:r w:rsidRPr="00371FF8">
              <w:rPr>
                <w:highlight w:val="white"/>
              </w:rPr>
              <w:t>McGough</w:t>
            </w:r>
            <w:r w:rsidRPr="00371FF8">
              <w:rPr>
                <w:i/>
                <w:iCs/>
              </w:rPr>
              <w:t xml:space="preserve">et al. </w:t>
            </w:r>
            <w:r w:rsidRPr="00371FF8">
              <w:t>2019), (</w:t>
            </w:r>
            <w:r w:rsidRPr="00371FF8">
              <w:rPr>
                <w:highlight w:val="white"/>
              </w:rPr>
              <w:t>Turnbull</w:t>
            </w:r>
            <w:r w:rsidRPr="00371FF8">
              <w:rPr>
                <w:i/>
                <w:iCs/>
              </w:rPr>
              <w:t xml:space="preserve">et al. </w:t>
            </w:r>
            <w:r w:rsidRPr="00371FF8">
              <w:t>2020), and (</w:t>
            </w:r>
            <w:r w:rsidRPr="00371FF8">
              <w:rPr>
                <w:highlight w:val="white"/>
              </w:rPr>
              <w:t>Pal</w:t>
            </w:r>
            <w:r w:rsidRPr="00371FF8">
              <w:rPr>
                <w:i/>
                <w:iCs/>
              </w:rPr>
              <w:t xml:space="preserve">et al. </w:t>
            </w:r>
            <w:r w:rsidRPr="00371FF8">
              <w:t>2018)</w:t>
            </w:r>
          </w:p>
          <w:p w:rsidR="00371FF8" w:rsidRPr="00371FF8" w:rsidRDefault="00371FF8" w:rsidP="00371FF8"/>
        </w:tc>
      </w:tr>
      <w:tr w:rsidR="00371FF8" w:rsidRPr="00371FF8" w:rsidTr="00F25DD4">
        <w:trPr>
          <w:jc w:val="center"/>
        </w:trPr>
        <w:tc>
          <w:tcPr>
            <w:tcW w:w="3192" w:type="dxa"/>
          </w:tcPr>
          <w:p w:rsidR="00371FF8" w:rsidRPr="00371FF8" w:rsidRDefault="00371FF8" w:rsidP="00371FF8">
            <w:r w:rsidRPr="00371FF8">
              <w:t>Theme 5: Facilitators and enablers of successful digital health promotion</w:t>
            </w:r>
          </w:p>
        </w:tc>
        <w:tc>
          <w:tcPr>
            <w:tcW w:w="3012" w:type="dxa"/>
          </w:tcPr>
          <w:p w:rsidR="00371FF8" w:rsidRPr="00371FF8" w:rsidRDefault="00371FF8" w:rsidP="00371FF8">
            <w:r w:rsidRPr="00371FF8">
              <w:t>Personalisation and user centred design</w:t>
            </w:r>
          </w:p>
        </w:tc>
        <w:tc>
          <w:tcPr>
            <w:tcW w:w="3372" w:type="dxa"/>
          </w:tcPr>
          <w:p w:rsidR="00371FF8" w:rsidRPr="00371FF8" w:rsidRDefault="00371FF8" w:rsidP="00371FF8">
            <w:r w:rsidRPr="00371FF8">
              <w:t>(</w:t>
            </w:r>
            <w:r w:rsidRPr="00371FF8">
              <w:rPr>
                <w:highlight w:val="white"/>
              </w:rPr>
              <w:t>Kim</w:t>
            </w:r>
            <w:r w:rsidRPr="00371FF8">
              <w:rPr>
                <w:i/>
                <w:iCs/>
              </w:rPr>
              <w:t xml:space="preserve">et al. </w:t>
            </w:r>
            <w:r w:rsidRPr="00371FF8">
              <w:t>2024), (</w:t>
            </w:r>
            <w:r w:rsidRPr="00371FF8">
              <w:rPr>
                <w:highlight w:val="white"/>
              </w:rPr>
              <w:t>Turnbull</w:t>
            </w:r>
            <w:r w:rsidRPr="00371FF8">
              <w:rPr>
                <w:i/>
                <w:iCs/>
              </w:rPr>
              <w:t xml:space="preserve">et al. </w:t>
            </w:r>
            <w:r w:rsidRPr="00371FF8">
              <w:t>2020), and (</w:t>
            </w:r>
            <w:r w:rsidRPr="00371FF8">
              <w:rPr>
                <w:highlight w:val="white"/>
              </w:rPr>
              <w:t>Pal</w:t>
            </w:r>
            <w:r w:rsidRPr="00371FF8">
              <w:rPr>
                <w:i/>
                <w:iCs/>
              </w:rPr>
              <w:t xml:space="preserve">et al. </w:t>
            </w:r>
            <w:r w:rsidRPr="00371FF8">
              <w:t>2018)</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Accessibility, convenience, and flexible delivery</w:t>
            </w:r>
          </w:p>
        </w:tc>
        <w:tc>
          <w:tcPr>
            <w:tcW w:w="3372" w:type="dxa"/>
          </w:tcPr>
          <w:p w:rsidR="00371FF8" w:rsidRPr="00371FF8" w:rsidRDefault="00371FF8" w:rsidP="00371FF8">
            <w:r w:rsidRPr="00371FF8">
              <w:t>(</w:t>
            </w:r>
            <w:r w:rsidRPr="00371FF8">
              <w:rPr>
                <w:highlight w:val="white"/>
              </w:rPr>
              <w:t>Nanditha</w:t>
            </w:r>
            <w:r w:rsidRPr="00371FF8">
              <w:rPr>
                <w:i/>
                <w:iCs/>
              </w:rPr>
              <w:t xml:space="preserve">et al. </w:t>
            </w:r>
            <w:r w:rsidRPr="00371FF8">
              <w:t>2020),  (</w:t>
            </w:r>
            <w:r w:rsidRPr="00371FF8">
              <w:rPr>
                <w:highlight w:val="white"/>
              </w:rPr>
              <w:t>McGough</w:t>
            </w:r>
            <w:r w:rsidRPr="00371FF8">
              <w:rPr>
                <w:i/>
                <w:iCs/>
              </w:rPr>
              <w:t xml:space="preserve">et al. </w:t>
            </w:r>
            <w:r w:rsidRPr="00371FF8">
              <w:t xml:space="preserve">2019) and </w:t>
            </w:r>
            <w:r w:rsidRPr="00371FF8">
              <w:lastRenderedPageBreak/>
              <w:t>(</w:t>
            </w:r>
            <w:r w:rsidRPr="00371FF8">
              <w:rPr>
                <w:highlight w:val="white"/>
              </w:rPr>
              <w:t>Cunningham</w:t>
            </w:r>
            <w:r w:rsidRPr="00371FF8">
              <w:rPr>
                <w:i/>
                <w:iCs/>
              </w:rPr>
              <w:t xml:space="preserve">et al. </w:t>
            </w:r>
            <w:r w:rsidRPr="00371FF8">
              <w:t>2023)</w:t>
            </w:r>
          </w:p>
          <w:p w:rsidR="00371FF8" w:rsidRPr="00371FF8" w:rsidRDefault="00371FF8" w:rsidP="00371FF8"/>
        </w:tc>
      </w:tr>
      <w:tr w:rsidR="00371FF8" w:rsidRPr="00371FF8" w:rsidTr="00F25DD4">
        <w:trPr>
          <w:jc w:val="center"/>
        </w:trPr>
        <w:tc>
          <w:tcPr>
            <w:tcW w:w="3192" w:type="dxa"/>
          </w:tcPr>
          <w:p w:rsidR="00371FF8" w:rsidRPr="00371FF8" w:rsidRDefault="00371FF8" w:rsidP="00371FF8"/>
        </w:tc>
        <w:tc>
          <w:tcPr>
            <w:tcW w:w="3012" w:type="dxa"/>
          </w:tcPr>
          <w:p w:rsidR="00371FF8" w:rsidRPr="00371FF8" w:rsidRDefault="00371FF8" w:rsidP="00371FF8">
            <w:r w:rsidRPr="00371FF8">
              <w:t>Integration with healthcare support and professional guidance</w:t>
            </w:r>
          </w:p>
        </w:tc>
        <w:tc>
          <w:tcPr>
            <w:tcW w:w="3372" w:type="dxa"/>
          </w:tcPr>
          <w:p w:rsidR="00371FF8" w:rsidRPr="00371FF8" w:rsidRDefault="00371FF8" w:rsidP="00371FF8">
            <w:r w:rsidRPr="00371FF8">
              <w:t>(</w:t>
            </w:r>
            <w:r w:rsidRPr="00371FF8">
              <w:rPr>
                <w:highlight w:val="white"/>
              </w:rPr>
              <w:t>Gerber</w:t>
            </w:r>
            <w:r w:rsidRPr="00371FF8">
              <w:rPr>
                <w:i/>
                <w:iCs/>
              </w:rPr>
              <w:t xml:space="preserve">et al. </w:t>
            </w:r>
            <w:r w:rsidRPr="00371FF8">
              <w:t>2023, (</w:t>
            </w:r>
            <w:r w:rsidRPr="00371FF8">
              <w:rPr>
                <w:highlight w:val="white"/>
              </w:rPr>
              <w:t>Azelton</w:t>
            </w:r>
            <w:r w:rsidRPr="00371FF8">
              <w:rPr>
                <w:i/>
                <w:iCs/>
              </w:rPr>
              <w:t xml:space="preserve">et al. </w:t>
            </w:r>
            <w:r w:rsidRPr="00371FF8">
              <w:t>2021), and (</w:t>
            </w:r>
            <w:r w:rsidRPr="00371FF8">
              <w:rPr>
                <w:highlight w:val="white"/>
              </w:rPr>
              <w:t>Cunningham</w:t>
            </w:r>
            <w:r w:rsidRPr="00371FF8">
              <w:rPr>
                <w:i/>
                <w:iCs/>
              </w:rPr>
              <w:t xml:space="preserve">et al. </w:t>
            </w:r>
            <w:r w:rsidRPr="00371FF8">
              <w:t>2023)</w:t>
            </w:r>
          </w:p>
          <w:p w:rsidR="00371FF8" w:rsidRPr="00371FF8" w:rsidRDefault="00371FF8" w:rsidP="00371FF8"/>
        </w:tc>
      </w:tr>
    </w:tbl>
    <w:p w:rsidR="00371FF8" w:rsidRPr="00371FF8" w:rsidRDefault="00371FF8" w:rsidP="00371FF8">
      <w:pPr>
        <w:pStyle w:val="Heading5"/>
      </w:pPr>
      <w:bookmarkStart w:id="117" w:name="_Toc227606497"/>
      <w:bookmarkStart w:id="118" w:name="_Toc228461195"/>
      <w:r w:rsidRPr="00371FF8">
        <w:t>Table 5.1: Themes and Sub Themes</w:t>
      </w:r>
      <w:bookmarkEnd w:id="117"/>
      <w:bookmarkEnd w:id="118"/>
    </w:p>
    <w:p w:rsidR="00371FF8" w:rsidRPr="00371FF8" w:rsidRDefault="00371FF8" w:rsidP="00371FF8">
      <w:pPr>
        <w:jc w:val="center"/>
      </w:pPr>
      <w:r w:rsidRPr="00371FF8">
        <w:t>(Source: Sel</w:t>
      </w:r>
      <w:r>
        <w:t>f</w:t>
      </w:r>
      <w:r w:rsidRPr="00371FF8">
        <w:t>-Developed)</w:t>
      </w:r>
    </w:p>
    <w:p w:rsidR="00371FF8" w:rsidRPr="00371FF8" w:rsidRDefault="00371FF8" w:rsidP="00371FF8">
      <w:pPr>
        <w:pStyle w:val="Heading3"/>
      </w:pPr>
      <w:bookmarkStart w:id="119" w:name="_Toc228367038"/>
      <w:bookmarkStart w:id="120" w:name="_Toc228461278"/>
      <w:r w:rsidRPr="00371FF8">
        <w:t>5.5.2 Theme 1: Digital interventions for type 2 diabetes prevention and management</w:t>
      </w:r>
      <w:bookmarkEnd w:id="119"/>
      <w:bookmarkEnd w:id="120"/>
    </w:p>
    <w:p w:rsidR="00371FF8" w:rsidRPr="00371FF8" w:rsidRDefault="00371FF8" w:rsidP="00371FF8">
      <w:pPr>
        <w:rPr>
          <w:b/>
          <w:bCs/>
        </w:rPr>
      </w:pPr>
      <w:r w:rsidRPr="00371FF8">
        <w:rPr>
          <w:b/>
          <w:bCs/>
        </w:rPr>
        <w:t>5.5.2.1 Mobile app-based intervention</w:t>
      </w:r>
    </w:p>
    <w:p w:rsidR="00061DA2" w:rsidRPr="00BC08F0" w:rsidRDefault="00371FF8" w:rsidP="00061DA2">
      <w:pPr>
        <w:rPr>
          <w:lang w:val="en-IN"/>
        </w:rPr>
      </w:pPr>
      <w:r w:rsidRPr="00371FF8">
        <w:t xml:space="preserve">Mobile application disc interventions are widely identified as key strategy in supporting diabetes management. </w:t>
      </w:r>
      <w:r w:rsidRPr="00371FF8">
        <w:rPr>
          <w:rFonts w:eastAsia="Times New Roman"/>
          <w:color w:val="0D0D0D" w:themeColor="text1" w:themeTint="F2"/>
          <w:highlight w:val="white"/>
        </w:rPr>
        <w:t>Kim</w:t>
      </w:r>
      <w:r w:rsidRPr="00371FF8">
        <w:rPr>
          <w:rFonts w:eastAsia="Times New Roman"/>
          <w:i/>
          <w:iCs/>
          <w:color w:val="0D0D0D" w:themeColor="text1" w:themeTint="F2"/>
        </w:rPr>
        <w:t xml:space="preserve">et al. </w:t>
      </w:r>
      <w:r w:rsidRPr="00371FF8">
        <w:t xml:space="preserve">(2024) and </w:t>
      </w:r>
      <w:r w:rsidRPr="00371FF8">
        <w:rPr>
          <w:rFonts w:eastAsia="Times New Roman"/>
          <w:color w:val="0D0D0D" w:themeColor="text1" w:themeTint="F2"/>
          <w:highlight w:val="white"/>
        </w:rPr>
        <w:t>Gong</w:t>
      </w:r>
      <w:r w:rsidRPr="00371FF8">
        <w:rPr>
          <w:rFonts w:eastAsia="Times New Roman"/>
          <w:i/>
          <w:iCs/>
          <w:color w:val="0D0D0D" w:themeColor="text1" w:themeTint="F2"/>
        </w:rPr>
        <w:t xml:space="preserve">et al. </w:t>
      </w:r>
      <w:r w:rsidRPr="00371FF8">
        <w:t>(2020) articulated app-based platforms can incorporate features like activity tracking personalised feedback and behavioural prompts which can significantly improve the physical activity and self-management behaviour of the adults.</w:t>
      </w:r>
      <w:r w:rsidR="00061DA2" w:rsidRPr="00BC08F0">
        <w:rPr>
          <w:lang w:val="en-IN"/>
        </w:rPr>
        <w:t xml:space="preserve">Self-management is possible with the use of such interventions, which help in management by adopting healthy behaviours effectively. Moreover, long-term health benefits can be obtained with such a cost-effective solution by reducing complications with the use of a comprehensive care plan (Kim </w:t>
      </w:r>
      <w:r w:rsidR="00061DA2" w:rsidRPr="00BC08F0">
        <w:rPr>
          <w:i/>
          <w:iCs/>
          <w:lang w:val="en-IN"/>
        </w:rPr>
        <w:t>et al.</w:t>
      </w:r>
      <w:r w:rsidR="00061DA2" w:rsidRPr="00BC08F0">
        <w:rPr>
          <w:lang w:val="en-IN"/>
        </w:rPr>
        <w:t xml:space="preserve"> 2024). </w:t>
      </w:r>
    </w:p>
    <w:p w:rsidR="00371FF8" w:rsidRPr="00BC08F0" w:rsidRDefault="00371FF8" w:rsidP="00371FF8">
      <w:pPr>
        <w:rPr>
          <w:lang w:val="en-IN"/>
        </w:rPr>
      </w:pPr>
      <w:r w:rsidRPr="00371FF8">
        <w:t xml:space="preserve">Similarly, </w:t>
      </w:r>
      <w:r w:rsidRPr="00371FF8">
        <w:rPr>
          <w:rFonts w:eastAsia="Times New Roman"/>
          <w:color w:val="0D0D0D" w:themeColor="text1" w:themeTint="F2"/>
          <w:highlight w:val="white"/>
        </w:rPr>
        <w:t>Gerber</w:t>
      </w:r>
      <w:r w:rsidRPr="00371FF8">
        <w:rPr>
          <w:rFonts w:eastAsia="Times New Roman"/>
          <w:i/>
          <w:iCs/>
          <w:color w:val="0D0D0D" w:themeColor="text1" w:themeTint="F2"/>
        </w:rPr>
        <w:t xml:space="preserve">et al. </w:t>
      </w:r>
      <w:r w:rsidRPr="00371FF8">
        <w:t>(2023) illustrated mobile health intervention can enhance the patient engagement and contribute to better glycaemic control. Thus, the applications can enable real time monitoring and interactive communication by making them effective for continuous disease management. However, on the contrary state the success heavily depends on the user adherence and digital literacy level</w:t>
      </w:r>
      <w:r w:rsidRPr="00BC08F0">
        <w:t xml:space="preserve">. </w:t>
      </w:r>
      <w:r w:rsidR="00061DA2" w:rsidRPr="00BC08F0">
        <w:rPr>
          <w:lang w:val="en-IN"/>
        </w:rPr>
        <w:t xml:space="preserve">This type of intervention lacks accuracy and has insufficient data security, which can be very risky. Alignment of clinical guidelines is required in managing a disease; </w:t>
      </w:r>
      <w:r w:rsidR="00D51CF1" w:rsidRPr="00BC08F0">
        <w:rPr>
          <w:lang w:val="en-IN"/>
        </w:rPr>
        <w:t>otherwise,</w:t>
      </w:r>
      <w:r w:rsidR="00061DA2" w:rsidRPr="00BC08F0">
        <w:rPr>
          <w:lang w:val="en-IN"/>
        </w:rPr>
        <w:t xml:space="preserve"> is can cause a </w:t>
      </w:r>
      <w:r w:rsidR="00D51CF1" w:rsidRPr="00BC08F0">
        <w:t xml:space="preserve">burden </w:t>
      </w:r>
      <w:r w:rsidR="00061DA2" w:rsidRPr="00BC08F0">
        <w:rPr>
          <w:lang w:val="en-IN"/>
        </w:rPr>
        <w:t>by not correctly defining the clinical validity.</w:t>
      </w:r>
    </w:p>
    <w:p w:rsidR="00371FF8" w:rsidRPr="00F25DD4" w:rsidRDefault="00371FF8" w:rsidP="00F25DD4">
      <w:pPr>
        <w:rPr>
          <w:b/>
          <w:bCs/>
        </w:rPr>
      </w:pPr>
      <w:r w:rsidRPr="00F25DD4">
        <w:rPr>
          <w:b/>
          <w:bCs/>
        </w:rPr>
        <w:t>5.5.2.2 SMS and text-based lifestyle support</w:t>
      </w:r>
    </w:p>
    <w:p w:rsidR="00371FF8" w:rsidRPr="00371FF8" w:rsidRDefault="00371FF8" w:rsidP="00371FF8">
      <w:r w:rsidRPr="00371FF8">
        <w:t xml:space="preserve">SMS based intervention can be effective in promoting lifestyle modification and preventing the progression of type 2 diabetes. </w:t>
      </w:r>
      <w:r w:rsidRPr="00371FF8">
        <w:rPr>
          <w:rFonts w:eastAsia="Times New Roman"/>
          <w:color w:val="0D0D0D" w:themeColor="text1" w:themeTint="F2"/>
          <w:highlight w:val="white"/>
        </w:rPr>
        <w:t>Nanditha</w:t>
      </w:r>
      <w:r w:rsidRPr="00371FF8">
        <w:rPr>
          <w:rFonts w:eastAsia="Times New Roman"/>
          <w:i/>
          <w:iCs/>
          <w:color w:val="0D0D0D" w:themeColor="text1" w:themeTint="F2"/>
        </w:rPr>
        <w:t xml:space="preserve">et al. </w:t>
      </w:r>
      <w:r w:rsidRPr="00371FF8">
        <w:t xml:space="preserve">(2020) illustrated structured text messaging programmes can significantly support the behavioural change by delivering reminders motivational content and educational messages to the users. Similarly, </w:t>
      </w:r>
      <w:r w:rsidRPr="00371FF8">
        <w:rPr>
          <w:rFonts w:eastAsia="Times New Roman"/>
          <w:color w:val="0D0D0D" w:themeColor="text1" w:themeTint="F2"/>
          <w:highlight w:val="white"/>
        </w:rPr>
        <w:t>Levia</w:t>
      </w:r>
      <w:r w:rsidRPr="00371FF8">
        <w:rPr>
          <w:rFonts w:eastAsia="Times New Roman"/>
          <w:i/>
          <w:iCs/>
          <w:color w:val="0D0D0D" w:themeColor="text1" w:themeTint="F2"/>
        </w:rPr>
        <w:t xml:space="preserve">et al. </w:t>
      </w:r>
      <w:r w:rsidRPr="00371FF8">
        <w:t xml:space="preserve">(2025) demonstrated the text-based intervention can integrate primary care settings also can improve the patient engagement and intervention outcome. Through this process the interventions can be particularly beneficial due to their simplicity and accessibility specifically among the adult population with limited access to advanced digital technologies. Therefore, </w:t>
      </w:r>
      <w:r w:rsidRPr="00371FF8">
        <w:lastRenderedPageBreak/>
        <w:t xml:space="preserve">there is an impact of this text-based lifestyle support, however, the limited or lack of personalization can compare to more interactive digital tools. </w:t>
      </w:r>
    </w:p>
    <w:p w:rsidR="00371FF8" w:rsidRPr="00F25DD4" w:rsidRDefault="00371FF8" w:rsidP="00F25DD4">
      <w:pPr>
        <w:rPr>
          <w:b/>
          <w:bCs/>
        </w:rPr>
      </w:pPr>
      <w:r w:rsidRPr="00F25DD4">
        <w:rPr>
          <w:b/>
          <w:bCs/>
        </w:rPr>
        <w:t>5.5.2.3 Online education and digital health coaching</w:t>
      </w:r>
    </w:p>
    <w:p w:rsidR="00371FF8" w:rsidRPr="009947EC" w:rsidRDefault="00371FF8" w:rsidP="00371FF8">
      <w:pPr>
        <w:rPr>
          <w:lang w:val="en-IN"/>
        </w:rPr>
      </w:pPr>
      <w:r w:rsidRPr="00371FF8">
        <w:t xml:space="preserve">Online education and digital health coaching is also prominent as per the studies to support the diabetes type 2 issue among the adults.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t xml:space="preserve">(2023) contradicted digital education can combine personal health records also can enhance long term diabetes management and cost effectiveness. Additionally, </w:t>
      </w:r>
      <w:r w:rsidRPr="00371FF8">
        <w:rPr>
          <w:rFonts w:eastAsia="Times New Roman"/>
          <w:color w:val="0D0D0D" w:themeColor="text1" w:themeTint="F2"/>
          <w:highlight w:val="white"/>
        </w:rPr>
        <w:t>Azelton</w:t>
      </w:r>
      <w:r w:rsidRPr="00371FF8">
        <w:rPr>
          <w:rFonts w:eastAsia="Times New Roman"/>
          <w:i/>
          <w:iCs/>
          <w:color w:val="0D0D0D" w:themeColor="text1" w:themeTint="F2"/>
        </w:rPr>
        <w:t xml:space="preserve">et al. </w:t>
      </w:r>
      <w:r w:rsidRPr="00371FF8">
        <w:t>(2021) evaluated digital coaching programmes can improve patient motivation and support behavioural changes. These interventions can provide structure</w:t>
      </w:r>
      <w:r w:rsidR="00980E5C">
        <w:t>d</w:t>
      </w:r>
      <w:r w:rsidRPr="00371FF8">
        <w:t xml:space="preserve"> knowledge and continuous support by enabling the individuals to make informed decision-making process</w:t>
      </w:r>
      <w:r w:rsidRPr="00BC08F0">
        <w:t xml:space="preserve">. </w:t>
      </w:r>
      <w:r w:rsidR="009947EC" w:rsidRPr="00BC08F0">
        <w:rPr>
          <w:lang w:val="en-IN"/>
        </w:rPr>
        <w:t>Moreover, this kind of intervention boosts engagement by tailoring plans for busy professionals. Scalable solutions with behaviour transformation are triggered with the use of such practical routes in teaching self-management. Moreover, it also helps in reaching many individuals with effective prevention and guidelines in managing type 2 diabetes using different delivery channels and engagement strategies.</w:t>
      </w:r>
      <w:r w:rsidRPr="00371FF8">
        <w:t xml:space="preserve">Correspondingly this educational system can contribute to both prevention and management by empowering patients but sustaining engagement remain a challenge in some cases. </w:t>
      </w:r>
    </w:p>
    <w:p w:rsidR="00371FF8" w:rsidRPr="00F25DD4" w:rsidRDefault="00371FF8" w:rsidP="00F25DD4">
      <w:pPr>
        <w:rPr>
          <w:b/>
          <w:bCs/>
        </w:rPr>
      </w:pPr>
      <w:r w:rsidRPr="00F25DD4">
        <w:rPr>
          <w:b/>
          <w:bCs/>
        </w:rPr>
        <w:t>5.5.2.4 Digitally enabled prevention programmes in public health setting</w:t>
      </w:r>
    </w:p>
    <w:p w:rsidR="00980E5C" w:rsidRPr="00BC08F0" w:rsidRDefault="00371FF8" w:rsidP="00980E5C">
      <w:pPr>
        <w:rPr>
          <w:lang w:val="en-IN"/>
        </w:rPr>
      </w:pPr>
      <w:r w:rsidRPr="00371FF8">
        <w:t xml:space="preserve">Digital prevention programmes with the help of public healthcare system were identified as one of the effective and large-scale strategies.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 xml:space="preserve">(2019) </w:t>
      </w:r>
      <w:r w:rsidR="00980E5C">
        <w:t>s</w:t>
      </w:r>
      <w:r w:rsidRPr="00371FF8">
        <w:t>tated digital modes of delivery in the NHS diabetes prevention programme has increased the participation particularly among the younger and working population</w:t>
      </w:r>
      <w:r w:rsidRPr="00BC08F0">
        <w:t xml:space="preserve">. </w:t>
      </w:r>
      <w:r w:rsidR="00980E5C" w:rsidRPr="00BC08F0">
        <w:rPr>
          <w:lang w:val="en-IN"/>
        </w:rPr>
        <w:t>These programmes are noted to be useful as it helps in accessing the digital health solution by adapting to the diverse requirements of the individuals who have participated by acknowledging their preferences.</w:t>
      </w:r>
    </w:p>
    <w:p w:rsidR="00371FF8" w:rsidRPr="00371FF8" w:rsidRDefault="00371FF8" w:rsidP="00371FF8">
      <w:r w:rsidRPr="00371FF8">
        <w:t xml:space="preserve">Likewise, </w:t>
      </w:r>
      <w:r w:rsidRPr="00371FF8">
        <w:rPr>
          <w:rFonts w:eastAsia="Times New Roman"/>
          <w:color w:val="0D0D0D" w:themeColor="text1" w:themeTint="F2"/>
          <w:highlight w:val="white"/>
        </w:rPr>
        <w:t>Levia</w:t>
      </w:r>
      <w:r w:rsidRPr="00371FF8">
        <w:rPr>
          <w:rFonts w:eastAsia="Times New Roman"/>
          <w:i/>
          <w:iCs/>
          <w:color w:val="0D0D0D" w:themeColor="text1" w:themeTint="F2"/>
        </w:rPr>
        <w:t xml:space="preserve">et al. </w:t>
      </w:r>
      <w:r w:rsidRPr="00371FF8">
        <w:t xml:space="preserve">(2025) </w:t>
      </w:r>
      <w:r w:rsidR="004907E5">
        <w:t>s</w:t>
      </w:r>
      <w:r w:rsidRPr="00371FF8">
        <w:t>tated the multifaceted digital intervention has integrated primary care which can support early prevention efforts. Therefore, these programmes can enhance accessibility</w:t>
      </w:r>
      <w:r w:rsidR="004907E5">
        <w:t>,</w:t>
      </w:r>
      <w:r w:rsidRPr="00371FF8">
        <w:t xml:space="preserve"> scalability and making the prevention programme suitable for population level interventions. However, there are disparities in the accessibility of each programme which can create variation in engagement of the users that can gradually influence the overall effectiveness across different demographic groups. </w:t>
      </w:r>
    </w:p>
    <w:p w:rsidR="00371FF8" w:rsidRPr="00371FF8" w:rsidRDefault="00371FF8" w:rsidP="00371FF8">
      <w:pPr>
        <w:pStyle w:val="Heading3"/>
      </w:pPr>
      <w:bookmarkStart w:id="121" w:name="_Toc228367039"/>
      <w:bookmarkStart w:id="122" w:name="_Toc228461279"/>
      <w:r w:rsidRPr="00371FF8">
        <w:t>5.5.3 Theme 2: Impact on lifestyle behaviour and Self-Management practises</w:t>
      </w:r>
      <w:bookmarkEnd w:id="121"/>
      <w:bookmarkEnd w:id="122"/>
    </w:p>
    <w:p w:rsidR="00371FF8" w:rsidRPr="00F25DD4" w:rsidRDefault="00371FF8" w:rsidP="00F25DD4">
      <w:pPr>
        <w:rPr>
          <w:b/>
          <w:bCs/>
        </w:rPr>
      </w:pPr>
      <w:r w:rsidRPr="00F25DD4">
        <w:rPr>
          <w:b/>
          <w:bCs/>
        </w:rPr>
        <w:t>5.5.3.1 Improvement in physical activity and lifestyle modification</w:t>
      </w:r>
    </w:p>
    <w:p w:rsidR="00371FF8" w:rsidRPr="00371FF8" w:rsidRDefault="00371FF8" w:rsidP="00371FF8">
      <w:r w:rsidRPr="00371FF8">
        <w:t xml:space="preserve">Consistent findings towards positive impact of digital intervention on physical activity and lifestyle changes can impactfully improve lifestyle modification. </w:t>
      </w:r>
      <w:r w:rsidRPr="00371FF8">
        <w:rPr>
          <w:rFonts w:eastAsia="Times New Roman"/>
          <w:color w:val="0D0D0D" w:themeColor="text1" w:themeTint="F2"/>
          <w:highlight w:val="white"/>
        </w:rPr>
        <w:t>Kim</w:t>
      </w:r>
      <w:r w:rsidRPr="00371FF8">
        <w:rPr>
          <w:rFonts w:eastAsia="Times New Roman"/>
          <w:i/>
          <w:iCs/>
          <w:color w:val="0D0D0D" w:themeColor="text1" w:themeTint="F2"/>
        </w:rPr>
        <w:t>et al.</w:t>
      </w:r>
      <w:r w:rsidRPr="00371FF8">
        <w:t xml:space="preserve"> (2024) stated app-based interventions can significantly increase physical activity levels which could contribute to improved glycaemic control. Whereas, </w:t>
      </w:r>
      <w:r w:rsidRPr="00371FF8">
        <w:rPr>
          <w:rFonts w:eastAsia="Times New Roman"/>
          <w:color w:val="0D0D0D" w:themeColor="text1" w:themeTint="F2"/>
          <w:highlight w:val="white"/>
        </w:rPr>
        <w:t>Nanditha</w:t>
      </w:r>
      <w:r w:rsidRPr="00371FF8">
        <w:rPr>
          <w:rFonts w:eastAsia="Times New Roman"/>
          <w:i/>
          <w:iCs/>
          <w:color w:val="0D0D0D" w:themeColor="text1" w:themeTint="F2"/>
        </w:rPr>
        <w:t xml:space="preserve">et al. </w:t>
      </w:r>
      <w:r w:rsidRPr="00371FF8">
        <w:t xml:space="preserve">(2020) asserted mobile based </w:t>
      </w:r>
      <w:r w:rsidRPr="00371FF8">
        <w:lastRenderedPageBreak/>
        <w:t xml:space="preserve">lifestyle interventions can effectively encourage the sustained behavioural changes particularly through the diet and exercise habits. Similarly, </w:t>
      </w:r>
      <w:r w:rsidRPr="00371FF8">
        <w:rPr>
          <w:rFonts w:eastAsia="Times New Roman"/>
          <w:color w:val="0D0D0D" w:themeColor="text1" w:themeTint="F2"/>
          <w:highlight w:val="white"/>
        </w:rPr>
        <w:t>Azelton</w:t>
      </w:r>
      <w:r w:rsidRPr="00371FF8">
        <w:rPr>
          <w:rFonts w:eastAsia="Times New Roman"/>
          <w:i/>
          <w:iCs/>
          <w:color w:val="0D0D0D" w:themeColor="text1" w:themeTint="F2"/>
        </w:rPr>
        <w:t xml:space="preserve">et al. </w:t>
      </w:r>
      <w:r w:rsidRPr="00371FF8">
        <w:t>(2021) stated digital health coaching programmes can be supported with the participation in adopting healthier routines. These findings suggest digital tools can act as continuous motivators and reinforce behavioural changes through reminders and feedback. However, the major challenge is declination over time without any consistent engagement towards the activity.</w:t>
      </w:r>
    </w:p>
    <w:p w:rsidR="00371FF8" w:rsidRPr="00F25DD4" w:rsidRDefault="00371FF8" w:rsidP="00F25DD4">
      <w:pPr>
        <w:rPr>
          <w:b/>
          <w:bCs/>
        </w:rPr>
      </w:pPr>
      <w:r w:rsidRPr="00F25DD4">
        <w:rPr>
          <w:b/>
          <w:bCs/>
        </w:rPr>
        <w:t>5.5.3.2 Enhanced diabetes self-care knowledge and behavioural confidence</w:t>
      </w:r>
    </w:p>
    <w:p w:rsidR="00371FF8" w:rsidRPr="00371FF8" w:rsidRDefault="00371FF8" w:rsidP="00371FF8">
      <w:r w:rsidRPr="00371FF8">
        <w:rPr>
          <w:rFonts w:eastAsia="Times New Roman"/>
          <w:color w:val="0D0D0D" w:themeColor="text1" w:themeTint="F2"/>
          <w:highlight w:val="white"/>
        </w:rPr>
        <w:t>Turnbull</w:t>
      </w:r>
      <w:r w:rsidRPr="00371FF8">
        <w:rPr>
          <w:rFonts w:eastAsia="Times New Roman"/>
          <w:i/>
          <w:iCs/>
          <w:color w:val="0D0D0D" w:themeColor="text1" w:themeTint="F2"/>
        </w:rPr>
        <w:t>et al.</w:t>
      </w:r>
      <w:r w:rsidRPr="00371FF8">
        <w:t xml:space="preserve"> (2020) stated digital intervention can play a crucial role as digital platforms help to individuals to develop their self-care expertise by enhancing the conditional understanding and identity adaptation. Similarly, Pal </w:t>
      </w:r>
      <w:r w:rsidRPr="00371FF8">
        <w:rPr>
          <w:i/>
          <w:iCs/>
        </w:rPr>
        <w:t xml:space="preserve">et al. </w:t>
      </w:r>
      <w:r w:rsidRPr="00371FF8">
        <w:t xml:space="preserve">(2018) evaluated patients using digital intervention can reportedly increase awareness and confidence in managing their diabetes. Conversely, </w:t>
      </w:r>
      <w:r w:rsidRPr="00371FF8">
        <w:rPr>
          <w:rFonts w:eastAsia="Times New Roman"/>
          <w:color w:val="0D0D0D" w:themeColor="text1" w:themeTint="F2"/>
          <w:highlight w:val="white"/>
        </w:rPr>
        <w:t>Gong</w:t>
      </w:r>
      <w:r w:rsidRPr="00371FF8">
        <w:rPr>
          <w:rFonts w:eastAsia="Times New Roman"/>
          <w:i/>
          <w:iCs/>
          <w:color w:val="0D0D0D" w:themeColor="text1" w:themeTint="F2"/>
        </w:rPr>
        <w:t xml:space="preserve">et al. </w:t>
      </w:r>
      <w:r w:rsidRPr="00371FF8">
        <w:t xml:space="preserve">(2020) contradicted interactive digital tools like conversational agents tailored guidance can strengthen patient confidence in self-management practise. These overall findings can indicate digital health promotion not only informs but also empowers the individual. However, there is a limitation as differences in health literacy may influence how effectively user benefit from such interventions can impact the upcoming growth possibility. </w:t>
      </w:r>
    </w:p>
    <w:p w:rsidR="00371FF8" w:rsidRPr="00F25DD4" w:rsidRDefault="00371FF8" w:rsidP="00F25DD4">
      <w:pPr>
        <w:rPr>
          <w:b/>
          <w:bCs/>
        </w:rPr>
      </w:pPr>
      <w:r w:rsidRPr="00F25DD4">
        <w:rPr>
          <w:b/>
          <w:bCs/>
        </w:rPr>
        <w:t>5.5.3.3 Support for medication adherence, monitoring, and routine management</w:t>
      </w:r>
    </w:p>
    <w:p w:rsidR="00371FF8" w:rsidRPr="00371FF8" w:rsidRDefault="00371FF8" w:rsidP="00371FF8">
      <w:r w:rsidRPr="00371FF8">
        <w:t xml:space="preserve">Support for medication </w:t>
      </w:r>
      <w:r w:rsidR="00EA728C" w:rsidRPr="00EA728C">
        <w:t xml:space="preserve">adherence </w:t>
      </w:r>
      <w:r w:rsidRPr="00371FF8">
        <w:t xml:space="preserve">digital tool to empower the routine management process within the users. </w:t>
      </w:r>
      <w:r w:rsidRPr="00371FF8">
        <w:rPr>
          <w:rFonts w:eastAsia="Times New Roman"/>
          <w:color w:val="0D0D0D" w:themeColor="text1" w:themeTint="F2"/>
          <w:highlight w:val="white"/>
        </w:rPr>
        <w:t>Gerber</w:t>
      </w:r>
      <w:r w:rsidRPr="00371FF8">
        <w:rPr>
          <w:rFonts w:eastAsia="Times New Roman"/>
          <w:i/>
          <w:iCs/>
          <w:color w:val="0D0D0D" w:themeColor="text1" w:themeTint="F2"/>
        </w:rPr>
        <w:t xml:space="preserve">et al. </w:t>
      </w:r>
      <w:r w:rsidRPr="00371FF8">
        <w:t xml:space="preserve">(2023) stated mobile health interventions can improve protein management with improved ethylene to treatment plants through which reminders and monitoring features can be developed. Similarly,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t xml:space="preserve">(2023) asserted by highlighting digital platforms with integrated personal health records the users can enable better tracking of health data by supporting long term management. Although, </w:t>
      </w:r>
      <w:r w:rsidRPr="00371FF8">
        <w:rPr>
          <w:rFonts w:eastAsia="Times New Roman"/>
          <w:color w:val="0D0D0D" w:themeColor="text1" w:themeTint="F2"/>
          <w:highlight w:val="white"/>
        </w:rPr>
        <w:t>Gong</w:t>
      </w:r>
      <w:r w:rsidRPr="00371FF8">
        <w:rPr>
          <w:rFonts w:eastAsia="Times New Roman"/>
          <w:i/>
          <w:iCs/>
          <w:color w:val="0D0D0D" w:themeColor="text1" w:themeTint="F2"/>
        </w:rPr>
        <w:t xml:space="preserve">et al. </w:t>
      </w:r>
      <w:r w:rsidRPr="00371FF8">
        <w:t xml:space="preserve">(2020) stated digital coaching tools can assist the user in maintaining consistent monitoring and adherence behaviour which could structure the support. Therefore, the overall findings of this such thing focus on the structured visibility towards daily management and how medication ethylene can control the behaviour of users. However, the contradictory factor is reliance on digital tools may create limitation in user engagement and technological access. </w:t>
      </w:r>
    </w:p>
    <w:p w:rsidR="00371FF8" w:rsidRPr="00371FF8" w:rsidRDefault="00371FF8" w:rsidP="00371FF8">
      <w:pPr>
        <w:pStyle w:val="Heading3"/>
      </w:pPr>
      <w:bookmarkStart w:id="123" w:name="_Toc228367040"/>
      <w:bookmarkStart w:id="124" w:name="_Toc228461280"/>
      <w:r w:rsidRPr="00371FF8">
        <w:t>5.5.4 Theme 3: Clinical and health system outcomes of digital health promotion</w:t>
      </w:r>
      <w:bookmarkEnd w:id="123"/>
      <w:bookmarkEnd w:id="124"/>
    </w:p>
    <w:p w:rsidR="00371FF8" w:rsidRPr="00F25DD4" w:rsidRDefault="00371FF8" w:rsidP="00F25DD4">
      <w:pPr>
        <w:rPr>
          <w:b/>
          <w:bCs/>
        </w:rPr>
      </w:pPr>
      <w:r w:rsidRPr="00F25DD4">
        <w:rPr>
          <w:b/>
          <w:bCs/>
        </w:rPr>
        <w:t>5.5.4.1 Glycaemic control and HbA1c improvement</w:t>
      </w:r>
    </w:p>
    <w:p w:rsidR="00371FF8" w:rsidRPr="00371FF8" w:rsidRDefault="00371FF8" w:rsidP="00371FF8">
      <w:r w:rsidRPr="00371FF8">
        <w:t xml:space="preserve">Several studies have identified control over glycaemic percentage can particularly reduce the HbA1c levels within the adults and prevent the risk of diabetes type 2. </w:t>
      </w:r>
      <w:r w:rsidRPr="00371FF8">
        <w:rPr>
          <w:rFonts w:eastAsia="Times New Roman"/>
          <w:color w:val="0D0D0D" w:themeColor="text1" w:themeTint="F2"/>
          <w:highlight w:val="white"/>
        </w:rPr>
        <w:t>Kim</w:t>
      </w:r>
      <w:r w:rsidRPr="00371FF8">
        <w:rPr>
          <w:rFonts w:eastAsia="Times New Roman"/>
          <w:i/>
          <w:iCs/>
          <w:color w:val="0D0D0D" w:themeColor="text1" w:themeTint="F2"/>
        </w:rPr>
        <w:t xml:space="preserve">et al. </w:t>
      </w:r>
      <w:r w:rsidRPr="00371FF8">
        <w:t xml:space="preserve">(2024) asserted app-based intervention can significantly improve the glycaemic outcome by increasing the physical activity and adherence to lifestyle changes. However, </w:t>
      </w:r>
      <w:r w:rsidRPr="00371FF8">
        <w:rPr>
          <w:rFonts w:eastAsia="Times New Roman"/>
          <w:color w:val="0D0D0D" w:themeColor="text1" w:themeTint="F2"/>
          <w:highlight w:val="white"/>
        </w:rPr>
        <w:t>Gerber</w:t>
      </w:r>
      <w:r w:rsidRPr="00371FF8">
        <w:rPr>
          <w:rFonts w:eastAsia="Times New Roman"/>
          <w:i/>
          <w:iCs/>
          <w:color w:val="0D0D0D" w:themeColor="text1" w:themeTint="F2"/>
        </w:rPr>
        <w:t xml:space="preserve">et al. </w:t>
      </w:r>
      <w:r w:rsidRPr="00371FF8">
        <w:t xml:space="preserve">(2023) stated mobile health intervention can lead to better glucose monitoring and improved </w:t>
      </w:r>
      <w:r w:rsidRPr="00371FF8">
        <w:lastRenderedPageBreak/>
        <w:t xml:space="preserve">clinical indicators among the patients with diabetes type 2. Thus, </w:t>
      </w:r>
      <w:r w:rsidRPr="00371FF8">
        <w:rPr>
          <w:rFonts w:eastAsia="Times New Roman"/>
          <w:color w:val="0D0D0D" w:themeColor="text1" w:themeTint="F2"/>
          <w:highlight w:val="white"/>
        </w:rPr>
        <w:t>Azelton</w:t>
      </w:r>
      <w:r w:rsidRPr="00371FF8">
        <w:rPr>
          <w:rFonts w:eastAsia="Times New Roman"/>
          <w:i/>
          <w:iCs/>
          <w:color w:val="0D0D0D" w:themeColor="text1" w:themeTint="F2"/>
        </w:rPr>
        <w:t>et al.</w:t>
      </w:r>
      <w:r w:rsidRPr="00371FF8">
        <w:t xml:space="preserve"> (2021) contradicted digital coaching programmes can help the entire metabolic outcome within the users by managing their glycaemic level. Therefore, the overall findings of the theme focus on digital intervention which can effectively support the clinical management; however, the magnitude of improved variance depends on user engagement and baseline health conditions. </w:t>
      </w:r>
    </w:p>
    <w:p w:rsidR="00371FF8" w:rsidRPr="00F25DD4" w:rsidRDefault="00371FF8" w:rsidP="00F25DD4">
      <w:pPr>
        <w:rPr>
          <w:b/>
          <w:bCs/>
        </w:rPr>
      </w:pPr>
      <w:r w:rsidRPr="00F25DD4">
        <w:rPr>
          <w:b/>
          <w:bCs/>
        </w:rPr>
        <w:t>5.5.4.2 Prevention of progression to type 2 diabetes among adults</w:t>
      </w:r>
    </w:p>
    <w:p w:rsidR="00371FF8" w:rsidRPr="00371FF8" w:rsidRDefault="00371FF8" w:rsidP="00371FF8">
      <w:r w:rsidRPr="00371FF8">
        <w:t xml:space="preserve">Digital health intervention can also play a significant role in preventing the progression from pre diabetes of type 2 diabetes. </w:t>
      </w:r>
      <w:r w:rsidRPr="00371FF8">
        <w:rPr>
          <w:rFonts w:eastAsia="Times New Roman"/>
          <w:color w:val="0D0D0D" w:themeColor="text1" w:themeTint="F2"/>
          <w:highlight w:val="white"/>
        </w:rPr>
        <w:t>Nanditha</w:t>
      </w:r>
      <w:r w:rsidRPr="00371FF8">
        <w:rPr>
          <w:rFonts w:eastAsia="Times New Roman"/>
          <w:i/>
          <w:iCs/>
          <w:color w:val="0D0D0D" w:themeColor="text1" w:themeTint="F2"/>
        </w:rPr>
        <w:t xml:space="preserve">et al. </w:t>
      </w:r>
      <w:r w:rsidRPr="00371FF8">
        <w:t xml:space="preserve">(2020) identified Mobile based Lifestyle Intervention can successfully promote the sustained behavioural changes and reduce diabetes risk within the adults. Additionally, </w:t>
      </w:r>
      <w:r w:rsidRPr="00371FF8">
        <w:rPr>
          <w:rFonts w:eastAsia="Times New Roman"/>
          <w:color w:val="0D0D0D" w:themeColor="text1" w:themeTint="F2"/>
          <w:highlight w:val="white"/>
        </w:rPr>
        <w:t>Levia</w:t>
      </w:r>
      <w:r w:rsidRPr="00371FF8">
        <w:rPr>
          <w:rFonts w:eastAsia="Times New Roman"/>
          <w:i/>
          <w:iCs/>
          <w:color w:val="0D0D0D" w:themeColor="text1" w:themeTint="F2"/>
        </w:rPr>
        <w:t xml:space="preserve">et al. </w:t>
      </w:r>
      <w:r w:rsidRPr="00371FF8">
        <w:t xml:space="preserve">(2025) emphasised the multifaceted digital intervention can help the primary care setting also can support early prevention strategies for diabetes type two among adults. Correspondingly,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(2019) found that digital delivery modes can prevent programmes and increase participation as well as engagement specifically within the working adults. Thus, it can be stated digital tools can effectively focus on large scale prevention efforts, however, disparities in access and long-term adherence can create limitation in their overall impact</w:t>
      </w:r>
    </w:p>
    <w:p w:rsidR="00371FF8" w:rsidRPr="00F25DD4" w:rsidRDefault="00371FF8" w:rsidP="00F25DD4">
      <w:pPr>
        <w:rPr>
          <w:b/>
          <w:bCs/>
        </w:rPr>
      </w:pPr>
      <w:r w:rsidRPr="00F25DD4">
        <w:rPr>
          <w:b/>
          <w:bCs/>
        </w:rPr>
        <w:t>5.5.4.3 Cost-effectiveness and scalability within public health system</w:t>
      </w:r>
    </w:p>
    <w:p w:rsidR="00371FF8" w:rsidRPr="00371FF8" w:rsidRDefault="00371FF8" w:rsidP="00371FF8">
      <w:r w:rsidRPr="00371FF8">
        <w:t xml:space="preserve">Cost effectiveness and scalability of digital health intervention play an important role by evaluating the purpose of public health system.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t xml:space="preserve">(2023) stated online education platforms combine with personal health records that can provide cost effective solution for long term diabetes management. similarly,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 xml:space="preserve">(2019) contradicted digital delivery with public health programmes can increase the reach within the adult users while reducing resource burden. Whereas, </w:t>
      </w:r>
      <w:r w:rsidRPr="00371FF8">
        <w:rPr>
          <w:rFonts w:eastAsia="Times New Roman"/>
          <w:color w:val="0D0D0D" w:themeColor="text1" w:themeTint="F2"/>
          <w:highlight w:val="white"/>
        </w:rPr>
        <w:t>Levia</w:t>
      </w:r>
      <w:r w:rsidRPr="00371FF8">
        <w:rPr>
          <w:rFonts w:eastAsia="Times New Roman"/>
          <w:i/>
          <w:iCs/>
          <w:color w:val="0D0D0D" w:themeColor="text1" w:themeTint="F2"/>
        </w:rPr>
        <w:t xml:space="preserve">et al. </w:t>
      </w:r>
      <w:r w:rsidRPr="00371FF8">
        <w:t xml:space="preserve">(2025) emphasised potential integration of digital intervention with primary care can enhance efficiency and scalability towards their care purpose among the adult users. The overall findings suggest digital health promotion can support sustainable healthcare delivery however implementation challenges like digital inequality and infrastructural limitation can affect scalability across diverse population specifically among adults. </w:t>
      </w:r>
    </w:p>
    <w:p w:rsidR="00371FF8" w:rsidRPr="00371FF8" w:rsidRDefault="00371FF8" w:rsidP="00371FF8">
      <w:pPr>
        <w:pStyle w:val="Heading3"/>
      </w:pPr>
      <w:bookmarkStart w:id="125" w:name="_Toc228367041"/>
      <w:bookmarkStart w:id="126" w:name="_Toc228461281"/>
      <w:r w:rsidRPr="00371FF8">
        <w:t>5.5.5 Theme 4: Barriers affecting adaptation and sustained engagement</w:t>
      </w:r>
      <w:bookmarkEnd w:id="125"/>
      <w:bookmarkEnd w:id="126"/>
    </w:p>
    <w:p w:rsidR="00371FF8" w:rsidRPr="00F25DD4" w:rsidRDefault="00371FF8" w:rsidP="00F25DD4">
      <w:pPr>
        <w:rPr>
          <w:b/>
          <w:bCs/>
        </w:rPr>
      </w:pPr>
      <w:r w:rsidRPr="00F25DD4">
        <w:rPr>
          <w:b/>
          <w:bCs/>
        </w:rPr>
        <w:t>5.5.5.1 Digital literacy and usability challenge</w:t>
      </w:r>
    </w:p>
    <w:p w:rsidR="00371FF8" w:rsidRPr="009947EC" w:rsidRDefault="00371FF8" w:rsidP="00371FF8">
      <w:pPr>
        <w:rPr>
          <w:lang w:val="en-IN"/>
        </w:rPr>
      </w:pPr>
      <w:r w:rsidRPr="00371FF8">
        <w:t xml:space="preserve">Digital literacy and usability are the major issues among most significant areas to use digital health services. </w:t>
      </w:r>
      <w:r w:rsidRPr="00371FF8">
        <w:rPr>
          <w:rFonts w:eastAsia="Times New Roman"/>
          <w:color w:val="0D0D0D" w:themeColor="text1" w:themeTint="F2"/>
          <w:highlight w:val="white"/>
        </w:rPr>
        <w:t>Pal</w:t>
      </w:r>
      <w:r w:rsidRPr="00371FF8">
        <w:rPr>
          <w:rFonts w:eastAsia="Times New Roman"/>
          <w:i/>
          <w:iCs/>
          <w:color w:val="0D0D0D" w:themeColor="text1" w:themeTint="F2"/>
        </w:rPr>
        <w:t xml:space="preserve">et al. </w:t>
      </w:r>
      <w:r w:rsidRPr="00371FF8">
        <w:t xml:space="preserve">(2018) found most of the users experience difficulties in navigating digital platforms which has affected their ability to fully utilise intervention features. Additionally, </w:t>
      </w:r>
      <w:r w:rsidRPr="00371FF8">
        <w:rPr>
          <w:rFonts w:eastAsia="Times New Roman"/>
          <w:color w:val="0D0D0D" w:themeColor="text1" w:themeTint="F2"/>
          <w:highlight w:val="white"/>
        </w:rPr>
        <w:t>Turnbull</w:t>
      </w:r>
      <w:r w:rsidRPr="00371FF8">
        <w:rPr>
          <w:rFonts w:eastAsia="Times New Roman"/>
          <w:i/>
          <w:iCs/>
          <w:color w:val="0D0D0D" w:themeColor="text1" w:themeTint="F2"/>
        </w:rPr>
        <w:t xml:space="preserve">et al. </w:t>
      </w:r>
      <w:r w:rsidRPr="00371FF8">
        <w:t xml:space="preserve">(2020) highlighted by varying the levels of digital competence influenced how individuals engaged with digital health tools. </w:t>
      </w:r>
      <w:r w:rsidR="009947EC" w:rsidRPr="00BC08F0">
        <w:rPr>
          <w:lang w:val="en-IN"/>
        </w:rPr>
        <w:t xml:space="preserve">This creates a digital divide, </w:t>
      </w:r>
      <w:r w:rsidR="009947EC" w:rsidRPr="00BC08F0">
        <w:rPr>
          <w:lang w:val="en-IN"/>
        </w:rPr>
        <w:lastRenderedPageBreak/>
        <w:t>leading to a reduction in the effectiveness of digital health interventions by limiting their understanding. Misinterpretation is common, which triggers dissatisfaction, as the treatment plans are not correctly followed as some users might not understand the medical terminology or the reminders</w:t>
      </w:r>
      <w:r w:rsidR="009221DD" w:rsidRPr="00BC08F0">
        <w:rPr>
          <w:lang w:val="en-IN"/>
        </w:rPr>
        <w:t xml:space="preserve"> (Thanthrige and Wickramasinghe, 2026)</w:t>
      </w:r>
      <w:r w:rsidR="009947EC" w:rsidRPr="00BC08F0">
        <w:rPr>
          <w:lang w:val="en-IN"/>
        </w:rPr>
        <w:t xml:space="preserve">. This can discourage the individuals from using digital healthcare tools by creating a digital divide. </w:t>
      </w:r>
      <w:r w:rsidRPr="00371FF8">
        <w:t>These challenges are particularly evident among older adults and those limited technological experiences correspondently impacted the complex interfaces. Thus. it leads to create lack of user-friendly design and reduce the accessibility. Conversely, interventions are not tailored as per user’s digital capabilities but it failed to achieve intended outcomes.</w:t>
      </w:r>
    </w:p>
    <w:p w:rsidR="00371FF8" w:rsidRPr="00F25DD4" w:rsidRDefault="00371FF8" w:rsidP="00F25DD4">
      <w:pPr>
        <w:rPr>
          <w:b/>
          <w:bCs/>
        </w:rPr>
      </w:pPr>
      <w:r w:rsidRPr="00F25DD4">
        <w:rPr>
          <w:b/>
          <w:bCs/>
        </w:rPr>
        <w:t>5.5.5.2 Low engagement, attrition, and inconsistent participation</w:t>
      </w:r>
    </w:p>
    <w:p w:rsidR="00371FF8" w:rsidRPr="00371FF8" w:rsidRDefault="00371FF8" w:rsidP="00371FF8">
      <w:r w:rsidRPr="00371FF8">
        <w:t xml:space="preserve">Low engagement and high acquisition rate is another key barrier towards the inconsistent participation of the adult users. </w:t>
      </w:r>
      <w:r w:rsidRPr="00371FF8">
        <w:rPr>
          <w:rFonts w:eastAsia="Times New Roman"/>
          <w:color w:val="0D0D0D" w:themeColor="text1" w:themeTint="F2"/>
          <w:highlight w:val="white"/>
        </w:rPr>
        <w:t>Gerber</w:t>
      </w:r>
      <w:r w:rsidRPr="00371FF8">
        <w:rPr>
          <w:rFonts w:eastAsia="Times New Roman"/>
          <w:i/>
          <w:iCs/>
          <w:color w:val="0D0D0D" w:themeColor="text1" w:themeTint="F2"/>
        </w:rPr>
        <w:t>et al.</w:t>
      </w:r>
      <w:r w:rsidRPr="00371FF8">
        <w:t xml:space="preserve"> (2023) reported initial participation of the users in digital intervention was high in order to sustain engagement however by the time it has declined due to lack of understanding. Additionally, </w:t>
      </w:r>
      <w:r w:rsidRPr="00371FF8">
        <w:rPr>
          <w:rFonts w:eastAsia="Times New Roman"/>
          <w:color w:val="0D0D0D" w:themeColor="text1" w:themeTint="F2"/>
          <w:highlight w:val="white"/>
        </w:rPr>
        <w:t>Azelton</w:t>
      </w:r>
      <w:r w:rsidRPr="00371FF8">
        <w:rPr>
          <w:rFonts w:eastAsia="Times New Roman"/>
          <w:i/>
          <w:iCs/>
          <w:color w:val="0D0D0D" w:themeColor="text1" w:themeTint="F2"/>
        </w:rPr>
        <w:t>et al.</w:t>
      </w:r>
      <w:r w:rsidRPr="00371FF8">
        <w:t xml:space="preserve"> (2021) identified inconsistent participation within users can be affected with overall effectiveness of the intervention thus continuous motivation and reinforcement is necessary. Likewise,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(2019) contradict digital programmes are attracted towards users by maintaining the long-term involvement and remain challenging for the users to accept the participation towards digital health services. Thus, the findings focus without continuous motivation and reinforcement users may feel disengaged however limited factors can reduce a long-term benefit with interventions.</w:t>
      </w:r>
    </w:p>
    <w:p w:rsidR="00371FF8" w:rsidRPr="00F25DD4" w:rsidRDefault="00371FF8" w:rsidP="00F25DD4">
      <w:pPr>
        <w:rPr>
          <w:b/>
          <w:bCs/>
        </w:rPr>
      </w:pPr>
      <w:r w:rsidRPr="00F25DD4">
        <w:rPr>
          <w:b/>
          <w:bCs/>
        </w:rPr>
        <w:t>5.5.5.3 Socioeconomic, motivational, and contextual constraints</w:t>
      </w:r>
    </w:p>
    <w:p w:rsidR="00371FF8" w:rsidRPr="00371FF8" w:rsidRDefault="00371FF8" w:rsidP="00371FF8">
      <w:r w:rsidRPr="00371FF8">
        <w:t xml:space="preserve">Socio economic and political factors play a vital role in influencing the adapt towards digital health services. </w:t>
      </w:r>
      <w:r w:rsidRPr="00371FF8">
        <w:rPr>
          <w:rFonts w:eastAsia="Times New Roman"/>
          <w:color w:val="0D0D0D" w:themeColor="text1" w:themeTint="F2"/>
          <w:highlight w:val="white"/>
        </w:rPr>
        <w:t>Pal</w:t>
      </w:r>
      <w:r w:rsidRPr="00371FF8">
        <w:rPr>
          <w:rFonts w:eastAsia="Times New Roman"/>
          <w:i/>
          <w:iCs/>
          <w:color w:val="0D0D0D" w:themeColor="text1" w:themeTint="F2"/>
        </w:rPr>
        <w:t xml:space="preserve">et al. </w:t>
      </w:r>
      <w:r w:rsidRPr="00371FF8">
        <w:t xml:space="preserve">(2018) identified by assessing technology financial constraints and varying levels of Health Literacy can affect the participation of the users. Whereas, </w:t>
      </w:r>
      <w:r w:rsidRPr="00371FF8">
        <w:rPr>
          <w:rFonts w:eastAsia="Times New Roman"/>
          <w:color w:val="0D0D0D" w:themeColor="text1" w:themeTint="F2"/>
          <w:highlight w:val="white"/>
        </w:rPr>
        <w:t>Turnbull</w:t>
      </w:r>
      <w:r w:rsidRPr="00371FF8">
        <w:rPr>
          <w:rFonts w:eastAsia="Times New Roman"/>
          <w:i/>
          <w:iCs/>
          <w:color w:val="0D0D0D" w:themeColor="text1" w:themeTint="F2"/>
        </w:rPr>
        <w:t xml:space="preserve">et al. </w:t>
      </w:r>
      <w:r w:rsidRPr="00371FF8">
        <w:t xml:space="preserve">(2020) contradicted personal motivation, individual circumstances, and social support can shape the engagement of their adult users towards the digital intervention for diabetes type 2. Conversely,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 xml:space="preserve">(2019) encountered demographic differences like age and employment status can influence the participation level of the adult users. Thus, the overall findings show digital health promotion may not equally benefit all population but it is effective for a certain population specifically adults who are facing mobility issues. On the contrary, without addressing these inequalities digital intervention may risk the widening the existing health disparities. </w:t>
      </w:r>
    </w:p>
    <w:p w:rsidR="00371FF8" w:rsidRPr="00371FF8" w:rsidRDefault="00371FF8" w:rsidP="00371FF8">
      <w:pPr>
        <w:pStyle w:val="Heading3"/>
      </w:pPr>
      <w:bookmarkStart w:id="127" w:name="_Toc228367042"/>
      <w:bookmarkStart w:id="128" w:name="_Toc228461282"/>
      <w:r w:rsidRPr="00371FF8">
        <w:t>5.5.6 Theme 5: Facilitators and enablers of successful digital health promotion</w:t>
      </w:r>
      <w:bookmarkEnd w:id="127"/>
      <w:bookmarkEnd w:id="128"/>
    </w:p>
    <w:p w:rsidR="00371FF8" w:rsidRPr="00F25DD4" w:rsidRDefault="00371FF8" w:rsidP="00F25DD4">
      <w:pPr>
        <w:rPr>
          <w:b/>
          <w:bCs/>
        </w:rPr>
      </w:pPr>
      <w:r w:rsidRPr="00F25DD4">
        <w:rPr>
          <w:b/>
          <w:bCs/>
        </w:rPr>
        <w:t>5.5.6.1 Personalisation and user centred design</w:t>
      </w:r>
    </w:p>
    <w:p w:rsidR="00371FF8" w:rsidRPr="00371FF8" w:rsidRDefault="00371FF8" w:rsidP="00371FF8">
      <w:r w:rsidRPr="00371FF8">
        <w:t xml:space="preserve">Personalization and user centred design can work as a key facilitator of engagement and </w:t>
      </w:r>
      <w:r w:rsidRPr="00371FF8">
        <w:lastRenderedPageBreak/>
        <w:t xml:space="preserve">effectiveness. </w:t>
      </w:r>
      <w:r w:rsidRPr="00371FF8">
        <w:rPr>
          <w:rFonts w:eastAsia="Times New Roman"/>
          <w:color w:val="0D0D0D" w:themeColor="text1" w:themeTint="F2"/>
          <w:highlight w:val="white"/>
        </w:rPr>
        <w:t>Kim</w:t>
      </w:r>
      <w:r w:rsidRPr="00371FF8">
        <w:rPr>
          <w:rFonts w:eastAsia="Times New Roman"/>
          <w:i/>
          <w:iCs/>
          <w:color w:val="0D0D0D" w:themeColor="text1" w:themeTint="F2"/>
        </w:rPr>
        <w:t xml:space="preserve">et al. </w:t>
      </w:r>
      <w:r w:rsidRPr="00371FF8">
        <w:t xml:space="preserve">(2024) highlighted by tailoring feedback and customised activity goals within the mobile applications user motivation can be improved. Whereas, </w:t>
      </w:r>
      <w:r w:rsidRPr="00371FF8">
        <w:rPr>
          <w:rFonts w:eastAsia="Times New Roman"/>
          <w:color w:val="0D0D0D" w:themeColor="text1" w:themeTint="F2"/>
          <w:highlight w:val="white"/>
        </w:rPr>
        <w:t>Pal</w:t>
      </w:r>
      <w:r w:rsidRPr="00371FF8">
        <w:rPr>
          <w:rFonts w:eastAsia="Times New Roman"/>
          <w:i/>
          <w:iCs/>
          <w:color w:val="0D0D0D" w:themeColor="text1" w:themeTint="F2"/>
        </w:rPr>
        <w:t xml:space="preserve">et al. </w:t>
      </w:r>
      <w:r w:rsidRPr="00371FF8">
        <w:t xml:space="preserve">(2018) stated interventions with specific design can empower the user preference and enhance usability as well as satisfaction at the ultimate level. Correspondingly, </w:t>
      </w:r>
      <w:r w:rsidRPr="00371FF8">
        <w:rPr>
          <w:rFonts w:eastAsia="Times New Roman"/>
          <w:color w:val="0D0D0D" w:themeColor="text1" w:themeTint="F2"/>
          <w:highlight w:val="white"/>
        </w:rPr>
        <w:t>Turnbull</w:t>
      </w:r>
      <w:r w:rsidRPr="00371FF8">
        <w:rPr>
          <w:rFonts w:eastAsia="Times New Roman"/>
          <w:i/>
          <w:iCs/>
          <w:color w:val="0D0D0D" w:themeColor="text1" w:themeTint="F2"/>
        </w:rPr>
        <w:t xml:space="preserve">et al. </w:t>
      </w:r>
      <w:r w:rsidRPr="00371FF8">
        <w:t xml:space="preserve">(2020) demonstrated personalised digital tools can support individuals in adopting self-care behaviours to their daily lives. These findings suggest interventions that can consider individual needs and preference are more likely to get success. However, lack of personalization can reduce the user engagement and limit the effectiveness towards digital health promotion. </w:t>
      </w:r>
    </w:p>
    <w:p w:rsidR="00371FF8" w:rsidRPr="00F25DD4" w:rsidRDefault="00371FF8" w:rsidP="00F25DD4">
      <w:pPr>
        <w:rPr>
          <w:b/>
          <w:bCs/>
        </w:rPr>
      </w:pPr>
      <w:r w:rsidRPr="00F25DD4">
        <w:rPr>
          <w:b/>
          <w:bCs/>
        </w:rPr>
        <w:t>5.5.6.2 Accessibility, convenience, and flexible delivery</w:t>
      </w:r>
    </w:p>
    <w:p w:rsidR="00371FF8" w:rsidRPr="00371FF8" w:rsidRDefault="00371FF8" w:rsidP="00371FF8">
      <w:r w:rsidRPr="00371FF8">
        <w:t xml:space="preserve">Accessibility and flexibility both are critically connected enablers that can empower digital health promotion. </w:t>
      </w:r>
      <w:r w:rsidRPr="00371FF8">
        <w:rPr>
          <w:rFonts w:eastAsia="Times New Roman"/>
          <w:color w:val="0D0D0D" w:themeColor="text1" w:themeTint="F2"/>
          <w:highlight w:val="white"/>
        </w:rPr>
        <w:t>Nanditha</w:t>
      </w:r>
      <w:r w:rsidRPr="00371FF8">
        <w:rPr>
          <w:rFonts w:eastAsia="Times New Roman"/>
          <w:i/>
          <w:iCs/>
          <w:color w:val="0D0D0D" w:themeColor="text1" w:themeTint="F2"/>
        </w:rPr>
        <w:t xml:space="preserve">et al. </w:t>
      </w:r>
      <w:r w:rsidRPr="00371FF8">
        <w:t xml:space="preserve">(2020) stated Mobile-based intervention can provide continuous support regardless of time and location by making the service is highly convenient for the users. Additionally, </w:t>
      </w:r>
      <w:r w:rsidRPr="00371FF8">
        <w:rPr>
          <w:rFonts w:eastAsia="Times New Roman"/>
          <w:color w:val="0D0D0D" w:themeColor="text1" w:themeTint="F2"/>
          <w:highlight w:val="white"/>
        </w:rPr>
        <w:t>McGough</w:t>
      </w:r>
      <w:r w:rsidRPr="00371FF8">
        <w:rPr>
          <w:rFonts w:eastAsia="Times New Roman"/>
          <w:i/>
          <w:iCs/>
          <w:color w:val="0D0D0D" w:themeColor="text1" w:themeTint="F2"/>
        </w:rPr>
        <w:t xml:space="preserve">et al. </w:t>
      </w:r>
      <w:r w:rsidRPr="00371FF8">
        <w:t xml:space="preserve">(2019) demonstrated digital delivery modes can increase the participation by reducing the barriers associated with traditional face to face programmes. Likewise,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t xml:space="preserve">(2023) asserted by highlighting the online platforms users are allowed to access educational resources and health records at their convenience. Thus, the features of the studies can enhance the reach of intervention and support consistent engagement. Conversely limited access to digital services or Internet connectivity can reduce the benefits for certain population specifically for adults. </w:t>
      </w:r>
    </w:p>
    <w:p w:rsidR="00371FF8" w:rsidRPr="00F25DD4" w:rsidRDefault="00371FF8" w:rsidP="00F25DD4">
      <w:pPr>
        <w:rPr>
          <w:b/>
          <w:bCs/>
        </w:rPr>
      </w:pPr>
      <w:r w:rsidRPr="00F25DD4">
        <w:rPr>
          <w:b/>
          <w:bCs/>
        </w:rPr>
        <w:t>5.5.6.3 Integration with healthcare support and professional guidance</w:t>
      </w:r>
    </w:p>
    <w:p w:rsidR="00371FF8" w:rsidRPr="00371FF8" w:rsidRDefault="00371FF8" w:rsidP="00371FF8">
      <w:r w:rsidRPr="00371FF8">
        <w:t xml:space="preserve">Integration in the healthcare system and professional support can strengthen the effectiveness of digital interventions. </w:t>
      </w:r>
      <w:r w:rsidRPr="00371FF8">
        <w:rPr>
          <w:rFonts w:eastAsia="Times New Roman"/>
          <w:color w:val="0D0D0D" w:themeColor="text1" w:themeTint="F2"/>
          <w:highlight w:val="white"/>
        </w:rPr>
        <w:t>Gerber</w:t>
      </w:r>
      <w:r w:rsidRPr="00371FF8">
        <w:rPr>
          <w:rFonts w:eastAsia="Times New Roman"/>
          <w:i/>
          <w:iCs/>
          <w:color w:val="0D0D0D" w:themeColor="text1" w:themeTint="F2"/>
        </w:rPr>
        <w:t xml:space="preserve">et al. </w:t>
      </w:r>
      <w:r w:rsidRPr="00371FF8">
        <w:t xml:space="preserve">(2023) stated the combination of mobile health tools with clinical support can improve the possible outcome and adherence towards the patients. However, </w:t>
      </w:r>
      <w:r w:rsidRPr="00371FF8">
        <w:rPr>
          <w:rFonts w:eastAsia="Times New Roman"/>
          <w:color w:val="0D0D0D" w:themeColor="text1" w:themeTint="F2"/>
          <w:highlight w:val="white"/>
        </w:rPr>
        <w:t>Cunningham</w:t>
      </w:r>
      <w:r w:rsidRPr="00371FF8">
        <w:rPr>
          <w:rFonts w:eastAsia="Times New Roman"/>
          <w:i/>
          <w:iCs/>
          <w:color w:val="0D0D0D" w:themeColor="text1" w:themeTint="F2"/>
        </w:rPr>
        <w:t xml:space="preserve">et al. </w:t>
      </w:r>
      <w:r w:rsidRPr="00371FF8">
        <w:t xml:space="preserve">(2023) evaluated linking the digital platform with healthcare record can enhance the continuity of care thus it can promote effectiveness towards professional guidance. Similarly, </w:t>
      </w:r>
      <w:r w:rsidRPr="00371FF8">
        <w:rPr>
          <w:rFonts w:eastAsia="Times New Roman"/>
          <w:color w:val="0D0D0D" w:themeColor="text1" w:themeTint="F2"/>
          <w:highlight w:val="white"/>
        </w:rPr>
        <w:t>Azelton</w:t>
      </w:r>
      <w:r w:rsidRPr="00371FF8">
        <w:rPr>
          <w:rFonts w:eastAsia="Times New Roman"/>
          <w:i/>
          <w:iCs/>
          <w:color w:val="0D0D0D" w:themeColor="text1" w:themeTint="F2"/>
        </w:rPr>
        <w:t xml:space="preserve">et al. </w:t>
      </w:r>
      <w:r w:rsidRPr="00371FF8">
        <w:t>(2021) highlighted digital coaching programmes can be supported with the help of healthcare professionals and improved behavioural outcomes. Thus</w:t>
      </w:r>
      <w:r w:rsidR="00F25DD4">
        <w:t>,</w:t>
      </w:r>
      <w:r w:rsidRPr="00371FF8">
        <w:t xml:space="preserve"> the findings indicate the digital health promotion is most effective when complemented by professional guidance. However, lack of integration with healthcare services may limit the overall impact of such interventions</w:t>
      </w:r>
    </w:p>
    <w:p w:rsidR="00371FF8" w:rsidRPr="00371FF8" w:rsidRDefault="00371FF8" w:rsidP="00371FF8">
      <w:pPr>
        <w:pStyle w:val="Heading2"/>
      </w:pPr>
      <w:bookmarkStart w:id="129" w:name="_Toc227427158"/>
      <w:bookmarkStart w:id="130" w:name="_Toc228367043"/>
      <w:bookmarkStart w:id="131" w:name="_Toc228461283"/>
      <w:r w:rsidRPr="00371FF8">
        <w:t>5.6 Chapter Summary</w:t>
      </w:r>
      <w:bookmarkEnd w:id="129"/>
      <w:bookmarkEnd w:id="130"/>
      <w:bookmarkEnd w:id="131"/>
    </w:p>
    <w:p w:rsidR="00371FF8" w:rsidRPr="00371FF8" w:rsidRDefault="00371FF8" w:rsidP="00371FF8">
      <w:r w:rsidRPr="00371FF8">
        <w:t xml:space="preserve">The chapter has analysed and synthesised the findings from the selected studies using the thematic approach to address the research objectives. The overall analysis has identified key themes related to digital intervention, lifestyle and self-management improvements, clinical outcomes, barriers to adaptation, and facilitators of successful implementation. Thus, </w:t>
      </w:r>
      <w:r w:rsidRPr="00371FF8">
        <w:lastRenderedPageBreak/>
        <w:t>the findings have demonstrated that digital health promotion and played a significant role in supporting the prevention and management of diabetes type 2 although its effectiveness is influenced by engagement, accessibility, and contextual factors. Therefore, overall, the chapter provides a structured understanding of the evidence-based analysis which forms the foundation for the discussion of findings in the next chapter.</w:t>
      </w:r>
    </w:p>
    <w:p w:rsidR="00371FF8" w:rsidRPr="00371FF8" w:rsidRDefault="00371FF8" w:rsidP="00371FF8"/>
    <w:p w:rsidR="00371FF8" w:rsidRPr="00371FF8" w:rsidRDefault="00371FF8" w:rsidP="00371FF8">
      <w:r w:rsidRPr="00371FF8">
        <w:br w:type="page"/>
      </w:r>
    </w:p>
    <w:p w:rsidR="00371FF8" w:rsidRPr="00371FF8" w:rsidRDefault="00371FF8" w:rsidP="00371FF8">
      <w:pPr>
        <w:pStyle w:val="Heading1"/>
      </w:pPr>
      <w:bookmarkStart w:id="132" w:name="_Toc228367044"/>
      <w:bookmarkStart w:id="133" w:name="_Toc228461284"/>
      <w:r w:rsidRPr="00371FF8">
        <w:lastRenderedPageBreak/>
        <w:t>CHAPTER 6: DISCUSSION</w:t>
      </w:r>
      <w:bookmarkEnd w:id="132"/>
      <w:bookmarkEnd w:id="133"/>
    </w:p>
    <w:p w:rsidR="00371FF8" w:rsidRPr="00371FF8" w:rsidRDefault="00371FF8" w:rsidP="00371FF8">
      <w:pPr>
        <w:pStyle w:val="Heading2"/>
      </w:pPr>
      <w:bookmarkStart w:id="134" w:name="_Toc228367045"/>
      <w:bookmarkStart w:id="135" w:name="_Toc228461285"/>
      <w:r w:rsidRPr="00371FF8">
        <w:t>6.1 Introduction to Chapter</w:t>
      </w:r>
      <w:bookmarkEnd w:id="134"/>
      <w:bookmarkEnd w:id="135"/>
    </w:p>
    <w:p w:rsidR="00371FF8" w:rsidRPr="00371FF8" w:rsidRDefault="00371FF8" w:rsidP="00371FF8">
      <w:r w:rsidRPr="00371FF8">
        <w:t>The chapter of discussion is an important chapter in a dissertation as it helps represent the critical discussion of the findings within a study. Creating comparison by using existing evidence to establish the key facts, having done within this research, where satisfying the formulated objectives has been the main goal. It has been ensured that consistency is maintained by critically analysing the key findings, linking them back to the background research to support the research context, and acknowledging the outcome of the research.</w:t>
      </w:r>
    </w:p>
    <w:p w:rsidR="00371FF8" w:rsidRPr="00371FF8" w:rsidRDefault="00371FF8" w:rsidP="00371FF8">
      <w:pPr>
        <w:pStyle w:val="Heading2"/>
      </w:pPr>
      <w:bookmarkStart w:id="136" w:name="_Toc228367046"/>
      <w:bookmarkStart w:id="137" w:name="_Toc228461286"/>
      <w:r w:rsidRPr="00371FF8">
        <w:t>6.2 Discussion of Key findings</w:t>
      </w:r>
      <w:bookmarkEnd w:id="136"/>
      <w:bookmarkEnd w:id="137"/>
    </w:p>
    <w:p w:rsidR="00371FF8" w:rsidRPr="00BC08F0" w:rsidRDefault="005E356D" w:rsidP="005E356D">
      <w:pPr>
        <w:pStyle w:val="Heading3"/>
      </w:pPr>
      <w:r w:rsidRPr="00BC08F0">
        <w:t xml:space="preserve">6.2.1 </w:t>
      </w:r>
      <w:r w:rsidR="00371FF8" w:rsidRPr="00BC08F0">
        <w:t>Discussion on the effectiveness of digital interventions for type 2 diabetes</w:t>
      </w:r>
    </w:p>
    <w:p w:rsidR="00371FF8" w:rsidRDefault="00371FF8" w:rsidP="00371FF8">
      <w:r w:rsidRPr="00371FF8">
        <w:t xml:space="preserve">The thematic analysis presented within the data analysis and synthesis chapter has helped in acknowledging the different findings of the research. It has been noted by Kim </w:t>
      </w:r>
      <w:r w:rsidRPr="00371FF8">
        <w:rPr>
          <w:i/>
          <w:iCs/>
        </w:rPr>
        <w:t xml:space="preserve">et al. </w:t>
      </w:r>
      <w:r w:rsidRPr="00371FF8">
        <w:t xml:space="preserve">(2024) and Gong </w:t>
      </w:r>
      <w:r w:rsidRPr="00371FF8">
        <w:rPr>
          <w:i/>
          <w:iCs/>
        </w:rPr>
        <w:t xml:space="preserve">et al. </w:t>
      </w:r>
      <w:r w:rsidRPr="00371FF8">
        <w:t xml:space="preserve">(2020) that digital intervention mobile applications have different types of features which help in improving physical activity as well as trigger the adults to follow self-management behaviour. This has been noted to be true as the interactive sessions within the app contribute to active monitoring and betterment of the communication, so that type 2 diabetes can be prevented with digital literacy. This has been supported by Mwirigi </w:t>
      </w:r>
      <w:r w:rsidRPr="00371FF8">
        <w:rPr>
          <w:i/>
          <w:iCs/>
        </w:rPr>
        <w:t xml:space="preserve">et al. </w:t>
      </w:r>
      <w:r w:rsidRPr="00371FF8">
        <w:t>(2026), who provided the opinion that integration of digital literacy helps in enhancing effectiveness with sustained user engagement that can be initiated within the primary care services in the global public health system. With the use of such mobile applications, patients' knowledge is enhanced that helps in gaining motivation and consistency, as continuous support is provided to the patients with such education programmes. </w:t>
      </w:r>
    </w:p>
    <w:p w:rsidR="004907E5" w:rsidRPr="00BC08F0" w:rsidRDefault="004907E5" w:rsidP="00371FF8">
      <w:pPr>
        <w:rPr>
          <w:lang w:val="en-IN"/>
        </w:rPr>
      </w:pPr>
      <w:r w:rsidRPr="00BC08F0">
        <w:rPr>
          <w:lang w:val="en-IN"/>
        </w:rPr>
        <w:t xml:space="preserve">Nanditha </w:t>
      </w:r>
      <w:r w:rsidRPr="00BC08F0">
        <w:rPr>
          <w:i/>
          <w:iCs/>
          <w:lang w:val="en-IN"/>
        </w:rPr>
        <w:t xml:space="preserve">et al. </w:t>
      </w:r>
      <w:r w:rsidRPr="00BC08F0">
        <w:rPr>
          <w:lang w:val="en-IN"/>
        </w:rPr>
        <w:t xml:space="preserve">(2020) reported that such interventions encourage preserving sustainable behaviour by transforming diet and exercise habits. Again, it has been noted from the findings of Gong </w:t>
      </w:r>
      <w:r w:rsidRPr="00BC08F0">
        <w:rPr>
          <w:i/>
          <w:iCs/>
          <w:lang w:val="en-IN"/>
        </w:rPr>
        <w:t xml:space="preserve">et al. </w:t>
      </w:r>
      <w:r w:rsidRPr="00BC08F0">
        <w:rPr>
          <w:lang w:val="en-IN"/>
        </w:rPr>
        <w:t xml:space="preserve">(2020) that digital interventions also have the ability to strengthen the confidence of the patient by enhancing their knowledge with effective support for medication, which increases their empowerment. Such empowerment helps in maintaining consistency by focusing on structure visibility and health in managing diabetes. Levia </w:t>
      </w:r>
      <w:r w:rsidRPr="00BC08F0">
        <w:rPr>
          <w:i/>
          <w:iCs/>
          <w:lang w:val="en-IN"/>
        </w:rPr>
        <w:t xml:space="preserve">et al. </w:t>
      </w:r>
      <w:r w:rsidRPr="00BC08F0">
        <w:rPr>
          <w:lang w:val="en-IN"/>
        </w:rPr>
        <w:t>(2025) also stated that early prevention efforts help in the provision of accessibility and scalability by making the individual aware of the effectiveness of the interventions.</w:t>
      </w:r>
    </w:p>
    <w:p w:rsidR="00371FF8" w:rsidRPr="00371FF8" w:rsidRDefault="00371FF8" w:rsidP="00371FF8">
      <w:r w:rsidRPr="00371FF8">
        <w:t xml:space="preserve">On the other hand, Levia </w:t>
      </w:r>
      <w:r w:rsidRPr="00371FF8">
        <w:rPr>
          <w:i/>
          <w:iCs/>
        </w:rPr>
        <w:t xml:space="preserve">et al. </w:t>
      </w:r>
      <w:r w:rsidRPr="00371FF8">
        <w:t xml:space="preserve">(2025) found that SMS and text-based lifestyle support are effective interventions that help in improving the engagement of the patients. This is because of the simplicity of such a method that is integrated and especially benefits the patients who have less knowledge about advanced digital technologies. These types of interventions help </w:t>
      </w:r>
      <w:r w:rsidRPr="00371FF8">
        <w:lastRenderedPageBreak/>
        <w:t xml:space="preserve">to gain the trust of a widespread community, which helps boost the adoption of healthy behaviour. However, Timti </w:t>
      </w:r>
      <w:r w:rsidRPr="00371FF8">
        <w:rPr>
          <w:i/>
          <w:iCs/>
        </w:rPr>
        <w:t>et al.</w:t>
      </w:r>
      <w:r w:rsidRPr="00371FF8">
        <w:t xml:space="preserve"> (2026) contradicted his opinion, noting that the author found that digital solutions are better, which requires integration with the public health systems. This is because sustained behavioural transformation is required to boos</w:t>
      </w:r>
      <w:r w:rsidR="001D1DF7">
        <w:t>ted</w:t>
      </w:r>
      <w:r w:rsidRPr="00371FF8">
        <w:t>, which is possible with such integration of the digital tools with consistency within the engagement. From this, it can be noted that empowering the patient has been the main goal of the global public health system; however, enhancing accessibility with scalability is required before it can be effective across different demographic groups.</w:t>
      </w:r>
    </w:p>
    <w:p w:rsidR="00371FF8" w:rsidRPr="00BC08F0" w:rsidRDefault="005E356D" w:rsidP="005E356D">
      <w:pPr>
        <w:pStyle w:val="Heading3"/>
      </w:pPr>
      <w:r w:rsidRPr="00BC08F0">
        <w:t xml:space="preserve">6.2.2 </w:t>
      </w:r>
      <w:r w:rsidR="00371FF8" w:rsidRPr="00BC08F0">
        <w:t>Discussion on the efficacy of improving lifestyle behaviours and self-management practices. </w:t>
      </w:r>
    </w:p>
    <w:p w:rsidR="00371FF8" w:rsidRPr="00371FF8" w:rsidRDefault="00371FF8" w:rsidP="00371FF8">
      <w:r w:rsidRPr="00371FF8">
        <w:t xml:space="preserve">From the findings of Kim </w:t>
      </w:r>
      <w:r w:rsidRPr="00371FF8">
        <w:rPr>
          <w:i/>
          <w:iCs/>
        </w:rPr>
        <w:t>et al.</w:t>
      </w:r>
      <w:r w:rsidRPr="00371FF8">
        <w:t xml:space="preserve"> (2024), it has been noted that digital interventions, such as app-based interventions, have the capability of increasing physical activity levels. This has been noted to be effective as it contributes to improving the glycaemic control. This means that digital has the ability to act as the motivators that have a significant impact on improving lifestyle behaviour through continuous feedback and reminders. This has been agreed by Pal </w:t>
      </w:r>
      <w:r w:rsidRPr="00371FF8">
        <w:rPr>
          <w:i/>
          <w:iCs/>
        </w:rPr>
        <w:t>et al.</w:t>
      </w:r>
      <w:r w:rsidRPr="00371FF8">
        <w:t xml:space="preserve"> (2018), who stated that digital interventions help in modifying self-management behaviours with the maintenance of consistency. This implies that the clinical outcomes with the utilisation of digital tools are positive and have a measurable impact on the engagement of the individual, and improve metabolic control. On the other hand, Gong </w:t>
      </w:r>
      <w:r w:rsidRPr="00371FF8">
        <w:rPr>
          <w:i/>
          <w:iCs/>
        </w:rPr>
        <w:t xml:space="preserve">et al. </w:t>
      </w:r>
      <w:r w:rsidRPr="00371FF8">
        <w:t>(2020) found that increased awareness and confidence in managing diabetes have been achieved effectively with the use of digital interventions. This helps in developing self-care practices with effective adoption of healthy practices. The knowledge of the patient is enhanced, which has a measurable impact on both lifestyle behavioural change and self-management practices. However, the findings also indicate the fact that limitations can be present, such as differences in the health literacy rate or problems related to cost, which can influence the effectiveness of the patient in receiving such benefits from the digital interventions.</w:t>
      </w:r>
    </w:p>
    <w:p w:rsidR="00371FF8" w:rsidRPr="00371FF8" w:rsidRDefault="00371FF8" w:rsidP="00371FF8">
      <w:r w:rsidRPr="00371FF8">
        <w:t xml:space="preserve">Moreover, it has been noted by Cunningham </w:t>
      </w:r>
      <w:r w:rsidRPr="00371FF8">
        <w:rPr>
          <w:i/>
          <w:iCs/>
        </w:rPr>
        <w:t xml:space="preserve">et al. </w:t>
      </w:r>
      <w:r w:rsidRPr="00371FF8">
        <w:t xml:space="preserve">(2023) that personal help records held in appropriate monitoring and written management help in supporting long-term management. This means that consistency in monitoring practices is required to ensure that the overall healthcare support can focus on providing effectiveness to the patients with empowerment. Mobile interventions have the capacity to improve such practices, as Timti </w:t>
      </w:r>
      <w:r w:rsidRPr="00371FF8">
        <w:rPr>
          <w:i/>
          <w:iCs/>
        </w:rPr>
        <w:t xml:space="preserve">et al. </w:t>
      </w:r>
      <w:r w:rsidRPr="00371FF8">
        <w:t xml:space="preserve">(2026) found that digital solutions have the scalability, which is reflected in the global-based programs. This refers to the fact that the motivation gained from such programs helps in strengthening self-management capability with improved clinical outcomes that are anticipated by the users upon receiving benefits. It also helps in improving mental health and gradually grows dependency on the digital platform in obtaining effectiveness. This means that early disease </w:t>
      </w:r>
      <w:r w:rsidRPr="00371FF8">
        <w:lastRenderedPageBreak/>
        <w:t>detection is possible with the healthy promotion of lifestyle behaviours, with knowledge distribution in self-management practices with the use of technology, so that prevention of type 2 diabetes can be done effectively.</w:t>
      </w:r>
    </w:p>
    <w:p w:rsidR="00371FF8" w:rsidRPr="00371FF8" w:rsidRDefault="00371FF8" w:rsidP="00371FF8">
      <w:r w:rsidRPr="00371FF8">
        <w:t xml:space="preserve">The findings have also noted the clinical outcomes of adopting such digital help promotion interventions. It has been noted by Gerber </w:t>
      </w:r>
      <w:r w:rsidRPr="00371FF8">
        <w:rPr>
          <w:i/>
          <w:iCs/>
        </w:rPr>
        <w:t xml:space="preserve">et al. </w:t>
      </w:r>
      <w:r w:rsidRPr="00371FF8">
        <w:t xml:space="preserve">(2023) that mobile help interventions have positive potential in improving glucose monitoring, which helps in improving the self-management care of patients with type 2 diabetes. However, Levia </w:t>
      </w:r>
      <w:r w:rsidRPr="00371FF8">
        <w:rPr>
          <w:i/>
          <w:iCs/>
        </w:rPr>
        <w:t xml:space="preserve">et al. </w:t>
      </w:r>
      <w:r w:rsidRPr="00371FF8">
        <w:t xml:space="preserve">(2025) contradict the fact that digital coaching programs have better potential in observing the glycaemic level and have the ability to support clinical management. It has been noted that cost can create limitations for which effectiveness is required to be integrated so that long-term diabetes management can be provided with effective solutions.  This has been agreed by Betancourt </w:t>
      </w:r>
      <w:r w:rsidRPr="00371FF8">
        <w:rPr>
          <w:i/>
          <w:iCs/>
        </w:rPr>
        <w:t xml:space="preserve">et al. </w:t>
      </w:r>
      <w:r w:rsidRPr="00371FF8">
        <w:t>(2026) as the digital interventions have the potential to provide efficiency and scalability in satisfying the care purpose of the adult in the global public healthcare. This means that promotion of sustained behaviour is possible with the help of digital interventions among adults, where disparities need to be monitored carefully so that limitations can be overcome. </w:t>
      </w:r>
    </w:p>
    <w:p w:rsidR="00371FF8" w:rsidRPr="00BC08F0" w:rsidRDefault="005E356D" w:rsidP="005E356D">
      <w:pPr>
        <w:pStyle w:val="Heading3"/>
      </w:pPr>
      <w:r w:rsidRPr="00BC08F0">
        <w:t xml:space="preserve">6.2.3 </w:t>
      </w:r>
      <w:r w:rsidR="00371FF8" w:rsidRPr="00BC08F0">
        <w:t>Discussion on the facilitators and barriers of digital health tools among adults</w:t>
      </w:r>
    </w:p>
    <w:p w:rsidR="00371FF8" w:rsidRPr="001D1DF7" w:rsidRDefault="00371FF8" w:rsidP="00371FF8">
      <w:pPr>
        <w:rPr>
          <w:lang w:val="en-IN"/>
        </w:rPr>
      </w:pPr>
      <w:r w:rsidRPr="00371FF8">
        <w:t xml:space="preserve">Several identified pieces of evidence have provided an overview of the facilitators of digital health technologies in managing type 2 diabetes. Yu (2026) found that feedback helps in customising recommendations that increase motivation among patients. The acceptability and user engagement is enhanced as digital technology has been made it to have user friendly designs and different features. Kim </w:t>
      </w:r>
      <w:r w:rsidRPr="00371FF8">
        <w:rPr>
          <w:i/>
          <w:iCs/>
        </w:rPr>
        <w:t xml:space="preserve">et al. </w:t>
      </w:r>
      <w:r w:rsidRPr="00371FF8">
        <w:t xml:space="preserve">(2024) have also agreed with this fact, as user-friendly designs have the ability to provide empowerment to patients that increases their satisfaction rate by understanding their preferences. However, a lack of personalisation can create disengagement and limit effectiveness towards the digital health promotion. </w:t>
      </w:r>
      <w:r w:rsidR="001D1DF7" w:rsidRPr="00BC08F0">
        <w:rPr>
          <w:lang w:val="en-IN"/>
        </w:rPr>
        <w:t xml:space="preserve">Again, this type of intervention lacks accuracy, which has also been noted, which can cause a burden if not correctly linked. Moreover, Levia </w:t>
      </w:r>
      <w:r w:rsidR="001D1DF7" w:rsidRPr="00BC08F0">
        <w:rPr>
          <w:i/>
          <w:iCs/>
          <w:lang w:val="en-IN"/>
        </w:rPr>
        <w:t xml:space="preserve">et al. </w:t>
      </w:r>
      <w:r w:rsidR="001D1DF7" w:rsidRPr="00BC08F0">
        <w:rPr>
          <w:lang w:val="en-IN"/>
        </w:rPr>
        <w:t>(2025) also demonstrated the fact that improvement of patient engagement and intervention outcome is possible with simplification, as many users do not have the privilege of accessing advanced digital technologies. As per Thanthrige and Wickramasinghe (2026), the creation of the digital divide also hinders the effectiveness of accessing such intervention methods, creating a gradual influence on understanding the overall effectiveness.</w:t>
      </w:r>
      <w:r w:rsidRPr="00371FF8">
        <w:t xml:space="preserve">On the other hand, McGough </w:t>
      </w:r>
      <w:r w:rsidRPr="00371FF8">
        <w:rPr>
          <w:i/>
          <w:iCs/>
        </w:rPr>
        <w:t xml:space="preserve">et al. </w:t>
      </w:r>
      <w:r w:rsidRPr="00371FF8">
        <w:t xml:space="preserve">(2019) noted the fact that digital delivery modes have the ability to reduce the challenges by allowing opportunities in reaching the target audience with enhanced engagement. This has also been agreed by Malik </w:t>
      </w:r>
      <w:r w:rsidRPr="00371FF8">
        <w:rPr>
          <w:i/>
          <w:iCs/>
        </w:rPr>
        <w:t>et al.</w:t>
      </w:r>
      <w:r w:rsidRPr="00371FF8">
        <w:t xml:space="preserve"> (2026) as the integration of digital tools has been effective in enhancing the trust of the patients with the maintenance of consistency.</w:t>
      </w:r>
    </w:p>
    <w:p w:rsidR="00371FF8" w:rsidRPr="00371FF8" w:rsidRDefault="00371FF8" w:rsidP="00371FF8">
      <w:r w:rsidRPr="00371FF8">
        <w:lastRenderedPageBreak/>
        <w:t xml:space="preserve">On the other hand, Narayan </w:t>
      </w:r>
      <w:r w:rsidRPr="00371FF8">
        <w:rPr>
          <w:i/>
          <w:iCs/>
        </w:rPr>
        <w:t>et al.</w:t>
      </w:r>
      <w:r w:rsidRPr="00371FF8">
        <w:t xml:space="preserve"> (2026) identified that barriers are also present, which create a major challenge in adopting digital health technologies. One of the major challenges identified by the author is the lack of digital literacy. This creates complicated problems in understanding the utilisation of mobile applications or telemedicine platforms. In the findings, this has been agreed by Turnbull </w:t>
      </w:r>
      <w:r w:rsidRPr="00371FF8">
        <w:rPr>
          <w:i/>
          <w:iCs/>
        </w:rPr>
        <w:t xml:space="preserve">et al. </w:t>
      </w:r>
      <w:r w:rsidRPr="00371FF8">
        <w:t xml:space="preserve">(2020), where wearing labels of digital literacy rate differs in engaging the individuals with the digital help tools. This implies the fact that limited experience with the technology creates complications by reducing accessibility. Therefore, Azelton </w:t>
      </w:r>
      <w:r w:rsidRPr="00371FF8">
        <w:rPr>
          <w:i/>
          <w:iCs/>
        </w:rPr>
        <w:t>et al.</w:t>
      </w:r>
      <w:r w:rsidRPr="00371FF8">
        <w:t xml:space="preserve"> (2021) found the fact that continuous motivation is required to be integrated to enhance the overall effectiveness. This would be effective in integrating long-term involvement and gaining long-term benefits with an effective intervention method.</w:t>
      </w:r>
    </w:p>
    <w:p w:rsidR="00371FF8" w:rsidRPr="00371FF8" w:rsidRDefault="00371FF8" w:rsidP="00371FF8">
      <w:pPr>
        <w:pStyle w:val="Heading2"/>
      </w:pPr>
      <w:bookmarkStart w:id="138" w:name="_Toc228367047"/>
      <w:bookmarkStart w:id="139" w:name="_Toc228461287"/>
      <w:r w:rsidRPr="00371FF8">
        <w:t>6.3 Strengths and Limitations</w:t>
      </w:r>
      <w:bookmarkEnd w:id="138"/>
      <w:bookmarkEnd w:id="139"/>
    </w:p>
    <w:p w:rsidR="00371FF8" w:rsidRPr="00371FF8" w:rsidRDefault="00371FF8" w:rsidP="00371FF8">
      <w:r w:rsidRPr="00371FF8">
        <w:t xml:space="preserve">The research has adopted the use of SLR, which has been effective in providing a comprehensive overview of the research study by gathering existing sources to satisfy the requirements of the topic. Transparency has been maintained throughout the research, which is another strength of conducting an SLR study, as it helps provide reliable evidence that is available. Informed decision-making is possible by reducing the risk of bias and error so that inconsistencies can be bridged (Kumari </w:t>
      </w:r>
      <w:r w:rsidRPr="00371FF8">
        <w:rPr>
          <w:i/>
          <w:iCs/>
        </w:rPr>
        <w:t>et al.</w:t>
      </w:r>
      <w:r w:rsidRPr="00371FF8">
        <w:t xml:space="preserve"> 2025). Trends and patterns have been acknowledged so that digital help promotion in terms of diabetes prevention and management can be understood with proof.</w:t>
      </w:r>
    </w:p>
    <w:p w:rsidR="00371FF8" w:rsidRPr="00371FF8" w:rsidRDefault="00371FF8" w:rsidP="00371FF8">
      <w:r w:rsidRPr="00371FF8">
        <w:t xml:space="preserve">But there are certain limitations of adopting such a method that need to be noted for adopting effective strategies. The SLR method is a time-consuming methodology as it requires extensive research for finding appropriate resources (Azarian </w:t>
      </w:r>
      <w:r w:rsidRPr="00371FF8">
        <w:rPr>
          <w:i/>
          <w:iCs/>
        </w:rPr>
        <w:t>et al.</w:t>
      </w:r>
      <w:r w:rsidRPr="00371FF8">
        <w:t xml:space="preserve"> 2023). This makes the methodology very complicated. If it is compromised, then the quality of the evidence that has been collected would also be compromised. Moreover, this method requires the author to search and screening of the literature with the use of an effective critical appraisal tool so that the quality is not compromise that can conflict with gaining effective results.</w:t>
      </w:r>
    </w:p>
    <w:p w:rsidR="00371FF8" w:rsidRPr="00371FF8" w:rsidRDefault="00371FF8" w:rsidP="00371FF8">
      <w:pPr>
        <w:pStyle w:val="Heading2"/>
      </w:pPr>
      <w:bookmarkStart w:id="140" w:name="_Toc228367048"/>
      <w:bookmarkStart w:id="141" w:name="_Toc228461288"/>
      <w:r w:rsidRPr="00371FF8">
        <w:t>6.4 Chapter Summary</w:t>
      </w:r>
      <w:bookmarkEnd w:id="140"/>
      <w:bookmarkEnd w:id="141"/>
    </w:p>
    <w:p w:rsidR="00371FF8" w:rsidRPr="00371FF8" w:rsidRDefault="00371FF8" w:rsidP="00371FF8">
      <w:r w:rsidRPr="00371FF8">
        <w:t>From the overall chapter, it can be realised that digital health interventions have created a visible influence on the adults in the global public health system for managing type 2 diabetes. Effective prevention and management are required to be circulated for successful implementation. However, there are certain barriers which can hinder this process, but with peer support and digital help promotion, the overall impact can be managed.</w:t>
      </w:r>
    </w:p>
    <w:p w:rsidR="00371FF8" w:rsidRPr="00371FF8" w:rsidRDefault="00371FF8" w:rsidP="00371FF8"/>
    <w:p w:rsidR="00371FF8" w:rsidRPr="00371FF8" w:rsidRDefault="00371FF8" w:rsidP="00371FF8">
      <w:pPr>
        <w:rPr>
          <w:sz w:val="28"/>
        </w:rPr>
      </w:pPr>
      <w:r w:rsidRPr="00371FF8">
        <w:br w:type="page"/>
      </w:r>
    </w:p>
    <w:p w:rsidR="00371FF8" w:rsidRPr="00371FF8" w:rsidRDefault="00371FF8" w:rsidP="00371FF8">
      <w:pPr>
        <w:pStyle w:val="Heading1"/>
      </w:pPr>
      <w:bookmarkStart w:id="142" w:name="_Toc228367049"/>
      <w:bookmarkStart w:id="143" w:name="_Toc228461289"/>
      <w:r w:rsidRPr="00371FF8">
        <w:lastRenderedPageBreak/>
        <w:t>CHAPTER 7: RECOMMENDATIONS AND CONCLUSION</w:t>
      </w:r>
      <w:bookmarkEnd w:id="142"/>
      <w:bookmarkEnd w:id="143"/>
    </w:p>
    <w:p w:rsidR="00371FF8" w:rsidRPr="00371FF8" w:rsidRDefault="00371FF8" w:rsidP="00371FF8">
      <w:pPr>
        <w:pStyle w:val="Heading2"/>
      </w:pPr>
      <w:bookmarkStart w:id="144" w:name="_Toc228367050"/>
      <w:bookmarkStart w:id="145" w:name="_Toc228461290"/>
      <w:r w:rsidRPr="00371FF8">
        <w:t>7.1 Introduction to Chapter</w:t>
      </w:r>
      <w:bookmarkEnd w:id="144"/>
      <w:bookmarkEnd w:id="145"/>
    </w:p>
    <w:p w:rsidR="00371FF8" w:rsidRPr="00371FF8" w:rsidRDefault="00371FF8" w:rsidP="00371FF8">
      <w:r w:rsidRPr="00371FF8">
        <w:t>This chapter is the final chapter of the research paper, where practical recommendations for the future, with overall summarisation, have been detailed. In this chapter, the implications of the findings, along with the recommendations for practice and future research, have been highlighted. This has been done so that the overall summary of the research paper can be acknowledged with the existing arguments and the significance of the result that has been found.</w:t>
      </w:r>
    </w:p>
    <w:p w:rsidR="00371FF8" w:rsidRPr="00371FF8" w:rsidRDefault="00371FF8" w:rsidP="00371FF8">
      <w:pPr>
        <w:pStyle w:val="Heading2"/>
      </w:pPr>
      <w:bookmarkStart w:id="146" w:name="_Toc228367051"/>
      <w:bookmarkStart w:id="147" w:name="_Toc228461291"/>
      <w:r w:rsidRPr="00371FF8">
        <w:t>7.2 Implications of findings</w:t>
      </w:r>
      <w:bookmarkEnd w:id="146"/>
      <w:bookmarkEnd w:id="147"/>
    </w:p>
    <w:p w:rsidR="004907E5" w:rsidRPr="00BC08F0" w:rsidRDefault="00371FF8" w:rsidP="004907E5">
      <w:pPr>
        <w:rPr>
          <w:lang w:val="en-IN"/>
        </w:rPr>
      </w:pPr>
      <w:r w:rsidRPr="00371FF8">
        <w:t xml:space="preserve">The global public health system for managing type 2 diabetes is critical to note where the patients are benefited with the integration of digital health interventions. The role of these interventions has been found to be effective in providing maximum benefits to the patients, as it helps in increasing engagement with motivation. Provision of personalisation and encouragement to use these digital technologies with user-friendly designs and different features has been successful in providing empowerment to the patients by enhancing trust. </w:t>
      </w:r>
      <w:r w:rsidR="004907E5" w:rsidRPr="00BC08F0">
        <w:rPr>
          <w:lang w:val="en-IN"/>
        </w:rPr>
        <w:t>These have proven to showcase significant effectiveness in preventing such disease by focusing on lifestyle transformation.</w:t>
      </w:r>
    </w:p>
    <w:p w:rsidR="00371FF8" w:rsidRPr="008B08B7" w:rsidRDefault="00371FF8" w:rsidP="00371FF8">
      <w:pPr>
        <w:rPr>
          <w:lang w:val="en-IN"/>
        </w:rPr>
      </w:pPr>
      <w:r w:rsidRPr="00BC08F0">
        <w:t xml:space="preserve">However, certain limitations such as a lack of digital transparency, the lack of utilisation of technology and language barriers might restrict in using such interventions. </w:t>
      </w:r>
      <w:r w:rsidR="008B08B7" w:rsidRPr="00BC08F0">
        <w:rPr>
          <w:lang w:val="en-IN"/>
        </w:rPr>
        <w:t xml:space="preserve">Persistent challenges cause a burden because such lifestyle diseases are not corrected with effective intervention methods. The engagement of the patients also deteriorates and is not aligned effectively with the clinical guidelines. The creation of the digital divide also reduces the effectiveness of the intervention programs, as many users do not understand the effectiveness, discouraging some from using such tools. </w:t>
      </w:r>
      <w:r w:rsidRPr="00371FF8">
        <w:t>Therefore, this result matters to acknowledge the actual impact on the goal of digital intervention in offering benefits and creating hindrances to the adult with type 2 diabetes in managing and preventing in the global public health system.</w:t>
      </w:r>
    </w:p>
    <w:p w:rsidR="00371FF8" w:rsidRPr="00371FF8" w:rsidRDefault="00371FF8" w:rsidP="00371FF8">
      <w:pPr>
        <w:pStyle w:val="Heading2"/>
      </w:pPr>
      <w:bookmarkStart w:id="148" w:name="_Toc228367052"/>
      <w:bookmarkStart w:id="149" w:name="_Toc228461292"/>
      <w:r w:rsidRPr="00371FF8">
        <w:t>7.3 Recommendations for Practice</w:t>
      </w:r>
      <w:bookmarkEnd w:id="148"/>
      <w:bookmarkEnd w:id="149"/>
    </w:p>
    <w:p w:rsidR="00371FF8" w:rsidRPr="00BC08F0" w:rsidRDefault="00371FF8" w:rsidP="00371FF8">
      <w:r w:rsidRPr="00BC08F0">
        <w:rPr>
          <w:b/>
          <w:bCs/>
          <w:i/>
          <w:iCs/>
        </w:rPr>
        <w:t>To integrate the utilisation of simplified dashboards in the mobile health apps</w:t>
      </w:r>
      <w:r w:rsidR="005E356D" w:rsidRPr="00BC08F0">
        <w:rPr>
          <w:b/>
          <w:bCs/>
          <w:i/>
          <w:iCs/>
        </w:rPr>
        <w:t xml:space="preserve"> to collect patient data with type 2 diabetes</w:t>
      </w:r>
      <w:r w:rsidRPr="00BC08F0">
        <w:rPr>
          <w:b/>
          <w:bCs/>
          <w:i/>
          <w:iCs/>
        </w:rPr>
        <w:t>:</w:t>
      </w:r>
      <w:r w:rsidRPr="00BC08F0">
        <w:t xml:space="preserve"> This recommendation is practical as it would help in implementing transparency by communicating effectively the methods used to collect patient data (Schulze </w:t>
      </w:r>
      <w:r w:rsidRPr="00BC08F0">
        <w:rPr>
          <w:i/>
          <w:iCs/>
        </w:rPr>
        <w:t>et al.</w:t>
      </w:r>
      <w:r w:rsidRPr="00BC08F0">
        <w:t xml:space="preserve"> 2023). The use of a simplified dashboard would be effective in providing patients with type 2 diabetes in easily accessing their medical record with treatment plans that have been suggested and test results. This could help in improving the trust and encouragement of the patients in using the technology with transparency. </w:t>
      </w:r>
    </w:p>
    <w:p w:rsidR="00371FF8" w:rsidRPr="00BC08F0" w:rsidRDefault="00371FF8" w:rsidP="00371FF8">
      <w:r w:rsidRPr="00BC08F0">
        <w:rPr>
          <w:b/>
          <w:bCs/>
          <w:i/>
          <w:iCs/>
        </w:rPr>
        <w:t>To conduct digital literacy training programs and campaigns</w:t>
      </w:r>
      <w:r w:rsidR="005E356D" w:rsidRPr="00BC08F0">
        <w:rPr>
          <w:b/>
          <w:bCs/>
          <w:i/>
          <w:iCs/>
        </w:rPr>
        <w:t xml:space="preserve"> with the patients with </w:t>
      </w:r>
      <w:r w:rsidR="005E356D" w:rsidRPr="00BC08F0">
        <w:rPr>
          <w:b/>
          <w:bCs/>
          <w:i/>
          <w:iCs/>
        </w:rPr>
        <w:lastRenderedPageBreak/>
        <w:t>type 2 diabetes</w:t>
      </w:r>
      <w:r w:rsidRPr="00BC08F0">
        <w:rPr>
          <w:b/>
          <w:bCs/>
          <w:i/>
          <w:iCs/>
        </w:rPr>
        <w:t>:</w:t>
      </w:r>
      <w:r w:rsidRPr="00BC08F0">
        <w:t xml:space="preserve"> This recommendation is practical to be included as it would help in educating the adults in the global public health system in upgrading the knowledge about digital interventions by enhancing the technological experience. These training campaigns would include the promotion to use the self-management tools for monitoring and early detection (Choudhary and Bansal, 2022). The campaigns can also include multilingual support services for improving accessibility and overcoming language barriers by improving the understanding of the patient, which will help in enhancing trust.</w:t>
      </w:r>
    </w:p>
    <w:p w:rsidR="00D81395" w:rsidRPr="00BC08F0" w:rsidRDefault="00D81395" w:rsidP="00371FF8">
      <w:r w:rsidRPr="00BC08F0">
        <w:rPr>
          <w:b/>
          <w:bCs/>
          <w:i/>
          <w:iCs/>
        </w:rPr>
        <w:t>To integrate the use of AI in ensuring privacy and data security to preserve the patient data for type 2 diabetes management:</w:t>
      </w:r>
      <w:r w:rsidRPr="00BC08F0">
        <w:t xml:space="preserve"> Use of AI or artificial intelligence can be done in detecting suspicious activities or recognising usual behaviour, which can prevent in unauthorizedly accessing the patient data. This can be done with the use of authentication systems where facial recognition, fingerprint authentication and biometric recognition can be integrated so that only authorised users can have access to the sensitive data. This would be beneficial in reducing the risk of data breaches and maintain the confidentially by improving transparency and the trust of the patient. This would help in making the users confident to use the digital interventions in managing the disease effectively.</w:t>
      </w:r>
    </w:p>
    <w:p w:rsidR="00371FF8" w:rsidRPr="00371FF8" w:rsidRDefault="00371FF8" w:rsidP="00371FF8">
      <w:pPr>
        <w:pStyle w:val="Heading2"/>
      </w:pPr>
      <w:bookmarkStart w:id="150" w:name="_Toc228367053"/>
      <w:bookmarkStart w:id="151" w:name="_Toc228461293"/>
      <w:r w:rsidRPr="00371FF8">
        <w:t>7.4 Recommendations for Future Research</w:t>
      </w:r>
      <w:bookmarkEnd w:id="150"/>
      <w:bookmarkEnd w:id="151"/>
    </w:p>
    <w:p w:rsidR="00371FF8" w:rsidRPr="00371FF8" w:rsidRDefault="00371FF8" w:rsidP="00371FF8">
      <w:r w:rsidRPr="00371FF8">
        <w:t>In future, it is recommended to include the utilisation of primary quantitative research methodology for integrating survey data. The survey theatre accumulated from the adult with type 2 diabetes and have experience using digital interventions will be asked questions to understand the actual role of these digital interventions. The challenges related to it would be more clarified with the facilitators that would enhance knowledge by accumulating real-time information.</w:t>
      </w:r>
    </w:p>
    <w:p w:rsidR="00371FF8" w:rsidRPr="00371FF8" w:rsidRDefault="00371FF8" w:rsidP="00371FF8">
      <w:pPr>
        <w:pStyle w:val="Heading2"/>
      </w:pPr>
      <w:bookmarkStart w:id="152" w:name="_Toc228367054"/>
      <w:bookmarkStart w:id="153" w:name="_Toc228461294"/>
      <w:r w:rsidRPr="00371FF8">
        <w:t>7.5 Conclusion</w:t>
      </w:r>
      <w:bookmarkEnd w:id="152"/>
      <w:bookmarkEnd w:id="153"/>
    </w:p>
    <w:p w:rsidR="00371FF8" w:rsidRPr="00371FF8" w:rsidRDefault="00371FF8" w:rsidP="00371FF8">
      <w:r w:rsidRPr="00371FF8">
        <w:t>To summarise, from the overall research, it can be noted that type 2 diabetes is one of the most critical issues and has become very common, which requires prevention and management. Adults in the global public health system have been confirmed to have such lifestyle disease which requires to be manage with the use of digital health interventions. The inclusion of mobile health applications, SMS messaging, daily health consultation and education platforms provides flexibility and accessibility that can be included. </w:t>
      </w:r>
    </w:p>
    <w:p w:rsidR="00371FF8" w:rsidRPr="00371FF8" w:rsidRDefault="00371FF8" w:rsidP="00371FF8">
      <w:r w:rsidRPr="00371FF8">
        <w:t xml:space="preserve">With the use of SLR methodology, it has been noted that early detection of diseases is possible with the promotion of healthy behaviour through digital health interventions. This would be effective in providing peer support with sustained user engagement to make the patients motivated and provide consistency in modifying their lifestyle with the use of self-management behaviours. Moreover, the effectiveness helps in changing the behaviours by including better control and increasing motivation to regularly spend time in physical activity. </w:t>
      </w:r>
      <w:r w:rsidRPr="00371FF8">
        <w:lastRenderedPageBreak/>
        <w:t>Therefore, utilisation of such interventions is possible in lowering the risk of complications. The first effectiveness and the improvement of clinical outcomes, which personalisation and tailored feedback help in enhanced motivation. However, barriers such as a lack of digital transparency, a language barrier and technology utilisation have restricted in engaging the patients with such improvements and management techniques. These are crucial to overcome as they would help in providing encouragement for the diverse population in the global public health system to adopt the utilisation of such interventions by positively impacting the target population with sustained engagement.</w:t>
      </w:r>
    </w:p>
    <w:p w:rsidR="00371FF8" w:rsidRDefault="00371FF8" w:rsidP="00371FF8">
      <w:pPr>
        <w:rPr>
          <w:lang w:eastAsia="en-US" w:bidi="ar-SA"/>
        </w:rPr>
      </w:pPr>
      <w:r>
        <w:rPr>
          <w:lang w:eastAsia="en-US" w:bidi="ar-SA"/>
        </w:rPr>
        <w:br w:type="page"/>
      </w:r>
    </w:p>
    <w:p w:rsidR="00422D06" w:rsidRPr="00AD15D2" w:rsidRDefault="00F95EFB" w:rsidP="00364CD8">
      <w:pPr>
        <w:pStyle w:val="Heading1"/>
        <w:rPr>
          <w:lang w:eastAsia="en-US" w:bidi="ar-SA"/>
        </w:rPr>
      </w:pPr>
      <w:bookmarkStart w:id="154" w:name="_Toc228461295"/>
      <w:r w:rsidRPr="000339D6">
        <w:rPr>
          <w:lang w:eastAsia="en-US" w:bidi="ar-SA"/>
        </w:rPr>
        <w:lastRenderedPageBreak/>
        <w:t>REFERENCES</w:t>
      </w:r>
      <w:bookmarkEnd w:id="154"/>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Afifi, M., Stryhn, H. and Sanchez, J., 2023. Data extraction and comparison for complex systematic reviews: a step-by-step guideline and an implementation example using open-source software. </w:t>
      </w:r>
      <w:r w:rsidRPr="005126D5">
        <w:rPr>
          <w:i/>
          <w:iCs/>
          <w:color w:val="0D0D0D" w:themeColor="text1" w:themeTint="F2"/>
          <w:highlight w:val="white"/>
        </w:rPr>
        <w:t>Systematic reviews</w:t>
      </w:r>
      <w:r w:rsidRPr="005126D5">
        <w:rPr>
          <w:color w:val="0D0D0D" w:themeColor="text1" w:themeTint="F2"/>
          <w:highlight w:val="white"/>
        </w:rPr>
        <w:t xml:space="preserve">, </w:t>
      </w:r>
      <w:r w:rsidRPr="005126D5">
        <w:rPr>
          <w:i/>
          <w:iCs/>
          <w:color w:val="0D0D0D" w:themeColor="text1" w:themeTint="F2"/>
          <w:highlight w:val="white"/>
        </w:rPr>
        <w:t>12</w:t>
      </w:r>
      <w:r w:rsidRPr="005126D5">
        <w:rPr>
          <w:color w:val="0D0D0D" w:themeColor="text1" w:themeTint="F2"/>
          <w:highlight w:val="white"/>
        </w:rPr>
        <w:t>(1), p.226.</w:t>
      </w:r>
    </w:p>
    <w:p w:rsidR="00364CD8" w:rsidRPr="000613C3" w:rsidRDefault="00364CD8" w:rsidP="00984E2B">
      <w:pPr>
        <w:spacing w:before="240" w:after="240"/>
        <w:rPr>
          <w:color w:val="0D0D0D" w:themeColor="text1" w:themeTint="F2"/>
          <w:highlight w:val="white"/>
          <w:lang w:val="en-IN"/>
        </w:rPr>
      </w:pPr>
      <w:r w:rsidRPr="000613C3">
        <w:rPr>
          <w:color w:val="0D0D0D" w:themeColor="text1" w:themeTint="F2"/>
          <w:highlight w:val="white"/>
          <w:lang w:val="en-IN"/>
        </w:rPr>
        <w:t xml:space="preserve">Ahmed, S. K., Mohammed, R. A., Nashwan, A. J., Ibrahim, R. H., Abdalla, A. Q., Ameen, B. M. M., </w:t>
      </w:r>
      <w:r>
        <w:rPr>
          <w:color w:val="0D0D0D" w:themeColor="text1" w:themeTint="F2"/>
          <w:highlight w:val="white"/>
          <w:lang w:val="en-IN"/>
        </w:rPr>
        <w:t>and</w:t>
      </w:r>
      <w:r w:rsidRPr="000613C3">
        <w:rPr>
          <w:color w:val="0D0D0D" w:themeColor="text1" w:themeTint="F2"/>
          <w:highlight w:val="white"/>
          <w:lang w:val="en-IN"/>
        </w:rPr>
        <w:t xml:space="preserve"> Khdhir, R. M. (2025). Using thematic analysis in qualitative research. </w:t>
      </w:r>
      <w:r w:rsidRPr="000613C3">
        <w:rPr>
          <w:i/>
          <w:iCs/>
          <w:color w:val="0D0D0D" w:themeColor="text1" w:themeTint="F2"/>
          <w:highlight w:val="white"/>
          <w:lang w:val="en-IN"/>
        </w:rPr>
        <w:t>Journal of Medicine, Surgery, and Public Health</w:t>
      </w:r>
      <w:r w:rsidRPr="000613C3">
        <w:rPr>
          <w:color w:val="0D0D0D" w:themeColor="text1" w:themeTint="F2"/>
          <w:highlight w:val="white"/>
          <w:lang w:val="en-IN"/>
        </w:rPr>
        <w:t xml:space="preserve">, </w:t>
      </w:r>
      <w:r w:rsidRPr="000613C3">
        <w:rPr>
          <w:i/>
          <w:iCs/>
          <w:color w:val="0D0D0D" w:themeColor="text1" w:themeTint="F2"/>
          <w:highlight w:val="white"/>
          <w:lang w:val="en-IN"/>
        </w:rPr>
        <w:t>6</w:t>
      </w:r>
      <w:r w:rsidRPr="000613C3">
        <w:rPr>
          <w:color w:val="0D0D0D" w:themeColor="text1" w:themeTint="F2"/>
          <w:highlight w:val="white"/>
          <w:lang w:val="en-IN"/>
        </w:rPr>
        <w:t>, 100198. </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AlDhaheri, S.M., Faisal, M., and Sharma, R., 2026. Impact of digital leadership on users’ technology integration and digital transformation. </w:t>
      </w:r>
      <w:r w:rsidRPr="00715C3F">
        <w:rPr>
          <w:i/>
          <w:iCs/>
          <w:color w:val="0D0D0D" w:themeColor="text1" w:themeTint="F2"/>
          <w:highlight w:val="white"/>
          <w:lang w:val="en-IN"/>
        </w:rPr>
        <w:t>Journal of Innovation &amp; Knowledge</w:t>
      </w:r>
      <w:r w:rsidRPr="00715C3F">
        <w:rPr>
          <w:color w:val="0D0D0D" w:themeColor="text1" w:themeTint="F2"/>
          <w:highlight w:val="white"/>
          <w:lang w:val="en-IN"/>
        </w:rPr>
        <w:t xml:space="preserve">, </w:t>
      </w:r>
      <w:r w:rsidRPr="00715C3F">
        <w:rPr>
          <w:i/>
          <w:iCs/>
          <w:color w:val="0D0D0D" w:themeColor="text1" w:themeTint="F2"/>
          <w:highlight w:val="white"/>
          <w:lang w:val="en-IN"/>
        </w:rPr>
        <w:t>14</w:t>
      </w:r>
      <w:r w:rsidRPr="00715C3F">
        <w:rPr>
          <w:color w:val="0D0D0D" w:themeColor="text1" w:themeTint="F2"/>
          <w:highlight w:val="white"/>
          <w:lang w:val="en-IN"/>
        </w:rPr>
        <w:t>, p.100965. </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Ali, F., 2026. Sample size practices and guidelines in services marketing survey research. </w:t>
      </w:r>
      <w:r w:rsidRPr="00715C3F">
        <w:rPr>
          <w:i/>
          <w:iCs/>
          <w:color w:val="0D0D0D" w:themeColor="text1" w:themeTint="F2"/>
          <w:highlight w:val="white"/>
          <w:lang w:val="en-IN"/>
        </w:rPr>
        <w:t>The Service Industries Journal</w:t>
      </w:r>
      <w:r w:rsidRPr="00715C3F">
        <w:rPr>
          <w:color w:val="0D0D0D" w:themeColor="text1" w:themeTint="F2"/>
          <w:highlight w:val="white"/>
          <w:lang w:val="en-IN"/>
        </w:rPr>
        <w:t>, pp.1-26.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Al-Momani, A.A.M. and Ramayah, T., 2025. Analyzing EHR technology adoption: a comparative review of the technology acceptance model in different economic contexts. </w:t>
      </w:r>
      <w:r w:rsidRPr="005126D5">
        <w:rPr>
          <w:i/>
          <w:iCs/>
          <w:color w:val="0D0D0D" w:themeColor="text1" w:themeTint="F2"/>
          <w:highlight w:val="white"/>
        </w:rPr>
        <w:t>Intelligence-Driven Circular Economy: Regeneration Towards Sustainability and Social Responsibility–Volume 1</w:t>
      </w:r>
      <w:r w:rsidRPr="005126D5">
        <w:rPr>
          <w:color w:val="0D0D0D" w:themeColor="text1" w:themeTint="F2"/>
          <w:highlight w:val="white"/>
        </w:rPr>
        <w:t>, pp.327-344</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AlNamlah, L., Konswa, A.A., Alakeel, R. and Taieb, H., 2026. The impact of advanced technology and social media platforms on lifestyle medicine: a narrative review. </w:t>
      </w:r>
      <w:r w:rsidRPr="005126D5">
        <w:rPr>
          <w:i/>
          <w:iCs/>
          <w:color w:val="0D0D0D" w:themeColor="text1" w:themeTint="F2"/>
          <w:highlight w:val="white"/>
        </w:rPr>
        <w:t>Discover Public Health</w:t>
      </w:r>
      <w:r w:rsidRPr="005126D5">
        <w:rPr>
          <w:color w:val="0D0D0D" w:themeColor="text1" w:themeTint="F2"/>
          <w:highlight w:val="white"/>
        </w:rPr>
        <w:t xml:space="preserve">, </w:t>
      </w:r>
      <w:r w:rsidRPr="005126D5">
        <w:rPr>
          <w:i/>
          <w:iCs/>
          <w:color w:val="0D0D0D" w:themeColor="text1" w:themeTint="F2"/>
          <w:highlight w:val="white"/>
        </w:rPr>
        <w:t>23</w:t>
      </w:r>
      <w:r w:rsidRPr="005126D5">
        <w:rPr>
          <w:color w:val="0D0D0D" w:themeColor="text1" w:themeTint="F2"/>
          <w:highlight w:val="white"/>
        </w:rPr>
        <w:t>(1), p.227.</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Ananzeh, T., Telfah, R., Bakas, T., Tawalbeh, R., and Plano Clark, V.L., 2026. Mixed Methods Research on Family Caregiving for Stroke Survivors: A Methodological Systematic Review. </w:t>
      </w:r>
      <w:r w:rsidRPr="005126D5">
        <w:rPr>
          <w:i/>
          <w:iCs/>
          <w:color w:val="0D0D0D" w:themeColor="text1" w:themeTint="F2"/>
          <w:highlight w:val="white"/>
        </w:rPr>
        <w:t>Journal of Advanced Nursing</w:t>
      </w:r>
      <w:r w:rsidRPr="005126D5">
        <w:rPr>
          <w:color w:val="0D0D0D" w:themeColor="text1" w:themeTint="F2"/>
          <w:highlight w:val="white"/>
        </w:rPr>
        <w:t>.</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Ansari, P., Khan, J.T., Chowdhury, S., Reberio, A.D., Kumar, S., Seidel, V., Yasser H. A. Abdel-Wahab and Flatt, P.R. (2024). Plant-Based Diets and Phytochemicals in the Management of Diabetes Mellitus and Prevention of Its Complications: A Review. </w:t>
      </w:r>
      <w:r w:rsidRPr="005126D5">
        <w:rPr>
          <w:i/>
          <w:iCs/>
          <w:color w:val="0D0D0D" w:themeColor="text1" w:themeTint="F2"/>
          <w:highlight w:val="white"/>
        </w:rPr>
        <w:t>Nutrients</w:t>
      </w:r>
      <w:r w:rsidRPr="005126D5">
        <w:rPr>
          <w:color w:val="0D0D0D" w:themeColor="text1" w:themeTint="F2"/>
          <w:highlight w:val="white"/>
        </w:rPr>
        <w:t>, 16(21), pp.3709–3709. doi:https://doi.org/10.3390/nu16213709.</w:t>
      </w:r>
    </w:p>
    <w:p w:rsidR="00364CD8" w:rsidRPr="000613C3" w:rsidRDefault="00364CD8" w:rsidP="00984E2B">
      <w:pPr>
        <w:spacing w:before="240" w:after="240"/>
        <w:rPr>
          <w:color w:val="0D0D0D" w:themeColor="text1" w:themeTint="F2"/>
          <w:highlight w:val="white"/>
          <w:lang w:val="en-IN"/>
        </w:rPr>
      </w:pPr>
      <w:r w:rsidRPr="000613C3">
        <w:rPr>
          <w:color w:val="0D0D0D" w:themeColor="text1" w:themeTint="F2"/>
          <w:highlight w:val="white"/>
          <w:lang w:val="en-IN"/>
        </w:rPr>
        <w:t xml:space="preserve">Asadzandi, S., Mojtahedzadeh, R., and Mohammadi, A. (2022). What are the factors that enhance metacognitive skills in nursing students? A systematic review. </w:t>
      </w:r>
      <w:r w:rsidRPr="000613C3">
        <w:rPr>
          <w:i/>
          <w:iCs/>
          <w:color w:val="0D0D0D" w:themeColor="text1" w:themeTint="F2"/>
          <w:highlight w:val="white"/>
          <w:lang w:val="en-IN"/>
        </w:rPr>
        <w:t>Iranian journal of nursing and midwifery research</w:t>
      </w:r>
      <w:r w:rsidRPr="000613C3">
        <w:rPr>
          <w:color w:val="0D0D0D" w:themeColor="text1" w:themeTint="F2"/>
          <w:highlight w:val="white"/>
          <w:lang w:val="en-IN"/>
        </w:rPr>
        <w:t xml:space="preserve">, </w:t>
      </w:r>
      <w:r w:rsidRPr="000613C3">
        <w:rPr>
          <w:i/>
          <w:iCs/>
          <w:color w:val="0D0D0D" w:themeColor="text1" w:themeTint="F2"/>
          <w:highlight w:val="white"/>
          <w:lang w:val="en-IN"/>
        </w:rPr>
        <w:t>27</w:t>
      </w:r>
      <w:r w:rsidRPr="000613C3">
        <w:rPr>
          <w:color w:val="0D0D0D" w:themeColor="text1" w:themeTint="F2"/>
          <w:highlight w:val="white"/>
          <w:lang w:val="en-IN"/>
        </w:rPr>
        <w:t>(6), 475-484.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Azarian, M., Yu, H., Shiferaw, A.T. and Stevik, T.K., 2023. Do we perform systematic </w:t>
      </w:r>
      <w:r w:rsidRPr="005126D5">
        <w:rPr>
          <w:color w:val="0D0D0D" w:themeColor="text1" w:themeTint="F2"/>
          <w:highlight w:val="white"/>
        </w:rPr>
        <w:lastRenderedPageBreak/>
        <w:t xml:space="preserve">literature review right? A scientific mapping and methodological assessment. </w:t>
      </w:r>
      <w:r w:rsidRPr="005126D5">
        <w:rPr>
          <w:i/>
          <w:iCs/>
          <w:color w:val="0D0D0D" w:themeColor="text1" w:themeTint="F2"/>
          <w:highlight w:val="white"/>
        </w:rPr>
        <w:t>Logistics</w:t>
      </w:r>
      <w:r w:rsidRPr="005126D5">
        <w:rPr>
          <w:color w:val="0D0D0D" w:themeColor="text1" w:themeTint="F2"/>
          <w:highlight w:val="white"/>
        </w:rPr>
        <w:t xml:space="preserve">, </w:t>
      </w:r>
      <w:r w:rsidRPr="005126D5">
        <w:rPr>
          <w:i/>
          <w:iCs/>
          <w:color w:val="0D0D0D" w:themeColor="text1" w:themeTint="F2"/>
          <w:highlight w:val="white"/>
        </w:rPr>
        <w:t>7</w:t>
      </w:r>
      <w:r w:rsidRPr="005126D5">
        <w:rPr>
          <w:color w:val="0D0D0D" w:themeColor="text1" w:themeTint="F2"/>
          <w:highlight w:val="white"/>
        </w:rPr>
        <w:t>(4), p.89.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Azelton, K.R., Crowley, A.P., Vence, N., Underwood, K., Morris, G., Kelly, J., and Landry, M.J., 2021. Digital health coaching for type 2 diabetes: randomized controlled trial of healthy at home. </w:t>
      </w:r>
      <w:r w:rsidRPr="005126D5">
        <w:rPr>
          <w:i/>
          <w:iCs/>
          <w:color w:val="0D0D0D" w:themeColor="text1" w:themeTint="F2"/>
          <w:highlight w:val="white"/>
        </w:rPr>
        <w:t>Frontiers in Digital Health</w:t>
      </w:r>
      <w:r w:rsidRPr="005126D5">
        <w:rPr>
          <w:color w:val="0D0D0D" w:themeColor="text1" w:themeTint="F2"/>
          <w:highlight w:val="white"/>
        </w:rPr>
        <w:t xml:space="preserve">, </w:t>
      </w:r>
      <w:r w:rsidRPr="005126D5">
        <w:rPr>
          <w:i/>
          <w:iCs/>
          <w:color w:val="0D0D0D" w:themeColor="text1" w:themeTint="F2"/>
          <w:highlight w:val="white"/>
        </w:rPr>
        <w:t>3</w:t>
      </w:r>
      <w:r w:rsidRPr="005126D5">
        <w:rPr>
          <w:color w:val="0D0D0D" w:themeColor="text1" w:themeTint="F2"/>
          <w:highlight w:val="white"/>
        </w:rPr>
        <w:t>, p.764735.</w:t>
      </w:r>
      <w:hyperlink r:id="rId18" w:history="1">
        <w:r w:rsidRPr="005126D5">
          <w:rPr>
            <w:rStyle w:val="Hyperlink"/>
            <w:color w:val="0D0D0D" w:themeColor="text1" w:themeTint="F2"/>
            <w:u w:val="none"/>
          </w:rPr>
          <w:t>https://www.frontiersin.org/journals/digital-health/articles/10.3389/fdgth.2021.764735/pdf</w:t>
        </w:r>
      </w:hyperlink>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Bandara, W. and Syed, R., 2024. The role of a protocol in a systematic literature review. </w:t>
      </w:r>
      <w:r w:rsidRPr="005126D5">
        <w:rPr>
          <w:i/>
          <w:iCs/>
          <w:color w:val="0D0D0D" w:themeColor="text1" w:themeTint="F2"/>
          <w:highlight w:val="white"/>
        </w:rPr>
        <w:t>Journal of Decision Systems</w:t>
      </w:r>
      <w:r w:rsidRPr="005126D5">
        <w:rPr>
          <w:color w:val="0D0D0D" w:themeColor="text1" w:themeTint="F2"/>
          <w:highlight w:val="white"/>
        </w:rPr>
        <w:t xml:space="preserve">, </w:t>
      </w:r>
      <w:r w:rsidRPr="005126D5">
        <w:rPr>
          <w:i/>
          <w:iCs/>
          <w:color w:val="0D0D0D" w:themeColor="text1" w:themeTint="F2"/>
          <w:highlight w:val="white"/>
        </w:rPr>
        <w:t>33</w:t>
      </w:r>
      <w:r w:rsidRPr="005126D5">
        <w:rPr>
          <w:color w:val="0D0D0D" w:themeColor="text1" w:themeTint="F2"/>
          <w:highlight w:val="white"/>
        </w:rPr>
        <w:t>(4), pp.583-600.</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Bao, H., Lee, Z.Y., Lee, G., and Lee, E.W., 2026. Understanding Motivations and Barriers to Digital Health Adoption Among Older Adults in Singapore: A Qualitative Multi-Stakeholder Study. </w:t>
      </w:r>
      <w:r w:rsidRPr="00715C3F">
        <w:rPr>
          <w:i/>
          <w:iCs/>
          <w:color w:val="0D0D0D" w:themeColor="text1" w:themeTint="F2"/>
          <w:highlight w:val="white"/>
          <w:lang w:val="en-IN"/>
        </w:rPr>
        <w:t>Journal of Technology in Behavioral Science</w:t>
      </w:r>
      <w:r w:rsidRPr="00715C3F">
        <w:rPr>
          <w:color w:val="0D0D0D" w:themeColor="text1" w:themeTint="F2"/>
          <w:highlight w:val="white"/>
          <w:lang w:val="en-IN"/>
        </w:rPr>
        <w:t>, pp.1-15. </w:t>
      </w:r>
    </w:p>
    <w:p w:rsidR="00364CD8" w:rsidRDefault="00364CD8" w:rsidP="00984E2B">
      <w:pPr>
        <w:spacing w:after="240"/>
      </w:pPr>
      <w:r w:rsidRPr="000F42B6">
        <w:t>Baradez, C., Liska, J., Brulle-Wohlhueter, C., Pushkarna, D., Baxter, M. and Piette, J., 2022. Brief digital solutions in behavior change interventions for type 2 diabetes mellitus: a literature review. </w:t>
      </w:r>
      <w:r w:rsidRPr="000F42B6">
        <w:rPr>
          <w:i/>
          <w:iCs/>
        </w:rPr>
        <w:t>Diabetes Therapy</w:t>
      </w:r>
      <w:r w:rsidRPr="000F42B6">
        <w:t>, </w:t>
      </w:r>
      <w:r w:rsidRPr="000F42B6">
        <w:rPr>
          <w:i/>
          <w:iCs/>
        </w:rPr>
        <w:t>13</w:t>
      </w:r>
      <w:r w:rsidRPr="000F42B6">
        <w:t>(4), pp.635-649.</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Barker, T.H., Hasanoff, S., Aromataris, E., Stone, J.C., Leonardi-Bee, J., Sears, K., Habibi, N., Klugar, M., Tufanaru, C., Moola, S. and Liu, X.L., 2025. The revised JBI critical appraisal tool for the assessment of risk of bias for cohort studies. </w:t>
      </w:r>
      <w:r w:rsidRPr="005126D5">
        <w:rPr>
          <w:i/>
          <w:iCs/>
          <w:color w:val="0D0D0D" w:themeColor="text1" w:themeTint="F2"/>
          <w:highlight w:val="white"/>
        </w:rPr>
        <w:t>JBI Evidence Synthesis</w:t>
      </w:r>
      <w:r w:rsidRPr="005126D5">
        <w:rPr>
          <w:color w:val="0D0D0D" w:themeColor="text1" w:themeTint="F2"/>
          <w:highlight w:val="white"/>
        </w:rPr>
        <w:t xml:space="preserve">, </w:t>
      </w:r>
      <w:r w:rsidRPr="005126D5">
        <w:rPr>
          <w:i/>
          <w:iCs/>
          <w:color w:val="0D0D0D" w:themeColor="text1" w:themeTint="F2"/>
          <w:highlight w:val="white"/>
        </w:rPr>
        <w:t>23</w:t>
      </w:r>
      <w:r w:rsidRPr="005126D5">
        <w:rPr>
          <w:color w:val="0D0D0D" w:themeColor="text1" w:themeTint="F2"/>
          <w:highlight w:val="white"/>
        </w:rPr>
        <w:t>(3), pp.441-453.</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Betancourt, R.S., Caicedo, M.T.M. y Francisco-Pérez, J., 2026. User experiences and perceptions on the use of digital health technologies in the management of type 2 diabetes: an integrative systematic review. </w:t>
      </w:r>
      <w:r w:rsidRPr="005126D5">
        <w:rPr>
          <w:i/>
          <w:iCs/>
          <w:color w:val="0D0D0D" w:themeColor="text1" w:themeTint="F2"/>
          <w:highlight w:val="white"/>
        </w:rPr>
        <w:t>Frontiers in Clinical Diabetes and Healthcare</w:t>
      </w:r>
      <w:r w:rsidRPr="005126D5">
        <w:rPr>
          <w:color w:val="0D0D0D" w:themeColor="text1" w:themeTint="F2"/>
          <w:highlight w:val="white"/>
        </w:rPr>
        <w:t xml:space="preserve">, </w:t>
      </w:r>
      <w:r w:rsidRPr="005126D5">
        <w:rPr>
          <w:i/>
          <w:iCs/>
          <w:color w:val="0D0D0D" w:themeColor="text1" w:themeTint="F2"/>
          <w:highlight w:val="white"/>
        </w:rPr>
        <w:t>7</w:t>
      </w:r>
      <w:r w:rsidRPr="005126D5">
        <w:rPr>
          <w:color w:val="0D0D0D" w:themeColor="text1" w:themeTint="F2"/>
          <w:highlight w:val="white"/>
        </w:rPr>
        <w:t>, p.1750055.</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Birati, Y. and Tzemah-Shahar, R., 2026. Barriers to Digital Health Adoption in Older Adults: Scoping Review Informed by Innovation Resistance Theory. </w:t>
      </w:r>
      <w:r w:rsidRPr="005126D5">
        <w:rPr>
          <w:i/>
          <w:iCs/>
          <w:color w:val="0D0D0D" w:themeColor="text1" w:themeTint="F2"/>
          <w:highlight w:val="white"/>
        </w:rPr>
        <w:t>Journal of Medical Internet Research</w:t>
      </w:r>
      <w:r w:rsidRPr="005126D5">
        <w:rPr>
          <w:color w:val="0D0D0D" w:themeColor="text1" w:themeTint="F2"/>
          <w:highlight w:val="white"/>
        </w:rPr>
        <w:t xml:space="preserve">, </w:t>
      </w:r>
      <w:r w:rsidRPr="005126D5">
        <w:rPr>
          <w:i/>
          <w:iCs/>
          <w:color w:val="0D0D0D" w:themeColor="text1" w:themeTint="F2"/>
          <w:highlight w:val="white"/>
        </w:rPr>
        <w:t>28</w:t>
      </w:r>
      <w:r w:rsidRPr="005126D5">
        <w:rPr>
          <w:color w:val="0D0D0D" w:themeColor="text1" w:themeTint="F2"/>
          <w:highlight w:val="white"/>
        </w:rPr>
        <w:t>, p.e75591.</w:t>
      </w:r>
    </w:p>
    <w:p w:rsidR="00364CD8" w:rsidRDefault="00364CD8" w:rsidP="00984E2B">
      <w:pPr>
        <w:spacing w:before="240"/>
      </w:pPr>
      <w:r w:rsidRPr="00934136">
        <w:t>Bisby, M.A., Karin, E., Hathway, T., Scott, A.J., Heriseanu, A.I., Dudeney, J., Fisher, A., Gandy, M., Cross, S., Staples, L. and Titov, N., 2022. A meta-analytic review of randomized clinical trials of online treatments for anxiety: Inclusion/exclusion criteria, uptake, adherence, dropout, and clinical outcomes. </w:t>
      </w:r>
      <w:r w:rsidRPr="00934136">
        <w:rPr>
          <w:i/>
          <w:iCs/>
        </w:rPr>
        <w:t>Journal of Anxiety Disorders</w:t>
      </w:r>
      <w:r w:rsidRPr="00934136">
        <w:t>, </w:t>
      </w:r>
      <w:r w:rsidRPr="00934136">
        <w:rPr>
          <w:i/>
          <w:iCs/>
        </w:rPr>
        <w:t>92</w:t>
      </w:r>
      <w:r w:rsidRPr="00934136">
        <w:t>, p.102638.</w:t>
      </w:r>
    </w:p>
    <w:p w:rsidR="00364CD8" w:rsidRPr="005126D5" w:rsidRDefault="00364CD8" w:rsidP="00984E2B">
      <w:pPr>
        <w:spacing w:before="240" w:after="240"/>
        <w:rPr>
          <w:color w:val="0D0D0D" w:themeColor="text1" w:themeTint="F2"/>
        </w:rPr>
      </w:pPr>
      <w:r w:rsidRPr="005126D5">
        <w:rPr>
          <w:color w:val="0D0D0D" w:themeColor="text1" w:themeTint="F2"/>
        </w:rPr>
        <w:t xml:space="preserve">Braun, V. and Clarke, V., 2006. Using thematic analysis in psychology. </w:t>
      </w:r>
      <w:r w:rsidRPr="005126D5">
        <w:rPr>
          <w:i/>
          <w:iCs/>
          <w:color w:val="0D0D0D" w:themeColor="text1" w:themeTint="F2"/>
        </w:rPr>
        <w:t>Qualitative research in psychology</w:t>
      </w:r>
      <w:r w:rsidRPr="005126D5">
        <w:rPr>
          <w:color w:val="0D0D0D" w:themeColor="text1" w:themeTint="F2"/>
        </w:rPr>
        <w:t>, 3(2), pp. 77-101.</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lastRenderedPageBreak/>
        <w:t xml:space="preserve">Cabrera, D. and Cabrera, L.L., 2023. The steps to doing a systems literature review (SLR). </w:t>
      </w:r>
      <w:r w:rsidRPr="005126D5">
        <w:rPr>
          <w:i/>
          <w:iCs/>
          <w:color w:val="0D0D0D" w:themeColor="text1" w:themeTint="F2"/>
          <w:highlight w:val="white"/>
        </w:rPr>
        <w:t>Journal of Systems Thinking Preprints</w:t>
      </w:r>
      <w:r w:rsidRPr="005126D5">
        <w:rPr>
          <w:color w:val="0D0D0D" w:themeColor="text1" w:themeTint="F2"/>
          <w:highlight w:val="white"/>
        </w:rPr>
        <w:t>.</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Chakraborty, U. and Biswal, S.K., 2026. Scaling generative AI: key factors driving user growth and community. </w:t>
      </w:r>
      <w:r w:rsidRPr="005126D5">
        <w:rPr>
          <w:i/>
          <w:iCs/>
          <w:color w:val="0D0D0D" w:themeColor="text1" w:themeTint="F2"/>
          <w:highlight w:val="white"/>
        </w:rPr>
        <w:t>Journal of Decision Systems</w:t>
      </w:r>
      <w:r w:rsidRPr="005126D5">
        <w:rPr>
          <w:color w:val="0D0D0D" w:themeColor="text1" w:themeTint="F2"/>
          <w:highlight w:val="white"/>
        </w:rPr>
        <w:t xml:space="preserve">, </w:t>
      </w:r>
      <w:r w:rsidRPr="005126D5">
        <w:rPr>
          <w:i/>
          <w:iCs/>
          <w:color w:val="0D0D0D" w:themeColor="text1" w:themeTint="F2"/>
          <w:highlight w:val="white"/>
        </w:rPr>
        <w:t>35</w:t>
      </w:r>
      <w:r w:rsidRPr="005126D5">
        <w:rPr>
          <w:color w:val="0D0D0D" w:themeColor="text1" w:themeTint="F2"/>
          <w:highlight w:val="white"/>
        </w:rPr>
        <w:t>(1), p.2599909.</w:t>
      </w:r>
    </w:p>
    <w:p w:rsidR="00364CD8" w:rsidRPr="005126D5" w:rsidRDefault="00364CD8" w:rsidP="00984E2B">
      <w:pPr>
        <w:spacing w:before="240" w:after="240"/>
        <w:rPr>
          <w:color w:val="0D0D0D" w:themeColor="text1" w:themeTint="F2"/>
        </w:rPr>
      </w:pPr>
      <w:r w:rsidRPr="005126D5">
        <w:rPr>
          <w:color w:val="0D0D0D" w:themeColor="text1" w:themeTint="F2"/>
          <w:highlight w:val="white"/>
        </w:rPr>
        <w:t xml:space="preserve">Chigbu, U.E., Atiku, S.O. and Du Plessis, C.C., 2023. The science of literature reviews: Searching, identifying, selecting, and synthesising. </w:t>
      </w:r>
      <w:r w:rsidRPr="005126D5">
        <w:rPr>
          <w:i/>
          <w:iCs/>
          <w:color w:val="0D0D0D" w:themeColor="text1" w:themeTint="F2"/>
          <w:highlight w:val="white"/>
        </w:rPr>
        <w:t>Publications</w:t>
      </w:r>
      <w:r w:rsidRPr="005126D5">
        <w:rPr>
          <w:color w:val="0D0D0D" w:themeColor="text1" w:themeTint="F2"/>
          <w:highlight w:val="white"/>
        </w:rPr>
        <w:t xml:space="preserve">, </w:t>
      </w:r>
      <w:r w:rsidRPr="005126D5">
        <w:rPr>
          <w:i/>
          <w:iCs/>
          <w:color w:val="0D0D0D" w:themeColor="text1" w:themeTint="F2"/>
          <w:highlight w:val="white"/>
        </w:rPr>
        <w:t>11</w:t>
      </w:r>
      <w:r w:rsidRPr="005126D5">
        <w:rPr>
          <w:color w:val="0D0D0D" w:themeColor="text1" w:themeTint="F2"/>
          <w:highlight w:val="white"/>
        </w:rPr>
        <w:t>(1), p.2.</w:t>
      </w:r>
    </w:p>
    <w:p w:rsidR="00364CD8" w:rsidRPr="005126D5" w:rsidRDefault="00364CD8" w:rsidP="00984E2B">
      <w:pPr>
        <w:spacing w:before="240"/>
      </w:pPr>
      <w:r w:rsidRPr="008668CD">
        <w:t>Choudhary, H. and Bansal, N., 2022. Addressing digital divide through digital literacy training programs: A systematic literature review. </w:t>
      </w:r>
      <w:r w:rsidRPr="008668CD">
        <w:rPr>
          <w:i/>
          <w:iCs/>
        </w:rPr>
        <w:t>Digital Education Review</w:t>
      </w:r>
      <w:r w:rsidRPr="008668CD">
        <w:t>, (41), pp.224-248.</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Colnet, B., Josse, J., Varoquaux, G. and Scornet, E., 2025. Re-weighting the randomized controlled trial for generalization: finite-sample error and variable selection. </w:t>
      </w:r>
      <w:r w:rsidRPr="005126D5">
        <w:rPr>
          <w:i/>
          <w:iCs/>
          <w:color w:val="0D0D0D" w:themeColor="text1" w:themeTint="F2"/>
          <w:highlight w:val="white"/>
        </w:rPr>
        <w:t>Journal of the Royal Statistical Society Series A: Statistics in Society</w:t>
      </w:r>
      <w:r w:rsidRPr="005126D5">
        <w:rPr>
          <w:color w:val="0D0D0D" w:themeColor="text1" w:themeTint="F2"/>
          <w:highlight w:val="white"/>
        </w:rPr>
        <w:t xml:space="preserve">, </w:t>
      </w:r>
      <w:r w:rsidRPr="005126D5">
        <w:rPr>
          <w:i/>
          <w:iCs/>
          <w:color w:val="0D0D0D" w:themeColor="text1" w:themeTint="F2"/>
          <w:highlight w:val="white"/>
        </w:rPr>
        <w:t>188</w:t>
      </w:r>
      <w:r w:rsidRPr="005126D5">
        <w:rPr>
          <w:color w:val="0D0D0D" w:themeColor="text1" w:themeTint="F2"/>
          <w:highlight w:val="white"/>
        </w:rPr>
        <w:t>(2), pp.345-372.</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Cunningham, S.G., Stoddart, A., Wild, S.H., Conway, N.J., Gray, A.M. and Wake, D.J. (2022). Cost-Utility of an Online Education Platform and Diabetes Personal Health Record: Analysis Over Ten Years. </w:t>
      </w:r>
      <w:r w:rsidRPr="005126D5">
        <w:rPr>
          <w:i/>
          <w:iCs/>
          <w:color w:val="0D0D0D" w:themeColor="text1" w:themeTint="F2"/>
          <w:highlight w:val="white"/>
        </w:rPr>
        <w:t>Journal of Diabetes Science and Technology</w:t>
      </w:r>
      <w:r w:rsidRPr="005126D5">
        <w:rPr>
          <w:color w:val="0D0D0D" w:themeColor="text1" w:themeTint="F2"/>
          <w:highlight w:val="white"/>
        </w:rPr>
        <w:t>, 17(3), p.193229682110691. doi:https://doi.org/10.1177/19322968211069172.</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Cunningham, S.G., Stoddart, A., Wild, S.H., Conway, N.J., Gray, A.M. and Wake, D.J., 2023. Cost-utility of an online education platform and diabetes personal health record: analysis over ten years. </w:t>
      </w:r>
      <w:r w:rsidRPr="005126D5">
        <w:rPr>
          <w:i/>
          <w:iCs/>
          <w:color w:val="0D0D0D" w:themeColor="text1" w:themeTint="F2"/>
          <w:highlight w:val="white"/>
        </w:rPr>
        <w:t>Journal of Diabetes Science and Technology</w:t>
      </w:r>
      <w:r w:rsidRPr="005126D5">
        <w:rPr>
          <w:color w:val="0D0D0D" w:themeColor="text1" w:themeTint="F2"/>
          <w:highlight w:val="white"/>
        </w:rPr>
        <w:t xml:space="preserve">, </w:t>
      </w:r>
      <w:r w:rsidRPr="005126D5">
        <w:rPr>
          <w:i/>
          <w:iCs/>
          <w:color w:val="0D0D0D" w:themeColor="text1" w:themeTint="F2"/>
          <w:highlight w:val="white"/>
        </w:rPr>
        <w:t>17</w:t>
      </w:r>
      <w:r w:rsidRPr="005126D5">
        <w:rPr>
          <w:color w:val="0D0D0D" w:themeColor="text1" w:themeTint="F2"/>
          <w:highlight w:val="white"/>
        </w:rPr>
        <w:t>(3), pp.715-726.</w:t>
      </w:r>
      <w:hyperlink r:id="rId19" w:history="1">
        <w:r w:rsidRPr="005126D5">
          <w:rPr>
            <w:rStyle w:val="Hyperlink"/>
            <w:color w:val="0D0D0D" w:themeColor="text1" w:themeTint="F2"/>
            <w:u w:val="none"/>
          </w:rPr>
          <w:t>https://scholar.google.com/scholar?output=instlink&amp;q=info:GcMqA29JXdcJ:scholar.google.com/&amp;hl=en&amp;as_sdt=0,5&amp;scillfp=445655563755435272&amp;oi=lle</w:t>
        </w:r>
      </w:hyperlink>
    </w:p>
    <w:p w:rsidR="00364CD8" w:rsidRPr="00BC08F0" w:rsidRDefault="00364CD8" w:rsidP="00364CD8">
      <w:pPr>
        <w:spacing w:before="240"/>
      </w:pPr>
      <w:r w:rsidRPr="00BC08F0">
        <w:rPr>
          <w:highlight w:val="white"/>
        </w:rPr>
        <w:t>D'Antoni, A.V., Tubbs, R.S., Patti, A.C., Higgins, Q.M., Tiburzi, H. and Battaglia, F., 2022. The Critical Appraisal Tool for Anatomical Meta</w:t>
      </w:r>
      <w:r w:rsidRPr="00BC08F0">
        <w:rPr>
          <w:rFonts w:ascii="Cambria Math" w:hAnsi="Cambria Math" w:cs="Cambria Math"/>
          <w:highlight w:val="white"/>
        </w:rPr>
        <w:t>‐</w:t>
      </w:r>
      <w:r w:rsidRPr="00BC08F0">
        <w:rPr>
          <w:highlight w:val="white"/>
        </w:rPr>
        <w:t>analysis: A framework for critically appraising anatomical meta</w:t>
      </w:r>
      <w:r w:rsidRPr="00BC08F0">
        <w:rPr>
          <w:rFonts w:ascii="Cambria Math" w:hAnsi="Cambria Math" w:cs="Cambria Math"/>
          <w:highlight w:val="white"/>
        </w:rPr>
        <w:t>‐</w:t>
      </w:r>
      <w:r w:rsidRPr="00BC08F0">
        <w:rPr>
          <w:highlight w:val="white"/>
        </w:rPr>
        <w:t xml:space="preserve">analyses. </w:t>
      </w:r>
      <w:r w:rsidRPr="00BC08F0">
        <w:rPr>
          <w:i/>
          <w:iCs/>
          <w:highlight w:val="white"/>
        </w:rPr>
        <w:t>Clinical Anatomy</w:t>
      </w:r>
      <w:r w:rsidRPr="00BC08F0">
        <w:rPr>
          <w:highlight w:val="white"/>
        </w:rPr>
        <w:t xml:space="preserve">, </w:t>
      </w:r>
      <w:r w:rsidRPr="00BC08F0">
        <w:rPr>
          <w:i/>
          <w:iCs/>
          <w:highlight w:val="white"/>
        </w:rPr>
        <w:t>35</w:t>
      </w:r>
      <w:r w:rsidRPr="00BC08F0">
        <w:rPr>
          <w:highlight w:val="white"/>
        </w:rPr>
        <w:t>(3), pp.323-331.</w:t>
      </w:r>
    </w:p>
    <w:p w:rsidR="00364CD8" w:rsidRDefault="00364CD8" w:rsidP="00984E2B">
      <w:pPr>
        <w:spacing w:before="240"/>
      </w:pPr>
      <w:r w:rsidRPr="00934136">
        <w:t>Dickson, K. and Yeung, C.A., 2022. PRISMA 2020 updated guideline. </w:t>
      </w:r>
      <w:r w:rsidRPr="00934136">
        <w:rPr>
          <w:i/>
          <w:iCs/>
        </w:rPr>
        <w:t>British dental journal</w:t>
      </w:r>
      <w:r w:rsidRPr="00934136">
        <w:t>, </w:t>
      </w:r>
      <w:r w:rsidRPr="00934136">
        <w:rPr>
          <w:i/>
          <w:iCs/>
        </w:rPr>
        <w:t>232</w:t>
      </w:r>
      <w:r w:rsidRPr="00934136">
        <w:t>(11), pp.760-761</w:t>
      </w:r>
      <w:r>
        <w:t>.</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Doyle, J., Harvey, S., Coklar Okutkan, I., McAleer, P., Teixeira, F. and Gerard Dinsmore, J., 2026, April. Factors Influencing Digital Health Engagement of Older Adults with Multimorbidity during a Longitudinal Trial. In </w:t>
      </w:r>
      <w:r w:rsidRPr="00715C3F">
        <w:rPr>
          <w:i/>
          <w:iCs/>
          <w:color w:val="0D0D0D" w:themeColor="text1" w:themeTint="F2"/>
          <w:highlight w:val="white"/>
          <w:lang w:val="en-IN"/>
        </w:rPr>
        <w:t>Proceedings of the 2026 CHI Conference on Human Factors in Computing Systems</w:t>
      </w:r>
      <w:r w:rsidRPr="00715C3F">
        <w:rPr>
          <w:color w:val="0D0D0D" w:themeColor="text1" w:themeTint="F2"/>
          <w:highlight w:val="white"/>
          <w:lang w:val="en-IN"/>
        </w:rPr>
        <w:t xml:space="preserve"> (pp. 1-19). </w:t>
      </w:r>
    </w:p>
    <w:p w:rsidR="00364CD8" w:rsidRDefault="00364CD8" w:rsidP="00984E2B">
      <w:pPr>
        <w:spacing w:after="240"/>
      </w:pPr>
      <w:r w:rsidRPr="000F42B6">
        <w:t xml:space="preserve">Duong, T., Olsen, Q., Menon, A., Woods, L., Wang, W., Varnfield, M., Jiang, L. and Sullivan, </w:t>
      </w:r>
      <w:r w:rsidRPr="000F42B6">
        <w:lastRenderedPageBreak/>
        <w:t>C., 2025. Digital health interventions to prevent type 2 diabetes mellitus: systematic review. </w:t>
      </w:r>
      <w:r w:rsidRPr="000F42B6">
        <w:rPr>
          <w:i/>
          <w:iCs/>
        </w:rPr>
        <w:t>Journal of medical Internet research</w:t>
      </w:r>
      <w:r w:rsidRPr="000F42B6">
        <w:t>, </w:t>
      </w:r>
      <w:r w:rsidRPr="000F42B6">
        <w:rPr>
          <w:i/>
          <w:iCs/>
        </w:rPr>
        <w:t>27</w:t>
      </w:r>
      <w:r w:rsidRPr="000F42B6">
        <w:t>, p.e67507.</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Fagherazzi, G. and Ravaud, P. (2019). Digital Diabetes: Perspectives for Diabetes Prevention, Management and Research. </w:t>
      </w:r>
      <w:r w:rsidRPr="005126D5">
        <w:rPr>
          <w:i/>
          <w:iCs/>
          <w:color w:val="0D0D0D" w:themeColor="text1" w:themeTint="F2"/>
          <w:highlight w:val="white"/>
        </w:rPr>
        <w:t>Diabetes &amp; Metabolism</w:t>
      </w:r>
      <w:r w:rsidRPr="005126D5">
        <w:rPr>
          <w:color w:val="0D0D0D" w:themeColor="text1" w:themeTint="F2"/>
          <w:highlight w:val="white"/>
        </w:rPr>
        <w:t>, [online] 45(4). doi:https://doi.org/10.1016/j.diabet.2018.08.012.</w:t>
      </w:r>
    </w:p>
    <w:p w:rsidR="00364CD8"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Fenech, B., Chapman, S., Tsangari, H. and Gaffiero, D., 2026. Understanding breast cancer screening intentions in Malta among women aged 18–49: comparing the predictive ability of the health belief model and the Theory of Planned Behaviour. </w:t>
      </w:r>
      <w:r w:rsidRPr="00715C3F">
        <w:rPr>
          <w:i/>
          <w:iCs/>
          <w:color w:val="0D0D0D" w:themeColor="text1" w:themeTint="F2"/>
          <w:highlight w:val="white"/>
          <w:lang w:val="en-IN"/>
        </w:rPr>
        <w:t>Cogent Psychology</w:t>
      </w:r>
      <w:r w:rsidRPr="00715C3F">
        <w:rPr>
          <w:color w:val="0D0D0D" w:themeColor="text1" w:themeTint="F2"/>
          <w:highlight w:val="white"/>
          <w:lang w:val="en-IN"/>
        </w:rPr>
        <w:t xml:space="preserve">, </w:t>
      </w:r>
      <w:r w:rsidRPr="00715C3F">
        <w:rPr>
          <w:i/>
          <w:iCs/>
          <w:color w:val="0D0D0D" w:themeColor="text1" w:themeTint="F2"/>
          <w:highlight w:val="white"/>
          <w:lang w:val="en-IN"/>
        </w:rPr>
        <w:t>13</w:t>
      </w:r>
      <w:r w:rsidRPr="00715C3F">
        <w:rPr>
          <w:color w:val="0D0D0D" w:themeColor="text1" w:themeTint="F2"/>
          <w:highlight w:val="white"/>
          <w:lang w:val="en-IN"/>
        </w:rPr>
        <w:t>(1), p.2625439.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Fraser, R.A., Walker, R.J., Campbell, J.A., Ekwunife, O. and Egede, L.E., 2025. Integration of artificial intelligence and wearable technology in the management of diabetes and prediabetes. </w:t>
      </w:r>
      <w:r w:rsidRPr="005126D5">
        <w:rPr>
          <w:i/>
          <w:iCs/>
          <w:color w:val="0D0D0D" w:themeColor="text1" w:themeTint="F2"/>
          <w:highlight w:val="white"/>
        </w:rPr>
        <w:t>npj Digital Medicine</w:t>
      </w:r>
      <w:r w:rsidRPr="005126D5">
        <w:rPr>
          <w:color w:val="0D0D0D" w:themeColor="text1" w:themeTint="F2"/>
          <w:highlight w:val="white"/>
        </w:rPr>
        <w:t xml:space="preserve">, </w:t>
      </w:r>
      <w:r w:rsidRPr="005126D5">
        <w:rPr>
          <w:i/>
          <w:iCs/>
          <w:color w:val="0D0D0D" w:themeColor="text1" w:themeTint="F2"/>
          <w:highlight w:val="white"/>
        </w:rPr>
        <w:t>8</w:t>
      </w:r>
      <w:r w:rsidRPr="005126D5">
        <w:rPr>
          <w:color w:val="0D0D0D" w:themeColor="text1" w:themeTint="F2"/>
          <w:highlight w:val="white"/>
        </w:rPr>
        <w:t>(1), p.687.</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Gerber, B.S., Biggers, A., Tilton, J.J., Smith, D.E., Lane, R., Mihăilescu, D., Lee, J.-A. and Sharp, L.K. (2023). Mobile Health Intervention in Patients With Type 2 Diabetes. </w:t>
      </w:r>
      <w:r w:rsidRPr="005126D5">
        <w:rPr>
          <w:i/>
          <w:iCs/>
          <w:color w:val="0D0D0D" w:themeColor="text1" w:themeTint="F2"/>
          <w:highlight w:val="white"/>
        </w:rPr>
        <w:t>JAMA network open</w:t>
      </w:r>
      <w:r w:rsidRPr="005126D5">
        <w:rPr>
          <w:color w:val="0D0D0D" w:themeColor="text1" w:themeTint="F2"/>
          <w:highlight w:val="white"/>
        </w:rPr>
        <w:t>, 6(9), pp.e2333629–e2333629. doi:https://doi.org/10.1001/jamanetworkopen.2023.33629.</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Gong, E., Baptista, S., Russell, A., Scuffham, P., Riddell, M., Speight, J., Bird, D., Williams, E., Lotfaliany, M., and Oldenburg, B., 2020. My diabetes coach, a mobile app–based interactive conversational agent to support type 2 diabetes self-management: randomized effectiveness-implementation trial. </w:t>
      </w:r>
      <w:r w:rsidRPr="005126D5">
        <w:rPr>
          <w:i/>
          <w:iCs/>
          <w:color w:val="0D0D0D" w:themeColor="text1" w:themeTint="F2"/>
          <w:highlight w:val="white"/>
        </w:rPr>
        <w:t>Journal of Medical Internet Research</w:t>
      </w:r>
      <w:r w:rsidRPr="005126D5">
        <w:rPr>
          <w:color w:val="0D0D0D" w:themeColor="text1" w:themeTint="F2"/>
          <w:highlight w:val="white"/>
        </w:rPr>
        <w:t xml:space="preserve">, </w:t>
      </w:r>
      <w:r w:rsidRPr="005126D5">
        <w:rPr>
          <w:i/>
          <w:iCs/>
          <w:color w:val="0D0D0D" w:themeColor="text1" w:themeTint="F2"/>
          <w:highlight w:val="white"/>
        </w:rPr>
        <w:t>22</w:t>
      </w:r>
      <w:r w:rsidRPr="005126D5">
        <w:rPr>
          <w:color w:val="0D0D0D" w:themeColor="text1" w:themeTint="F2"/>
          <w:highlight w:val="white"/>
        </w:rPr>
        <w:t>(11), p.e20322.</w:t>
      </w:r>
      <w:hyperlink r:id="rId20" w:history="1">
        <w:r w:rsidRPr="005126D5">
          <w:rPr>
            <w:rStyle w:val="Hyperlink"/>
            <w:color w:val="0D0D0D" w:themeColor="text1" w:themeTint="F2"/>
            <w:u w:val="none"/>
          </w:rPr>
          <w:t>https://www.jmir.org/2020/11/e20322/</w:t>
        </w:r>
      </w:hyperlink>
    </w:p>
    <w:p w:rsidR="00364CD8" w:rsidRPr="00BC08F0" w:rsidRDefault="00364CD8" w:rsidP="00364CD8">
      <w:pPr>
        <w:spacing w:before="240"/>
      </w:pPr>
      <w:r w:rsidRPr="00BC08F0">
        <w:rPr>
          <w:highlight w:val="white"/>
        </w:rPr>
        <w:t xml:space="preserve">Gusenbauer, M. and Gauster, S.P., 2025. How to search for literature in systematic reviews and meta-analyses: A comprehensive step-by-step guide. </w:t>
      </w:r>
      <w:r w:rsidRPr="00BC08F0">
        <w:rPr>
          <w:i/>
          <w:iCs/>
          <w:highlight w:val="white"/>
        </w:rPr>
        <w:t>Technological Forecasting and Social Change</w:t>
      </w:r>
      <w:r w:rsidRPr="00BC08F0">
        <w:rPr>
          <w:highlight w:val="white"/>
        </w:rPr>
        <w:t xml:space="preserve">, </w:t>
      </w:r>
      <w:r w:rsidRPr="00BC08F0">
        <w:rPr>
          <w:i/>
          <w:iCs/>
          <w:highlight w:val="white"/>
        </w:rPr>
        <w:t>212</w:t>
      </w:r>
      <w:r w:rsidRPr="00BC08F0">
        <w:rPr>
          <w:highlight w:val="white"/>
        </w:rPr>
        <w:t>, p.123833.</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Haq, M. and Yasin, N., 2025. Qualitative, quantitative, and mixed methodology paradigms. </w:t>
      </w:r>
      <w:r w:rsidRPr="005126D5">
        <w:rPr>
          <w:i/>
          <w:iCs/>
          <w:color w:val="0D0D0D" w:themeColor="text1" w:themeTint="F2"/>
          <w:highlight w:val="white"/>
        </w:rPr>
        <w:t>Journal of Practical Studies in Education</w:t>
      </w:r>
      <w:r w:rsidRPr="005126D5">
        <w:rPr>
          <w:color w:val="0D0D0D" w:themeColor="text1" w:themeTint="F2"/>
          <w:highlight w:val="white"/>
        </w:rPr>
        <w:t xml:space="preserve">, </w:t>
      </w:r>
      <w:r w:rsidRPr="005126D5">
        <w:rPr>
          <w:i/>
          <w:iCs/>
          <w:color w:val="0D0D0D" w:themeColor="text1" w:themeTint="F2"/>
          <w:highlight w:val="white"/>
        </w:rPr>
        <w:t>6</w:t>
      </w:r>
      <w:r w:rsidRPr="005126D5">
        <w:rPr>
          <w:color w:val="0D0D0D" w:themeColor="text1" w:themeTint="F2"/>
          <w:highlight w:val="white"/>
        </w:rPr>
        <w:t>(6), pp.1-15.</w:t>
      </w:r>
      <w:hyperlink r:id="rId21" w:history="1">
        <w:r w:rsidRPr="005126D5">
          <w:rPr>
            <w:rStyle w:val="Hyperlink"/>
            <w:color w:val="0D0D0D" w:themeColor="text1" w:themeTint="F2"/>
            <w:u w:val="none"/>
          </w:rPr>
          <w:t> </w:t>
        </w:r>
      </w:hyperlink>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Hosseini, M.S., Jahanshahlou, F., Akbarzadeh, M.A., Zarei, M. and Vaez-Gharamaleki, Y., 2024. Formulating research questions for evidence-based studies. </w:t>
      </w:r>
      <w:r w:rsidRPr="005126D5">
        <w:rPr>
          <w:i/>
          <w:iCs/>
          <w:color w:val="0D0D0D" w:themeColor="text1" w:themeTint="F2"/>
          <w:highlight w:val="white"/>
        </w:rPr>
        <w:t>Journal of medicine, surgery, and public health</w:t>
      </w:r>
      <w:r w:rsidRPr="005126D5">
        <w:rPr>
          <w:color w:val="0D0D0D" w:themeColor="text1" w:themeTint="F2"/>
          <w:highlight w:val="white"/>
        </w:rPr>
        <w:t xml:space="preserve">, </w:t>
      </w:r>
      <w:r w:rsidRPr="005126D5">
        <w:rPr>
          <w:i/>
          <w:iCs/>
          <w:color w:val="0D0D0D" w:themeColor="text1" w:themeTint="F2"/>
          <w:highlight w:val="white"/>
        </w:rPr>
        <w:t>2</w:t>
      </w:r>
      <w:r w:rsidRPr="005126D5">
        <w:rPr>
          <w:color w:val="0D0D0D" w:themeColor="text1" w:themeTint="F2"/>
          <w:highlight w:val="white"/>
        </w:rPr>
        <w:t>, p.100046.</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Humayoun, S., Yaqoob, B., Abbasi, N., Sajid, M., Aman, K. and Noor, N., 2024. Critical appraisal of a qualitative review: A systematic review. </w:t>
      </w:r>
      <w:r w:rsidRPr="005126D5">
        <w:rPr>
          <w:i/>
          <w:iCs/>
          <w:color w:val="0D0D0D" w:themeColor="text1" w:themeTint="F2"/>
          <w:highlight w:val="white"/>
        </w:rPr>
        <w:t>Pakistan Oral &amp; Dental Journal</w:t>
      </w:r>
      <w:r w:rsidRPr="005126D5">
        <w:rPr>
          <w:color w:val="0D0D0D" w:themeColor="text1" w:themeTint="F2"/>
          <w:highlight w:val="white"/>
        </w:rPr>
        <w:t xml:space="preserve">, </w:t>
      </w:r>
      <w:r w:rsidRPr="005126D5">
        <w:rPr>
          <w:i/>
          <w:iCs/>
          <w:color w:val="0D0D0D" w:themeColor="text1" w:themeTint="F2"/>
          <w:highlight w:val="white"/>
        </w:rPr>
        <w:t>44</w:t>
      </w:r>
      <w:r w:rsidRPr="005126D5">
        <w:rPr>
          <w:color w:val="0D0D0D" w:themeColor="text1" w:themeTint="F2"/>
          <w:highlight w:val="white"/>
        </w:rPr>
        <w:t xml:space="preserve">(4), </w:t>
      </w:r>
      <w:r w:rsidRPr="005126D5">
        <w:rPr>
          <w:color w:val="0D0D0D" w:themeColor="text1" w:themeTint="F2"/>
          <w:highlight w:val="white"/>
        </w:rPr>
        <w:lastRenderedPageBreak/>
        <w:t>pp.9-18.</w:t>
      </w:r>
    </w:p>
    <w:p w:rsidR="00364CD8" w:rsidRPr="005126D5" w:rsidRDefault="00364CD8" w:rsidP="00984E2B">
      <w:pPr>
        <w:spacing w:before="240" w:after="240"/>
        <w:rPr>
          <w:color w:val="0D0D0D" w:themeColor="text1" w:themeTint="F2"/>
          <w:highlight w:val="white"/>
        </w:rPr>
      </w:pPr>
      <w:r w:rsidRPr="00715C3F">
        <w:rPr>
          <w:color w:val="0D0D0D" w:themeColor="text1" w:themeTint="F2"/>
          <w:highlight w:val="white"/>
          <w:lang w:val="en-IN"/>
        </w:rPr>
        <w:t xml:space="preserve">Ismail, R.B., Binti Asyraf, N.W., Binti Mat, N.H., and Binti Rahizal, N.A., 2026. Caregiver–Elderly Communication in Dementia Care: A Systematic Literature Review. </w:t>
      </w:r>
      <w:r w:rsidRPr="00715C3F">
        <w:rPr>
          <w:i/>
          <w:iCs/>
          <w:color w:val="0D0D0D" w:themeColor="text1" w:themeTint="F2"/>
          <w:highlight w:val="white"/>
          <w:lang w:val="en-IN"/>
        </w:rPr>
        <w:t>F1000Research</w:t>
      </w:r>
      <w:r w:rsidRPr="00715C3F">
        <w:rPr>
          <w:color w:val="0D0D0D" w:themeColor="text1" w:themeTint="F2"/>
          <w:highlight w:val="white"/>
          <w:lang w:val="en-IN"/>
        </w:rPr>
        <w:t xml:space="preserve">, </w:t>
      </w:r>
      <w:r w:rsidRPr="00715C3F">
        <w:rPr>
          <w:i/>
          <w:iCs/>
          <w:color w:val="0D0D0D" w:themeColor="text1" w:themeTint="F2"/>
          <w:highlight w:val="white"/>
          <w:lang w:val="en-IN"/>
        </w:rPr>
        <w:t>15</w:t>
      </w:r>
      <w:r w:rsidRPr="00715C3F">
        <w:rPr>
          <w:color w:val="0D0D0D" w:themeColor="text1" w:themeTint="F2"/>
          <w:highlight w:val="white"/>
          <w:lang w:val="en-IN"/>
        </w:rPr>
        <w:t>, p.100.</w:t>
      </w:r>
    </w:p>
    <w:p w:rsidR="00364CD8" w:rsidRDefault="00364CD8" w:rsidP="00984E2B">
      <w:pPr>
        <w:spacing w:after="240"/>
      </w:pPr>
      <w:r w:rsidRPr="000F42B6">
        <w:t>Kerr, D., Ahn, D., Waki, K., Wang, J., Breznen, B. and Klonoff, D.C., 2024. Digital interventions for self-management of type 2 diabetes mellitus: systematic literature review and meta-analysis. </w:t>
      </w:r>
      <w:r w:rsidRPr="000F42B6">
        <w:rPr>
          <w:i/>
          <w:iCs/>
        </w:rPr>
        <w:t>Journal of medical Internet research</w:t>
      </w:r>
      <w:r w:rsidRPr="000F42B6">
        <w:t>, </w:t>
      </w:r>
      <w:r w:rsidRPr="000F42B6">
        <w:rPr>
          <w:i/>
          <w:iCs/>
        </w:rPr>
        <w:t>26</w:t>
      </w:r>
      <w:r w:rsidRPr="000F42B6">
        <w:t>, p.e55757.</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Khan, S., Webster, S., Puxty, J. and Robertson, M., 2026. Key challenges and barriers to digital literacy for older adults: Scoping review. </w:t>
      </w:r>
      <w:r w:rsidRPr="005126D5">
        <w:rPr>
          <w:i/>
          <w:iCs/>
          <w:color w:val="0D0D0D" w:themeColor="text1" w:themeTint="F2"/>
          <w:highlight w:val="white"/>
        </w:rPr>
        <w:t>JMIR aging</w:t>
      </w:r>
      <w:r w:rsidRPr="005126D5">
        <w:rPr>
          <w:color w:val="0D0D0D" w:themeColor="text1" w:themeTint="F2"/>
          <w:highlight w:val="white"/>
        </w:rPr>
        <w:t xml:space="preserve">, </w:t>
      </w:r>
      <w:r w:rsidRPr="005126D5">
        <w:rPr>
          <w:i/>
          <w:iCs/>
          <w:color w:val="0D0D0D" w:themeColor="text1" w:themeTint="F2"/>
          <w:highlight w:val="white"/>
        </w:rPr>
        <w:t>9</w:t>
      </w:r>
      <w:r w:rsidRPr="005126D5">
        <w:rPr>
          <w:color w:val="0D0D0D" w:themeColor="text1" w:themeTint="F2"/>
          <w:highlight w:val="white"/>
        </w:rPr>
        <w:t>, p.e80647.</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Khobragade, R., Shaikh, M.K., Mendhe, H.G., Borkar, S.K., Gurdekar, A., Shendre, S., Gupta, S., and Mendhe, H., 2026. Role of Digital Health Technologies and Artificial Intelligence in Modern Public Health Surveillance. </w:t>
      </w:r>
      <w:r w:rsidRPr="005126D5">
        <w:rPr>
          <w:i/>
          <w:iCs/>
          <w:color w:val="0D0D0D" w:themeColor="text1" w:themeTint="F2"/>
          <w:highlight w:val="white"/>
        </w:rPr>
        <w:t>Cureus</w:t>
      </w:r>
      <w:r w:rsidRPr="005126D5">
        <w:rPr>
          <w:color w:val="0D0D0D" w:themeColor="text1" w:themeTint="F2"/>
          <w:highlight w:val="white"/>
        </w:rPr>
        <w:t xml:space="preserve">, </w:t>
      </w:r>
      <w:r w:rsidRPr="005126D5">
        <w:rPr>
          <w:i/>
          <w:iCs/>
          <w:color w:val="0D0D0D" w:themeColor="text1" w:themeTint="F2"/>
          <w:highlight w:val="white"/>
        </w:rPr>
        <w:t>18</w:t>
      </w:r>
      <w:r w:rsidRPr="005126D5">
        <w:rPr>
          <w:color w:val="0D0D0D" w:themeColor="text1" w:themeTint="F2"/>
          <w:highlight w:val="white"/>
        </w:rPr>
        <w:t>(4).</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Kim, D., Kim, H., and Kim, Y., 2026. Why subscribers cut the cord: A study of the migration from pay-TV to OTT services through the push-pull-mooring framework. </w:t>
      </w:r>
      <w:r w:rsidRPr="00715C3F">
        <w:rPr>
          <w:i/>
          <w:iCs/>
          <w:color w:val="0D0D0D" w:themeColor="text1" w:themeTint="F2"/>
          <w:highlight w:val="white"/>
          <w:lang w:val="en-IN"/>
        </w:rPr>
        <w:t>Journal of Retailing and Consumer Services</w:t>
      </w:r>
      <w:r w:rsidRPr="00715C3F">
        <w:rPr>
          <w:color w:val="0D0D0D" w:themeColor="text1" w:themeTint="F2"/>
          <w:highlight w:val="white"/>
          <w:lang w:val="en-IN"/>
        </w:rPr>
        <w:t xml:space="preserve">, </w:t>
      </w:r>
      <w:r w:rsidRPr="00715C3F">
        <w:rPr>
          <w:i/>
          <w:iCs/>
          <w:color w:val="0D0D0D" w:themeColor="text1" w:themeTint="F2"/>
          <w:highlight w:val="white"/>
          <w:lang w:val="en-IN"/>
        </w:rPr>
        <w:t>88</w:t>
      </w:r>
      <w:r w:rsidRPr="00715C3F">
        <w:rPr>
          <w:color w:val="0D0D0D" w:themeColor="text1" w:themeTint="F2"/>
          <w:highlight w:val="white"/>
          <w:lang w:val="en-IN"/>
        </w:rPr>
        <w:t>, p.104516. </w:t>
      </w:r>
    </w:p>
    <w:p w:rsidR="00364CD8" w:rsidRPr="00BC08F0" w:rsidRDefault="00364CD8" w:rsidP="00364CD8">
      <w:pPr>
        <w:spacing w:before="240"/>
        <w:rPr>
          <w:highlight w:val="white"/>
        </w:rPr>
      </w:pPr>
      <w:r w:rsidRPr="00BC08F0">
        <w:rPr>
          <w:highlight w:val="white"/>
        </w:rPr>
        <w:t xml:space="preserve">Kim, G., Kim, S., Lee, Y.B., Jin, S.M., Hur, K.Y. and Kim, J.H., 2024. A randomized controlled trial of an app-based intervention on physical activity and glycemic control in people with type 2 diabetes. </w:t>
      </w:r>
      <w:r w:rsidRPr="00BC08F0">
        <w:rPr>
          <w:i/>
          <w:iCs/>
          <w:highlight w:val="white"/>
        </w:rPr>
        <w:t>BMC medicine</w:t>
      </w:r>
      <w:r w:rsidRPr="00BC08F0">
        <w:rPr>
          <w:highlight w:val="white"/>
        </w:rPr>
        <w:t xml:space="preserve">, </w:t>
      </w:r>
      <w:r w:rsidRPr="00BC08F0">
        <w:rPr>
          <w:i/>
          <w:iCs/>
          <w:highlight w:val="white"/>
        </w:rPr>
        <w:t>22</w:t>
      </w:r>
      <w:r w:rsidRPr="00BC08F0">
        <w:rPr>
          <w:highlight w:val="white"/>
        </w:rPr>
        <w:t xml:space="preserve">(1), p.185.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Kim, G., Kim, S., Lee, Y.-B., Jin, S.-M., Kyu Yeon Hur and Jae Hyeon Kim (2024). A randomized controlled trial of an app-based intervention on physical activity and glycemic control in people with type 2 diabetes. </w:t>
      </w:r>
      <w:r w:rsidRPr="005126D5">
        <w:rPr>
          <w:i/>
          <w:iCs/>
          <w:color w:val="0D0D0D" w:themeColor="text1" w:themeTint="F2"/>
          <w:highlight w:val="white"/>
        </w:rPr>
        <w:t>BMC medicine</w:t>
      </w:r>
      <w:r w:rsidRPr="005126D5">
        <w:rPr>
          <w:color w:val="0D0D0D" w:themeColor="text1" w:themeTint="F2"/>
          <w:highlight w:val="white"/>
        </w:rPr>
        <w:t>, 22(1). doi:https://doi.org/10.1186/s12916-024-03408-w.</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Kim, J.E., Calderon, S.J., and Kim, M., 2026. Digital health literacy on diabetes knowledge among older adults in the United States. </w:t>
      </w:r>
      <w:r w:rsidRPr="00715C3F">
        <w:rPr>
          <w:i/>
          <w:iCs/>
          <w:color w:val="0D0D0D" w:themeColor="text1" w:themeTint="F2"/>
          <w:highlight w:val="white"/>
          <w:lang w:val="en-IN"/>
        </w:rPr>
        <w:t>Journal of Community Health Nursing</w:t>
      </w:r>
      <w:r w:rsidRPr="00715C3F">
        <w:rPr>
          <w:color w:val="0D0D0D" w:themeColor="text1" w:themeTint="F2"/>
          <w:highlight w:val="white"/>
          <w:lang w:val="en-IN"/>
        </w:rPr>
        <w:t xml:space="preserve">, </w:t>
      </w:r>
      <w:r w:rsidRPr="00715C3F">
        <w:rPr>
          <w:i/>
          <w:iCs/>
          <w:color w:val="0D0D0D" w:themeColor="text1" w:themeTint="F2"/>
          <w:highlight w:val="white"/>
          <w:lang w:val="en-IN"/>
        </w:rPr>
        <w:t>43</w:t>
      </w:r>
      <w:r w:rsidRPr="00715C3F">
        <w:rPr>
          <w:color w:val="0D0D0D" w:themeColor="text1" w:themeTint="F2"/>
          <w:highlight w:val="white"/>
          <w:lang w:val="en-IN"/>
        </w:rPr>
        <w:t>(2), pp.153-167. \</w:t>
      </w:r>
    </w:p>
    <w:p w:rsidR="00364CD8" w:rsidRPr="00364CD8" w:rsidRDefault="00364CD8" w:rsidP="00364CD8">
      <w:pPr>
        <w:spacing w:before="240"/>
        <w:rPr>
          <w:color w:val="EE0000"/>
        </w:rPr>
      </w:pPr>
      <w:r w:rsidRPr="00BC08F0">
        <w:rPr>
          <w:highlight w:val="white"/>
        </w:rPr>
        <w:t xml:space="preserve">Kolaski, K., Romeiser Logan, L. and Ioannidis, J.P., 2023. Guidance to best tools and practices for systematic reviews. </w:t>
      </w:r>
      <w:r w:rsidRPr="00BC08F0">
        <w:rPr>
          <w:i/>
          <w:iCs/>
          <w:highlight w:val="white"/>
        </w:rPr>
        <w:t>Journal of Pediatric Rehabilitation Medicine</w:t>
      </w:r>
      <w:r w:rsidRPr="00BC08F0">
        <w:rPr>
          <w:highlight w:val="white"/>
        </w:rPr>
        <w:t xml:space="preserve">, </w:t>
      </w:r>
      <w:r w:rsidRPr="00BC08F0">
        <w:rPr>
          <w:i/>
          <w:iCs/>
          <w:highlight w:val="white"/>
        </w:rPr>
        <w:t>16</w:t>
      </w:r>
      <w:r w:rsidRPr="00BC08F0">
        <w:rPr>
          <w:highlight w:val="white"/>
        </w:rPr>
        <w:t>(2), pp.241-273.</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Kulsuwan, S., Chantamit-O-Pas, C., Ponpinij, P. and Chantamit-O-Pas, P., 2026. The Effects of an Individual and Family Self-Management Program for Slowing Disease </w:t>
      </w:r>
      <w:r w:rsidRPr="005126D5">
        <w:rPr>
          <w:color w:val="0D0D0D" w:themeColor="text1" w:themeTint="F2"/>
          <w:highlight w:val="white"/>
        </w:rPr>
        <w:lastRenderedPageBreak/>
        <w:t xml:space="preserve">Progression via a Mobile Application on Self-Management Behaviors and Clinical Outcomes in Patients with Stage 3 Chronic Kidney Disease in Thailand: A Quasi-Experimental Study. </w:t>
      </w:r>
      <w:r w:rsidRPr="005126D5">
        <w:rPr>
          <w:i/>
          <w:iCs/>
          <w:color w:val="0D0D0D" w:themeColor="text1" w:themeTint="F2"/>
          <w:highlight w:val="white"/>
        </w:rPr>
        <w:t>Korean Journal of Adult Nursing</w:t>
      </w:r>
      <w:r w:rsidRPr="005126D5">
        <w:rPr>
          <w:color w:val="0D0D0D" w:themeColor="text1" w:themeTint="F2"/>
          <w:highlight w:val="white"/>
        </w:rPr>
        <w:t xml:space="preserve">, </w:t>
      </w:r>
      <w:r w:rsidRPr="005126D5">
        <w:rPr>
          <w:i/>
          <w:iCs/>
          <w:color w:val="0D0D0D" w:themeColor="text1" w:themeTint="F2"/>
          <w:highlight w:val="white"/>
        </w:rPr>
        <w:t>38</w:t>
      </w:r>
      <w:r w:rsidRPr="005126D5">
        <w:rPr>
          <w:color w:val="0D0D0D" w:themeColor="text1" w:themeTint="F2"/>
          <w:highlight w:val="white"/>
        </w:rPr>
        <w:t>(1), pp.108-123.</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Kumari, A., Singh, S., Amitabh, A., Kumar, A. and Khalifa, A.H., 2025. SLR Approach. </w:t>
      </w:r>
    </w:p>
    <w:p w:rsidR="00364CD8" w:rsidRPr="005126D5" w:rsidRDefault="00364CD8" w:rsidP="00984E2B">
      <w:pPr>
        <w:spacing w:before="240" w:after="240"/>
        <w:rPr>
          <w:color w:val="0D0D0D" w:themeColor="text1" w:themeTint="F2"/>
          <w:highlight w:val="white"/>
        </w:rPr>
      </w:pPr>
      <w:r w:rsidRPr="005126D5">
        <w:rPr>
          <w:color w:val="0D0D0D" w:themeColor="text1" w:themeTint="F2"/>
          <w:shd w:val="clear" w:color="auto" w:fill="FFFFFF"/>
        </w:rPr>
        <w:t>Kushnir, I., 2025. Thematic analysis in the area of education: a practical guide. </w:t>
      </w:r>
      <w:r w:rsidRPr="005126D5">
        <w:rPr>
          <w:i/>
          <w:iCs/>
          <w:color w:val="0D0D0D" w:themeColor="text1" w:themeTint="F2"/>
          <w:shd w:val="clear" w:color="auto" w:fill="FFFFFF"/>
        </w:rPr>
        <w:t>Cogent education</w:t>
      </w:r>
      <w:r w:rsidRPr="005126D5">
        <w:rPr>
          <w:color w:val="0D0D0D" w:themeColor="text1" w:themeTint="F2"/>
          <w:shd w:val="clear" w:color="auto" w:fill="FFFFFF"/>
        </w:rPr>
        <w:t>, </w:t>
      </w:r>
      <w:r w:rsidRPr="005126D5">
        <w:rPr>
          <w:i/>
          <w:iCs/>
          <w:color w:val="0D0D0D" w:themeColor="text1" w:themeTint="F2"/>
          <w:shd w:val="clear" w:color="auto" w:fill="FFFFFF"/>
        </w:rPr>
        <w:t>12</w:t>
      </w:r>
      <w:r w:rsidRPr="005126D5">
        <w:rPr>
          <w:color w:val="0D0D0D" w:themeColor="text1" w:themeTint="F2"/>
          <w:shd w:val="clear" w:color="auto" w:fill="FFFFFF"/>
        </w:rPr>
        <w:t xml:space="preserve">(1), p.2471645. </w:t>
      </w:r>
      <w:hyperlink r:id="rId22" w:history="1">
        <w:r w:rsidRPr="005126D5">
          <w:rPr>
            <w:rStyle w:val="Hyperlink"/>
            <w:color w:val="0D0D0D" w:themeColor="text1" w:themeTint="F2"/>
            <w:u w:val="none"/>
            <w:shd w:val="clear" w:color="auto" w:fill="FFFFFF"/>
          </w:rPr>
          <w:t>https://doi.org/10.1080/2331186X.2025.2471645</w:t>
        </w:r>
      </w:hyperlink>
    </w:p>
    <w:p w:rsidR="00364CD8" w:rsidRPr="000F42B6" w:rsidRDefault="00364CD8" w:rsidP="00984E2B">
      <w:pPr>
        <w:spacing w:after="240"/>
      </w:pPr>
      <w:r w:rsidRPr="000F42B6">
        <w:t>Lee, E.Y., Cha, S.A., Yun, J.S., Lim, S.Y., Lee, J.H., Ahn, Y.B., Yoon, K.H., Hyun, M.K. and Ko, S.H., 2022. Efficacy of personalized diabetes self-care using an electronic medical record–integrated mobile app in patients with type 2 diabetes: 6-month randomized controlled trial. </w:t>
      </w:r>
      <w:r w:rsidRPr="000F42B6">
        <w:rPr>
          <w:i/>
          <w:iCs/>
        </w:rPr>
        <w:t>Journal of Medical Internet Research</w:t>
      </w:r>
      <w:r w:rsidRPr="000F42B6">
        <w:t>, </w:t>
      </w:r>
      <w:r w:rsidRPr="000F42B6">
        <w:rPr>
          <w:i/>
          <w:iCs/>
        </w:rPr>
        <w:t>24</w:t>
      </w:r>
      <w:r w:rsidRPr="000F42B6">
        <w:t>(7), p.e37430.</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Levia, A., Galmes-Panades, A.M., Miralles, J., Vidal-Thomas, M.C., Gómez-Cobo, C., Gervilla-García, E., Oña, J.I., Ricci-Cabello, I., Mira-Martínez, S., Malih, N., and Angullo-Martínez, E., A., 2025. Multifaceted Digital Intervention for the Prevention of Type 2 Diabetes Mellitus in Primary Care (PREDIABETEXT): Cluster Randomized Trial. </w:t>
      </w:r>
      <w:r w:rsidRPr="005126D5">
        <w:rPr>
          <w:i/>
          <w:iCs/>
          <w:color w:val="0D0D0D" w:themeColor="text1" w:themeTint="F2"/>
          <w:highlight w:val="white"/>
        </w:rPr>
        <w:t>Journal of Medical Internet Research, vol. 27, p. 1-19</w:t>
      </w:r>
      <w:r w:rsidRPr="005126D5">
        <w:rPr>
          <w:color w:val="0D0D0D" w:themeColor="text1" w:themeTint="F2"/>
          <w:highlight w:val="white"/>
        </w:rPr>
        <w:t>.https://dspace.uib.es/xmlui/bitstream/handle/11201/173522/175745.pdf?sequence=1&amp;isAllowed=y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Li, F., 2025. Investigating the role of Chinese sports media in shaping young adults’ exercise habits through the lens of the health belief model. </w:t>
      </w:r>
      <w:r w:rsidRPr="005126D5">
        <w:rPr>
          <w:i/>
          <w:iCs/>
          <w:color w:val="0D0D0D" w:themeColor="text1" w:themeTint="F2"/>
          <w:highlight w:val="white"/>
        </w:rPr>
        <w:t>Frontiers in Sports and Active Living</w:t>
      </w:r>
      <w:r w:rsidRPr="005126D5">
        <w:rPr>
          <w:color w:val="0D0D0D" w:themeColor="text1" w:themeTint="F2"/>
          <w:highlight w:val="white"/>
        </w:rPr>
        <w:t xml:space="preserve">, </w:t>
      </w:r>
      <w:r w:rsidRPr="005126D5">
        <w:rPr>
          <w:i/>
          <w:iCs/>
          <w:color w:val="0D0D0D" w:themeColor="text1" w:themeTint="F2"/>
          <w:highlight w:val="white"/>
        </w:rPr>
        <w:t>7</w:t>
      </w:r>
      <w:r w:rsidRPr="005126D5">
        <w:rPr>
          <w:color w:val="0D0D0D" w:themeColor="text1" w:themeTint="F2"/>
          <w:highlight w:val="white"/>
        </w:rPr>
        <w:t>, p.1600486.</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Liebenspacher, F. and Siegfried, P., 2022. Pharmacy 4.0—The potential of integrating digital technologies into daily healthcare processes at pharmacies. </w:t>
      </w:r>
      <w:r w:rsidRPr="005126D5">
        <w:rPr>
          <w:i/>
          <w:iCs/>
          <w:color w:val="0D0D0D" w:themeColor="text1" w:themeTint="F2"/>
          <w:highlight w:val="white"/>
        </w:rPr>
        <w:t>Timișoara Med</w:t>
      </w:r>
      <w:r w:rsidRPr="005126D5">
        <w:rPr>
          <w:color w:val="0D0D0D" w:themeColor="text1" w:themeTint="F2"/>
          <w:highlight w:val="white"/>
        </w:rPr>
        <w:t xml:space="preserve">, </w:t>
      </w:r>
      <w:r w:rsidRPr="005126D5">
        <w:rPr>
          <w:i/>
          <w:iCs/>
          <w:color w:val="0D0D0D" w:themeColor="text1" w:themeTint="F2"/>
          <w:highlight w:val="white"/>
        </w:rPr>
        <w:t>2022</w:t>
      </w:r>
      <w:r w:rsidRPr="005126D5">
        <w:rPr>
          <w:color w:val="0D0D0D" w:themeColor="text1" w:themeTint="F2"/>
          <w:highlight w:val="white"/>
        </w:rPr>
        <w:t>(2), pp.0-0.</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MacFarlane, A., Russell-Rose, T. and Shokraneh, F., 2022. Search strategy formulation for systematic reviews: Issues, challenges and opportunities. </w:t>
      </w:r>
      <w:r w:rsidRPr="005126D5">
        <w:rPr>
          <w:i/>
          <w:iCs/>
          <w:color w:val="0D0D0D" w:themeColor="text1" w:themeTint="F2"/>
          <w:highlight w:val="white"/>
        </w:rPr>
        <w:t>Intelligent Systems with Applications</w:t>
      </w:r>
      <w:r w:rsidRPr="005126D5">
        <w:rPr>
          <w:color w:val="0D0D0D" w:themeColor="text1" w:themeTint="F2"/>
          <w:highlight w:val="white"/>
        </w:rPr>
        <w:t xml:space="preserve">, </w:t>
      </w:r>
      <w:r w:rsidRPr="005126D5">
        <w:rPr>
          <w:i/>
          <w:iCs/>
          <w:color w:val="0D0D0D" w:themeColor="text1" w:themeTint="F2"/>
          <w:highlight w:val="white"/>
        </w:rPr>
        <w:t>15</w:t>
      </w:r>
      <w:r w:rsidRPr="005126D5">
        <w:rPr>
          <w:color w:val="0D0D0D" w:themeColor="text1" w:themeTint="F2"/>
          <w:highlight w:val="white"/>
        </w:rPr>
        <w:t>, p.200091.</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Maida, E., Caruso, P., Bonavita, S., Abbadessa, G., Miele, G., Longo, M., Scappaticcio, L., Ruocco, E., Trojsi, F., Esposito, K., Lavorgna, L. and Maiorino, M.I. (2025). Digital Health in Diabetes Care: A Narrative Review from Monitoring to the Management of Systemic and Neurologic Complications. </w:t>
      </w:r>
      <w:r w:rsidRPr="005126D5">
        <w:rPr>
          <w:i/>
          <w:iCs/>
          <w:color w:val="0D0D0D" w:themeColor="text1" w:themeTint="F2"/>
          <w:highlight w:val="white"/>
        </w:rPr>
        <w:t>Journal of Clinical Medicine</w:t>
      </w:r>
      <w:r w:rsidRPr="005126D5">
        <w:rPr>
          <w:color w:val="0D0D0D" w:themeColor="text1" w:themeTint="F2"/>
          <w:highlight w:val="white"/>
        </w:rPr>
        <w:t>, 14(12), p.4240. doi:https://doi.org/10.3390/jcm14124240.</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Mair, J.L., Hashim, J., Thai, L., Tai, E.S., Ryan, J.C., Kowatsch, T., Müller-Riemenschneider, </w:t>
      </w:r>
      <w:r w:rsidRPr="005126D5">
        <w:rPr>
          <w:color w:val="0D0D0D" w:themeColor="text1" w:themeTint="F2"/>
          <w:highlight w:val="white"/>
        </w:rPr>
        <w:lastRenderedPageBreak/>
        <w:t xml:space="preserve">F. and Edney, S.M., 2025. Understanding and overcoming barriers to digital health adoption: a patient and public involvement study. </w:t>
      </w:r>
      <w:r w:rsidRPr="005126D5">
        <w:rPr>
          <w:i/>
          <w:iCs/>
          <w:color w:val="0D0D0D" w:themeColor="text1" w:themeTint="F2"/>
          <w:highlight w:val="white"/>
        </w:rPr>
        <w:t>Translational Behavioral Medicine</w:t>
      </w:r>
      <w:r w:rsidRPr="005126D5">
        <w:rPr>
          <w:color w:val="0D0D0D" w:themeColor="text1" w:themeTint="F2"/>
          <w:highlight w:val="white"/>
        </w:rPr>
        <w:t xml:space="preserve">, </w:t>
      </w:r>
      <w:r w:rsidRPr="005126D5">
        <w:rPr>
          <w:i/>
          <w:iCs/>
          <w:color w:val="0D0D0D" w:themeColor="text1" w:themeTint="F2"/>
          <w:highlight w:val="white"/>
        </w:rPr>
        <w:t>15</w:t>
      </w:r>
      <w:r w:rsidRPr="005126D5">
        <w:rPr>
          <w:color w:val="0D0D0D" w:themeColor="text1" w:themeTint="F2"/>
          <w:highlight w:val="white"/>
        </w:rPr>
        <w:t>(1), p.ibaf010.</w:t>
      </w:r>
    </w:p>
    <w:p w:rsidR="00364CD8" w:rsidRPr="00BC08F0" w:rsidRDefault="00364CD8" w:rsidP="00364CD8">
      <w:pPr>
        <w:spacing w:before="240"/>
        <w:rPr>
          <w:highlight w:val="white"/>
        </w:rPr>
      </w:pPr>
      <w:r w:rsidRPr="00BC08F0">
        <w:rPr>
          <w:highlight w:val="white"/>
        </w:rPr>
        <w:t xml:space="preserve">Makabe, S., Suda, T., Akagawa, Y., Abe, M. and Kakai, H., 2022. Measurement properties of appraisal tools for mixed methods research: A systematic review protocol. </w:t>
      </w:r>
      <w:r w:rsidRPr="00BC08F0">
        <w:rPr>
          <w:i/>
          <w:iCs/>
          <w:highlight w:val="white"/>
        </w:rPr>
        <w:t>Int J Sci Res Arch</w:t>
      </w:r>
      <w:r w:rsidRPr="00BC08F0">
        <w:rPr>
          <w:highlight w:val="white"/>
        </w:rPr>
        <w:t xml:space="preserve">, </w:t>
      </w:r>
      <w:r w:rsidRPr="00BC08F0">
        <w:rPr>
          <w:i/>
          <w:iCs/>
          <w:highlight w:val="white"/>
        </w:rPr>
        <w:t>7</w:t>
      </w:r>
      <w:r w:rsidRPr="00BC08F0">
        <w:rPr>
          <w:highlight w:val="white"/>
        </w:rPr>
        <w:t xml:space="preserve">(1), pp.46-52.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Malik, U., Ahmad, L.I., Hassan, A., Shafique, I., Mohsin, E., Ali, A., Alizai, M.H., and Qazi, I.A., 2026, April. Prompting, Oversight, and Adoption: Physicians’ Use of Large Language Models for Diagnostic Reasoning in an LMIC. In </w:t>
      </w:r>
      <w:r w:rsidRPr="005126D5">
        <w:rPr>
          <w:i/>
          <w:iCs/>
          <w:color w:val="0D0D0D" w:themeColor="text1" w:themeTint="F2"/>
          <w:highlight w:val="white"/>
        </w:rPr>
        <w:t>Proceedings of the 2026 CHI Conference on Human Factors in Computing Systems</w:t>
      </w:r>
      <w:r w:rsidRPr="005126D5">
        <w:rPr>
          <w:color w:val="0D0D0D" w:themeColor="text1" w:themeTint="F2"/>
          <w:highlight w:val="white"/>
        </w:rPr>
        <w:t xml:space="preserve"> (pp. 1-19).</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Mann, R.B., 2026. Navigating Digital Realities: Understanding Young People's Engagement With Social Media for News, Political Information, and Identity Formation. </w:t>
      </w:r>
      <w:r w:rsidRPr="00715C3F">
        <w:rPr>
          <w:i/>
          <w:iCs/>
          <w:color w:val="0D0D0D" w:themeColor="text1" w:themeTint="F2"/>
          <w:highlight w:val="white"/>
          <w:lang w:val="en-IN"/>
        </w:rPr>
        <w:t>Journal of Adolescent &amp; Adult Literacy</w:t>
      </w:r>
      <w:r w:rsidRPr="00715C3F">
        <w:rPr>
          <w:color w:val="0D0D0D" w:themeColor="text1" w:themeTint="F2"/>
          <w:highlight w:val="white"/>
          <w:lang w:val="en-IN"/>
        </w:rPr>
        <w:t xml:space="preserve">, </w:t>
      </w:r>
      <w:r w:rsidRPr="00715C3F">
        <w:rPr>
          <w:i/>
          <w:iCs/>
          <w:color w:val="0D0D0D" w:themeColor="text1" w:themeTint="F2"/>
          <w:highlight w:val="white"/>
          <w:lang w:val="en-IN"/>
        </w:rPr>
        <w:t>69</w:t>
      </w:r>
      <w:r w:rsidRPr="00715C3F">
        <w:rPr>
          <w:color w:val="0D0D0D" w:themeColor="text1" w:themeTint="F2"/>
          <w:highlight w:val="white"/>
          <w:lang w:val="en-IN"/>
        </w:rPr>
        <w:t>(4), p.e70028.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Mbewe, A., Sarkwah, H.N., Ijaodola, O., Ratevosian, J., Simba, S., Smith, T.R., Atiwoto, W.K., Cain, K., Konopka, S.N., Ujam, C., and Topp, S.M., 2026. The role of digital health and artificial intelligence in improving the reach and effectiveness of HIV prevention in Africa. </w:t>
      </w:r>
      <w:r w:rsidRPr="005126D5">
        <w:rPr>
          <w:i/>
          <w:iCs/>
          <w:color w:val="0D0D0D" w:themeColor="text1" w:themeTint="F2"/>
          <w:highlight w:val="white"/>
        </w:rPr>
        <w:t>The Lancet Global Health</w:t>
      </w:r>
      <w:r w:rsidRPr="005126D5">
        <w:rPr>
          <w:color w:val="0D0D0D" w:themeColor="text1" w:themeTint="F2"/>
          <w:highlight w:val="white"/>
        </w:rPr>
        <w:t xml:space="preserve">, </w:t>
      </w:r>
      <w:r w:rsidRPr="005126D5">
        <w:rPr>
          <w:i/>
          <w:iCs/>
          <w:color w:val="0D0D0D" w:themeColor="text1" w:themeTint="F2"/>
          <w:highlight w:val="white"/>
        </w:rPr>
        <w:t>14</w:t>
      </w:r>
      <w:r w:rsidRPr="005126D5">
        <w:rPr>
          <w:color w:val="0D0D0D" w:themeColor="text1" w:themeTint="F2"/>
          <w:highlight w:val="white"/>
        </w:rPr>
        <w:t>(1), pp.e131-e142.</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McGough, B., Murray, E., Brownlee, L., Barron, E., Smith, J. and Valabhji, J. (2019). The Healthier You: NHS Diabetes Prevention Programme: digital modes of delivery engage younger people. </w:t>
      </w:r>
      <w:r w:rsidRPr="005126D5">
        <w:rPr>
          <w:i/>
          <w:iCs/>
          <w:color w:val="0D0D0D" w:themeColor="text1" w:themeTint="F2"/>
          <w:highlight w:val="white"/>
        </w:rPr>
        <w:t>Diabetic Medicine</w:t>
      </w:r>
      <w:r w:rsidRPr="005126D5">
        <w:rPr>
          <w:color w:val="0D0D0D" w:themeColor="text1" w:themeTint="F2"/>
          <w:highlight w:val="white"/>
        </w:rPr>
        <w:t>, 36(11), pp.1510–1511. doi:https://doi.org/10.1111/dme.14083.</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Mekniran, W., Diethelm, W., Stalder, V., Fleisch, E., Kowatsch, T. and Jovanova, M., 2026. Digital health technologies and stakeholder incentives in type-2 diabetes prevention. </w:t>
      </w:r>
      <w:r w:rsidRPr="00715C3F">
        <w:rPr>
          <w:i/>
          <w:iCs/>
          <w:color w:val="0D0D0D" w:themeColor="text1" w:themeTint="F2"/>
          <w:highlight w:val="white"/>
          <w:lang w:val="en-IN"/>
        </w:rPr>
        <w:t>Digital Health</w:t>
      </w:r>
      <w:r w:rsidRPr="00715C3F">
        <w:rPr>
          <w:color w:val="0D0D0D" w:themeColor="text1" w:themeTint="F2"/>
          <w:highlight w:val="white"/>
          <w:lang w:val="en-IN"/>
        </w:rPr>
        <w:t xml:space="preserve">, </w:t>
      </w:r>
      <w:r w:rsidRPr="00715C3F">
        <w:rPr>
          <w:i/>
          <w:iCs/>
          <w:color w:val="0D0D0D" w:themeColor="text1" w:themeTint="F2"/>
          <w:highlight w:val="white"/>
          <w:lang w:val="en-IN"/>
        </w:rPr>
        <w:t>12</w:t>
      </w:r>
      <w:r w:rsidRPr="00715C3F">
        <w:rPr>
          <w:color w:val="0D0D0D" w:themeColor="text1" w:themeTint="F2"/>
          <w:highlight w:val="white"/>
          <w:lang w:val="en-IN"/>
        </w:rPr>
        <w:t>, p.20552076261425402. </w:t>
      </w:r>
    </w:p>
    <w:p w:rsidR="00364CD8" w:rsidRDefault="00364CD8" w:rsidP="00984E2B">
      <w:pPr>
        <w:spacing w:before="240" w:after="240"/>
      </w:pPr>
      <w:r w:rsidRPr="00934136">
        <w:t>Mishra, V. and Mishra, M.P., 2023. PRISMA for review of management literature–method, merits, and limitations–an academic review.</w:t>
      </w:r>
    </w:p>
    <w:p w:rsidR="00364CD8" w:rsidRDefault="00364CD8" w:rsidP="00984E2B">
      <w:pPr>
        <w:spacing w:after="240"/>
      </w:pPr>
      <w:r w:rsidRPr="000F42B6">
        <w:t>Moschonis, G., Siopis, G., Jung, J., Eweka, E., Willems, R., Kwasnicka, D., Asare, B.Y.A., Kodithuwakku, V., Verhaeghe, N., Vedanthan, R. and Annemans, L., 2023. Effectiveness, reach, uptake, and feasibility of digital health interventions for adults with type 2 diabetes: a systematic review and meta-analysis of randomised controlled trials. </w:t>
      </w:r>
      <w:r w:rsidRPr="000F42B6">
        <w:rPr>
          <w:i/>
          <w:iCs/>
        </w:rPr>
        <w:t>The Lancet Digital Health</w:t>
      </w:r>
      <w:r w:rsidRPr="000F42B6">
        <w:t>, </w:t>
      </w:r>
      <w:r w:rsidRPr="000F42B6">
        <w:rPr>
          <w:i/>
          <w:iCs/>
        </w:rPr>
        <w:t>5</w:t>
      </w:r>
      <w:r w:rsidRPr="000F42B6">
        <w:t>(3), pp.e125-e143.</w:t>
      </w:r>
    </w:p>
    <w:p w:rsidR="00364CD8" w:rsidRPr="00BC08F0" w:rsidRDefault="00364CD8" w:rsidP="00364CD8">
      <w:pPr>
        <w:spacing w:before="240"/>
      </w:pPr>
      <w:r w:rsidRPr="00BC08F0">
        <w:rPr>
          <w:highlight w:val="white"/>
        </w:rPr>
        <w:t xml:space="preserve">Munn, Z., Stone, J.C., Aromataris, E., Klugar, M., Sears, K., Leonardi-Bee, J. and Barker, </w:t>
      </w:r>
      <w:r w:rsidRPr="00BC08F0">
        <w:rPr>
          <w:highlight w:val="white"/>
        </w:rPr>
        <w:lastRenderedPageBreak/>
        <w:t xml:space="preserve">T.H., 2023. Assessing the risk of bias of quantitative analytical studies: introducing the vision for critical appraisal within JBI systematic reviews. </w:t>
      </w:r>
      <w:r w:rsidRPr="00BC08F0">
        <w:rPr>
          <w:i/>
          <w:iCs/>
          <w:highlight w:val="white"/>
        </w:rPr>
        <w:t>JBI Evidence Synthesis</w:t>
      </w:r>
      <w:r w:rsidRPr="00BC08F0">
        <w:rPr>
          <w:highlight w:val="white"/>
        </w:rPr>
        <w:t xml:space="preserve">, </w:t>
      </w:r>
      <w:r w:rsidRPr="00BC08F0">
        <w:rPr>
          <w:i/>
          <w:iCs/>
          <w:highlight w:val="white"/>
        </w:rPr>
        <w:t>21</w:t>
      </w:r>
      <w:r w:rsidRPr="00BC08F0">
        <w:rPr>
          <w:highlight w:val="white"/>
        </w:rPr>
        <w:t>(3), pp.467-471.</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Mwirigi, P.K., Odini, C. and Rotich, D.C., 2026. THE IMPACT OF DIGITAL LITERACY AND TECHNOLOGICAL TOOLS ON ELDERLY HEALTH INFORMATION PRACTICES. </w:t>
      </w:r>
      <w:r w:rsidRPr="005126D5">
        <w:rPr>
          <w:i/>
          <w:iCs/>
          <w:color w:val="0D0D0D" w:themeColor="text1" w:themeTint="F2"/>
          <w:highlight w:val="white"/>
        </w:rPr>
        <w:t>African Journal of Emerging Issues</w:t>
      </w:r>
      <w:r w:rsidRPr="005126D5">
        <w:rPr>
          <w:color w:val="0D0D0D" w:themeColor="text1" w:themeTint="F2"/>
          <w:highlight w:val="white"/>
        </w:rPr>
        <w:t xml:space="preserve">, </w:t>
      </w:r>
      <w:r w:rsidRPr="005126D5">
        <w:rPr>
          <w:i/>
          <w:iCs/>
          <w:color w:val="0D0D0D" w:themeColor="text1" w:themeTint="F2"/>
          <w:highlight w:val="white"/>
        </w:rPr>
        <w:t>8</w:t>
      </w:r>
      <w:r w:rsidRPr="005126D5">
        <w:rPr>
          <w:color w:val="0D0D0D" w:themeColor="text1" w:themeTint="F2"/>
          <w:highlight w:val="white"/>
        </w:rPr>
        <w:t>(1), pp.1-38.</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Nanditha, A., Thomson, H., Susairaj, P., Srivanichakorn, W., Oliver, N., Godsland, I.F., Majeed, A., Darzi, A., Satheesh, K., Simon, M., Raghavan, A., Vinitha, R., Snehalatha, C., Westgate, K., Brage, S., Sharp, S.J., Wareham, N.J., Johnston, D.G. and Ramachandran, A. (2020). A pragmatic and scalable strategy using mobile technology to promote sustained lifestyle changes to prevent type 2 diabetes in India and the UK: a randomised controlled trial. </w:t>
      </w:r>
      <w:r w:rsidRPr="005126D5">
        <w:rPr>
          <w:i/>
          <w:iCs/>
          <w:color w:val="0D0D0D" w:themeColor="text1" w:themeTint="F2"/>
          <w:highlight w:val="white"/>
        </w:rPr>
        <w:t>Diabetologia</w:t>
      </w:r>
      <w:r w:rsidRPr="005126D5">
        <w:rPr>
          <w:color w:val="0D0D0D" w:themeColor="text1" w:themeTint="F2"/>
          <w:highlight w:val="white"/>
        </w:rPr>
        <w:t>, 63(3), pp.486–496. doi:https://doi.org/10.1007/s00125-019-05061-y.</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Narayan, S.M., Chung, M.K., Adedinsewo, D., Brant, L.C., Davis, L.L., Duncker, D., Hall, J.L., Han, J.K., Lam, C.S., Lewis, E., and Loscalzo, J., 2026. Access to digital health technologies: personalized framework and global perspectives. Nature Reviews Cardiology, 23(1), pp.9-22.</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NHS, 2024. </w:t>
      </w:r>
      <w:r w:rsidRPr="005126D5">
        <w:rPr>
          <w:i/>
          <w:iCs/>
          <w:color w:val="0D0D0D" w:themeColor="text1" w:themeTint="F2"/>
          <w:highlight w:val="white"/>
        </w:rPr>
        <w:t xml:space="preserve">Statistics on Public Health, England 2023 </w:t>
      </w:r>
      <w:r w:rsidRPr="005126D5">
        <w:rPr>
          <w:color w:val="0D0D0D" w:themeColor="text1" w:themeTint="F2"/>
          <w:highlight w:val="white"/>
        </w:rPr>
        <w:t xml:space="preserve">[Online] Available at: </w:t>
      </w:r>
      <w:hyperlink r:id="rId23" w:history="1">
        <w:r w:rsidRPr="005126D5">
          <w:rPr>
            <w:rStyle w:val="Hyperlink"/>
          </w:rPr>
          <w:t>https://digital.nhs.uk/data-and-information/publications/statistical/statistics-on-public-health/2023</w:t>
        </w:r>
      </w:hyperlink>
      <w:r w:rsidRPr="005126D5">
        <w:rPr>
          <w:color w:val="0D0D0D" w:themeColor="text1" w:themeTint="F2"/>
          <w:highlight w:val="white"/>
        </w:rPr>
        <w:t xml:space="preserve">  [Accessed on: 1.04.2026]</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Nightingale, J. and Stewart-Lord, A., 2026. Mixed methodology: A pragmatic approach to investigating complexity in radiography research. </w:t>
      </w:r>
      <w:r w:rsidRPr="00715C3F">
        <w:rPr>
          <w:i/>
          <w:iCs/>
          <w:color w:val="0D0D0D" w:themeColor="text1" w:themeTint="F2"/>
          <w:highlight w:val="white"/>
          <w:lang w:val="en-IN"/>
        </w:rPr>
        <w:t>Radiography</w:t>
      </w:r>
      <w:r w:rsidRPr="00715C3F">
        <w:rPr>
          <w:color w:val="0D0D0D" w:themeColor="text1" w:themeTint="F2"/>
          <w:highlight w:val="white"/>
          <w:lang w:val="en-IN"/>
        </w:rPr>
        <w:t xml:space="preserve">, </w:t>
      </w:r>
      <w:r w:rsidRPr="00715C3F">
        <w:rPr>
          <w:i/>
          <w:iCs/>
          <w:color w:val="0D0D0D" w:themeColor="text1" w:themeTint="F2"/>
          <w:highlight w:val="white"/>
          <w:lang w:val="en-IN"/>
        </w:rPr>
        <w:t>32</w:t>
      </w:r>
      <w:r w:rsidRPr="00715C3F">
        <w:rPr>
          <w:color w:val="0D0D0D" w:themeColor="text1" w:themeTint="F2"/>
          <w:highlight w:val="white"/>
          <w:lang w:val="en-IN"/>
        </w:rPr>
        <w:t>(1), p.103257. </w:t>
      </w:r>
    </w:p>
    <w:p w:rsidR="00364CD8" w:rsidRDefault="00364CD8" w:rsidP="00984E2B">
      <w:pPr>
        <w:spacing w:before="240" w:after="240"/>
      </w:pPr>
      <w:r w:rsidRPr="008668CD">
        <w:t>Nii Laryeafio, M. and Ogbewe, O.C., 2023. Ethical consideration dilemma: systematic review of ethics in qualitative data collection through interviews. </w:t>
      </w:r>
      <w:r w:rsidRPr="008668CD">
        <w:rPr>
          <w:i/>
          <w:iCs/>
        </w:rPr>
        <w:t>Journal of Ethics in Entrepreneurship and Technology</w:t>
      </w:r>
      <w:r w:rsidRPr="008668CD">
        <w:t>, </w:t>
      </w:r>
      <w:r w:rsidRPr="008668CD">
        <w:rPr>
          <w:i/>
          <w:iCs/>
        </w:rPr>
        <w:t>3</w:t>
      </w:r>
      <w:r w:rsidRPr="008668CD">
        <w:t>(2), pp.94-110.</w:t>
      </w:r>
    </w:p>
    <w:p w:rsidR="00364CD8" w:rsidRPr="00BC08F0" w:rsidRDefault="00364CD8" w:rsidP="00984E2B">
      <w:pPr>
        <w:spacing w:after="240"/>
      </w:pPr>
      <w:r w:rsidRPr="00BC08F0">
        <w:t>Orih, D., Heyeres, M., Morgan, R., Udah, H. and Tsey, K., 2024, November. A systematic review of soft skills interventions within curricula from school to university level. In </w:t>
      </w:r>
      <w:r w:rsidRPr="00BC08F0">
        <w:rPr>
          <w:i/>
          <w:iCs/>
        </w:rPr>
        <w:t>Frontiers in Education</w:t>
      </w:r>
      <w:r w:rsidRPr="00BC08F0">
        <w:t> (Vol. 9, p. 1383297). Frontiers Media SA.</w:t>
      </w:r>
    </w:p>
    <w:p w:rsidR="00364CD8" w:rsidRDefault="00364CD8" w:rsidP="00984E2B">
      <w:pPr>
        <w:spacing w:after="240"/>
      </w:pPr>
      <w:r w:rsidRPr="000F42B6">
        <w:t>Ossenbrink, L., Haase, T., Timpel, P., Schoffer, O., Scheibe, M., Schmitt, J., Deckert, S. and Harst, L., 2023. Effectiveness of digital health interventions containing game components for the self-management of type 2 diabetes: systematic review. </w:t>
      </w:r>
      <w:r w:rsidRPr="000F42B6">
        <w:rPr>
          <w:i/>
          <w:iCs/>
        </w:rPr>
        <w:t>JMIR Serious Games</w:t>
      </w:r>
      <w:r w:rsidRPr="000F42B6">
        <w:t>, </w:t>
      </w:r>
      <w:r w:rsidRPr="000F42B6">
        <w:rPr>
          <w:i/>
          <w:iCs/>
        </w:rPr>
        <w:t>11</w:t>
      </w:r>
      <w:r w:rsidRPr="000F42B6">
        <w:t>(1), p.e44132.</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lastRenderedPageBreak/>
        <w:t>Pal, K., Dack, C., Ross, J., Michie, S., May, C., Stevenson, F., Farmer, A., Yardley, L., Barnard, M. and Murray, E. (2018). Digital Health Interventions for Adults With Type 2 Diabetes: Qualitative Study of Patient Perspectives on Diabetes Self-Management Education and Support. </w:t>
      </w:r>
      <w:r w:rsidRPr="005126D5">
        <w:rPr>
          <w:i/>
          <w:iCs/>
          <w:color w:val="0D0D0D" w:themeColor="text1" w:themeTint="F2"/>
          <w:highlight w:val="white"/>
        </w:rPr>
        <w:t>Journal of Medical Internet Research</w:t>
      </w:r>
      <w:r w:rsidRPr="005126D5">
        <w:rPr>
          <w:color w:val="0D0D0D" w:themeColor="text1" w:themeTint="F2"/>
          <w:highlight w:val="white"/>
        </w:rPr>
        <w:t>, [online] 20(2), p.e40. doi:https://doi.org/10.2196/jmir.8439.</w:t>
      </w:r>
    </w:p>
    <w:p w:rsidR="00364CD8" w:rsidRDefault="00364CD8" w:rsidP="00984E2B">
      <w:pPr>
        <w:spacing w:after="160"/>
      </w:pPr>
      <w:r w:rsidRPr="004D2A37">
        <w:t>Pregoner, J.D., 2024. Research approaches in education: A comparison of quantitative, qualitative and mixed methods. </w:t>
      </w:r>
      <w:r w:rsidRPr="004D2A37">
        <w:rPr>
          <w:i/>
          <w:iCs/>
        </w:rPr>
        <w:t>IMCC Journal of Science</w:t>
      </w:r>
      <w:r w:rsidRPr="004D2A37">
        <w:t>.</w:t>
      </w:r>
    </w:p>
    <w:p w:rsidR="00364CD8" w:rsidRPr="00BC08F0" w:rsidRDefault="00364CD8" w:rsidP="00984E2B">
      <w:pPr>
        <w:spacing w:after="240"/>
      </w:pPr>
      <w:r w:rsidRPr="00BC08F0">
        <w:t>Şahin, A., Kara, B.C. and Dirsehan, T., 2025. LitOrganizer: Automating the process of data extraction and organization for scientific literature reviews. </w:t>
      </w:r>
      <w:r w:rsidRPr="00BC08F0">
        <w:rPr>
          <w:i/>
          <w:iCs/>
        </w:rPr>
        <w:t>SoftwareX</w:t>
      </w:r>
      <w:r w:rsidRPr="00BC08F0">
        <w:t>, </w:t>
      </w:r>
      <w:r w:rsidRPr="00BC08F0">
        <w:rPr>
          <w:i/>
          <w:iCs/>
        </w:rPr>
        <w:t>30</w:t>
      </w:r>
      <w:r w:rsidRPr="00BC08F0">
        <w:t>, p.102198.</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Santhanam, S., Ravindran, V. and Wincup, C., 2025. Critical appraisal of an original research article. </w:t>
      </w:r>
      <w:r w:rsidRPr="005126D5">
        <w:rPr>
          <w:i/>
          <w:iCs/>
          <w:color w:val="0D0D0D" w:themeColor="text1" w:themeTint="F2"/>
          <w:highlight w:val="white"/>
        </w:rPr>
        <w:t>Journal of the Royal College of Physicians of Edinburgh</w:t>
      </w:r>
      <w:r w:rsidRPr="005126D5">
        <w:rPr>
          <w:color w:val="0D0D0D" w:themeColor="text1" w:themeTint="F2"/>
          <w:highlight w:val="white"/>
        </w:rPr>
        <w:t xml:space="preserve">, </w:t>
      </w:r>
      <w:r w:rsidRPr="005126D5">
        <w:rPr>
          <w:i/>
          <w:iCs/>
          <w:color w:val="0D0D0D" w:themeColor="text1" w:themeTint="F2"/>
          <w:highlight w:val="white"/>
        </w:rPr>
        <w:t>55</w:t>
      </w:r>
      <w:r w:rsidRPr="005126D5">
        <w:rPr>
          <w:color w:val="0D0D0D" w:themeColor="text1" w:themeTint="F2"/>
          <w:highlight w:val="white"/>
        </w:rPr>
        <w:t>(4), pp.347-357.</w:t>
      </w:r>
    </w:p>
    <w:p w:rsidR="00364CD8" w:rsidRPr="00BC08F0" w:rsidRDefault="00364CD8" w:rsidP="00984E2B">
      <w:pPr>
        <w:spacing w:before="240" w:after="240"/>
        <w:rPr>
          <w:highlight w:val="white"/>
        </w:rPr>
      </w:pPr>
      <w:r w:rsidRPr="00BC08F0">
        <w:rPr>
          <w:highlight w:val="white"/>
        </w:rPr>
        <w:t>Saout, T., Lardeux, F. and Saubion, F., 2024. An overview of data extraction from invoices. </w:t>
      </w:r>
      <w:r w:rsidRPr="00BC08F0">
        <w:rPr>
          <w:i/>
          <w:iCs/>
          <w:highlight w:val="white"/>
        </w:rPr>
        <w:t>IEEE Access</w:t>
      </w:r>
      <w:r w:rsidRPr="00BC08F0">
        <w:rPr>
          <w:highlight w:val="white"/>
        </w:rPr>
        <w:t>, </w:t>
      </w:r>
      <w:r w:rsidRPr="00BC08F0">
        <w:rPr>
          <w:i/>
          <w:iCs/>
          <w:highlight w:val="white"/>
        </w:rPr>
        <w:t>12</w:t>
      </w:r>
      <w:r w:rsidRPr="00BC08F0">
        <w:rPr>
          <w:highlight w:val="white"/>
        </w:rPr>
        <w:t>, pp.19872-19886.</w:t>
      </w:r>
    </w:p>
    <w:p w:rsidR="00364CD8" w:rsidRPr="00BC08F0" w:rsidRDefault="00364CD8" w:rsidP="00984E2B">
      <w:pPr>
        <w:spacing w:after="240"/>
      </w:pPr>
      <w:r w:rsidRPr="00BC08F0">
        <w:t>Sasannia, S., Amini, M., Moosavi, M., Askarinejad, A., Moghadami, M., Ziaee, H. and Vara, F., 2022. Critical appraisal skills training to undergraduate medical students: A Randomized Control Study. </w:t>
      </w:r>
      <w:r w:rsidRPr="00BC08F0">
        <w:rPr>
          <w:i/>
          <w:iCs/>
        </w:rPr>
        <w:t>Journal of Advances in Medical Education &amp; Professionalism</w:t>
      </w:r>
      <w:r w:rsidRPr="00BC08F0">
        <w:t>, </w:t>
      </w:r>
      <w:r w:rsidRPr="00BC08F0">
        <w:rPr>
          <w:i/>
          <w:iCs/>
        </w:rPr>
        <w:t>10</w:t>
      </w:r>
      <w:r w:rsidRPr="00BC08F0">
        <w:t>(4), p.253.</w:t>
      </w:r>
    </w:p>
    <w:p w:rsidR="00364CD8" w:rsidRDefault="00364CD8" w:rsidP="00984E2B">
      <w:pPr>
        <w:spacing w:before="240"/>
      </w:pPr>
      <w:r w:rsidRPr="008668CD">
        <w:t>Schulze, A., Brand, F., Geppert, J. and Böl, G.F., 2023. Digital dashboards visualizing public health data: a systematic review. </w:t>
      </w:r>
      <w:r w:rsidRPr="008668CD">
        <w:rPr>
          <w:i/>
          <w:iCs/>
        </w:rPr>
        <w:t>Frontiers in Public Health</w:t>
      </w:r>
      <w:r w:rsidRPr="008668CD">
        <w:t>, </w:t>
      </w:r>
      <w:r w:rsidRPr="008668CD">
        <w:rPr>
          <w:i/>
          <w:iCs/>
        </w:rPr>
        <w:t>11</w:t>
      </w:r>
      <w:r w:rsidRPr="008668CD">
        <w:t>, p.999958.</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Scott, L., Casselden, B., Hastings, D.P., Howley, S. and Whitton, N., 2026. Digital inclusion in later life: the role of libraries in helping older people thrive in a digital world. </w:t>
      </w:r>
      <w:r w:rsidRPr="00715C3F">
        <w:rPr>
          <w:i/>
          <w:iCs/>
          <w:color w:val="0D0D0D" w:themeColor="text1" w:themeTint="F2"/>
          <w:highlight w:val="white"/>
          <w:lang w:val="en-IN"/>
        </w:rPr>
        <w:t>Behaviour &amp; Information Technology</w:t>
      </w:r>
      <w:r w:rsidRPr="00715C3F">
        <w:rPr>
          <w:color w:val="0D0D0D" w:themeColor="text1" w:themeTint="F2"/>
          <w:highlight w:val="white"/>
          <w:lang w:val="en-IN"/>
        </w:rPr>
        <w:t>, pp.1-19. </w:t>
      </w:r>
    </w:p>
    <w:p w:rsidR="00364CD8" w:rsidRDefault="00364CD8" w:rsidP="00984E2B">
      <w:pPr>
        <w:spacing w:after="240"/>
      </w:pPr>
      <w:r w:rsidRPr="000F42B6">
        <w:t>Shaban, M.M., Sharaa, H.M., Amer, F.G.M. and Shaban, M., 2024. Effect of digital based nursing intervention on knowledge of self-care behaviors and self-efficacy of adult clients with diabetes. </w:t>
      </w:r>
      <w:r w:rsidRPr="000F42B6">
        <w:rPr>
          <w:i/>
          <w:iCs/>
        </w:rPr>
        <w:t>BMC nursing</w:t>
      </w:r>
      <w:r w:rsidRPr="000F42B6">
        <w:t>, </w:t>
      </w:r>
      <w:r w:rsidRPr="000F42B6">
        <w:rPr>
          <w:i/>
          <w:iCs/>
        </w:rPr>
        <w:t>23</w:t>
      </w:r>
      <w:r w:rsidRPr="000F42B6">
        <w:t>(1), p.130.</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Shah, S.H., Yadav, N.K., Virani, A., Priya, P., Rathore, K.B., Dange, K., and Warjukar, E., 2026. Cross-Domain Diagnostic Performance of Analytical and Artificial Intelligence-Based Methods: A Systematic Review With Emphasis on Ophthalmic Imaging. </w:t>
      </w:r>
      <w:r w:rsidRPr="00715C3F">
        <w:rPr>
          <w:i/>
          <w:iCs/>
          <w:color w:val="0D0D0D" w:themeColor="text1" w:themeTint="F2"/>
          <w:highlight w:val="white"/>
          <w:lang w:val="en-IN"/>
        </w:rPr>
        <w:t>Cureus</w:t>
      </w:r>
      <w:r w:rsidRPr="00715C3F">
        <w:rPr>
          <w:color w:val="0D0D0D" w:themeColor="text1" w:themeTint="F2"/>
          <w:highlight w:val="white"/>
          <w:lang w:val="en-IN"/>
        </w:rPr>
        <w:t xml:space="preserve">, </w:t>
      </w:r>
      <w:r w:rsidRPr="00715C3F">
        <w:rPr>
          <w:i/>
          <w:iCs/>
          <w:color w:val="0D0D0D" w:themeColor="text1" w:themeTint="F2"/>
          <w:highlight w:val="white"/>
          <w:lang w:val="en-IN"/>
        </w:rPr>
        <w:t>18</w:t>
      </w:r>
      <w:r w:rsidRPr="00715C3F">
        <w:rPr>
          <w:color w:val="0D0D0D" w:themeColor="text1" w:themeTint="F2"/>
          <w:highlight w:val="white"/>
          <w:lang w:val="en-IN"/>
        </w:rPr>
        <w:t>(4).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Shaheen, N., Shaheen, A., Ramadan, A., Hefnawy, M.T., Ramadan, A., Ibrahim, I.A., Hassanein, M.E., Ashour, M.E. and Flouty, O., 2023. Appraising systematic reviews: a comprehensive guide to ensuring validity and reliability. </w:t>
      </w:r>
      <w:r w:rsidRPr="005126D5">
        <w:rPr>
          <w:i/>
          <w:iCs/>
          <w:color w:val="0D0D0D" w:themeColor="text1" w:themeTint="F2"/>
          <w:highlight w:val="white"/>
        </w:rPr>
        <w:t xml:space="preserve">Frontiers in research metrics and </w:t>
      </w:r>
      <w:r w:rsidRPr="005126D5">
        <w:rPr>
          <w:i/>
          <w:iCs/>
          <w:color w:val="0D0D0D" w:themeColor="text1" w:themeTint="F2"/>
          <w:highlight w:val="white"/>
        </w:rPr>
        <w:lastRenderedPageBreak/>
        <w:t>analytics</w:t>
      </w:r>
      <w:r w:rsidRPr="005126D5">
        <w:rPr>
          <w:color w:val="0D0D0D" w:themeColor="text1" w:themeTint="F2"/>
          <w:highlight w:val="white"/>
        </w:rPr>
        <w:t xml:space="preserve">, </w:t>
      </w:r>
      <w:r w:rsidRPr="005126D5">
        <w:rPr>
          <w:i/>
          <w:iCs/>
          <w:color w:val="0D0D0D" w:themeColor="text1" w:themeTint="F2"/>
          <w:highlight w:val="white"/>
        </w:rPr>
        <w:t>8</w:t>
      </w:r>
      <w:r w:rsidRPr="005126D5">
        <w:rPr>
          <w:color w:val="0D0D0D" w:themeColor="text1" w:themeTint="F2"/>
          <w:highlight w:val="white"/>
        </w:rPr>
        <w:t>, p.1268045.</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Shaheen, O.M., Shady, M.M.A., Abdelsalam, M.M., Bekhet, M.M., Mansour, H.K. and Elhalawany, S.H., 2026. Effect of Tight Glycemic Control on Microvascular Complications in Type 2 Diabetes Mellitus—a Randomized Controlled Trial in an Egyptian Cohort. </w:t>
      </w:r>
      <w:r w:rsidRPr="00715C3F">
        <w:rPr>
          <w:i/>
          <w:iCs/>
          <w:color w:val="0D0D0D" w:themeColor="text1" w:themeTint="F2"/>
          <w:highlight w:val="white"/>
          <w:lang w:val="en-IN"/>
        </w:rPr>
        <w:t>Clinical Diabetology</w:t>
      </w:r>
      <w:r w:rsidRPr="00715C3F">
        <w:rPr>
          <w:color w:val="0D0D0D" w:themeColor="text1" w:themeTint="F2"/>
          <w:highlight w:val="white"/>
          <w:lang w:val="en-IN"/>
        </w:rPr>
        <w:t>.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Shtg, 2025. </w:t>
      </w:r>
      <w:r w:rsidRPr="005126D5">
        <w:rPr>
          <w:i/>
          <w:iCs/>
          <w:color w:val="0D0D0D" w:themeColor="text1" w:themeTint="F2"/>
          <w:highlight w:val="white"/>
        </w:rPr>
        <w:t>Digital prevention programmes for people at risk of developing type 2 diabetes</w:t>
      </w:r>
      <w:r w:rsidRPr="005126D5">
        <w:rPr>
          <w:color w:val="0D0D0D" w:themeColor="text1" w:themeTint="F2"/>
          <w:highlight w:val="white"/>
        </w:rPr>
        <w:t xml:space="preserve"> [Online] Available at: </w:t>
      </w:r>
      <w:hyperlink r:id="rId24" w:history="1">
        <w:r w:rsidRPr="005126D5">
          <w:rPr>
            <w:rStyle w:val="Hyperlink"/>
          </w:rPr>
          <w:t>https://shtg.scot/media/5vnd42qv/20250516-updated-report-digital-prevention-programme-for-people-at-risk-of-t2d.pdf</w:t>
        </w:r>
      </w:hyperlink>
      <w:r w:rsidRPr="005126D5">
        <w:rPr>
          <w:color w:val="0D0D0D" w:themeColor="text1" w:themeTint="F2"/>
          <w:highlight w:val="white"/>
        </w:rPr>
        <w:t>  [Accessed on: 1.04.2026]</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Sivakumar, S. and Sivakumar, G., 2025. Weightage identified network of keywords technique: A structured approach in identifying keywords for systematic reviews. </w:t>
      </w:r>
      <w:r w:rsidRPr="005126D5">
        <w:rPr>
          <w:i/>
          <w:iCs/>
          <w:color w:val="0D0D0D" w:themeColor="text1" w:themeTint="F2"/>
          <w:highlight w:val="white"/>
        </w:rPr>
        <w:t>Healthcare Informatics Research</w:t>
      </w:r>
      <w:r w:rsidRPr="005126D5">
        <w:rPr>
          <w:color w:val="0D0D0D" w:themeColor="text1" w:themeTint="F2"/>
          <w:highlight w:val="white"/>
        </w:rPr>
        <w:t xml:space="preserve">, </w:t>
      </w:r>
      <w:r w:rsidRPr="005126D5">
        <w:rPr>
          <w:i/>
          <w:iCs/>
          <w:color w:val="0D0D0D" w:themeColor="text1" w:themeTint="F2"/>
          <w:highlight w:val="white"/>
        </w:rPr>
        <w:t>31</w:t>
      </w:r>
      <w:r w:rsidRPr="005126D5">
        <w:rPr>
          <w:color w:val="0D0D0D" w:themeColor="text1" w:themeTint="F2"/>
          <w:highlight w:val="white"/>
        </w:rPr>
        <w:t>(1), pp.48-56.</w:t>
      </w:r>
    </w:p>
    <w:p w:rsidR="00364CD8" w:rsidRPr="005126D5" w:rsidRDefault="00364CD8" w:rsidP="00984E2B">
      <w:pPr>
        <w:spacing w:before="240" w:after="240"/>
        <w:rPr>
          <w:color w:val="0D0D0D" w:themeColor="text1" w:themeTint="F2"/>
        </w:rPr>
      </w:pPr>
      <w:r w:rsidRPr="005126D5">
        <w:rPr>
          <w:color w:val="0D0D0D" w:themeColor="text1" w:themeTint="F2"/>
          <w:shd w:val="clear" w:color="auto" w:fill="FFFFFF"/>
        </w:rPr>
        <w:t>Squires, V., 2023. Thematic analysis. In </w:t>
      </w:r>
      <w:r w:rsidRPr="005126D5">
        <w:rPr>
          <w:i/>
          <w:iCs/>
          <w:color w:val="0D0D0D" w:themeColor="text1" w:themeTint="F2"/>
          <w:shd w:val="clear" w:color="auto" w:fill="FFFFFF"/>
        </w:rPr>
        <w:t>Varieties of qualitative research methods: Selected contextual perspectives</w:t>
      </w:r>
      <w:r w:rsidRPr="005126D5">
        <w:rPr>
          <w:color w:val="0D0D0D" w:themeColor="text1" w:themeTint="F2"/>
          <w:shd w:val="clear" w:color="auto" w:fill="FFFFFF"/>
        </w:rPr>
        <w:t xml:space="preserve"> (pp. 463-468). Cham: Springer International Publishing. </w:t>
      </w:r>
      <w:hyperlink r:id="rId25" w:history="1">
        <w:r w:rsidRPr="005126D5">
          <w:rPr>
            <w:rStyle w:val="Hyperlink"/>
            <w:color w:val="0D0D0D" w:themeColor="text1" w:themeTint="F2"/>
            <w:u w:val="none"/>
            <w:shd w:val="clear" w:color="auto" w:fill="FFFFFF"/>
          </w:rPr>
          <w:t>https://link.springer.com/chapter/10.1007/978-3-031-04394-9_72</w:t>
        </w:r>
      </w:hyperlink>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Stern, C., Li, J., Stone, J., Khalil, H., Sears, K., Jia, R.M., Bhatarasakoon, P., Aromataris, E., and Fernandez, R., 2026. Data analysis and presentation methods in umbrella reviews/overviews of reviews in health care: A cross-sectional study. </w:t>
      </w:r>
      <w:r w:rsidRPr="005126D5">
        <w:rPr>
          <w:i/>
          <w:iCs/>
          <w:color w:val="0D0D0D" w:themeColor="text1" w:themeTint="F2"/>
          <w:highlight w:val="white"/>
        </w:rPr>
        <w:t>Research Synthesis Methods</w:t>
      </w:r>
      <w:r w:rsidRPr="005126D5">
        <w:rPr>
          <w:color w:val="0D0D0D" w:themeColor="text1" w:themeTint="F2"/>
          <w:highlight w:val="white"/>
        </w:rPr>
        <w:t xml:space="preserve">, </w:t>
      </w:r>
      <w:r w:rsidRPr="005126D5">
        <w:rPr>
          <w:i/>
          <w:iCs/>
          <w:color w:val="0D0D0D" w:themeColor="text1" w:themeTint="F2"/>
          <w:highlight w:val="white"/>
        </w:rPr>
        <w:t>17</w:t>
      </w:r>
      <w:r w:rsidRPr="005126D5">
        <w:rPr>
          <w:color w:val="0D0D0D" w:themeColor="text1" w:themeTint="F2"/>
          <w:highlight w:val="white"/>
        </w:rPr>
        <w:t>(1), pp.210-224.</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Sun, P., Wan, Z., and Liu, Y., 2026. Towards Comprehensive Chronic Disease Control: Prevention, Early Detection, and Integrated Management. </w:t>
      </w:r>
      <w:r w:rsidRPr="00715C3F">
        <w:rPr>
          <w:i/>
          <w:iCs/>
          <w:color w:val="0D0D0D" w:themeColor="text1" w:themeTint="F2"/>
          <w:highlight w:val="white"/>
          <w:lang w:val="en-IN"/>
        </w:rPr>
        <w:t>Medicine Bulletin</w:t>
      </w:r>
      <w:r w:rsidRPr="00715C3F">
        <w:rPr>
          <w:color w:val="0D0D0D" w:themeColor="text1" w:themeTint="F2"/>
          <w:highlight w:val="white"/>
          <w:lang w:val="en-IN"/>
        </w:rPr>
        <w:t>. </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Szekely, R., Armstrong, M., Geraghty, A.W., Edwards, J., Hardenberg, K., Lloyd, J., Hawkes, R., Ocran, N., Ramasawmy, M., Poduval, S., and Turnbull, S., 2026. Digital Health Interventions for Diabetes Distress in Type 2 Diabetes: Protocol for a Scoping Literature Review Focused on Equity and Inclusion. </w:t>
      </w:r>
      <w:r w:rsidRPr="00715C3F">
        <w:rPr>
          <w:i/>
          <w:iCs/>
          <w:color w:val="0D0D0D" w:themeColor="text1" w:themeTint="F2"/>
          <w:highlight w:val="white"/>
          <w:lang w:val="en-IN"/>
        </w:rPr>
        <w:t>JMIR Research Protocols</w:t>
      </w:r>
      <w:r w:rsidRPr="00715C3F">
        <w:rPr>
          <w:color w:val="0D0D0D" w:themeColor="text1" w:themeTint="F2"/>
          <w:highlight w:val="white"/>
          <w:lang w:val="en-IN"/>
        </w:rPr>
        <w:t xml:space="preserve">, </w:t>
      </w:r>
      <w:r w:rsidRPr="00715C3F">
        <w:rPr>
          <w:i/>
          <w:iCs/>
          <w:color w:val="0D0D0D" w:themeColor="text1" w:themeTint="F2"/>
          <w:highlight w:val="white"/>
          <w:lang w:val="en-IN"/>
        </w:rPr>
        <w:t>15</w:t>
      </w:r>
      <w:r w:rsidRPr="00715C3F">
        <w:rPr>
          <w:color w:val="0D0D0D" w:themeColor="text1" w:themeTint="F2"/>
          <w:highlight w:val="white"/>
          <w:lang w:val="en-IN"/>
        </w:rPr>
        <w:t>(1), p.e85406. </w:t>
      </w:r>
    </w:p>
    <w:p w:rsidR="00364CD8" w:rsidRPr="005126D5" w:rsidRDefault="00364CD8" w:rsidP="00984E2B">
      <w:pPr>
        <w:spacing w:after="160"/>
      </w:pPr>
      <w:r w:rsidRPr="0004238D">
        <w:t>Taquette, S.R. and Borges da Matta Souza, L.M., 2022. Ethical dilemmas in qualitative research: A critical literature review. </w:t>
      </w:r>
      <w:r w:rsidRPr="0004238D">
        <w:rPr>
          <w:i/>
          <w:iCs/>
        </w:rPr>
        <w:t>International Journal of Qualitative Methods</w:t>
      </w:r>
      <w:r w:rsidRPr="0004238D">
        <w:t>, </w:t>
      </w:r>
      <w:r w:rsidRPr="0004238D">
        <w:rPr>
          <w:i/>
          <w:iCs/>
        </w:rPr>
        <w:t>21</w:t>
      </w:r>
      <w:r w:rsidRPr="0004238D">
        <w:t>, p.16094069221078731.</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Thanthrige, A. and Wickramasinghe, N., 2026. Digital health solutions for type 2 diabetes and prediabetes: systematic review of engagement barriers, facilitators, and outcomes. </w:t>
      </w:r>
      <w:r w:rsidRPr="005126D5">
        <w:rPr>
          <w:i/>
          <w:iCs/>
          <w:color w:val="0D0D0D" w:themeColor="text1" w:themeTint="F2"/>
          <w:highlight w:val="white"/>
        </w:rPr>
        <w:t>JMIR diabetes</w:t>
      </w:r>
      <w:r w:rsidRPr="005126D5">
        <w:rPr>
          <w:color w:val="0D0D0D" w:themeColor="text1" w:themeTint="F2"/>
          <w:highlight w:val="white"/>
        </w:rPr>
        <w:t xml:space="preserve">, </w:t>
      </w:r>
      <w:r w:rsidRPr="005126D5">
        <w:rPr>
          <w:i/>
          <w:iCs/>
          <w:color w:val="0D0D0D" w:themeColor="text1" w:themeTint="F2"/>
          <w:highlight w:val="white"/>
        </w:rPr>
        <w:t>11</w:t>
      </w:r>
      <w:r w:rsidRPr="005126D5">
        <w:rPr>
          <w:color w:val="0D0D0D" w:themeColor="text1" w:themeTint="F2"/>
          <w:highlight w:val="white"/>
        </w:rPr>
        <w:t>, p.e80582.</w:t>
      </w:r>
    </w:p>
    <w:p w:rsidR="00364CD8" w:rsidRPr="00BC08F0" w:rsidRDefault="00364CD8" w:rsidP="00364CD8">
      <w:pPr>
        <w:spacing w:before="240"/>
        <w:rPr>
          <w:highlight w:val="white"/>
        </w:rPr>
      </w:pPr>
      <w:r w:rsidRPr="00BC08F0">
        <w:rPr>
          <w:highlight w:val="white"/>
        </w:rPr>
        <w:lastRenderedPageBreak/>
        <w:t xml:space="preserve">Thanthrige, A. and Wickramasinghe, N., 2026. Digital health solutions for type 2 diabetes and prediabetes: systematic review of engagement barriers, facilitators, and outcomes. </w:t>
      </w:r>
      <w:r w:rsidRPr="00BC08F0">
        <w:rPr>
          <w:i/>
          <w:iCs/>
          <w:highlight w:val="white"/>
        </w:rPr>
        <w:t>JMIR diabetes</w:t>
      </w:r>
      <w:r w:rsidRPr="00BC08F0">
        <w:rPr>
          <w:highlight w:val="white"/>
        </w:rPr>
        <w:t xml:space="preserve">, </w:t>
      </w:r>
      <w:r w:rsidRPr="00BC08F0">
        <w:rPr>
          <w:i/>
          <w:iCs/>
          <w:highlight w:val="white"/>
        </w:rPr>
        <w:t>11</w:t>
      </w:r>
      <w:r w:rsidRPr="00BC08F0">
        <w:rPr>
          <w:highlight w:val="white"/>
        </w:rPr>
        <w:t xml:space="preserve">, p.e80582.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Timti, L., Aseneh, J., Metuge, C., Owolabi, A., Amirabdollahian, F. and Ellahi, B., 2026. Effectiveness of Interventions to Improve Physical Activity Levels Among Ethnic Minorities in the United Kingdom: A Systematic Review. </w:t>
      </w:r>
      <w:r w:rsidRPr="005126D5">
        <w:rPr>
          <w:i/>
          <w:iCs/>
          <w:color w:val="0D0D0D" w:themeColor="text1" w:themeTint="F2"/>
          <w:highlight w:val="white"/>
        </w:rPr>
        <w:t>Health &amp; Social Care in the Community</w:t>
      </w:r>
      <w:r w:rsidRPr="005126D5">
        <w:rPr>
          <w:color w:val="0D0D0D" w:themeColor="text1" w:themeTint="F2"/>
          <w:highlight w:val="white"/>
        </w:rPr>
        <w:t xml:space="preserve">, </w:t>
      </w:r>
      <w:r w:rsidRPr="005126D5">
        <w:rPr>
          <w:i/>
          <w:iCs/>
          <w:color w:val="0D0D0D" w:themeColor="text1" w:themeTint="F2"/>
          <w:highlight w:val="white"/>
        </w:rPr>
        <w:t>2026</w:t>
      </w:r>
      <w:r w:rsidRPr="005126D5">
        <w:rPr>
          <w:color w:val="0D0D0D" w:themeColor="text1" w:themeTint="F2"/>
          <w:highlight w:val="white"/>
        </w:rPr>
        <w:t>(1), p.8591446.</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Tod, D., Booth, A. and Smith, B., 2022. Critical appraisal. </w:t>
      </w:r>
      <w:r w:rsidRPr="005126D5">
        <w:rPr>
          <w:i/>
          <w:iCs/>
          <w:color w:val="0D0D0D" w:themeColor="text1" w:themeTint="F2"/>
          <w:highlight w:val="white"/>
        </w:rPr>
        <w:t>International Review of Sport and Exercise Psychology</w:t>
      </w:r>
      <w:r w:rsidRPr="005126D5">
        <w:rPr>
          <w:color w:val="0D0D0D" w:themeColor="text1" w:themeTint="F2"/>
          <w:highlight w:val="white"/>
        </w:rPr>
        <w:t xml:space="preserve">, </w:t>
      </w:r>
      <w:r w:rsidRPr="005126D5">
        <w:rPr>
          <w:i/>
          <w:iCs/>
          <w:color w:val="0D0D0D" w:themeColor="text1" w:themeTint="F2"/>
          <w:highlight w:val="white"/>
        </w:rPr>
        <w:t>15</w:t>
      </w:r>
      <w:r w:rsidRPr="005126D5">
        <w:rPr>
          <w:color w:val="0D0D0D" w:themeColor="text1" w:themeTint="F2"/>
          <w:highlight w:val="white"/>
        </w:rPr>
        <w:t>(1), pp.52-72.</w:t>
      </w:r>
    </w:p>
    <w:p w:rsidR="00364CD8" w:rsidRPr="000613C3" w:rsidRDefault="00364CD8" w:rsidP="00984E2B">
      <w:pPr>
        <w:spacing w:before="240" w:after="240"/>
        <w:rPr>
          <w:color w:val="0D0D0D" w:themeColor="text1" w:themeTint="F2"/>
          <w:highlight w:val="white"/>
          <w:lang w:val="en-IN"/>
        </w:rPr>
      </w:pPr>
      <w:r w:rsidRPr="000613C3">
        <w:rPr>
          <w:color w:val="0D0D0D" w:themeColor="text1" w:themeTint="F2"/>
          <w:highlight w:val="white"/>
          <w:lang w:val="en-IN"/>
        </w:rPr>
        <w:t xml:space="preserve">Tod, D., Booth, A., and Smith, B. (2022). Critical appraisal. </w:t>
      </w:r>
      <w:r w:rsidRPr="000613C3">
        <w:rPr>
          <w:i/>
          <w:iCs/>
          <w:color w:val="0D0D0D" w:themeColor="text1" w:themeTint="F2"/>
          <w:highlight w:val="white"/>
          <w:lang w:val="en-IN"/>
        </w:rPr>
        <w:t>International Review of Sport and Exercise Psychology</w:t>
      </w:r>
      <w:r w:rsidRPr="000613C3">
        <w:rPr>
          <w:color w:val="0D0D0D" w:themeColor="text1" w:themeTint="F2"/>
          <w:highlight w:val="white"/>
          <w:lang w:val="en-IN"/>
        </w:rPr>
        <w:t xml:space="preserve">, </w:t>
      </w:r>
      <w:r w:rsidRPr="000613C3">
        <w:rPr>
          <w:i/>
          <w:iCs/>
          <w:color w:val="0D0D0D" w:themeColor="text1" w:themeTint="F2"/>
          <w:highlight w:val="white"/>
          <w:lang w:val="en-IN"/>
        </w:rPr>
        <w:t>15</w:t>
      </w:r>
      <w:r w:rsidRPr="000613C3">
        <w:rPr>
          <w:color w:val="0D0D0D" w:themeColor="text1" w:themeTint="F2"/>
          <w:highlight w:val="white"/>
          <w:lang w:val="en-IN"/>
        </w:rPr>
        <w:t>(1), 52-72. </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Turnbull, S., Lucas, P.J., Hay, A.D. and Cabral, C. (2020). Digital Health Interventions for People With Type 2 Diabetes to Develop Self-Care Expertise, Adapt to Identity Changes, and Influence Other’s Perception: Qualitative Study. </w:t>
      </w:r>
      <w:r w:rsidRPr="005126D5">
        <w:rPr>
          <w:i/>
          <w:iCs/>
          <w:color w:val="0D0D0D" w:themeColor="text1" w:themeTint="F2"/>
          <w:highlight w:val="white"/>
        </w:rPr>
        <w:t>Journal of Medical Internet Research</w:t>
      </w:r>
      <w:r w:rsidRPr="005126D5">
        <w:rPr>
          <w:color w:val="0D0D0D" w:themeColor="text1" w:themeTint="F2"/>
          <w:highlight w:val="white"/>
        </w:rPr>
        <w:t>, 22(12), p.e21328. doi:https://doi.org/10.2196/21328.</w:t>
      </w:r>
    </w:p>
    <w:p w:rsidR="00364CD8" w:rsidRPr="005126D5" w:rsidRDefault="00364CD8" w:rsidP="00984E2B">
      <w:pPr>
        <w:spacing w:before="240" w:after="240"/>
        <w:rPr>
          <w:color w:val="0D0D0D" w:themeColor="text1" w:themeTint="F2"/>
        </w:rPr>
      </w:pPr>
      <w:r w:rsidRPr="005126D5">
        <w:rPr>
          <w:color w:val="0D0D0D" w:themeColor="text1" w:themeTint="F2"/>
          <w:highlight w:val="white"/>
        </w:rPr>
        <w:t xml:space="preserve">Uttley, L., Quintana, D.S., Montgomery, P., Carroll, C., Page, M.J., Falzon, L., Sutton, A. and Moher, D., 2023. The problems with systematic reviews: a living systematic review. </w:t>
      </w:r>
      <w:r w:rsidRPr="005126D5">
        <w:rPr>
          <w:i/>
          <w:iCs/>
          <w:color w:val="0D0D0D" w:themeColor="text1" w:themeTint="F2"/>
          <w:highlight w:val="white"/>
        </w:rPr>
        <w:t>Journal of Clinical Epidemiology</w:t>
      </w:r>
      <w:r w:rsidRPr="005126D5">
        <w:rPr>
          <w:color w:val="0D0D0D" w:themeColor="text1" w:themeTint="F2"/>
          <w:highlight w:val="white"/>
        </w:rPr>
        <w:t xml:space="preserve">, </w:t>
      </w:r>
      <w:r w:rsidRPr="005126D5">
        <w:rPr>
          <w:i/>
          <w:iCs/>
          <w:color w:val="0D0D0D" w:themeColor="text1" w:themeTint="F2"/>
          <w:highlight w:val="white"/>
        </w:rPr>
        <w:t>156</w:t>
      </w:r>
      <w:r w:rsidRPr="005126D5">
        <w:rPr>
          <w:color w:val="0D0D0D" w:themeColor="text1" w:themeTint="F2"/>
          <w:highlight w:val="white"/>
        </w:rPr>
        <w:t>, pp.30-41.</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Yadav, U.S., Yadav, N., Yadav, A.K., Gupta, V.P., Singh, K., and Saxena, G., 2025. Factors Influencing Digital Payments and Their Association with Digital Transaction Experiences, Level of Education, Digital Skills, Social Factors, and the Moderating Effect of Internet Usage. </w:t>
      </w:r>
      <w:r w:rsidRPr="005126D5">
        <w:rPr>
          <w:i/>
          <w:iCs/>
          <w:color w:val="0D0D0D" w:themeColor="text1" w:themeTint="F2"/>
          <w:highlight w:val="white"/>
        </w:rPr>
        <w:t>Journal of the Knowledge Economy</w:t>
      </w:r>
      <w:r w:rsidRPr="005126D5">
        <w:rPr>
          <w:color w:val="0D0D0D" w:themeColor="text1" w:themeTint="F2"/>
          <w:highlight w:val="white"/>
        </w:rPr>
        <w:t>, pp.1-47.</w:t>
      </w:r>
    </w:p>
    <w:p w:rsidR="00364CD8" w:rsidRPr="005126D5" w:rsidRDefault="00364CD8" w:rsidP="00984E2B">
      <w:pPr>
        <w:spacing w:before="240" w:after="240"/>
      </w:pPr>
      <w:r w:rsidRPr="00CB3031">
        <w:t>Yari, A., Mashallahi, A., Aghababaeian, H., Nouri, M., Yadav, N., Mousavi, A., Salehi, S. and Ostadtaghizadeh, A., 2024. Definition and characteristics of climate-adaptive cities: a systematic review. </w:t>
      </w:r>
      <w:r w:rsidRPr="00CB3031">
        <w:rPr>
          <w:i/>
          <w:iCs/>
        </w:rPr>
        <w:t>BMC Public Health</w:t>
      </w:r>
      <w:r w:rsidRPr="00CB3031">
        <w:t>, </w:t>
      </w:r>
      <w:r w:rsidRPr="00CB3031">
        <w:rPr>
          <w:i/>
          <w:iCs/>
        </w:rPr>
        <w:t>24</w:t>
      </w:r>
      <w:r w:rsidRPr="00CB3031">
        <w:t>(1), p.1200.</w:t>
      </w:r>
    </w:p>
    <w:p w:rsidR="00364CD8" w:rsidRPr="005126D5" w:rsidRDefault="00364CD8" w:rsidP="00984E2B">
      <w:pPr>
        <w:spacing w:before="240" w:after="240"/>
        <w:rPr>
          <w:color w:val="0D0D0D" w:themeColor="text1" w:themeTint="F2"/>
          <w:highlight w:val="white"/>
        </w:rPr>
      </w:pPr>
      <w:r w:rsidRPr="005126D5">
        <w:rPr>
          <w:color w:val="0D0D0D" w:themeColor="text1" w:themeTint="F2"/>
          <w:highlight w:val="white"/>
        </w:rPr>
        <w:t xml:space="preserve">Yu, C., 2026. Application of AI and digital health tools in public health management of T2DM: from mechanism prediction to personalized treatment. </w:t>
      </w:r>
      <w:r w:rsidRPr="005126D5">
        <w:rPr>
          <w:i/>
          <w:iCs/>
          <w:color w:val="0D0D0D" w:themeColor="text1" w:themeTint="F2"/>
          <w:highlight w:val="white"/>
        </w:rPr>
        <w:t>Frontiers in Public Health</w:t>
      </w:r>
      <w:r w:rsidRPr="005126D5">
        <w:rPr>
          <w:color w:val="0D0D0D" w:themeColor="text1" w:themeTint="F2"/>
          <w:highlight w:val="white"/>
        </w:rPr>
        <w:t xml:space="preserve">, </w:t>
      </w:r>
      <w:r w:rsidRPr="005126D5">
        <w:rPr>
          <w:i/>
          <w:iCs/>
          <w:color w:val="0D0D0D" w:themeColor="text1" w:themeTint="F2"/>
          <w:highlight w:val="white"/>
        </w:rPr>
        <w:t>14</w:t>
      </w:r>
      <w:r w:rsidRPr="005126D5">
        <w:rPr>
          <w:color w:val="0D0D0D" w:themeColor="text1" w:themeTint="F2"/>
          <w:highlight w:val="white"/>
        </w:rPr>
        <w:t>, p.1756755.</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Yu, R., Li, A., Qi, Y., Hu, J., Peng, F., Cao, S., Rong, S., and Zhang, H., 2026. How Emerging Digital Health Technologies Based on Dietary and Physical Activity Regulation Improve Metabolic Syndrome-Related Outcomes in Adolescents: A Systematic Review. </w:t>
      </w:r>
      <w:r w:rsidRPr="00715C3F">
        <w:rPr>
          <w:i/>
          <w:iCs/>
          <w:color w:val="0D0D0D" w:themeColor="text1" w:themeTint="F2"/>
          <w:highlight w:val="white"/>
          <w:lang w:val="en-IN"/>
        </w:rPr>
        <w:lastRenderedPageBreak/>
        <w:t>Metabolites</w:t>
      </w:r>
      <w:r w:rsidRPr="00715C3F">
        <w:rPr>
          <w:color w:val="0D0D0D" w:themeColor="text1" w:themeTint="F2"/>
          <w:highlight w:val="white"/>
          <w:lang w:val="en-IN"/>
        </w:rPr>
        <w:t xml:space="preserve">, </w:t>
      </w:r>
      <w:r w:rsidRPr="00715C3F">
        <w:rPr>
          <w:i/>
          <w:iCs/>
          <w:color w:val="0D0D0D" w:themeColor="text1" w:themeTint="F2"/>
          <w:highlight w:val="white"/>
          <w:lang w:val="en-IN"/>
        </w:rPr>
        <w:t>16</w:t>
      </w:r>
      <w:r w:rsidRPr="00715C3F">
        <w:rPr>
          <w:color w:val="0D0D0D" w:themeColor="text1" w:themeTint="F2"/>
          <w:highlight w:val="white"/>
          <w:lang w:val="en-IN"/>
        </w:rPr>
        <w:t>(2), p.106. </w:t>
      </w:r>
    </w:p>
    <w:p w:rsidR="00364CD8" w:rsidRPr="00715C3F" w:rsidRDefault="00364CD8" w:rsidP="00984E2B">
      <w:pPr>
        <w:spacing w:before="240" w:after="240"/>
        <w:rPr>
          <w:color w:val="0D0D0D" w:themeColor="text1" w:themeTint="F2"/>
          <w:highlight w:val="white"/>
          <w:lang w:val="en-IN"/>
        </w:rPr>
      </w:pPr>
      <w:r w:rsidRPr="00715C3F">
        <w:rPr>
          <w:color w:val="0D0D0D" w:themeColor="text1" w:themeTint="F2"/>
          <w:highlight w:val="white"/>
          <w:lang w:val="en-IN"/>
        </w:rPr>
        <w:t xml:space="preserve">Zahid, I., Danyal, M., Sahir, E.F., Azhar, R., Kashif, A., and Shan, H., 2026. Mixed-method study on the perception of residents of rural flood-prone communities towards the impacts of climate change and variability on health and wellbeing: Chiniot, Pakistan. </w:t>
      </w:r>
      <w:r w:rsidRPr="00715C3F">
        <w:rPr>
          <w:i/>
          <w:iCs/>
          <w:color w:val="0D0D0D" w:themeColor="text1" w:themeTint="F2"/>
          <w:highlight w:val="white"/>
          <w:lang w:val="en-IN"/>
        </w:rPr>
        <w:t>BMJ Public Health</w:t>
      </w:r>
      <w:r w:rsidRPr="00715C3F">
        <w:rPr>
          <w:color w:val="0D0D0D" w:themeColor="text1" w:themeTint="F2"/>
          <w:highlight w:val="white"/>
          <w:lang w:val="en-IN"/>
        </w:rPr>
        <w:t xml:space="preserve">, </w:t>
      </w:r>
      <w:r w:rsidRPr="00715C3F">
        <w:rPr>
          <w:i/>
          <w:iCs/>
          <w:color w:val="0D0D0D" w:themeColor="text1" w:themeTint="F2"/>
          <w:highlight w:val="white"/>
          <w:lang w:val="en-IN"/>
        </w:rPr>
        <w:t>4</w:t>
      </w:r>
      <w:r w:rsidRPr="00715C3F">
        <w:rPr>
          <w:color w:val="0D0D0D" w:themeColor="text1" w:themeTint="F2"/>
          <w:highlight w:val="white"/>
          <w:lang w:val="en-IN"/>
        </w:rPr>
        <w:t>(1). </w:t>
      </w:r>
    </w:p>
    <w:p w:rsidR="00364CD8" w:rsidRDefault="00364CD8" w:rsidP="00984E2B">
      <w:pPr>
        <w:spacing w:before="240" w:after="240"/>
        <w:rPr>
          <w:color w:val="0D0D0D" w:themeColor="text1" w:themeTint="F2"/>
          <w:highlight w:val="white"/>
        </w:rPr>
      </w:pPr>
      <w:r w:rsidRPr="005126D5">
        <w:rPr>
          <w:color w:val="0D0D0D" w:themeColor="text1" w:themeTint="F2"/>
          <w:highlight w:val="white"/>
        </w:rPr>
        <w:t>Zin, A.F.M. and Osman, S.Z.M., 2026. The Influence of Perceived Ease of Use, Perceived Usefulness, Self-Efficacy, Digital Literacy, and Perceived Enjoyment on Online Learning Motivation among Secondary School Students in Baling, Kedah.</w:t>
      </w:r>
    </w:p>
    <w:p w:rsidR="00364CD8" w:rsidRDefault="00364CD8" w:rsidP="00984E2B">
      <w:pPr>
        <w:spacing w:before="240" w:after="240"/>
        <w:rPr>
          <w:color w:val="0D0D0D" w:themeColor="text1" w:themeTint="F2"/>
          <w:highlight w:val="white"/>
        </w:rPr>
      </w:pPr>
    </w:p>
    <w:p w:rsidR="00F95EFB" w:rsidRPr="00E06629" w:rsidRDefault="00F95EFB" w:rsidP="00984E2B">
      <w:pPr>
        <w:rPr>
          <w:lang w:eastAsia="en-US" w:bidi="ar-SA"/>
        </w:rPr>
      </w:pPr>
    </w:p>
    <w:p w:rsidR="00F95EFB" w:rsidRDefault="00F95EFB" w:rsidP="00371FF8">
      <w:pPr>
        <w:rPr>
          <w:lang w:eastAsia="en-US" w:bidi="ar-SA"/>
        </w:rPr>
      </w:pPr>
    </w:p>
    <w:p w:rsidR="00F95EFB" w:rsidRDefault="00F95EFB" w:rsidP="00371FF8">
      <w:pPr>
        <w:rPr>
          <w:lang w:eastAsia="en-US" w:bidi="ar-SA"/>
        </w:rPr>
      </w:pPr>
    </w:p>
    <w:p w:rsidR="00F95EFB" w:rsidRDefault="00F95EFB" w:rsidP="00371FF8">
      <w:pPr>
        <w:rPr>
          <w:lang w:eastAsia="en-US" w:bidi="ar-SA"/>
        </w:rPr>
      </w:pPr>
    </w:p>
    <w:p w:rsidR="00F95EFB" w:rsidRDefault="00F95EFB"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Default="00186626" w:rsidP="00371FF8">
      <w:pPr>
        <w:rPr>
          <w:lang w:eastAsia="en-US" w:bidi="ar-SA"/>
        </w:rPr>
      </w:pPr>
    </w:p>
    <w:p w:rsidR="00186626" w:rsidRPr="00F95EFB" w:rsidRDefault="00186626" w:rsidP="00371FF8">
      <w:pPr>
        <w:rPr>
          <w:lang w:eastAsia="en-US" w:bidi="ar-SA"/>
        </w:rPr>
      </w:pPr>
    </w:p>
    <w:p w:rsidR="00984E2B" w:rsidRDefault="00984E2B">
      <w:pPr>
        <w:spacing w:line="240" w:lineRule="auto"/>
        <w:jc w:val="left"/>
        <w:rPr>
          <w:lang w:eastAsia="en-US" w:bidi="ar-SA"/>
        </w:rPr>
      </w:pPr>
      <w:r>
        <w:rPr>
          <w:lang w:eastAsia="en-US" w:bidi="ar-SA"/>
        </w:rPr>
        <w:br w:type="page"/>
      </w:r>
    </w:p>
    <w:p w:rsidR="00F95EFB" w:rsidRPr="000339D6" w:rsidRDefault="00F95EFB" w:rsidP="00984E2B">
      <w:pPr>
        <w:pStyle w:val="Heading1"/>
        <w:rPr>
          <w:lang w:eastAsia="en-US" w:bidi="ar-SA"/>
        </w:rPr>
      </w:pPr>
      <w:bookmarkStart w:id="155" w:name="_Toc228461296"/>
      <w:r w:rsidRPr="000339D6">
        <w:rPr>
          <w:lang w:eastAsia="en-US" w:bidi="ar-SA"/>
        </w:rPr>
        <w:lastRenderedPageBreak/>
        <w:t>APPENDICES</w:t>
      </w:r>
      <w:bookmarkEnd w:id="155"/>
    </w:p>
    <w:p w:rsidR="00984E2B" w:rsidRPr="005126D5" w:rsidRDefault="00984E2B" w:rsidP="00984E2B">
      <w:pPr>
        <w:pStyle w:val="Heading2"/>
        <w:rPr>
          <w:color w:val="0D0D0D" w:themeColor="text1" w:themeTint="F2"/>
          <w:highlight w:val="white"/>
        </w:rPr>
      </w:pPr>
      <w:bookmarkStart w:id="156" w:name="_Toc228367057"/>
      <w:bookmarkStart w:id="157" w:name="_Toc228461297"/>
      <w:r w:rsidRPr="005126D5">
        <w:rPr>
          <w:color w:val="0D0D0D" w:themeColor="text1" w:themeTint="F2"/>
          <w:highlight w:val="white"/>
        </w:rPr>
        <w:t>Appendix 1: Data extraction table</w:t>
      </w:r>
      <w:bookmarkEnd w:id="156"/>
      <w:bookmarkEnd w:id="157"/>
      <w:r w:rsidRPr="005126D5">
        <w:rPr>
          <w:color w:val="0D0D0D" w:themeColor="text1" w:themeTint="F2"/>
          <w:highlight w:val="white"/>
        </w:rPr>
        <w:t> </w:t>
      </w:r>
    </w:p>
    <w:tbl>
      <w:tblPr>
        <w:tblW w:w="5000" w:type="pct"/>
        <w:jc w:val="center"/>
        <w:tblCellMar>
          <w:top w:w="15" w:type="dxa"/>
          <w:left w:w="15" w:type="dxa"/>
          <w:bottom w:w="15" w:type="dxa"/>
          <w:right w:w="15" w:type="dxa"/>
        </w:tblCellMar>
        <w:tblLook w:val="04A0"/>
      </w:tblPr>
      <w:tblGrid>
        <w:gridCol w:w="592"/>
        <w:gridCol w:w="1000"/>
        <w:gridCol w:w="1070"/>
        <w:gridCol w:w="1110"/>
        <w:gridCol w:w="1235"/>
        <w:gridCol w:w="961"/>
        <w:gridCol w:w="1117"/>
        <w:gridCol w:w="1117"/>
        <w:gridCol w:w="1024"/>
      </w:tblGrid>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Study no.</w:t>
            </w:r>
          </w:p>
        </w:tc>
        <w:tc>
          <w:tcPr>
            <w:tcW w:w="506"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First Author's Name; year; country</w:t>
            </w:r>
          </w:p>
        </w:tc>
        <w:tc>
          <w:tcPr>
            <w:tcW w:w="541"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Study design </w:t>
            </w:r>
          </w:p>
        </w:tc>
        <w:tc>
          <w:tcPr>
            <w:tcW w:w="561"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Aim</w:t>
            </w:r>
          </w:p>
        </w:tc>
        <w:tc>
          <w:tcPr>
            <w:tcW w:w="623"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Participant characteristics </w:t>
            </w:r>
          </w:p>
        </w:tc>
        <w:tc>
          <w:tcPr>
            <w:tcW w:w="487"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Sample size </w:t>
            </w:r>
          </w:p>
        </w:tc>
        <w:tc>
          <w:tcPr>
            <w:tcW w:w="565"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The measurement tool used in the study </w:t>
            </w:r>
          </w:p>
        </w:tc>
        <w:tc>
          <w:tcPr>
            <w:tcW w:w="894"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Type 2 Diabetes  measurement too</w:t>
            </w:r>
          </w:p>
        </w:tc>
        <w:tc>
          <w:tcPr>
            <w:tcW w:w="518" w:type="pct"/>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rsidR="00984E2B" w:rsidRPr="005126D5" w:rsidRDefault="00984E2B" w:rsidP="00047701">
            <w:pPr>
              <w:spacing w:before="240"/>
              <w:rPr>
                <w:b/>
                <w:bCs/>
                <w:color w:val="0D0D0D" w:themeColor="text1" w:themeTint="F2"/>
              </w:rPr>
            </w:pPr>
            <w:r w:rsidRPr="005126D5">
              <w:rPr>
                <w:b/>
                <w:bCs/>
                <w:color w:val="0D0D0D" w:themeColor="text1" w:themeTint="F2"/>
              </w:rPr>
              <w:t>Finding</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1.</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Levia </w:t>
            </w:r>
            <w:r w:rsidRPr="005126D5">
              <w:rPr>
                <w:i/>
                <w:iCs/>
                <w:color w:val="0D0D0D" w:themeColor="text1" w:themeTint="F2"/>
                <w:highlight w:val="white"/>
              </w:rPr>
              <w:t>et al.</w:t>
            </w:r>
            <w:r w:rsidRPr="005126D5">
              <w:rPr>
                <w:color w:val="0D0D0D" w:themeColor="text1" w:themeTint="F2"/>
                <w:highlight w:val="white"/>
              </w:rPr>
              <w:t xml:space="preserve"> 2024; Spain</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Cluster Randomized Controlled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identify the effectiveness of multi-factor digital intervention for reducing type to diabetes in the primary care setting. </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at high risk of type 2 diabetes who are attending primary care centres, including individuals with prediabetes and Lifestyle risk factors.</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800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Mobile text messaging, behavioural monitoring tools, lifestyle tracking systems.</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HbA1c levels, fasting plasma glucose, diabetes risk scores</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 It is found that the intervention has improved the lifestyle behaviour. These include diet and physical activity. In addition to these, the intervention also contributes to </w:t>
            </w:r>
            <w:r w:rsidRPr="005126D5">
              <w:rPr>
                <w:color w:val="0D0D0D" w:themeColor="text1" w:themeTint="F2"/>
                <w:highlight w:val="white"/>
              </w:rPr>
              <w:lastRenderedPageBreak/>
              <w:t>decreasing the diabetes risk in indicators as compared to the control group.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2.</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Kim</w:t>
            </w:r>
            <w:r w:rsidRPr="005126D5">
              <w:rPr>
                <w:i/>
                <w:iCs/>
                <w:color w:val="0D0D0D" w:themeColor="text1" w:themeTint="F2"/>
                <w:highlight w:val="white"/>
              </w:rPr>
              <w:t xml:space="preserve"> et al.</w:t>
            </w:r>
            <w:r w:rsidRPr="005126D5">
              <w:rPr>
                <w:color w:val="0D0D0D" w:themeColor="text1" w:themeTint="F2"/>
                <w:highlight w:val="white"/>
              </w:rPr>
              <w:t xml:space="preserve"> 2024; South Korea</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Randomized Controlled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identify the impact of the app-based intervention on physical activity and glycaemic control in individuals with type to diabetes. </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who are diagnosed with type 2 diabetes vary in age and duration of disease. These participants are capable of using smartphone applications.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200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Mobile health application with a physical activity tracker and a feedback system.</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HbA1c levels, blood glucose monitoring</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The study found that a significant improvement in the physical activity levels has been noticed. A measurable decrease in HBa1c, reflecting better </w:t>
            </w:r>
            <w:r w:rsidRPr="005126D5">
              <w:rPr>
                <w:color w:val="0D0D0D" w:themeColor="text1" w:themeTint="F2"/>
                <w:highlight w:val="white"/>
              </w:rPr>
              <w:lastRenderedPageBreak/>
              <w:t>glycaemic control in the interview group.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3.</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Gerber </w:t>
            </w:r>
            <w:r w:rsidRPr="005126D5">
              <w:rPr>
                <w:i/>
                <w:iCs/>
                <w:color w:val="0D0D0D" w:themeColor="text1" w:themeTint="F2"/>
                <w:highlight w:val="white"/>
              </w:rPr>
              <w:t xml:space="preserve">et al. </w:t>
            </w:r>
            <w:r w:rsidRPr="005126D5">
              <w:rPr>
                <w:color w:val="0D0D0D" w:themeColor="text1" w:themeTint="F2"/>
                <w:highlight w:val="white"/>
              </w:rPr>
              <w:t>2023; USA</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Randomized Clinical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identify the efficiency of a mobile health intervention in improving the diabetes management outcome. </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with type 2 diabetes from different social democratic background. This includes unreserved populations as well.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300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Mobile health platform, SMS reminders, self-management support tools.</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HbA1c </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Results have reflected that improved glycaemic control and increased patient engagement in those who are enrolled in a self-management practice in the intervention group, </w:t>
            </w:r>
            <w:r w:rsidRPr="005126D5">
              <w:rPr>
                <w:color w:val="0D0D0D" w:themeColor="text1" w:themeTint="F2"/>
                <w:highlight w:val="white"/>
              </w:rPr>
              <w:lastRenderedPageBreak/>
              <w:t>as compared to the usual care group.</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4.</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Cunningham </w:t>
            </w:r>
            <w:r w:rsidRPr="005126D5">
              <w:rPr>
                <w:i/>
                <w:iCs/>
                <w:color w:val="0D0D0D" w:themeColor="text1" w:themeTint="F2"/>
                <w:highlight w:val="white"/>
              </w:rPr>
              <w:t>et al.</w:t>
            </w:r>
            <w:r w:rsidRPr="005126D5">
              <w:rPr>
                <w:color w:val="0D0D0D" w:themeColor="text1" w:themeTint="F2"/>
                <w:highlight w:val="white"/>
              </w:rPr>
              <w:t xml:space="preserve"> 2023; UK</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Cost-Utility Analysis</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 To determine the long-term cost-effectiveness of the online diabetes education platform, which is connected to the personal health record.</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who are living with type 2 diabetes. They are enrolled in long-term follower programs.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Longitudinal dataset over 10 years</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Online education system, digital personal health record platform.</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Quality-adjusted life years (QALYs), HbA1c levels</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The study has found that the intervention programme was cost-effective for 10 years. The intervention helps demonstrate clinical outcomes and efficient resource utilisation within </w:t>
            </w:r>
            <w:r w:rsidRPr="005126D5">
              <w:rPr>
                <w:color w:val="0D0D0D" w:themeColor="text1" w:themeTint="F2"/>
                <w:highlight w:val="white"/>
              </w:rPr>
              <w:lastRenderedPageBreak/>
              <w:t>the Healthcare system.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5.</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Azelton </w:t>
            </w:r>
            <w:r w:rsidRPr="005126D5">
              <w:rPr>
                <w:i/>
                <w:iCs/>
                <w:color w:val="0D0D0D" w:themeColor="text1" w:themeTint="F2"/>
                <w:highlight w:val="white"/>
              </w:rPr>
              <w:t>et al.</w:t>
            </w:r>
            <w:r w:rsidRPr="005126D5">
              <w:rPr>
                <w:color w:val="0D0D0D" w:themeColor="text1" w:themeTint="F2"/>
                <w:highlight w:val="white"/>
              </w:rPr>
              <w:t xml:space="preserve"> 2021; USA</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Randomized Controlled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assess the effectiveness of digital health coaching for the improvement of diabetes management among adults.</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who are diagnosed with type 2 diabetes, including those with different levels of digital literacy.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150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Digital coaching platform, remote monitoring tools, behavioural feedback systems.</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HbA1c levels, body weight, lifestyle indicators</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The study has found that the intervention program has developed improve to self-management behaviour with a reduction in the HbA1c and weight. Although the maintenance is different among different </w:t>
            </w:r>
            <w:r w:rsidRPr="005126D5">
              <w:rPr>
                <w:color w:val="0D0D0D" w:themeColor="text1" w:themeTint="F2"/>
                <w:highlight w:val="white"/>
              </w:rPr>
              <w:lastRenderedPageBreak/>
              <w:t>participants.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6.</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Turnbull </w:t>
            </w:r>
            <w:r w:rsidRPr="005126D5">
              <w:rPr>
                <w:i/>
                <w:iCs/>
                <w:color w:val="0D0D0D" w:themeColor="text1" w:themeTint="F2"/>
                <w:highlight w:val="white"/>
              </w:rPr>
              <w:t xml:space="preserve">et al. </w:t>
            </w:r>
            <w:r w:rsidRPr="005126D5">
              <w:rPr>
                <w:color w:val="0D0D0D" w:themeColor="text1" w:themeTint="F2"/>
                <w:highlight w:val="white"/>
              </w:rPr>
              <w:t>2020; UK</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Qualitative Study</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explore the digital health intervention and its impact on self-care identity and social perception among adults with type to diabetes.</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with type 2 diabetes who are using digital health tools. Participants have diverse experiences and backgrounds, also.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20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Semi-structured Interview </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Not provided </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Findings reflected the responsibility and role of the digital tools in giving shape to the self-identity and self-care practice. The finding also identifies challenges related to motivation and social percepti</w:t>
            </w:r>
            <w:r w:rsidRPr="005126D5">
              <w:rPr>
                <w:color w:val="0D0D0D" w:themeColor="text1" w:themeTint="F2"/>
                <w:highlight w:val="white"/>
              </w:rPr>
              <w:lastRenderedPageBreak/>
              <w:t>on.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7.</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Gong </w:t>
            </w:r>
            <w:r w:rsidRPr="005126D5">
              <w:rPr>
                <w:i/>
                <w:iCs/>
                <w:color w:val="0D0D0D" w:themeColor="text1" w:themeTint="F2"/>
                <w:highlight w:val="white"/>
              </w:rPr>
              <w:t xml:space="preserve">et al. </w:t>
            </w:r>
            <w:r w:rsidRPr="005126D5">
              <w:rPr>
                <w:color w:val="0D0D0D" w:themeColor="text1" w:themeTint="F2"/>
                <w:highlight w:val="white"/>
              </w:rPr>
              <w:t>2020; Australia</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Randomized Controlled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identify the impact of the mobile app-based conversational agent in giving support diabetes self-management.</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with type 2 diabetes who are using smartphone-dependent intervention.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180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Mobile application with Chatbot, interactive support system</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HbA1c</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The study reflected improved self-management behaviour and engagement with better glycaemic control among users.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8.</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Nanditha </w:t>
            </w:r>
            <w:r w:rsidRPr="005126D5">
              <w:rPr>
                <w:i/>
                <w:iCs/>
                <w:color w:val="0D0D0D" w:themeColor="text1" w:themeTint="F2"/>
                <w:highlight w:val="white"/>
              </w:rPr>
              <w:t>et al.</w:t>
            </w:r>
            <w:r w:rsidRPr="005126D5">
              <w:rPr>
                <w:color w:val="0D0D0D" w:themeColor="text1" w:themeTint="F2"/>
                <w:highlight w:val="white"/>
              </w:rPr>
              <w:t xml:space="preserve"> 2020; India and UK</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Randomized Controlled Trial</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determine a scalable mobile technology intervention with the objective of promotin</w:t>
            </w:r>
            <w:r w:rsidRPr="005126D5">
              <w:rPr>
                <w:color w:val="0D0D0D" w:themeColor="text1" w:themeTint="F2"/>
                <w:highlight w:val="white"/>
              </w:rPr>
              <w:lastRenderedPageBreak/>
              <w:t>g lifestyle changes for diabetes prevention.</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Adults who are at high risk of type two diabetes in developing and developing country settings.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2000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SMS-based intervention programme</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Oral glucose tolerance test, HbA1c levels</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As per the study findings, the intervention program was effective in boosting </w:t>
            </w:r>
            <w:r w:rsidRPr="005126D5">
              <w:rPr>
                <w:color w:val="0D0D0D" w:themeColor="text1" w:themeTint="F2"/>
                <w:highlight w:val="white"/>
              </w:rPr>
              <w:lastRenderedPageBreak/>
              <w:t>sustainable lifestyle changes. The intervention program decreases the risk of developing type 2 diabetes in a diverse population.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9.</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McGough </w:t>
            </w:r>
            <w:r w:rsidRPr="005126D5">
              <w:rPr>
                <w:i/>
                <w:iCs/>
                <w:color w:val="0D0D0D" w:themeColor="text1" w:themeTint="F2"/>
                <w:highlight w:val="white"/>
              </w:rPr>
              <w:t>et al.</w:t>
            </w:r>
            <w:r w:rsidRPr="005126D5">
              <w:rPr>
                <w:color w:val="0D0D0D" w:themeColor="text1" w:themeTint="F2"/>
                <w:highlight w:val="white"/>
              </w:rPr>
              <w:t xml:space="preserve"> 2019; UK</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Observational Study</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identify engagement patterns in the NHS digital diabetes prevention program.</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who are enrolled in a national diabetes prevention Program. These participants are included from a white demographic range.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Large national dataset</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Digital programme usage analytics, engagement tracking systems</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Risk assessment scores, HbA1c (where available)</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As per the study findings, the higher engagement level was observed among the young </w:t>
            </w:r>
            <w:r w:rsidRPr="005126D5">
              <w:rPr>
                <w:color w:val="0D0D0D" w:themeColor="text1" w:themeTint="F2"/>
                <w:highlight w:val="white"/>
              </w:rPr>
              <w:lastRenderedPageBreak/>
              <w:t>participants. These is reflecting potential digital platform to reach Pacific population groups efficiently. </w:t>
            </w:r>
          </w:p>
        </w:tc>
      </w:tr>
      <w:tr w:rsidR="00984E2B" w:rsidRPr="005126D5" w:rsidTr="00984E2B">
        <w:trPr>
          <w:jc w:val="center"/>
        </w:trPr>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lastRenderedPageBreak/>
              <w:t>10.</w:t>
            </w:r>
          </w:p>
        </w:tc>
        <w:tc>
          <w:tcPr>
            <w:tcW w:w="50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Pal </w:t>
            </w:r>
            <w:r w:rsidRPr="005126D5">
              <w:rPr>
                <w:i/>
                <w:iCs/>
                <w:color w:val="0D0D0D" w:themeColor="text1" w:themeTint="F2"/>
                <w:highlight w:val="white"/>
              </w:rPr>
              <w:t>et al.</w:t>
            </w:r>
            <w:r w:rsidRPr="005126D5">
              <w:rPr>
                <w:color w:val="0D0D0D" w:themeColor="text1" w:themeTint="F2"/>
                <w:highlight w:val="white"/>
              </w:rPr>
              <w:t xml:space="preserve"> 2018; UK</w:t>
            </w:r>
          </w:p>
        </w:tc>
        <w:tc>
          <w:tcPr>
            <w:tcW w:w="5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Qualitative Study</w:t>
            </w:r>
          </w:p>
        </w:tc>
        <w:tc>
          <w:tcPr>
            <w:tcW w:w="56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To determine the patient’s perspective on digital diabetes self-management education and support. </w:t>
            </w:r>
          </w:p>
        </w:tc>
        <w:tc>
          <w:tcPr>
            <w:tcW w:w="6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Adults with type 2 diabetes are trying to incorporate a digital self-management program. </w:t>
            </w:r>
          </w:p>
        </w:tc>
        <w:tc>
          <w:tcPr>
            <w:tcW w:w="48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30</w:t>
            </w:r>
          </w:p>
        </w:tc>
        <w:tc>
          <w:tcPr>
            <w:tcW w:w="5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Interview, thematic analysis </w:t>
            </w:r>
          </w:p>
        </w:tc>
        <w:tc>
          <w:tcPr>
            <w:tcW w:w="8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Not provided </w:t>
            </w:r>
          </w:p>
        </w:tc>
        <w:tc>
          <w:tcPr>
            <w:tcW w:w="5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 xml:space="preserve">The study has identified challenges like usability issues, a lack of motivation, requirement of personalized support. It also </w:t>
            </w:r>
            <w:r w:rsidRPr="005126D5">
              <w:rPr>
                <w:color w:val="0D0D0D" w:themeColor="text1" w:themeTint="F2"/>
                <w:highlight w:val="white"/>
              </w:rPr>
              <w:lastRenderedPageBreak/>
              <w:t>highlights the significance of user-cantered design. </w:t>
            </w:r>
          </w:p>
        </w:tc>
      </w:tr>
    </w:tbl>
    <w:p w:rsidR="00984E2B" w:rsidRDefault="00984E2B" w:rsidP="00984E2B">
      <w:pPr>
        <w:pStyle w:val="Heading5"/>
        <w:rPr>
          <w:color w:val="0D0D0D" w:themeColor="text1" w:themeTint="F2"/>
          <w:highlight w:val="white"/>
        </w:rPr>
      </w:pPr>
      <w:bookmarkStart w:id="158" w:name="_Toc228461196"/>
      <w:r w:rsidRPr="005126D5">
        <w:rPr>
          <w:highlight w:val="white"/>
        </w:rPr>
        <w:lastRenderedPageBreak/>
        <w:t>Table</w:t>
      </w:r>
      <w:r>
        <w:rPr>
          <w:highlight w:val="white"/>
        </w:rPr>
        <w:t xml:space="preserve"> 1</w:t>
      </w:r>
      <w:bookmarkEnd w:id="158"/>
    </w:p>
    <w:p w:rsidR="00984E2B" w:rsidRPr="005126D5" w:rsidRDefault="00984E2B" w:rsidP="00984E2B">
      <w:pPr>
        <w:spacing w:before="240"/>
        <w:jc w:val="center"/>
        <w:rPr>
          <w:color w:val="0D0D0D" w:themeColor="text1" w:themeTint="F2"/>
          <w:highlight w:val="white"/>
        </w:rPr>
      </w:pPr>
      <w:r w:rsidRPr="005126D5">
        <w:rPr>
          <w:color w:val="0D0D0D" w:themeColor="text1" w:themeTint="F2"/>
          <w:highlight w:val="white"/>
        </w:rPr>
        <w:t>(Source: Self-developed)</w:t>
      </w:r>
    </w:p>
    <w:p w:rsidR="00984E2B" w:rsidRPr="005126D5" w:rsidRDefault="00984E2B" w:rsidP="00984E2B">
      <w:pPr>
        <w:rPr>
          <w:b/>
          <w:bCs/>
          <w:color w:val="0D0D0D" w:themeColor="text1" w:themeTint="F2"/>
          <w:highlight w:val="white"/>
        </w:rPr>
      </w:pPr>
      <w:r w:rsidRPr="005126D5">
        <w:rPr>
          <w:color w:val="0D0D0D" w:themeColor="text1" w:themeTint="F2"/>
          <w:highlight w:val="white"/>
        </w:rPr>
        <w:br w:type="page"/>
      </w:r>
    </w:p>
    <w:p w:rsidR="00984E2B" w:rsidRPr="005126D5" w:rsidRDefault="00984E2B" w:rsidP="00984E2B">
      <w:pPr>
        <w:pStyle w:val="Heading2"/>
        <w:rPr>
          <w:color w:val="0D0D0D" w:themeColor="text1" w:themeTint="F2"/>
          <w:highlight w:val="white"/>
        </w:rPr>
      </w:pPr>
      <w:bookmarkStart w:id="159" w:name="_Toc228367058"/>
      <w:bookmarkStart w:id="160" w:name="_Toc228461298"/>
      <w:r w:rsidRPr="005126D5">
        <w:rPr>
          <w:color w:val="0D0D0D" w:themeColor="text1" w:themeTint="F2"/>
          <w:highlight w:val="white"/>
        </w:rPr>
        <w:lastRenderedPageBreak/>
        <w:t>Appendix 2: Quality assessment of quantitative studies</w:t>
      </w:r>
      <w:bookmarkEnd w:id="159"/>
      <w:bookmarkEnd w:id="160"/>
      <w:r w:rsidRPr="005126D5">
        <w:rPr>
          <w:color w:val="0D0D0D" w:themeColor="text1" w:themeTint="F2"/>
          <w:highlight w:val="white"/>
        </w:rPr>
        <w:t> </w:t>
      </w:r>
    </w:p>
    <w:p w:rsidR="00984E2B" w:rsidRPr="00BC08F0" w:rsidRDefault="00984E2B" w:rsidP="00984E2B">
      <w:pPr>
        <w:rPr>
          <w:highlight w:val="white"/>
        </w:rPr>
      </w:pPr>
      <w:r w:rsidRPr="00BC08F0">
        <w:t>The quality assessment for quantitative studies has been done by using Joanna Briggs Institute (JBI) Critical Appraisal Checklist and the Newcastle-Ottawa Scale (NOS) the for quantitative studies.</w:t>
      </w:r>
    </w:p>
    <w:tbl>
      <w:tblPr>
        <w:tblStyle w:val="TableGrid"/>
        <w:tblW w:w="5000" w:type="pct"/>
        <w:tblLook w:val="04A0"/>
      </w:tblPr>
      <w:tblGrid>
        <w:gridCol w:w="2709"/>
        <w:gridCol w:w="1969"/>
        <w:gridCol w:w="2296"/>
        <w:gridCol w:w="2268"/>
      </w:tblGrid>
      <w:tr w:rsidR="00984E2B" w:rsidRPr="005126D5" w:rsidTr="00047701">
        <w:tc>
          <w:tcPr>
            <w:tcW w:w="1466" w:type="pct"/>
            <w:shd w:val="clear" w:color="auto" w:fill="FABF8F" w:themeFill="accent6" w:themeFillTint="99"/>
            <w:hideMark/>
          </w:tcPr>
          <w:p w:rsidR="00984E2B" w:rsidRPr="005126D5" w:rsidRDefault="00984E2B" w:rsidP="00047701">
            <w:pPr>
              <w:spacing w:before="240"/>
              <w:rPr>
                <w:color w:val="0D0D0D" w:themeColor="text1" w:themeTint="F2"/>
              </w:rPr>
            </w:pPr>
          </w:p>
        </w:tc>
        <w:tc>
          <w:tcPr>
            <w:tcW w:w="1065"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Levia </w:t>
            </w:r>
            <w:r w:rsidRPr="005126D5">
              <w:rPr>
                <w:b/>
                <w:bCs/>
                <w:i/>
                <w:iCs/>
                <w:color w:val="0D0D0D" w:themeColor="text1" w:themeTint="F2"/>
              </w:rPr>
              <w:t xml:space="preserve">et al. </w:t>
            </w:r>
            <w:r w:rsidRPr="005126D5">
              <w:rPr>
                <w:b/>
                <w:bCs/>
                <w:color w:val="0D0D0D" w:themeColor="text1" w:themeTint="F2"/>
              </w:rPr>
              <w:t>(2024)</w:t>
            </w:r>
          </w:p>
        </w:tc>
        <w:tc>
          <w:tcPr>
            <w:tcW w:w="1242"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Kim </w:t>
            </w:r>
            <w:r w:rsidRPr="005126D5">
              <w:rPr>
                <w:b/>
                <w:bCs/>
                <w:i/>
                <w:iCs/>
                <w:color w:val="0D0D0D" w:themeColor="text1" w:themeTint="F2"/>
              </w:rPr>
              <w:t xml:space="preserve">et al. </w:t>
            </w:r>
            <w:r w:rsidRPr="005126D5">
              <w:rPr>
                <w:b/>
                <w:bCs/>
                <w:color w:val="0D0D0D" w:themeColor="text1" w:themeTint="F2"/>
              </w:rPr>
              <w:t>(2024)</w:t>
            </w:r>
          </w:p>
        </w:tc>
        <w:tc>
          <w:tcPr>
            <w:tcW w:w="1227"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Gerber </w:t>
            </w:r>
            <w:r w:rsidRPr="005126D5">
              <w:rPr>
                <w:b/>
                <w:bCs/>
                <w:i/>
                <w:iCs/>
                <w:color w:val="0D0D0D" w:themeColor="text1" w:themeTint="F2"/>
              </w:rPr>
              <w:t>et al.</w:t>
            </w:r>
            <w:r w:rsidRPr="005126D5">
              <w:rPr>
                <w:b/>
                <w:bCs/>
                <w:color w:val="0D0D0D" w:themeColor="text1" w:themeTint="F2"/>
              </w:rPr>
              <w:t xml:space="preserve"> (2023)</w:t>
            </w:r>
          </w:p>
        </w:tc>
      </w:tr>
      <w:tr w:rsidR="00984E2B" w:rsidRPr="005126D5" w:rsidTr="00047701">
        <w:trPr>
          <w:trHeight w:val="558"/>
        </w:trPr>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Purpose/Research</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presented </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identified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presented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Problem</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identified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identified</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identified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Literature Review</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Theoretical Framework</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 </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 </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Aims/Objectives</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stated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stated</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stated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Research Question/Hypotheses</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defined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Developed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defined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Sample</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Adequately described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selected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Adequately described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Ethical Considerations</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Addressed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Addressed</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Addressed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Operational Definitions</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outlined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 defined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 defined </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Methodology</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described</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 identified and described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 identified and described</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Data Analysis/Results</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Thorough and robust</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Thorough and robust</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 </w:t>
            </w:r>
          </w:p>
        </w:tc>
      </w:tr>
      <w:tr w:rsidR="00984E2B" w:rsidRPr="005126D5" w:rsidTr="00047701">
        <w:tc>
          <w:tcPr>
            <w:tcW w:w="1466"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Discussion</w:t>
            </w:r>
          </w:p>
        </w:tc>
        <w:tc>
          <w:tcPr>
            <w:tcW w:w="1065"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242"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Informative </w:t>
            </w:r>
          </w:p>
        </w:tc>
        <w:tc>
          <w:tcPr>
            <w:tcW w:w="12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r>
    </w:tbl>
    <w:p w:rsidR="00984E2B" w:rsidRDefault="00984E2B" w:rsidP="00984E2B">
      <w:pPr>
        <w:pStyle w:val="Heading5"/>
        <w:rPr>
          <w:color w:val="0D0D0D" w:themeColor="text1" w:themeTint="F2"/>
          <w:highlight w:val="white"/>
        </w:rPr>
      </w:pPr>
      <w:bookmarkStart w:id="161" w:name="_Toc228461197"/>
      <w:r w:rsidRPr="005126D5">
        <w:rPr>
          <w:highlight w:val="white"/>
        </w:rPr>
        <w:lastRenderedPageBreak/>
        <w:t>Table</w:t>
      </w:r>
      <w:r>
        <w:rPr>
          <w:highlight w:val="white"/>
        </w:rPr>
        <w:t xml:space="preserve"> 2</w:t>
      </w:r>
      <w:bookmarkEnd w:id="161"/>
    </w:p>
    <w:p w:rsidR="00984E2B" w:rsidRPr="005126D5" w:rsidRDefault="00984E2B" w:rsidP="00984E2B">
      <w:pPr>
        <w:spacing w:before="240"/>
        <w:jc w:val="center"/>
        <w:rPr>
          <w:b/>
          <w:bCs/>
          <w:color w:val="0D0D0D" w:themeColor="text1" w:themeTint="F2"/>
          <w:highlight w:val="white"/>
        </w:rPr>
      </w:pPr>
      <w:r w:rsidRPr="005126D5">
        <w:rPr>
          <w:color w:val="0D0D0D" w:themeColor="text1" w:themeTint="F2"/>
          <w:highlight w:val="white"/>
        </w:rPr>
        <w:t>(Source: Self-developed)</w:t>
      </w:r>
    </w:p>
    <w:tbl>
      <w:tblPr>
        <w:tblStyle w:val="TableGrid"/>
        <w:tblW w:w="5000" w:type="pct"/>
        <w:tblLook w:val="04A0"/>
      </w:tblPr>
      <w:tblGrid>
        <w:gridCol w:w="2649"/>
        <w:gridCol w:w="2131"/>
        <w:gridCol w:w="2009"/>
        <w:gridCol w:w="2453"/>
      </w:tblGrid>
      <w:tr w:rsidR="00984E2B" w:rsidRPr="005126D5" w:rsidTr="00984E2B">
        <w:tc>
          <w:tcPr>
            <w:tcW w:w="1433" w:type="pct"/>
            <w:shd w:val="clear" w:color="auto" w:fill="FABF8F" w:themeFill="accent6" w:themeFillTint="99"/>
            <w:hideMark/>
          </w:tcPr>
          <w:p w:rsidR="00984E2B" w:rsidRPr="005126D5" w:rsidRDefault="00984E2B" w:rsidP="00047701">
            <w:pPr>
              <w:spacing w:before="240"/>
              <w:rPr>
                <w:color w:val="0D0D0D" w:themeColor="text1" w:themeTint="F2"/>
              </w:rPr>
            </w:pPr>
          </w:p>
        </w:tc>
        <w:tc>
          <w:tcPr>
            <w:tcW w:w="1153"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Cunningham </w:t>
            </w:r>
            <w:r w:rsidRPr="005126D5">
              <w:rPr>
                <w:b/>
                <w:bCs/>
                <w:i/>
                <w:iCs/>
                <w:color w:val="0D0D0D" w:themeColor="text1" w:themeTint="F2"/>
              </w:rPr>
              <w:t xml:space="preserve">et al. </w:t>
            </w:r>
            <w:r w:rsidRPr="005126D5">
              <w:rPr>
                <w:b/>
                <w:bCs/>
                <w:color w:val="0D0D0D" w:themeColor="text1" w:themeTint="F2"/>
              </w:rPr>
              <w:t>(2023)</w:t>
            </w:r>
          </w:p>
        </w:tc>
        <w:tc>
          <w:tcPr>
            <w:tcW w:w="1087"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Azelton </w:t>
            </w:r>
            <w:r w:rsidRPr="005126D5">
              <w:rPr>
                <w:b/>
                <w:bCs/>
                <w:i/>
                <w:iCs/>
                <w:color w:val="0D0D0D" w:themeColor="text1" w:themeTint="F2"/>
              </w:rPr>
              <w:t xml:space="preserve">et al. </w:t>
            </w:r>
            <w:r w:rsidRPr="005126D5">
              <w:rPr>
                <w:b/>
                <w:bCs/>
                <w:color w:val="0D0D0D" w:themeColor="text1" w:themeTint="F2"/>
              </w:rPr>
              <w:t>(2021)</w:t>
            </w:r>
          </w:p>
        </w:tc>
        <w:tc>
          <w:tcPr>
            <w:tcW w:w="1327" w:type="pct"/>
            <w:shd w:val="clear" w:color="auto" w:fill="FABF8F" w:themeFill="accent6" w:themeFillTint="99"/>
            <w:hideMark/>
          </w:tcPr>
          <w:p w:rsidR="00984E2B" w:rsidRPr="005126D5" w:rsidRDefault="00984E2B" w:rsidP="00047701">
            <w:pPr>
              <w:spacing w:before="240"/>
              <w:rPr>
                <w:color w:val="0D0D0D" w:themeColor="text1" w:themeTint="F2"/>
              </w:rPr>
            </w:pPr>
            <w:r w:rsidRPr="005126D5">
              <w:rPr>
                <w:b/>
                <w:bCs/>
                <w:color w:val="0D0D0D" w:themeColor="text1" w:themeTint="F2"/>
              </w:rPr>
              <w:t xml:space="preserve">Gong </w:t>
            </w:r>
            <w:r w:rsidRPr="005126D5">
              <w:rPr>
                <w:b/>
                <w:bCs/>
                <w:i/>
                <w:iCs/>
                <w:color w:val="0D0D0D" w:themeColor="text1" w:themeTint="F2"/>
              </w:rPr>
              <w:t>et al.</w:t>
            </w:r>
            <w:r w:rsidRPr="005126D5">
              <w:rPr>
                <w:b/>
                <w:bCs/>
                <w:color w:val="0D0D0D" w:themeColor="text1" w:themeTint="F2"/>
              </w:rPr>
              <w:t xml:space="preserve"> (2020)</w:t>
            </w:r>
          </w:p>
        </w:tc>
      </w:tr>
      <w:tr w:rsidR="00984E2B" w:rsidRPr="005126D5" w:rsidTr="00984E2B">
        <w:trPr>
          <w:trHeight w:val="558"/>
        </w:trPr>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Purpose/Research</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presented </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presented  </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presented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Problem</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Properly identified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Properly identified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Properly identified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presented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Literature Review</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Theoretical Framework</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applied  </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applied </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Logically applied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Aims/Objectives</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Well-developed </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stated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Well-developed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Research Question/Hypotheses</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Well-developed </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Well-developed </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Well-developed </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Sample</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selected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selected </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selected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Ethical Considerations</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Meted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Addressed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Fulfilled </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Operational Definitions</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outlined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outlined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outlined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Methodology</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Clearly described</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Thoroughly described </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Thoroughly  described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Data Analysis/Results</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Properly model-based </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conducted</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Appropriately conducted</w:t>
            </w:r>
          </w:p>
        </w:tc>
      </w:tr>
      <w:tr w:rsidR="00984E2B" w:rsidRPr="005126D5" w:rsidTr="00984E2B">
        <w:tc>
          <w:tcPr>
            <w:tcW w:w="143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Discussion</w:t>
            </w:r>
          </w:p>
        </w:tc>
        <w:tc>
          <w:tcPr>
            <w:tcW w:w="1153"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08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c>
          <w:tcPr>
            <w:tcW w:w="1327" w:type="pct"/>
            <w:hideMark/>
          </w:tcPr>
          <w:p w:rsidR="00984E2B" w:rsidRPr="005126D5" w:rsidRDefault="00984E2B" w:rsidP="00047701">
            <w:pPr>
              <w:spacing w:before="240"/>
              <w:rPr>
                <w:color w:val="0D0D0D" w:themeColor="text1" w:themeTint="F2"/>
                <w:highlight w:val="white"/>
              </w:rPr>
            </w:pPr>
            <w:r w:rsidRPr="005126D5">
              <w:rPr>
                <w:color w:val="0D0D0D" w:themeColor="text1" w:themeTint="F2"/>
                <w:highlight w:val="white"/>
              </w:rPr>
              <w:t>Comprehensive</w:t>
            </w:r>
          </w:p>
        </w:tc>
      </w:tr>
    </w:tbl>
    <w:p w:rsidR="00984E2B" w:rsidRDefault="00984E2B" w:rsidP="00984E2B">
      <w:pPr>
        <w:pStyle w:val="Heading5"/>
        <w:rPr>
          <w:color w:val="0D0D0D" w:themeColor="text1" w:themeTint="F2"/>
          <w:highlight w:val="white"/>
        </w:rPr>
      </w:pPr>
      <w:bookmarkStart w:id="162" w:name="_Toc228461198"/>
      <w:r w:rsidRPr="005126D5">
        <w:rPr>
          <w:highlight w:val="white"/>
        </w:rPr>
        <w:t>Table</w:t>
      </w:r>
      <w:r>
        <w:rPr>
          <w:highlight w:val="white"/>
        </w:rPr>
        <w:t xml:space="preserve"> 3</w:t>
      </w:r>
      <w:bookmarkEnd w:id="162"/>
    </w:p>
    <w:p w:rsidR="00984E2B" w:rsidRPr="005126D5" w:rsidRDefault="00984E2B" w:rsidP="00984E2B">
      <w:pPr>
        <w:spacing w:before="240"/>
        <w:jc w:val="center"/>
        <w:rPr>
          <w:color w:val="0D0D0D" w:themeColor="text1" w:themeTint="F2"/>
          <w:highlight w:val="white"/>
        </w:rPr>
      </w:pPr>
      <w:r w:rsidRPr="005126D5">
        <w:rPr>
          <w:color w:val="0D0D0D" w:themeColor="text1" w:themeTint="F2"/>
          <w:highlight w:val="white"/>
        </w:rPr>
        <w:t>(Source: Self-developed)</w:t>
      </w:r>
    </w:p>
    <w:tbl>
      <w:tblPr>
        <w:tblStyle w:val="TableGrid"/>
        <w:tblW w:w="5000" w:type="pct"/>
        <w:tblLook w:val="04A0"/>
      </w:tblPr>
      <w:tblGrid>
        <w:gridCol w:w="3616"/>
        <w:gridCol w:w="2813"/>
        <w:gridCol w:w="2813"/>
      </w:tblGrid>
      <w:tr w:rsidR="00984E2B" w:rsidRPr="005126D5" w:rsidTr="00047701">
        <w:tc>
          <w:tcPr>
            <w:tcW w:w="1956" w:type="pct"/>
            <w:shd w:val="clear" w:color="auto" w:fill="FABF8F" w:themeFill="accent6" w:themeFillTint="99"/>
            <w:hideMark/>
          </w:tcPr>
          <w:p w:rsidR="00984E2B" w:rsidRPr="005126D5" w:rsidRDefault="00984E2B" w:rsidP="00047701">
            <w:pPr>
              <w:spacing w:before="240"/>
              <w:jc w:val="center"/>
              <w:rPr>
                <w:color w:val="0D0D0D" w:themeColor="text1" w:themeTint="F2"/>
              </w:rPr>
            </w:pPr>
          </w:p>
        </w:tc>
        <w:tc>
          <w:tcPr>
            <w:tcW w:w="1522" w:type="pct"/>
            <w:shd w:val="clear" w:color="auto" w:fill="FABF8F" w:themeFill="accent6" w:themeFillTint="99"/>
            <w:hideMark/>
          </w:tcPr>
          <w:p w:rsidR="00984E2B" w:rsidRPr="005126D5" w:rsidRDefault="00984E2B" w:rsidP="00047701">
            <w:pPr>
              <w:spacing w:before="240"/>
              <w:jc w:val="center"/>
              <w:rPr>
                <w:color w:val="0D0D0D" w:themeColor="text1" w:themeTint="F2"/>
              </w:rPr>
            </w:pPr>
            <w:r w:rsidRPr="005126D5">
              <w:rPr>
                <w:b/>
                <w:bCs/>
                <w:color w:val="0D0D0D" w:themeColor="text1" w:themeTint="F2"/>
              </w:rPr>
              <w:t xml:space="preserve">Nanditha </w:t>
            </w:r>
            <w:r w:rsidRPr="005126D5">
              <w:rPr>
                <w:b/>
                <w:bCs/>
                <w:i/>
                <w:iCs/>
                <w:color w:val="0D0D0D" w:themeColor="text1" w:themeTint="F2"/>
              </w:rPr>
              <w:t>et al.</w:t>
            </w:r>
            <w:r w:rsidRPr="005126D5">
              <w:rPr>
                <w:b/>
                <w:bCs/>
                <w:color w:val="0D0D0D" w:themeColor="text1" w:themeTint="F2"/>
              </w:rPr>
              <w:t xml:space="preserve"> (2020)</w:t>
            </w:r>
          </w:p>
        </w:tc>
        <w:tc>
          <w:tcPr>
            <w:tcW w:w="1522" w:type="pct"/>
            <w:shd w:val="clear" w:color="auto" w:fill="FABF8F" w:themeFill="accent6" w:themeFillTint="99"/>
            <w:hideMark/>
          </w:tcPr>
          <w:p w:rsidR="00984E2B" w:rsidRPr="005126D5" w:rsidRDefault="00984E2B" w:rsidP="00047701">
            <w:pPr>
              <w:spacing w:before="240"/>
              <w:jc w:val="center"/>
              <w:rPr>
                <w:color w:val="0D0D0D" w:themeColor="text1" w:themeTint="F2"/>
              </w:rPr>
            </w:pPr>
            <w:r w:rsidRPr="005126D5">
              <w:rPr>
                <w:b/>
                <w:bCs/>
                <w:color w:val="0D0D0D" w:themeColor="text1" w:themeTint="F2"/>
              </w:rPr>
              <w:t xml:space="preserve">McGough </w:t>
            </w:r>
            <w:r w:rsidRPr="005126D5">
              <w:rPr>
                <w:b/>
                <w:bCs/>
                <w:i/>
                <w:iCs/>
                <w:color w:val="0D0D0D" w:themeColor="text1" w:themeTint="F2"/>
              </w:rPr>
              <w:t>et al.</w:t>
            </w:r>
            <w:r w:rsidRPr="005126D5">
              <w:rPr>
                <w:b/>
                <w:bCs/>
                <w:color w:val="0D0D0D" w:themeColor="text1" w:themeTint="F2"/>
              </w:rPr>
              <w:t xml:space="preserve"> (2019)</w:t>
            </w:r>
          </w:p>
        </w:tc>
      </w:tr>
      <w:tr w:rsidR="00984E2B" w:rsidRPr="005126D5" w:rsidTr="00047701">
        <w:trPr>
          <w:trHeight w:val="558"/>
        </w:trPr>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Purpose/Research</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Clearly presented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Well discussed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Problem</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Properly identified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Logically reflected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Logical</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Logically presented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Good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Literature Review</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Comprehensive</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Comprehensive</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Theoretical Framework</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Well presented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Limited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Aims/Objectives</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Well-developed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Clearly stated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Research Question/Hypotheses</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Well-developed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Well-developed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Sample</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Large and diverse</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Appropriately identified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Ethical Considerations</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Addressed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Addressed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Operational Definitions</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Clearly discussed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Limited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Methodology</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Robust and scalable</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Thoroughly described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Data Analysis/Results</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Appropriately conducted</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Appropriately conducted</w:t>
            </w:r>
          </w:p>
        </w:tc>
      </w:tr>
      <w:tr w:rsidR="00984E2B" w:rsidRPr="005126D5" w:rsidTr="00047701">
        <w:tc>
          <w:tcPr>
            <w:tcW w:w="1956"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Discussion</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Comprehensive</w:t>
            </w:r>
          </w:p>
        </w:tc>
        <w:tc>
          <w:tcPr>
            <w:tcW w:w="1522" w:type="pct"/>
            <w:hideMark/>
          </w:tcPr>
          <w:p w:rsidR="00984E2B" w:rsidRPr="005126D5" w:rsidRDefault="00984E2B" w:rsidP="00047701">
            <w:pPr>
              <w:spacing w:before="240"/>
              <w:jc w:val="center"/>
              <w:rPr>
                <w:color w:val="0D0D0D" w:themeColor="text1" w:themeTint="F2"/>
                <w:highlight w:val="white"/>
              </w:rPr>
            </w:pPr>
            <w:r w:rsidRPr="005126D5">
              <w:rPr>
                <w:color w:val="0D0D0D" w:themeColor="text1" w:themeTint="F2"/>
                <w:highlight w:val="white"/>
              </w:rPr>
              <w:t>Insightful</w:t>
            </w:r>
          </w:p>
        </w:tc>
      </w:tr>
    </w:tbl>
    <w:p w:rsidR="00984E2B" w:rsidRPr="005126D5" w:rsidRDefault="00984E2B" w:rsidP="00984E2B">
      <w:pPr>
        <w:pStyle w:val="Heading5"/>
        <w:rPr>
          <w:highlight w:val="white"/>
        </w:rPr>
      </w:pPr>
      <w:bookmarkStart w:id="163" w:name="_Toc228461199"/>
      <w:r w:rsidRPr="005126D5">
        <w:rPr>
          <w:highlight w:val="white"/>
        </w:rPr>
        <w:t>Table 4</w:t>
      </w:r>
      <w:bookmarkEnd w:id="163"/>
    </w:p>
    <w:p w:rsidR="00984E2B" w:rsidRPr="005126D5" w:rsidRDefault="00984E2B" w:rsidP="00984E2B">
      <w:pPr>
        <w:spacing w:before="240"/>
        <w:jc w:val="center"/>
        <w:rPr>
          <w:color w:val="0D0D0D" w:themeColor="text1" w:themeTint="F2"/>
          <w:highlight w:val="white"/>
        </w:rPr>
      </w:pPr>
      <w:r w:rsidRPr="005126D5">
        <w:rPr>
          <w:color w:val="0D0D0D" w:themeColor="text1" w:themeTint="F2"/>
          <w:highlight w:val="white"/>
        </w:rPr>
        <w:t>(Source: Self-developed)</w:t>
      </w:r>
    </w:p>
    <w:p w:rsidR="00984E2B" w:rsidRPr="005126D5" w:rsidRDefault="00984E2B" w:rsidP="00984E2B">
      <w:pPr>
        <w:pStyle w:val="Heading2"/>
        <w:rPr>
          <w:color w:val="0D0D0D" w:themeColor="text1" w:themeTint="F2"/>
          <w:highlight w:val="white"/>
        </w:rPr>
      </w:pPr>
      <w:bookmarkStart w:id="164" w:name="_Toc228367059"/>
      <w:bookmarkStart w:id="165" w:name="_Toc228461299"/>
      <w:r w:rsidRPr="005126D5">
        <w:rPr>
          <w:color w:val="0D0D0D" w:themeColor="text1" w:themeTint="F2"/>
          <w:highlight w:val="white"/>
        </w:rPr>
        <w:t>Appendix 3: Quality assessment of qualitative studies</w:t>
      </w:r>
      <w:bookmarkEnd w:id="164"/>
      <w:bookmarkEnd w:id="165"/>
      <w:r w:rsidRPr="005126D5">
        <w:rPr>
          <w:color w:val="0D0D0D" w:themeColor="text1" w:themeTint="F2"/>
          <w:highlight w:val="white"/>
        </w:rPr>
        <w:t> </w:t>
      </w:r>
    </w:p>
    <w:p w:rsidR="00984E2B" w:rsidRPr="00BC08F0" w:rsidRDefault="00984E2B" w:rsidP="00984E2B">
      <w:pPr>
        <w:rPr>
          <w:highlight w:val="white"/>
        </w:rPr>
      </w:pPr>
      <w:r w:rsidRPr="00BC08F0">
        <w:rPr>
          <w:highlight w:val="white"/>
        </w:rPr>
        <w:t>Quality assessment has been done by using the CASP checklist for qualitative studies. Critical appraisal summary for included studies or CASP tool in appraisal consists of 10 questions which have been met within the summary table, and help represent the following. </w:t>
      </w:r>
    </w:p>
    <w:tbl>
      <w:tblPr>
        <w:tblStyle w:val="TableGrid"/>
        <w:tblW w:w="5000" w:type="pct"/>
        <w:jc w:val="center"/>
        <w:tblLook w:val="04A0"/>
      </w:tblPr>
      <w:tblGrid>
        <w:gridCol w:w="3621"/>
        <w:gridCol w:w="2884"/>
        <w:gridCol w:w="2737"/>
      </w:tblGrid>
      <w:tr w:rsidR="00984E2B" w:rsidRPr="00BC08F0" w:rsidTr="00047701">
        <w:trPr>
          <w:jc w:val="center"/>
        </w:trPr>
        <w:tc>
          <w:tcPr>
            <w:tcW w:w="1959" w:type="pct"/>
            <w:shd w:val="clear" w:color="auto" w:fill="FABF8F" w:themeFill="accent6" w:themeFillTint="99"/>
            <w:hideMark/>
          </w:tcPr>
          <w:p w:rsidR="00984E2B" w:rsidRPr="00BC08F0" w:rsidRDefault="00984E2B" w:rsidP="00047701">
            <w:pPr>
              <w:spacing w:before="240"/>
              <w:jc w:val="center"/>
            </w:pPr>
          </w:p>
        </w:tc>
        <w:tc>
          <w:tcPr>
            <w:tcW w:w="1560" w:type="pct"/>
            <w:shd w:val="clear" w:color="auto" w:fill="FABF8F" w:themeFill="accent6" w:themeFillTint="99"/>
            <w:hideMark/>
          </w:tcPr>
          <w:p w:rsidR="00984E2B" w:rsidRPr="00BC08F0" w:rsidRDefault="00984E2B" w:rsidP="00047701">
            <w:pPr>
              <w:spacing w:before="240"/>
              <w:jc w:val="center"/>
            </w:pPr>
            <w:r w:rsidRPr="00BC08F0">
              <w:rPr>
                <w:b/>
                <w:bCs/>
              </w:rPr>
              <w:t xml:space="preserve">Turnbull </w:t>
            </w:r>
            <w:r w:rsidRPr="00BC08F0">
              <w:rPr>
                <w:b/>
                <w:bCs/>
                <w:i/>
                <w:iCs/>
              </w:rPr>
              <w:t xml:space="preserve">et al. </w:t>
            </w:r>
            <w:r w:rsidRPr="00BC08F0">
              <w:rPr>
                <w:b/>
                <w:bCs/>
              </w:rPr>
              <w:t>(2020)</w:t>
            </w:r>
          </w:p>
        </w:tc>
        <w:tc>
          <w:tcPr>
            <w:tcW w:w="1481" w:type="pct"/>
            <w:shd w:val="clear" w:color="auto" w:fill="FABF8F" w:themeFill="accent6" w:themeFillTint="99"/>
            <w:hideMark/>
          </w:tcPr>
          <w:p w:rsidR="00984E2B" w:rsidRPr="00BC08F0" w:rsidRDefault="00984E2B" w:rsidP="00047701">
            <w:pPr>
              <w:spacing w:before="240"/>
              <w:jc w:val="center"/>
            </w:pPr>
            <w:r w:rsidRPr="00BC08F0">
              <w:rPr>
                <w:b/>
                <w:bCs/>
              </w:rPr>
              <w:t xml:space="preserve">Pal </w:t>
            </w:r>
            <w:r w:rsidRPr="00BC08F0">
              <w:rPr>
                <w:b/>
                <w:bCs/>
                <w:i/>
                <w:iCs/>
              </w:rPr>
              <w:t>et al.</w:t>
            </w:r>
            <w:r w:rsidRPr="00BC08F0">
              <w:rPr>
                <w:b/>
                <w:bCs/>
              </w:rPr>
              <w:t xml:space="preserve"> (2018)</w:t>
            </w:r>
          </w:p>
        </w:tc>
      </w:tr>
      <w:tr w:rsidR="00984E2B" w:rsidRPr="00BC08F0" w:rsidTr="00047701">
        <w:trPr>
          <w:trHeight w:val="558"/>
          <w:jc w:val="center"/>
        </w:trPr>
        <w:tc>
          <w:tcPr>
            <w:tcW w:w="1959" w:type="pct"/>
            <w:hideMark/>
          </w:tcPr>
          <w:p w:rsidR="00984E2B" w:rsidRPr="00BC08F0" w:rsidRDefault="00984E2B" w:rsidP="00047701">
            <w:pPr>
              <w:spacing w:before="240"/>
              <w:rPr>
                <w:highlight w:val="white"/>
              </w:rPr>
            </w:pPr>
            <w:r w:rsidRPr="00BC08F0">
              <w:t>Was the question clearly focused?</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Did the authors look for the right type of papers?</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lastRenderedPageBreak/>
              <w:t>Were all relevant studies included?</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Was quality assessment of included studies sufficient?</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Was combining results reasonable?</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What are the overall results?</w:t>
            </w:r>
          </w:p>
        </w:tc>
        <w:tc>
          <w:tcPr>
            <w:tcW w:w="1560" w:type="pct"/>
            <w:hideMark/>
          </w:tcPr>
          <w:p w:rsidR="00984E2B" w:rsidRPr="00BC08F0" w:rsidRDefault="00984E2B" w:rsidP="00047701">
            <w:pPr>
              <w:spacing w:before="240"/>
              <w:rPr>
                <w:highlight w:val="white"/>
              </w:rPr>
            </w:pPr>
            <w:r w:rsidRPr="00BC08F0">
              <w:rPr>
                <w:highlight w:val="white"/>
              </w:rPr>
              <w:t xml:space="preserve">Digital intervention and tools are boosting self-care and motivation for handling type 2 diabetes. </w:t>
            </w:r>
          </w:p>
        </w:tc>
        <w:tc>
          <w:tcPr>
            <w:tcW w:w="1481" w:type="pct"/>
            <w:hideMark/>
          </w:tcPr>
          <w:p w:rsidR="00984E2B" w:rsidRPr="00BC08F0" w:rsidRDefault="00984E2B" w:rsidP="00047701">
            <w:pPr>
              <w:spacing w:before="240"/>
              <w:rPr>
                <w:highlight w:val="white"/>
              </w:rPr>
            </w:pPr>
            <w:r w:rsidRPr="00BC08F0">
              <w:rPr>
                <w:highlight w:val="white"/>
              </w:rPr>
              <w:t>The User centred design are significant for personalised support in preventing the Type 2 diabetes.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How precise are the results?</w:t>
            </w:r>
          </w:p>
        </w:tc>
        <w:tc>
          <w:tcPr>
            <w:tcW w:w="1560" w:type="pct"/>
            <w:hideMark/>
          </w:tcPr>
          <w:p w:rsidR="00984E2B" w:rsidRPr="00BC08F0" w:rsidRDefault="00984E2B" w:rsidP="00047701">
            <w:pPr>
              <w:spacing w:before="240"/>
              <w:rPr>
                <w:highlight w:val="white"/>
              </w:rPr>
            </w:pPr>
            <w:r w:rsidRPr="00BC08F0">
              <w:rPr>
                <w:highlight w:val="white"/>
              </w:rPr>
              <w:t xml:space="preserve">Precise but informative </w:t>
            </w:r>
          </w:p>
        </w:tc>
        <w:tc>
          <w:tcPr>
            <w:tcW w:w="1481" w:type="pct"/>
            <w:hideMark/>
          </w:tcPr>
          <w:p w:rsidR="00984E2B" w:rsidRPr="00BC08F0" w:rsidRDefault="00984E2B" w:rsidP="00047701">
            <w:pPr>
              <w:spacing w:before="240"/>
              <w:rPr>
                <w:highlight w:val="white"/>
              </w:rPr>
            </w:pPr>
            <w:r w:rsidRPr="00BC08F0">
              <w:rPr>
                <w:highlight w:val="white"/>
              </w:rPr>
              <w:t>Precisely developed</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Can the results be applied locally?</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Were all important outcomes considered?</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r w:rsidR="00984E2B" w:rsidRPr="00BC08F0" w:rsidTr="00047701">
        <w:trPr>
          <w:jc w:val="center"/>
        </w:trPr>
        <w:tc>
          <w:tcPr>
            <w:tcW w:w="1959" w:type="pct"/>
            <w:hideMark/>
          </w:tcPr>
          <w:p w:rsidR="00984E2B" w:rsidRPr="00BC08F0" w:rsidRDefault="00984E2B" w:rsidP="00047701">
            <w:pPr>
              <w:spacing w:before="240"/>
              <w:rPr>
                <w:highlight w:val="white"/>
              </w:rPr>
            </w:pPr>
            <w:r w:rsidRPr="00BC08F0">
              <w:t>Are the benefits worth the harms and costs?</w:t>
            </w:r>
          </w:p>
        </w:tc>
        <w:tc>
          <w:tcPr>
            <w:tcW w:w="1560" w:type="pct"/>
            <w:hideMark/>
          </w:tcPr>
          <w:p w:rsidR="00984E2B" w:rsidRPr="00BC08F0" w:rsidRDefault="00984E2B" w:rsidP="00047701">
            <w:pPr>
              <w:spacing w:before="240"/>
              <w:rPr>
                <w:highlight w:val="white"/>
              </w:rPr>
            </w:pPr>
            <w:r w:rsidRPr="00BC08F0">
              <w:rPr>
                <w:highlight w:val="white"/>
              </w:rPr>
              <w:t>Yes</w:t>
            </w:r>
          </w:p>
        </w:tc>
        <w:tc>
          <w:tcPr>
            <w:tcW w:w="1481" w:type="pct"/>
            <w:hideMark/>
          </w:tcPr>
          <w:p w:rsidR="00984E2B" w:rsidRPr="00BC08F0" w:rsidRDefault="00984E2B" w:rsidP="00047701">
            <w:pPr>
              <w:spacing w:before="240"/>
              <w:rPr>
                <w:highlight w:val="white"/>
              </w:rPr>
            </w:pPr>
            <w:r w:rsidRPr="00BC08F0">
              <w:rPr>
                <w:highlight w:val="white"/>
              </w:rPr>
              <w:t>Yes</w:t>
            </w:r>
          </w:p>
        </w:tc>
      </w:tr>
    </w:tbl>
    <w:p w:rsidR="00984E2B" w:rsidRPr="00BC08F0" w:rsidRDefault="00984E2B" w:rsidP="00984E2B">
      <w:pPr>
        <w:pStyle w:val="Heading5"/>
        <w:rPr>
          <w:highlight w:val="white"/>
        </w:rPr>
      </w:pPr>
      <w:bookmarkStart w:id="166" w:name="_Toc228461200"/>
      <w:r w:rsidRPr="00BC08F0">
        <w:rPr>
          <w:highlight w:val="white"/>
        </w:rPr>
        <w:t>Table 5</w:t>
      </w:r>
      <w:bookmarkEnd w:id="166"/>
    </w:p>
    <w:p w:rsidR="00984E2B" w:rsidRPr="00BC08F0" w:rsidRDefault="00984E2B" w:rsidP="00984E2B">
      <w:pPr>
        <w:spacing w:before="240"/>
        <w:jc w:val="center"/>
        <w:rPr>
          <w:highlight w:val="white"/>
        </w:rPr>
      </w:pPr>
      <w:r w:rsidRPr="00BC08F0">
        <w:rPr>
          <w:highlight w:val="white"/>
        </w:rPr>
        <w:t>(Source: Self-developed)</w:t>
      </w:r>
    </w:p>
    <w:p w:rsidR="00984E2B" w:rsidRPr="005126D5" w:rsidRDefault="00984E2B" w:rsidP="00984E2B">
      <w:pPr>
        <w:spacing w:before="240"/>
        <w:rPr>
          <w:color w:val="222222"/>
          <w:highlight w:val="white"/>
        </w:rPr>
      </w:pPr>
    </w:p>
    <w:p w:rsidR="00EE701D" w:rsidRPr="001B598C" w:rsidRDefault="00EE701D" w:rsidP="00984E2B"/>
    <w:sectPr w:rsidR="00EE701D" w:rsidRPr="001B598C" w:rsidSect="00880426">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0F22" w:rsidRDefault="00AB0F22" w:rsidP="00371FF8">
      <w:r>
        <w:separator/>
      </w:r>
    </w:p>
  </w:endnote>
  <w:endnote w:type="continuationSeparator" w:id="1">
    <w:p w:rsidR="00AB0F22" w:rsidRDefault="00AB0F22" w:rsidP="00371FF8">
      <w:r>
        <w:continuationSeparator/>
      </w:r>
    </w:p>
  </w:endnote>
</w:endnotes>
</file>

<file path=word/fontTable.xml><?xml version="1.0" encoding="utf-8"?>
<w:fonts xmlns:r="http://schemas.openxmlformats.org/officeDocument/2006/relationships" xmlns:w="http://schemas.openxmlformats.org/wordprocessingml/2006/main">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74157021"/>
      <w:docPartObj>
        <w:docPartGallery w:val="Page Numbers (Bottom of Page)"/>
        <w:docPartUnique/>
      </w:docPartObj>
    </w:sdtPr>
    <w:sdtEndPr>
      <w:rPr>
        <w:noProof/>
        <w:sz w:val="24"/>
        <w:szCs w:val="24"/>
      </w:rPr>
    </w:sdtEndPr>
    <w:sdtContent>
      <w:p w:rsidR="00FA5739" w:rsidRPr="009D74C0" w:rsidRDefault="00A33066">
        <w:pPr>
          <w:pStyle w:val="Footer"/>
          <w:jc w:val="center"/>
          <w:rPr>
            <w:sz w:val="24"/>
            <w:szCs w:val="24"/>
          </w:rPr>
        </w:pPr>
        <w:r w:rsidRPr="009D74C0">
          <w:rPr>
            <w:sz w:val="24"/>
            <w:szCs w:val="24"/>
          </w:rPr>
          <w:fldChar w:fldCharType="begin"/>
        </w:r>
        <w:r w:rsidR="00FA5739" w:rsidRPr="009D74C0">
          <w:rPr>
            <w:sz w:val="24"/>
            <w:szCs w:val="24"/>
          </w:rPr>
          <w:instrText xml:space="preserve"> PAGE   \* MERGEFORMAT </w:instrText>
        </w:r>
        <w:r w:rsidRPr="009D74C0">
          <w:rPr>
            <w:sz w:val="24"/>
            <w:szCs w:val="24"/>
          </w:rPr>
          <w:fldChar w:fldCharType="separate"/>
        </w:r>
        <w:r w:rsidR="008C2FC6">
          <w:rPr>
            <w:noProof/>
            <w:sz w:val="24"/>
            <w:szCs w:val="24"/>
          </w:rPr>
          <w:t>78</w:t>
        </w:r>
        <w:r w:rsidRPr="009D74C0">
          <w:rPr>
            <w:noProof/>
            <w:sz w:val="24"/>
            <w:szCs w:val="24"/>
          </w:rPr>
          <w:fldChar w:fldCharType="end"/>
        </w:r>
      </w:p>
    </w:sdtContent>
  </w:sdt>
  <w:p w:rsidR="005136F5" w:rsidRDefault="005136F5" w:rsidP="00371F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0F22" w:rsidRDefault="00AB0F22" w:rsidP="00371FF8">
      <w:r>
        <w:separator/>
      </w:r>
    </w:p>
  </w:footnote>
  <w:footnote w:type="continuationSeparator" w:id="1">
    <w:p w:rsidR="00AB0F22" w:rsidRDefault="00AB0F22" w:rsidP="00371FF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nsid w:val="078E00C0"/>
    <w:multiLevelType w:val="hybridMultilevel"/>
    <w:tmpl w:val="ED404D92"/>
    <w:lvl w:ilvl="0" w:tplc="A7A03B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A53C2A"/>
    <w:multiLevelType w:val="hybridMultilevel"/>
    <w:tmpl w:val="C432348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16057565"/>
    <w:multiLevelType w:val="multilevel"/>
    <w:tmpl w:val="F7C85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33C7338"/>
    <w:multiLevelType w:val="multilevel"/>
    <w:tmpl w:val="1D1AE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3EA053A"/>
    <w:multiLevelType w:val="multilevel"/>
    <w:tmpl w:val="5662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2E1E94"/>
    <w:multiLevelType w:val="multilevel"/>
    <w:tmpl w:val="9A764D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nsid w:val="32524038"/>
    <w:multiLevelType w:val="hybridMultilevel"/>
    <w:tmpl w:val="132E3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nsid w:val="3F1F5652"/>
    <w:multiLevelType w:val="hybridMultilevel"/>
    <w:tmpl w:val="BFE40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0DA3A4C"/>
    <w:multiLevelType w:val="hybridMultilevel"/>
    <w:tmpl w:val="5816C6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45EA738C"/>
    <w:multiLevelType w:val="multilevel"/>
    <w:tmpl w:val="204EC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5">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925F51"/>
    <w:multiLevelType w:val="hybridMultilevel"/>
    <w:tmpl w:val="C92EA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472F6C"/>
    <w:multiLevelType w:val="hybridMultilevel"/>
    <w:tmpl w:val="F126079A"/>
    <w:lvl w:ilvl="0" w:tplc="21C04F0C">
      <w:start w:val="1"/>
      <w:numFmt w:val="bullet"/>
      <w:lvlText w:val=""/>
      <w:lvlJc w:val="left"/>
      <w:pPr>
        <w:ind w:left="720" w:hanging="360"/>
      </w:pPr>
      <w:rPr>
        <w:rFonts w:ascii="Symbol" w:hAnsi="Symbol" w:hint="default"/>
        <w:lang w:val="en-US"/>
      </w:rPr>
    </w:lvl>
    <w:lvl w:ilvl="1" w:tplc="E3B6560C">
      <w:numFmt w:val="bullet"/>
      <w:lvlText w:val="•"/>
      <w:lvlJc w:val="left"/>
      <w:pPr>
        <w:ind w:left="1800" w:hanging="720"/>
      </w:pPr>
      <w:rPr>
        <w:rFonts w:ascii="Times New Roman" w:eastAsiaTheme="minorHAnsi" w:hAnsi="Times New Roman" w:cs="Times New Roman"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1">
    <w:nsid w:val="56EB4548"/>
    <w:multiLevelType w:val="hybridMultilevel"/>
    <w:tmpl w:val="E96EE54A"/>
    <w:lvl w:ilvl="0" w:tplc="42E0DFC4">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5705199B"/>
    <w:multiLevelType w:val="hybridMultilevel"/>
    <w:tmpl w:val="A5A4FEEE"/>
    <w:lvl w:ilvl="0" w:tplc="DE1C6B08">
      <w:start w:val="1"/>
      <w:numFmt w:val="lowerLetter"/>
      <w:lvlText w:val="%1)"/>
      <w:lvlJc w:val="left"/>
      <w:pPr>
        <w:ind w:left="1440" w:hanging="72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5C253CEE"/>
    <w:multiLevelType w:val="hybridMultilevel"/>
    <w:tmpl w:val="38F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F661A3D"/>
    <w:multiLevelType w:val="multilevel"/>
    <w:tmpl w:val="82AA3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654900BB"/>
    <w:multiLevelType w:val="hybridMultilevel"/>
    <w:tmpl w:val="43F2023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6">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7">
    <w:nsid w:val="6E033001"/>
    <w:multiLevelType w:val="multilevel"/>
    <w:tmpl w:val="90D24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6F556FA1"/>
    <w:multiLevelType w:val="hybridMultilevel"/>
    <w:tmpl w:val="76144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0">
    <w:nsid w:val="78AB1812"/>
    <w:multiLevelType w:val="multilevel"/>
    <w:tmpl w:val="4566C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4"/>
  </w:num>
  <w:num w:numId="2">
    <w:abstractNumId w:val="7"/>
  </w:num>
  <w:num w:numId="3">
    <w:abstractNumId w:val="8"/>
  </w:num>
  <w:num w:numId="4">
    <w:abstractNumId w:val="0"/>
  </w:num>
  <w:num w:numId="5">
    <w:abstractNumId w:val="10"/>
  </w:num>
  <w:num w:numId="6">
    <w:abstractNumId w:val="26"/>
  </w:num>
  <w:num w:numId="7">
    <w:abstractNumId w:val="29"/>
  </w:num>
  <w:num w:numId="8">
    <w:abstractNumId w:val="20"/>
  </w:num>
  <w:num w:numId="9">
    <w:abstractNumId w:val="16"/>
  </w:num>
  <w:num w:numId="10">
    <w:abstractNumId w:val="15"/>
  </w:num>
  <w:num w:numId="11">
    <w:abstractNumId w:val="17"/>
  </w:num>
  <w:num w:numId="12">
    <w:abstractNumId w:val="5"/>
  </w:num>
  <w:num w:numId="13">
    <w:abstractNumId w:val="23"/>
  </w:num>
  <w:num w:numId="14">
    <w:abstractNumId w:val="28"/>
  </w:num>
  <w:num w:numId="15">
    <w:abstractNumId w:val="22"/>
  </w:num>
  <w:num w:numId="16">
    <w:abstractNumId w:val="1"/>
  </w:num>
  <w:num w:numId="17">
    <w:abstractNumId w:val="9"/>
  </w:num>
  <w:num w:numId="18">
    <w:abstractNumId w:val="11"/>
  </w:num>
  <w:num w:numId="19">
    <w:abstractNumId w:val="2"/>
  </w:num>
  <w:num w:numId="20">
    <w:abstractNumId w:val="19"/>
  </w:num>
  <w:num w:numId="21">
    <w:abstractNumId w:val="6"/>
  </w:num>
  <w:num w:numId="22">
    <w:abstractNumId w:val="25"/>
  </w:num>
  <w:num w:numId="23">
    <w:abstractNumId w:val="18"/>
  </w:num>
  <w:num w:numId="24">
    <w:abstractNumId w:val="12"/>
  </w:num>
  <w:num w:numId="25">
    <w:abstractNumId w:val="21"/>
  </w:num>
  <w:num w:numId="26">
    <w:abstractNumId w:val="24"/>
  </w:num>
  <w:num w:numId="27">
    <w:abstractNumId w:val="4"/>
  </w:num>
  <w:num w:numId="28">
    <w:abstractNumId w:val="13"/>
  </w:num>
  <w:num w:numId="29">
    <w:abstractNumId w:val="27"/>
  </w:num>
  <w:num w:numId="30">
    <w:abstractNumId w:val="30"/>
  </w:num>
  <w:num w:numId="3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defaultTabStop w:val="720"/>
  <w:drawingGridHorizontalSpacing w:val="110"/>
  <w:displayHorizontalDrawingGridEvery w:val="2"/>
  <w:characterSpacingControl w:val="doNotCompress"/>
  <w:hdrShapeDefaults>
    <o:shapedefaults v:ext="edit" spidmax="4098"/>
  </w:hdrShapeDefaults>
  <w:footnotePr>
    <w:footnote w:id="0"/>
    <w:footnote w:id="1"/>
  </w:footnotePr>
  <w:endnotePr>
    <w:endnote w:id="0"/>
    <w:endnote w:id="1"/>
  </w:endnotePr>
  <w:compat>
    <w:ulTrailSpace/>
  </w:compat>
  <w:rsids>
    <w:rsidRoot w:val="00C93C3A"/>
    <w:rsid w:val="00001B29"/>
    <w:rsid w:val="00001B6C"/>
    <w:rsid w:val="000028FF"/>
    <w:rsid w:val="00005A1B"/>
    <w:rsid w:val="00005C2B"/>
    <w:rsid w:val="00006B3E"/>
    <w:rsid w:val="00007701"/>
    <w:rsid w:val="00010C5D"/>
    <w:rsid w:val="00013B33"/>
    <w:rsid w:val="00014F17"/>
    <w:rsid w:val="0001679F"/>
    <w:rsid w:val="00022535"/>
    <w:rsid w:val="00022B81"/>
    <w:rsid w:val="00024268"/>
    <w:rsid w:val="00025299"/>
    <w:rsid w:val="00027766"/>
    <w:rsid w:val="00030919"/>
    <w:rsid w:val="00031C83"/>
    <w:rsid w:val="0003244B"/>
    <w:rsid w:val="00032CF7"/>
    <w:rsid w:val="000339D6"/>
    <w:rsid w:val="00034FE4"/>
    <w:rsid w:val="00037E6C"/>
    <w:rsid w:val="00040C5E"/>
    <w:rsid w:val="0004500C"/>
    <w:rsid w:val="000468E5"/>
    <w:rsid w:val="00050C9C"/>
    <w:rsid w:val="000520DA"/>
    <w:rsid w:val="00054527"/>
    <w:rsid w:val="00055816"/>
    <w:rsid w:val="00055B54"/>
    <w:rsid w:val="000570DB"/>
    <w:rsid w:val="00061DA2"/>
    <w:rsid w:val="00071460"/>
    <w:rsid w:val="00071FE3"/>
    <w:rsid w:val="000752B5"/>
    <w:rsid w:val="000773A2"/>
    <w:rsid w:val="00081477"/>
    <w:rsid w:val="00082194"/>
    <w:rsid w:val="00091C75"/>
    <w:rsid w:val="00091FA5"/>
    <w:rsid w:val="00092170"/>
    <w:rsid w:val="000967AE"/>
    <w:rsid w:val="000A503C"/>
    <w:rsid w:val="000A7868"/>
    <w:rsid w:val="000B5FF3"/>
    <w:rsid w:val="000C51B7"/>
    <w:rsid w:val="000D2BF1"/>
    <w:rsid w:val="000E2741"/>
    <w:rsid w:val="000E2C1F"/>
    <w:rsid w:val="000E33C3"/>
    <w:rsid w:val="000E7BFD"/>
    <w:rsid w:val="000F0F97"/>
    <w:rsid w:val="000F5961"/>
    <w:rsid w:val="000F603B"/>
    <w:rsid w:val="000F7015"/>
    <w:rsid w:val="001032F2"/>
    <w:rsid w:val="00106B30"/>
    <w:rsid w:val="00111EA8"/>
    <w:rsid w:val="00113EFE"/>
    <w:rsid w:val="00117BFE"/>
    <w:rsid w:val="00120917"/>
    <w:rsid w:val="001216B3"/>
    <w:rsid w:val="001226B1"/>
    <w:rsid w:val="00126DC2"/>
    <w:rsid w:val="001300C9"/>
    <w:rsid w:val="00130164"/>
    <w:rsid w:val="00132269"/>
    <w:rsid w:val="00141A70"/>
    <w:rsid w:val="00143063"/>
    <w:rsid w:val="0014352D"/>
    <w:rsid w:val="00147D3B"/>
    <w:rsid w:val="00150343"/>
    <w:rsid w:val="00150A0A"/>
    <w:rsid w:val="0015227A"/>
    <w:rsid w:val="00157283"/>
    <w:rsid w:val="001633E9"/>
    <w:rsid w:val="00163F98"/>
    <w:rsid w:val="0016540B"/>
    <w:rsid w:val="0016792E"/>
    <w:rsid w:val="00167DFC"/>
    <w:rsid w:val="00170096"/>
    <w:rsid w:val="001731C5"/>
    <w:rsid w:val="00177C98"/>
    <w:rsid w:val="001831EC"/>
    <w:rsid w:val="001842BE"/>
    <w:rsid w:val="00186626"/>
    <w:rsid w:val="00186A5D"/>
    <w:rsid w:val="00190258"/>
    <w:rsid w:val="00191BBE"/>
    <w:rsid w:val="001926A7"/>
    <w:rsid w:val="00195132"/>
    <w:rsid w:val="001A0505"/>
    <w:rsid w:val="001A1947"/>
    <w:rsid w:val="001A4C6F"/>
    <w:rsid w:val="001A506D"/>
    <w:rsid w:val="001B0B88"/>
    <w:rsid w:val="001B1A27"/>
    <w:rsid w:val="001B4019"/>
    <w:rsid w:val="001B598C"/>
    <w:rsid w:val="001B7E17"/>
    <w:rsid w:val="001C4829"/>
    <w:rsid w:val="001C5EAF"/>
    <w:rsid w:val="001D1DF7"/>
    <w:rsid w:val="001E0C23"/>
    <w:rsid w:val="001E2642"/>
    <w:rsid w:val="001E3753"/>
    <w:rsid w:val="001E48C7"/>
    <w:rsid w:val="001F085F"/>
    <w:rsid w:val="001F2606"/>
    <w:rsid w:val="001F485A"/>
    <w:rsid w:val="00201954"/>
    <w:rsid w:val="00204A78"/>
    <w:rsid w:val="0020653A"/>
    <w:rsid w:val="00213863"/>
    <w:rsid w:val="00215EBE"/>
    <w:rsid w:val="00216AA8"/>
    <w:rsid w:val="00221C71"/>
    <w:rsid w:val="002224B7"/>
    <w:rsid w:val="00223F7C"/>
    <w:rsid w:val="00225793"/>
    <w:rsid w:val="00233477"/>
    <w:rsid w:val="00236938"/>
    <w:rsid w:val="00236C02"/>
    <w:rsid w:val="00237984"/>
    <w:rsid w:val="00243616"/>
    <w:rsid w:val="00245A43"/>
    <w:rsid w:val="00247EDE"/>
    <w:rsid w:val="00250744"/>
    <w:rsid w:val="002655AA"/>
    <w:rsid w:val="002671E6"/>
    <w:rsid w:val="00272118"/>
    <w:rsid w:val="0027424A"/>
    <w:rsid w:val="00274253"/>
    <w:rsid w:val="00276466"/>
    <w:rsid w:val="0028494A"/>
    <w:rsid w:val="00286CFC"/>
    <w:rsid w:val="00290472"/>
    <w:rsid w:val="0029198F"/>
    <w:rsid w:val="002A149F"/>
    <w:rsid w:val="002A1517"/>
    <w:rsid w:val="002A37A1"/>
    <w:rsid w:val="002A3F7D"/>
    <w:rsid w:val="002A5E00"/>
    <w:rsid w:val="002B0857"/>
    <w:rsid w:val="002B15F1"/>
    <w:rsid w:val="002B1A50"/>
    <w:rsid w:val="002B5527"/>
    <w:rsid w:val="002B6B87"/>
    <w:rsid w:val="002C212A"/>
    <w:rsid w:val="002C3B30"/>
    <w:rsid w:val="002D3ECA"/>
    <w:rsid w:val="002D75A5"/>
    <w:rsid w:val="002E5ED5"/>
    <w:rsid w:val="002F12E5"/>
    <w:rsid w:val="0030124A"/>
    <w:rsid w:val="00303F3F"/>
    <w:rsid w:val="00304A2B"/>
    <w:rsid w:val="00306A79"/>
    <w:rsid w:val="00307090"/>
    <w:rsid w:val="00307AA1"/>
    <w:rsid w:val="003122B2"/>
    <w:rsid w:val="00313B6F"/>
    <w:rsid w:val="00323841"/>
    <w:rsid w:val="00324ECB"/>
    <w:rsid w:val="003254BD"/>
    <w:rsid w:val="003276BE"/>
    <w:rsid w:val="003326AF"/>
    <w:rsid w:val="00333218"/>
    <w:rsid w:val="00333384"/>
    <w:rsid w:val="00333D3A"/>
    <w:rsid w:val="00335A4B"/>
    <w:rsid w:val="003404E1"/>
    <w:rsid w:val="0034052F"/>
    <w:rsid w:val="00341000"/>
    <w:rsid w:val="003430D1"/>
    <w:rsid w:val="00347B96"/>
    <w:rsid w:val="0035077C"/>
    <w:rsid w:val="0035460F"/>
    <w:rsid w:val="00354A87"/>
    <w:rsid w:val="00363A20"/>
    <w:rsid w:val="00364CD8"/>
    <w:rsid w:val="00371FF8"/>
    <w:rsid w:val="0037504C"/>
    <w:rsid w:val="00382682"/>
    <w:rsid w:val="0038639E"/>
    <w:rsid w:val="00396EC6"/>
    <w:rsid w:val="00397E27"/>
    <w:rsid w:val="003A01CC"/>
    <w:rsid w:val="003A1419"/>
    <w:rsid w:val="003A1F55"/>
    <w:rsid w:val="003A42BF"/>
    <w:rsid w:val="003A5183"/>
    <w:rsid w:val="003B0B04"/>
    <w:rsid w:val="003B0B29"/>
    <w:rsid w:val="003B4307"/>
    <w:rsid w:val="003B53A5"/>
    <w:rsid w:val="003B5725"/>
    <w:rsid w:val="003C5D76"/>
    <w:rsid w:val="003D5EDF"/>
    <w:rsid w:val="003E6A27"/>
    <w:rsid w:val="003E70BC"/>
    <w:rsid w:val="003E73A1"/>
    <w:rsid w:val="003F128E"/>
    <w:rsid w:val="003F5596"/>
    <w:rsid w:val="003F62A5"/>
    <w:rsid w:val="003F7AC6"/>
    <w:rsid w:val="00401852"/>
    <w:rsid w:val="0040237C"/>
    <w:rsid w:val="00402BA5"/>
    <w:rsid w:val="00402D6B"/>
    <w:rsid w:val="00406D05"/>
    <w:rsid w:val="00410B1C"/>
    <w:rsid w:val="004139A0"/>
    <w:rsid w:val="004141E8"/>
    <w:rsid w:val="00417A1F"/>
    <w:rsid w:val="00422D06"/>
    <w:rsid w:val="00424959"/>
    <w:rsid w:val="004278BD"/>
    <w:rsid w:val="00431E8A"/>
    <w:rsid w:val="004340CC"/>
    <w:rsid w:val="00437FCA"/>
    <w:rsid w:val="00441A07"/>
    <w:rsid w:val="004478D0"/>
    <w:rsid w:val="0045241B"/>
    <w:rsid w:val="00455FF5"/>
    <w:rsid w:val="00462A75"/>
    <w:rsid w:val="00465FDB"/>
    <w:rsid w:val="0046736D"/>
    <w:rsid w:val="004673E8"/>
    <w:rsid w:val="004702FD"/>
    <w:rsid w:val="00471455"/>
    <w:rsid w:val="00471559"/>
    <w:rsid w:val="0047251E"/>
    <w:rsid w:val="00472EC9"/>
    <w:rsid w:val="00473777"/>
    <w:rsid w:val="00474D84"/>
    <w:rsid w:val="00477E12"/>
    <w:rsid w:val="00480DDD"/>
    <w:rsid w:val="00484B39"/>
    <w:rsid w:val="0048564B"/>
    <w:rsid w:val="00485B55"/>
    <w:rsid w:val="004867D7"/>
    <w:rsid w:val="00486992"/>
    <w:rsid w:val="00487994"/>
    <w:rsid w:val="004907E5"/>
    <w:rsid w:val="00491A51"/>
    <w:rsid w:val="00492C34"/>
    <w:rsid w:val="00495030"/>
    <w:rsid w:val="004A0F1C"/>
    <w:rsid w:val="004A162F"/>
    <w:rsid w:val="004A2187"/>
    <w:rsid w:val="004A26FE"/>
    <w:rsid w:val="004A2A82"/>
    <w:rsid w:val="004A5963"/>
    <w:rsid w:val="004A5F77"/>
    <w:rsid w:val="004A6BE9"/>
    <w:rsid w:val="004B2D7E"/>
    <w:rsid w:val="004B4C07"/>
    <w:rsid w:val="004B5412"/>
    <w:rsid w:val="004C05A5"/>
    <w:rsid w:val="004C076B"/>
    <w:rsid w:val="004C0A2A"/>
    <w:rsid w:val="004C5715"/>
    <w:rsid w:val="004C6B88"/>
    <w:rsid w:val="004C7E5E"/>
    <w:rsid w:val="004D156A"/>
    <w:rsid w:val="004D7846"/>
    <w:rsid w:val="004F2938"/>
    <w:rsid w:val="004F3E79"/>
    <w:rsid w:val="004F49A0"/>
    <w:rsid w:val="004F50E0"/>
    <w:rsid w:val="005052FD"/>
    <w:rsid w:val="0050606F"/>
    <w:rsid w:val="00512F91"/>
    <w:rsid w:val="005136F5"/>
    <w:rsid w:val="00515A78"/>
    <w:rsid w:val="00521D50"/>
    <w:rsid w:val="00523CA2"/>
    <w:rsid w:val="00527E67"/>
    <w:rsid w:val="00533258"/>
    <w:rsid w:val="0053374D"/>
    <w:rsid w:val="0053436F"/>
    <w:rsid w:val="005416C7"/>
    <w:rsid w:val="00541C85"/>
    <w:rsid w:val="00543C5C"/>
    <w:rsid w:val="0054658D"/>
    <w:rsid w:val="005517B9"/>
    <w:rsid w:val="00552685"/>
    <w:rsid w:val="005527C3"/>
    <w:rsid w:val="00556D40"/>
    <w:rsid w:val="00557981"/>
    <w:rsid w:val="00557B86"/>
    <w:rsid w:val="005611BF"/>
    <w:rsid w:val="005618F7"/>
    <w:rsid w:val="005620FE"/>
    <w:rsid w:val="00572677"/>
    <w:rsid w:val="00574B1A"/>
    <w:rsid w:val="00575FB0"/>
    <w:rsid w:val="00585286"/>
    <w:rsid w:val="00585418"/>
    <w:rsid w:val="0058546E"/>
    <w:rsid w:val="00585B62"/>
    <w:rsid w:val="0058672E"/>
    <w:rsid w:val="005867AD"/>
    <w:rsid w:val="00586958"/>
    <w:rsid w:val="00587003"/>
    <w:rsid w:val="00587B29"/>
    <w:rsid w:val="00592373"/>
    <w:rsid w:val="00593E64"/>
    <w:rsid w:val="005943A1"/>
    <w:rsid w:val="0059497B"/>
    <w:rsid w:val="0059591F"/>
    <w:rsid w:val="005A2CC7"/>
    <w:rsid w:val="005A3315"/>
    <w:rsid w:val="005A4BCC"/>
    <w:rsid w:val="005A5259"/>
    <w:rsid w:val="005B1FA8"/>
    <w:rsid w:val="005B237B"/>
    <w:rsid w:val="005B426E"/>
    <w:rsid w:val="005B452B"/>
    <w:rsid w:val="005B4F38"/>
    <w:rsid w:val="005B5D20"/>
    <w:rsid w:val="005C06A7"/>
    <w:rsid w:val="005C2C7A"/>
    <w:rsid w:val="005D417B"/>
    <w:rsid w:val="005D4785"/>
    <w:rsid w:val="005D704E"/>
    <w:rsid w:val="005E082D"/>
    <w:rsid w:val="005E1819"/>
    <w:rsid w:val="005E1C5D"/>
    <w:rsid w:val="005E356D"/>
    <w:rsid w:val="005E7485"/>
    <w:rsid w:val="005F14CE"/>
    <w:rsid w:val="005F4CBF"/>
    <w:rsid w:val="005F7E30"/>
    <w:rsid w:val="006004E4"/>
    <w:rsid w:val="006018FE"/>
    <w:rsid w:val="006052F4"/>
    <w:rsid w:val="00605399"/>
    <w:rsid w:val="00605BE6"/>
    <w:rsid w:val="00606FE4"/>
    <w:rsid w:val="00611412"/>
    <w:rsid w:val="00611C2C"/>
    <w:rsid w:val="006126BA"/>
    <w:rsid w:val="00612A9A"/>
    <w:rsid w:val="00614DD9"/>
    <w:rsid w:val="00620D31"/>
    <w:rsid w:val="00623A94"/>
    <w:rsid w:val="00625475"/>
    <w:rsid w:val="00633646"/>
    <w:rsid w:val="00641BBB"/>
    <w:rsid w:val="006431C5"/>
    <w:rsid w:val="0064431B"/>
    <w:rsid w:val="00645316"/>
    <w:rsid w:val="006516B7"/>
    <w:rsid w:val="0065314E"/>
    <w:rsid w:val="00664A07"/>
    <w:rsid w:val="00666E8C"/>
    <w:rsid w:val="00671E9D"/>
    <w:rsid w:val="006722A5"/>
    <w:rsid w:val="00682D0A"/>
    <w:rsid w:val="00684A1B"/>
    <w:rsid w:val="00685958"/>
    <w:rsid w:val="00687819"/>
    <w:rsid w:val="0069251E"/>
    <w:rsid w:val="00697EAF"/>
    <w:rsid w:val="006A006D"/>
    <w:rsid w:val="006A2997"/>
    <w:rsid w:val="006A5C09"/>
    <w:rsid w:val="006A7158"/>
    <w:rsid w:val="006A747B"/>
    <w:rsid w:val="006A7B49"/>
    <w:rsid w:val="006B19F6"/>
    <w:rsid w:val="006B2FD8"/>
    <w:rsid w:val="006B5084"/>
    <w:rsid w:val="006B7C10"/>
    <w:rsid w:val="006C1761"/>
    <w:rsid w:val="006D22BB"/>
    <w:rsid w:val="006D31AE"/>
    <w:rsid w:val="006D33EA"/>
    <w:rsid w:val="006D4BB4"/>
    <w:rsid w:val="006D7FB2"/>
    <w:rsid w:val="006E23C5"/>
    <w:rsid w:val="006E2F2B"/>
    <w:rsid w:val="006E3B95"/>
    <w:rsid w:val="006F7F10"/>
    <w:rsid w:val="00702317"/>
    <w:rsid w:val="0071149B"/>
    <w:rsid w:val="00711BB8"/>
    <w:rsid w:val="0071280C"/>
    <w:rsid w:val="00713568"/>
    <w:rsid w:val="007213FA"/>
    <w:rsid w:val="00722CA1"/>
    <w:rsid w:val="00724265"/>
    <w:rsid w:val="0073150F"/>
    <w:rsid w:val="00732B5A"/>
    <w:rsid w:val="00733F86"/>
    <w:rsid w:val="00737672"/>
    <w:rsid w:val="00737A30"/>
    <w:rsid w:val="007409BC"/>
    <w:rsid w:val="007465AE"/>
    <w:rsid w:val="00751AF7"/>
    <w:rsid w:val="00752564"/>
    <w:rsid w:val="00754428"/>
    <w:rsid w:val="00757455"/>
    <w:rsid w:val="00757B37"/>
    <w:rsid w:val="007604C9"/>
    <w:rsid w:val="00764302"/>
    <w:rsid w:val="00766D97"/>
    <w:rsid w:val="0077366F"/>
    <w:rsid w:val="00774A16"/>
    <w:rsid w:val="007810DB"/>
    <w:rsid w:val="0078415F"/>
    <w:rsid w:val="00790D04"/>
    <w:rsid w:val="00791334"/>
    <w:rsid w:val="007923C4"/>
    <w:rsid w:val="007971E6"/>
    <w:rsid w:val="007A0252"/>
    <w:rsid w:val="007A0ADE"/>
    <w:rsid w:val="007A4FD0"/>
    <w:rsid w:val="007A5A85"/>
    <w:rsid w:val="007A7B6B"/>
    <w:rsid w:val="007B09F4"/>
    <w:rsid w:val="007C0E9D"/>
    <w:rsid w:val="007C5124"/>
    <w:rsid w:val="007D5178"/>
    <w:rsid w:val="007D5D8B"/>
    <w:rsid w:val="007E1F1E"/>
    <w:rsid w:val="007E3AD7"/>
    <w:rsid w:val="007E4010"/>
    <w:rsid w:val="007F1C65"/>
    <w:rsid w:val="007F1F9C"/>
    <w:rsid w:val="007F4D74"/>
    <w:rsid w:val="00802A09"/>
    <w:rsid w:val="0081234F"/>
    <w:rsid w:val="0081283E"/>
    <w:rsid w:val="00814B1F"/>
    <w:rsid w:val="008167AF"/>
    <w:rsid w:val="008210F6"/>
    <w:rsid w:val="00827272"/>
    <w:rsid w:val="00834508"/>
    <w:rsid w:val="0083476D"/>
    <w:rsid w:val="0083789D"/>
    <w:rsid w:val="00844821"/>
    <w:rsid w:val="008448B2"/>
    <w:rsid w:val="00851367"/>
    <w:rsid w:val="008513BC"/>
    <w:rsid w:val="00860CB2"/>
    <w:rsid w:val="00863A87"/>
    <w:rsid w:val="00865B6F"/>
    <w:rsid w:val="008670A9"/>
    <w:rsid w:val="0087294E"/>
    <w:rsid w:val="00877470"/>
    <w:rsid w:val="00880426"/>
    <w:rsid w:val="00880ABE"/>
    <w:rsid w:val="00890B7E"/>
    <w:rsid w:val="00891935"/>
    <w:rsid w:val="008A2D96"/>
    <w:rsid w:val="008A3D05"/>
    <w:rsid w:val="008B08B7"/>
    <w:rsid w:val="008B31C8"/>
    <w:rsid w:val="008B57C7"/>
    <w:rsid w:val="008B60F2"/>
    <w:rsid w:val="008B7107"/>
    <w:rsid w:val="008C2FC6"/>
    <w:rsid w:val="008C5990"/>
    <w:rsid w:val="008E160E"/>
    <w:rsid w:val="008E226F"/>
    <w:rsid w:val="008E6D01"/>
    <w:rsid w:val="008F28B7"/>
    <w:rsid w:val="008F332E"/>
    <w:rsid w:val="008F458E"/>
    <w:rsid w:val="008F5283"/>
    <w:rsid w:val="00902F3C"/>
    <w:rsid w:val="00905D4C"/>
    <w:rsid w:val="00914E5C"/>
    <w:rsid w:val="009221DD"/>
    <w:rsid w:val="009252D4"/>
    <w:rsid w:val="00927599"/>
    <w:rsid w:val="00933DFB"/>
    <w:rsid w:val="00934E01"/>
    <w:rsid w:val="00936B72"/>
    <w:rsid w:val="00937CCC"/>
    <w:rsid w:val="00944F00"/>
    <w:rsid w:val="0094683E"/>
    <w:rsid w:val="009507CB"/>
    <w:rsid w:val="0095187D"/>
    <w:rsid w:val="00951C10"/>
    <w:rsid w:val="009565F3"/>
    <w:rsid w:val="00962388"/>
    <w:rsid w:val="00963743"/>
    <w:rsid w:val="009666D4"/>
    <w:rsid w:val="00970181"/>
    <w:rsid w:val="009708E1"/>
    <w:rsid w:val="00974347"/>
    <w:rsid w:val="009759E1"/>
    <w:rsid w:val="00977D23"/>
    <w:rsid w:val="00980E5C"/>
    <w:rsid w:val="00982D66"/>
    <w:rsid w:val="00984E2B"/>
    <w:rsid w:val="0098583C"/>
    <w:rsid w:val="0098653D"/>
    <w:rsid w:val="009929F7"/>
    <w:rsid w:val="009947EC"/>
    <w:rsid w:val="009A24D5"/>
    <w:rsid w:val="009A3ED8"/>
    <w:rsid w:val="009A5C47"/>
    <w:rsid w:val="009B354F"/>
    <w:rsid w:val="009B46BF"/>
    <w:rsid w:val="009C08FD"/>
    <w:rsid w:val="009C0EF3"/>
    <w:rsid w:val="009C3FC8"/>
    <w:rsid w:val="009C5ACC"/>
    <w:rsid w:val="009C71EC"/>
    <w:rsid w:val="009D4AE7"/>
    <w:rsid w:val="009D5E53"/>
    <w:rsid w:val="009D74C0"/>
    <w:rsid w:val="009E0439"/>
    <w:rsid w:val="009E1BDC"/>
    <w:rsid w:val="009E5D9F"/>
    <w:rsid w:val="009E600F"/>
    <w:rsid w:val="009E65E6"/>
    <w:rsid w:val="009E70F5"/>
    <w:rsid w:val="009F0B7D"/>
    <w:rsid w:val="009F304B"/>
    <w:rsid w:val="009F5228"/>
    <w:rsid w:val="00A004C6"/>
    <w:rsid w:val="00A02B85"/>
    <w:rsid w:val="00A0479C"/>
    <w:rsid w:val="00A061FB"/>
    <w:rsid w:val="00A07A8B"/>
    <w:rsid w:val="00A07F08"/>
    <w:rsid w:val="00A105D7"/>
    <w:rsid w:val="00A11058"/>
    <w:rsid w:val="00A11332"/>
    <w:rsid w:val="00A11B8F"/>
    <w:rsid w:val="00A11C04"/>
    <w:rsid w:val="00A11FF6"/>
    <w:rsid w:val="00A1495A"/>
    <w:rsid w:val="00A149D1"/>
    <w:rsid w:val="00A15201"/>
    <w:rsid w:val="00A17114"/>
    <w:rsid w:val="00A21540"/>
    <w:rsid w:val="00A21BA3"/>
    <w:rsid w:val="00A22ACF"/>
    <w:rsid w:val="00A24E76"/>
    <w:rsid w:val="00A27A63"/>
    <w:rsid w:val="00A33066"/>
    <w:rsid w:val="00A3494F"/>
    <w:rsid w:val="00A40898"/>
    <w:rsid w:val="00A40F9C"/>
    <w:rsid w:val="00A4136D"/>
    <w:rsid w:val="00A428B9"/>
    <w:rsid w:val="00A43039"/>
    <w:rsid w:val="00A45EA5"/>
    <w:rsid w:val="00A52929"/>
    <w:rsid w:val="00A52952"/>
    <w:rsid w:val="00A5577D"/>
    <w:rsid w:val="00A5627C"/>
    <w:rsid w:val="00A568E2"/>
    <w:rsid w:val="00A6008F"/>
    <w:rsid w:val="00A61CBE"/>
    <w:rsid w:val="00A63C36"/>
    <w:rsid w:val="00A65CEF"/>
    <w:rsid w:val="00A65D31"/>
    <w:rsid w:val="00A666E9"/>
    <w:rsid w:val="00A670C5"/>
    <w:rsid w:val="00A71529"/>
    <w:rsid w:val="00A71818"/>
    <w:rsid w:val="00A76D09"/>
    <w:rsid w:val="00A8288E"/>
    <w:rsid w:val="00A82D7D"/>
    <w:rsid w:val="00A84C70"/>
    <w:rsid w:val="00A855DF"/>
    <w:rsid w:val="00A8616F"/>
    <w:rsid w:val="00A903D3"/>
    <w:rsid w:val="00A90D50"/>
    <w:rsid w:val="00A95EE7"/>
    <w:rsid w:val="00AA120E"/>
    <w:rsid w:val="00AA1EEF"/>
    <w:rsid w:val="00AA1F5A"/>
    <w:rsid w:val="00AA221B"/>
    <w:rsid w:val="00AA3321"/>
    <w:rsid w:val="00AA7C63"/>
    <w:rsid w:val="00AB0F22"/>
    <w:rsid w:val="00AB12AA"/>
    <w:rsid w:val="00AB3A10"/>
    <w:rsid w:val="00AD15D2"/>
    <w:rsid w:val="00AD2763"/>
    <w:rsid w:val="00AE071B"/>
    <w:rsid w:val="00AE3560"/>
    <w:rsid w:val="00AE3B7B"/>
    <w:rsid w:val="00AF1853"/>
    <w:rsid w:val="00AF3B23"/>
    <w:rsid w:val="00AF579A"/>
    <w:rsid w:val="00AF60D6"/>
    <w:rsid w:val="00AF63A1"/>
    <w:rsid w:val="00B058A2"/>
    <w:rsid w:val="00B05FD3"/>
    <w:rsid w:val="00B10A6A"/>
    <w:rsid w:val="00B1257D"/>
    <w:rsid w:val="00B13DAF"/>
    <w:rsid w:val="00B16F54"/>
    <w:rsid w:val="00B20415"/>
    <w:rsid w:val="00B21657"/>
    <w:rsid w:val="00B218DC"/>
    <w:rsid w:val="00B26940"/>
    <w:rsid w:val="00B31165"/>
    <w:rsid w:val="00B324A8"/>
    <w:rsid w:val="00B327A4"/>
    <w:rsid w:val="00B34FF3"/>
    <w:rsid w:val="00B4354D"/>
    <w:rsid w:val="00B4730E"/>
    <w:rsid w:val="00B501D7"/>
    <w:rsid w:val="00B5258D"/>
    <w:rsid w:val="00B5775B"/>
    <w:rsid w:val="00B614E2"/>
    <w:rsid w:val="00B62A5E"/>
    <w:rsid w:val="00B6591B"/>
    <w:rsid w:val="00B6659D"/>
    <w:rsid w:val="00B66B2D"/>
    <w:rsid w:val="00B7012F"/>
    <w:rsid w:val="00B7160A"/>
    <w:rsid w:val="00B71E45"/>
    <w:rsid w:val="00B757AD"/>
    <w:rsid w:val="00B84342"/>
    <w:rsid w:val="00B91FEE"/>
    <w:rsid w:val="00B928DC"/>
    <w:rsid w:val="00B93E80"/>
    <w:rsid w:val="00B93FAF"/>
    <w:rsid w:val="00BA056C"/>
    <w:rsid w:val="00BA0C5D"/>
    <w:rsid w:val="00BA6C6F"/>
    <w:rsid w:val="00BB0FC5"/>
    <w:rsid w:val="00BB1F3A"/>
    <w:rsid w:val="00BB4E2B"/>
    <w:rsid w:val="00BC08F0"/>
    <w:rsid w:val="00BC1C53"/>
    <w:rsid w:val="00BC254B"/>
    <w:rsid w:val="00BD6316"/>
    <w:rsid w:val="00BD7935"/>
    <w:rsid w:val="00BE71D5"/>
    <w:rsid w:val="00BE72A8"/>
    <w:rsid w:val="00BF1123"/>
    <w:rsid w:val="00BF18CA"/>
    <w:rsid w:val="00BF1A9F"/>
    <w:rsid w:val="00BF27B5"/>
    <w:rsid w:val="00BF7346"/>
    <w:rsid w:val="00BF7BD4"/>
    <w:rsid w:val="00C024C8"/>
    <w:rsid w:val="00C06AC6"/>
    <w:rsid w:val="00C120B1"/>
    <w:rsid w:val="00C13121"/>
    <w:rsid w:val="00C15995"/>
    <w:rsid w:val="00C22B23"/>
    <w:rsid w:val="00C22C0E"/>
    <w:rsid w:val="00C23291"/>
    <w:rsid w:val="00C24BCC"/>
    <w:rsid w:val="00C27062"/>
    <w:rsid w:val="00C27550"/>
    <w:rsid w:val="00C326BE"/>
    <w:rsid w:val="00C4081D"/>
    <w:rsid w:val="00C41F95"/>
    <w:rsid w:val="00C434E3"/>
    <w:rsid w:val="00C436E0"/>
    <w:rsid w:val="00C50447"/>
    <w:rsid w:val="00C51192"/>
    <w:rsid w:val="00C53331"/>
    <w:rsid w:val="00C54003"/>
    <w:rsid w:val="00C54E1C"/>
    <w:rsid w:val="00C56A9D"/>
    <w:rsid w:val="00C60E5F"/>
    <w:rsid w:val="00C65208"/>
    <w:rsid w:val="00C70576"/>
    <w:rsid w:val="00C737FF"/>
    <w:rsid w:val="00C760D9"/>
    <w:rsid w:val="00C764A3"/>
    <w:rsid w:val="00C76DF6"/>
    <w:rsid w:val="00C77CC6"/>
    <w:rsid w:val="00C8264E"/>
    <w:rsid w:val="00C8355D"/>
    <w:rsid w:val="00C93C3A"/>
    <w:rsid w:val="00C94A1E"/>
    <w:rsid w:val="00CA1CD4"/>
    <w:rsid w:val="00CA72B6"/>
    <w:rsid w:val="00CB2B31"/>
    <w:rsid w:val="00CC5A34"/>
    <w:rsid w:val="00CD354B"/>
    <w:rsid w:val="00CD7E8A"/>
    <w:rsid w:val="00CE0675"/>
    <w:rsid w:val="00CE10CA"/>
    <w:rsid w:val="00CE1DBC"/>
    <w:rsid w:val="00CE29E9"/>
    <w:rsid w:val="00CE6097"/>
    <w:rsid w:val="00CE7AA0"/>
    <w:rsid w:val="00CF073A"/>
    <w:rsid w:val="00CF30C4"/>
    <w:rsid w:val="00CF4D20"/>
    <w:rsid w:val="00CF6BC2"/>
    <w:rsid w:val="00CF707D"/>
    <w:rsid w:val="00D01B70"/>
    <w:rsid w:val="00D03D87"/>
    <w:rsid w:val="00D0648E"/>
    <w:rsid w:val="00D11EDB"/>
    <w:rsid w:val="00D13A00"/>
    <w:rsid w:val="00D20305"/>
    <w:rsid w:val="00D21E45"/>
    <w:rsid w:val="00D26887"/>
    <w:rsid w:val="00D269B4"/>
    <w:rsid w:val="00D30355"/>
    <w:rsid w:val="00D30F8E"/>
    <w:rsid w:val="00D31EFD"/>
    <w:rsid w:val="00D350FF"/>
    <w:rsid w:val="00D40127"/>
    <w:rsid w:val="00D40D2C"/>
    <w:rsid w:val="00D41694"/>
    <w:rsid w:val="00D44120"/>
    <w:rsid w:val="00D44776"/>
    <w:rsid w:val="00D51CF1"/>
    <w:rsid w:val="00D57F6F"/>
    <w:rsid w:val="00D65A4A"/>
    <w:rsid w:val="00D66DD9"/>
    <w:rsid w:val="00D7004B"/>
    <w:rsid w:val="00D7071B"/>
    <w:rsid w:val="00D71043"/>
    <w:rsid w:val="00D76A32"/>
    <w:rsid w:val="00D81395"/>
    <w:rsid w:val="00D839CC"/>
    <w:rsid w:val="00D84A68"/>
    <w:rsid w:val="00D86361"/>
    <w:rsid w:val="00D863B5"/>
    <w:rsid w:val="00D948AC"/>
    <w:rsid w:val="00D964ED"/>
    <w:rsid w:val="00D97013"/>
    <w:rsid w:val="00DA4DF0"/>
    <w:rsid w:val="00DA599A"/>
    <w:rsid w:val="00DA5D26"/>
    <w:rsid w:val="00DA79D1"/>
    <w:rsid w:val="00DA7AF0"/>
    <w:rsid w:val="00DB1C4B"/>
    <w:rsid w:val="00DB4A8C"/>
    <w:rsid w:val="00DB5957"/>
    <w:rsid w:val="00DB670C"/>
    <w:rsid w:val="00DB69C9"/>
    <w:rsid w:val="00DC2699"/>
    <w:rsid w:val="00DC2E73"/>
    <w:rsid w:val="00DD0254"/>
    <w:rsid w:val="00DD5EB2"/>
    <w:rsid w:val="00DE0AE7"/>
    <w:rsid w:val="00DE0F98"/>
    <w:rsid w:val="00DE2F03"/>
    <w:rsid w:val="00DE47D9"/>
    <w:rsid w:val="00DE6FF8"/>
    <w:rsid w:val="00DF5515"/>
    <w:rsid w:val="00DF572A"/>
    <w:rsid w:val="00E01DB3"/>
    <w:rsid w:val="00E02506"/>
    <w:rsid w:val="00E05C54"/>
    <w:rsid w:val="00E0645C"/>
    <w:rsid w:val="00E06629"/>
    <w:rsid w:val="00E10636"/>
    <w:rsid w:val="00E13327"/>
    <w:rsid w:val="00E16EC3"/>
    <w:rsid w:val="00E17DAA"/>
    <w:rsid w:val="00E202D3"/>
    <w:rsid w:val="00E209FC"/>
    <w:rsid w:val="00E23813"/>
    <w:rsid w:val="00E26599"/>
    <w:rsid w:val="00E30535"/>
    <w:rsid w:val="00E30677"/>
    <w:rsid w:val="00E3111E"/>
    <w:rsid w:val="00E322E9"/>
    <w:rsid w:val="00E33290"/>
    <w:rsid w:val="00E33EDE"/>
    <w:rsid w:val="00E3485B"/>
    <w:rsid w:val="00E41BCA"/>
    <w:rsid w:val="00E44416"/>
    <w:rsid w:val="00E4547F"/>
    <w:rsid w:val="00E45CAD"/>
    <w:rsid w:val="00E504C2"/>
    <w:rsid w:val="00E50FAB"/>
    <w:rsid w:val="00E51922"/>
    <w:rsid w:val="00E562B1"/>
    <w:rsid w:val="00E567FC"/>
    <w:rsid w:val="00E612BB"/>
    <w:rsid w:val="00E615FC"/>
    <w:rsid w:val="00E649C1"/>
    <w:rsid w:val="00E6543C"/>
    <w:rsid w:val="00E72E5E"/>
    <w:rsid w:val="00E73750"/>
    <w:rsid w:val="00E73790"/>
    <w:rsid w:val="00E769C7"/>
    <w:rsid w:val="00E8406F"/>
    <w:rsid w:val="00E872BE"/>
    <w:rsid w:val="00E9299A"/>
    <w:rsid w:val="00E94BA2"/>
    <w:rsid w:val="00E94C1F"/>
    <w:rsid w:val="00E95620"/>
    <w:rsid w:val="00E95AA3"/>
    <w:rsid w:val="00EA016B"/>
    <w:rsid w:val="00EA1450"/>
    <w:rsid w:val="00EA3939"/>
    <w:rsid w:val="00EA42BE"/>
    <w:rsid w:val="00EA4708"/>
    <w:rsid w:val="00EA728C"/>
    <w:rsid w:val="00EB0F17"/>
    <w:rsid w:val="00EB255F"/>
    <w:rsid w:val="00EB3D28"/>
    <w:rsid w:val="00EB4D8A"/>
    <w:rsid w:val="00EB5640"/>
    <w:rsid w:val="00EB6FA9"/>
    <w:rsid w:val="00EC0139"/>
    <w:rsid w:val="00EC07D0"/>
    <w:rsid w:val="00EC26D9"/>
    <w:rsid w:val="00EC468D"/>
    <w:rsid w:val="00EE14E9"/>
    <w:rsid w:val="00EE701D"/>
    <w:rsid w:val="00EF6EBA"/>
    <w:rsid w:val="00F05611"/>
    <w:rsid w:val="00F07848"/>
    <w:rsid w:val="00F163FD"/>
    <w:rsid w:val="00F20EEB"/>
    <w:rsid w:val="00F24E8D"/>
    <w:rsid w:val="00F25DD4"/>
    <w:rsid w:val="00F3026B"/>
    <w:rsid w:val="00F331CC"/>
    <w:rsid w:val="00F338DD"/>
    <w:rsid w:val="00F40875"/>
    <w:rsid w:val="00F413B4"/>
    <w:rsid w:val="00F41A96"/>
    <w:rsid w:val="00F4621F"/>
    <w:rsid w:val="00F46419"/>
    <w:rsid w:val="00F5061A"/>
    <w:rsid w:val="00F51F4C"/>
    <w:rsid w:val="00F52CA1"/>
    <w:rsid w:val="00F53549"/>
    <w:rsid w:val="00F54DF9"/>
    <w:rsid w:val="00F55F13"/>
    <w:rsid w:val="00F5665B"/>
    <w:rsid w:val="00F60763"/>
    <w:rsid w:val="00F627B3"/>
    <w:rsid w:val="00F62C10"/>
    <w:rsid w:val="00F6541B"/>
    <w:rsid w:val="00F7186B"/>
    <w:rsid w:val="00F7339B"/>
    <w:rsid w:val="00F76B24"/>
    <w:rsid w:val="00F77EA3"/>
    <w:rsid w:val="00F82B17"/>
    <w:rsid w:val="00F86299"/>
    <w:rsid w:val="00F90231"/>
    <w:rsid w:val="00F91771"/>
    <w:rsid w:val="00F9271C"/>
    <w:rsid w:val="00F9290C"/>
    <w:rsid w:val="00F95EFB"/>
    <w:rsid w:val="00F978CE"/>
    <w:rsid w:val="00FA16F8"/>
    <w:rsid w:val="00FA3701"/>
    <w:rsid w:val="00FA5739"/>
    <w:rsid w:val="00FA646E"/>
    <w:rsid w:val="00FA6994"/>
    <w:rsid w:val="00FA7F94"/>
    <w:rsid w:val="00FB0068"/>
    <w:rsid w:val="00FB36FE"/>
    <w:rsid w:val="00FB62BF"/>
    <w:rsid w:val="00FC2FBA"/>
    <w:rsid w:val="00FC417A"/>
    <w:rsid w:val="00FC5E7F"/>
    <w:rsid w:val="00FC79DE"/>
    <w:rsid w:val="00FD1C47"/>
    <w:rsid w:val="00FD498C"/>
    <w:rsid w:val="00FD5210"/>
    <w:rsid w:val="00FD581D"/>
    <w:rsid w:val="00FD71C7"/>
    <w:rsid w:val="00FE70AB"/>
    <w:rsid w:val="00FF0EEF"/>
    <w:rsid w:val="00FF3BB6"/>
    <w:rsid w:val="00FF660C"/>
    <w:rsid w:val="213CC2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371FF8"/>
    <w:pPr>
      <w:spacing w:line="360" w:lineRule="auto"/>
      <w:jc w:val="both"/>
    </w:pPr>
    <w:rPr>
      <w:rFonts w:ascii="Arial" w:eastAsia="Calibri Light" w:hAnsi="Arial" w:cs="Arial"/>
      <w:lang w:val="en-GB" w:eastAsia="en-GB" w:bidi="en-GB"/>
    </w:rPr>
  </w:style>
  <w:style w:type="paragraph" w:styleId="Heading1">
    <w:name w:val="heading 1"/>
    <w:basedOn w:val="Normal"/>
    <w:uiPriority w:val="9"/>
    <w:qFormat/>
    <w:rsid w:val="00371FF8"/>
    <w:pPr>
      <w:jc w:val="left"/>
      <w:outlineLvl w:val="0"/>
    </w:pPr>
    <w:rPr>
      <w:b/>
      <w:sz w:val="28"/>
      <w:szCs w:val="28"/>
    </w:rPr>
  </w:style>
  <w:style w:type="paragraph" w:styleId="Heading2">
    <w:name w:val="heading 2"/>
    <w:basedOn w:val="Normal"/>
    <w:link w:val="Heading2Char"/>
    <w:uiPriority w:val="9"/>
    <w:qFormat/>
    <w:rsid w:val="00371FF8"/>
    <w:pPr>
      <w:keepNext/>
      <w:keepLines/>
      <w:widowControl/>
      <w:autoSpaceDE/>
      <w:autoSpaceDN/>
      <w:outlineLvl w:val="1"/>
    </w:pPr>
    <w:rPr>
      <w:rFonts w:eastAsia="Arial"/>
      <w:b/>
      <w:bCs/>
      <w:sz w:val="24"/>
      <w:lang w:eastAsia="en-IN" w:bidi="ar-SA"/>
    </w:rPr>
  </w:style>
  <w:style w:type="paragraph" w:styleId="Heading3">
    <w:name w:val="heading 3"/>
    <w:basedOn w:val="Normal"/>
    <w:uiPriority w:val="9"/>
    <w:qFormat/>
    <w:rsid w:val="00D44120"/>
    <w:pPr>
      <w:spacing w:before="10"/>
      <w:ind w:left="40"/>
      <w:outlineLvl w:val="2"/>
    </w:pPr>
    <w:rPr>
      <w:b/>
      <w:sz w:val="24"/>
      <w:szCs w:val="24"/>
    </w:rPr>
  </w:style>
  <w:style w:type="paragraph" w:styleId="Heading4">
    <w:name w:val="heading 4"/>
    <w:basedOn w:val="Normal"/>
    <w:next w:val="Normal"/>
    <w:link w:val="Heading4Char"/>
    <w:uiPriority w:val="9"/>
    <w:unhideWhenUsed/>
    <w:qFormat/>
    <w:rsid w:val="00371FF8"/>
    <w:pPr>
      <w:keepNext/>
      <w:keepLines/>
      <w:widowControl/>
      <w:autoSpaceDE/>
      <w:autoSpaceDN/>
      <w:spacing w:before="240" w:after="80"/>
      <w:jc w:val="center"/>
      <w:outlineLvl w:val="3"/>
    </w:pPr>
    <w:rPr>
      <w:rFonts w:eastAsia="Times New Roman"/>
      <w:b/>
      <w:color w:val="000000"/>
      <w:kern w:val="36"/>
      <w:lang w:eastAsia="en-IN" w:bidi="ar-SA"/>
    </w:rPr>
  </w:style>
  <w:style w:type="paragraph" w:styleId="Heading5">
    <w:name w:val="heading 5"/>
    <w:basedOn w:val="Heading6"/>
    <w:next w:val="Normal"/>
    <w:link w:val="Heading5Char"/>
    <w:uiPriority w:val="9"/>
    <w:unhideWhenUsed/>
    <w:qFormat/>
    <w:rsid w:val="00371FF8"/>
    <w:pPr>
      <w:jc w:val="center"/>
      <w:outlineLvl w:val="4"/>
    </w:pPr>
    <w:rPr>
      <w:rFonts w:ascii="Arial" w:hAnsi="Arial" w:cs="Arial"/>
      <w:b/>
      <w:bCs/>
      <w:color w:val="auto"/>
    </w:rPr>
  </w:style>
  <w:style w:type="paragraph" w:styleId="Heading6">
    <w:name w:val="heading 6"/>
    <w:basedOn w:val="Normal"/>
    <w:next w:val="Normal"/>
    <w:link w:val="Heading6Char"/>
    <w:uiPriority w:val="9"/>
    <w:unhideWhenUsed/>
    <w:qFormat/>
    <w:rsid w:val="00371FF8"/>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DA5D26"/>
  </w:style>
  <w:style w:type="paragraph" w:styleId="ListParagraph">
    <w:name w:val="List Paragraph"/>
    <w:basedOn w:val="Normal"/>
    <w:uiPriority w:val="34"/>
    <w:qFormat/>
    <w:rsid w:val="00A33066"/>
    <w:pPr>
      <w:ind w:left="940" w:hanging="360"/>
    </w:pPr>
  </w:style>
  <w:style w:type="paragraph" w:customStyle="1" w:styleId="TableParagraph">
    <w:name w:val="Table Paragraph"/>
    <w:basedOn w:val="Normal"/>
    <w:uiPriority w:val="1"/>
    <w:qFormat/>
    <w:rsid w:val="00A33066"/>
    <w:pPr>
      <w:ind w:left="107"/>
    </w:pPr>
  </w:style>
  <w:style w:type="table" w:styleId="TableGrid">
    <w:name w:val="Table Grid"/>
    <w:basedOn w:val="TableNormal"/>
    <w:uiPriority w:val="39"/>
    <w:rsid w:val="005C2C7A"/>
    <w:pPr>
      <w:widowControl/>
      <w:autoSpaceDE/>
      <w:autoSpaceDN/>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E51922"/>
    <w:rPr>
      <w:color w:val="0000FF" w:themeColor="hyperlink"/>
      <w:u w:val="single"/>
    </w:rPr>
  </w:style>
  <w:style w:type="paragraph" w:styleId="TOC1">
    <w:name w:val="toc 1"/>
    <w:basedOn w:val="Normal"/>
    <w:next w:val="Normal"/>
    <w:uiPriority w:val="39"/>
    <w:unhideWhenUsed/>
    <w:rsid w:val="00E51922"/>
    <w:pPr>
      <w:widowControl/>
      <w:autoSpaceDE/>
      <w:autoSpaceDN/>
      <w:spacing w:after="100" w:line="259" w:lineRule="auto"/>
    </w:pPr>
    <w:rPr>
      <w:rFonts w:asciiTheme="minorHAnsi" w:eastAsiaTheme="minorHAnsi" w:hAnsiTheme="minorHAnsi" w:cstheme="minorBidi"/>
      <w:lang w:eastAsia="en-US" w:bidi="ar-SA"/>
    </w:rPr>
  </w:style>
  <w:style w:type="paragraph" w:styleId="TOC2">
    <w:name w:val="toc 2"/>
    <w:basedOn w:val="Normal"/>
    <w:next w:val="Normal"/>
    <w:uiPriority w:val="39"/>
    <w:unhideWhenUsed/>
    <w:rsid w:val="00E51922"/>
    <w:pPr>
      <w:widowControl/>
      <w:autoSpaceDE/>
      <w:autoSpaceDN/>
      <w:spacing w:after="100" w:line="259" w:lineRule="auto"/>
      <w:ind w:left="220"/>
    </w:pPr>
    <w:rPr>
      <w:rFonts w:asciiTheme="minorHAnsi" w:eastAsiaTheme="minorHAnsi" w:hAnsiTheme="minorHAnsi" w:cstheme="minorBidi"/>
      <w:lang w:eastAsia="en-US" w:bidi="ar-SA"/>
    </w:rPr>
  </w:style>
  <w:style w:type="paragraph" w:styleId="TableofFigures">
    <w:name w:val="table of figures"/>
    <w:basedOn w:val="Normal"/>
    <w:next w:val="Normal"/>
    <w:uiPriority w:val="99"/>
    <w:unhideWhenUsed/>
    <w:rsid w:val="005F4CBF"/>
    <w:pPr>
      <w:widowControl/>
      <w:autoSpaceDE/>
      <w:autoSpaceDN/>
      <w:spacing w:line="259" w:lineRule="auto"/>
    </w:pPr>
    <w:rPr>
      <w:rFonts w:asciiTheme="minorHAnsi" w:eastAsiaTheme="minorHAnsi" w:hAnsiTheme="minorHAnsi" w:cstheme="minorBidi"/>
      <w:lang w:eastAsia="en-US" w:bidi="ar-SA"/>
    </w:rPr>
  </w:style>
  <w:style w:type="character" w:customStyle="1" w:styleId="Heading2Char">
    <w:name w:val="Heading 2 Char"/>
    <w:basedOn w:val="DefaultParagraphFont"/>
    <w:link w:val="Heading2"/>
    <w:uiPriority w:val="1"/>
    <w:rsid w:val="00371FF8"/>
    <w:rPr>
      <w:rFonts w:ascii="Arial" w:eastAsia="Arial" w:hAnsi="Arial" w:cs="Arial"/>
      <w:b/>
      <w:bCs/>
      <w:sz w:val="24"/>
      <w:lang w:val="en-GB" w:eastAsia="en-IN"/>
    </w:rPr>
  </w:style>
  <w:style w:type="character" w:customStyle="1" w:styleId="BodyTextChar">
    <w:name w:val="Body Text Char"/>
    <w:basedOn w:val="DefaultParagraphFont"/>
    <w:link w:val="BodyText"/>
    <w:uiPriority w:val="1"/>
    <w:rsid w:val="00512F91"/>
    <w:rPr>
      <w:rFonts w:ascii="Arial" w:eastAsia="Calibri Light" w:hAnsi="Arial" w:cs="Calibri Light"/>
      <w:lang w:val="en-GB" w:eastAsia="en-GB" w:bidi="en-GB"/>
    </w:rPr>
  </w:style>
  <w:style w:type="paragraph" w:customStyle="1" w:styleId="Caption1">
    <w:name w:val="Caption1"/>
    <w:basedOn w:val="Normal"/>
    <w:next w:val="Normal"/>
    <w:uiPriority w:val="35"/>
    <w:unhideWhenUsed/>
    <w:qFormat/>
    <w:rsid w:val="005B5D20"/>
    <w:pPr>
      <w:widowControl/>
      <w:autoSpaceDE/>
      <w:autoSpaceDN/>
      <w:spacing w:after="200"/>
    </w:pPr>
    <w:rPr>
      <w:rFonts w:ascii="Calibri" w:eastAsia="Calibri" w:hAnsi="Calibri"/>
      <w:i/>
      <w:iCs/>
      <w:color w:val="44546A"/>
      <w:sz w:val="18"/>
      <w:szCs w:val="18"/>
      <w:lang w:eastAsia="en-US" w:bidi="ar-SA"/>
    </w:rPr>
  </w:style>
  <w:style w:type="character" w:customStyle="1" w:styleId="UnresolvedMention">
    <w:name w:val="Unresolved Mention"/>
    <w:basedOn w:val="DefaultParagraphFont"/>
    <w:uiPriority w:val="99"/>
    <w:semiHidden/>
    <w:unhideWhenUsed/>
    <w:rsid w:val="00A11058"/>
    <w:rPr>
      <w:color w:val="605E5C"/>
      <w:shd w:val="clear" w:color="auto" w:fill="E1DFDD"/>
    </w:rPr>
  </w:style>
  <w:style w:type="character" w:customStyle="1" w:styleId="cf01">
    <w:name w:val="cf01"/>
    <w:basedOn w:val="DefaultParagraphFont"/>
    <w:rsid w:val="00E202D3"/>
    <w:rPr>
      <w:rFonts w:ascii="Segoe UI" w:hAnsi="Segoe UI" w:cs="Segoe UI" w:hint="default"/>
      <w:sz w:val="18"/>
      <w:szCs w:val="18"/>
    </w:rPr>
  </w:style>
  <w:style w:type="paragraph" w:styleId="TOCHeading">
    <w:name w:val="TOC Heading"/>
    <w:basedOn w:val="Heading1"/>
    <w:next w:val="Normal"/>
    <w:uiPriority w:val="39"/>
    <w:unhideWhenUsed/>
    <w:qFormat/>
    <w:rsid w:val="00C60E5F"/>
    <w:pPr>
      <w:keepNext/>
      <w:keepLines/>
      <w:spacing w:before="240"/>
      <w:outlineLvl w:val="9"/>
    </w:pPr>
    <w:rPr>
      <w:rFonts w:asciiTheme="majorHAnsi" w:eastAsiaTheme="majorEastAsia" w:hAnsiTheme="majorHAnsi" w:cstheme="majorBidi"/>
      <w:b w:val="0"/>
      <w:color w:val="365F91" w:themeColor="accent1" w:themeShade="BF"/>
    </w:rPr>
  </w:style>
  <w:style w:type="character" w:customStyle="1" w:styleId="Heading5Char">
    <w:name w:val="Heading 5 Char"/>
    <w:basedOn w:val="DefaultParagraphFont"/>
    <w:link w:val="Heading5"/>
    <w:uiPriority w:val="9"/>
    <w:rsid w:val="00371FF8"/>
    <w:rPr>
      <w:rFonts w:ascii="Arial" w:eastAsiaTheme="majorEastAsia" w:hAnsi="Arial" w:cs="Arial"/>
      <w:b/>
      <w:bCs/>
      <w:lang w:val="en-GB" w:eastAsia="en-GB" w:bidi="en-GB"/>
    </w:rPr>
  </w:style>
  <w:style w:type="character" w:customStyle="1" w:styleId="Heading4Char">
    <w:name w:val="Heading 4 Char"/>
    <w:basedOn w:val="DefaultParagraphFont"/>
    <w:link w:val="Heading4"/>
    <w:uiPriority w:val="9"/>
    <w:rsid w:val="00371FF8"/>
    <w:rPr>
      <w:rFonts w:ascii="Arial" w:eastAsia="Times New Roman" w:hAnsi="Arial" w:cs="Arial"/>
      <w:b/>
      <w:color w:val="000000"/>
      <w:kern w:val="36"/>
      <w:lang w:val="en-GB" w:eastAsia="en-IN"/>
    </w:rPr>
  </w:style>
  <w:style w:type="character" w:customStyle="1" w:styleId="Heading6Char">
    <w:name w:val="Heading 6 Char"/>
    <w:basedOn w:val="DefaultParagraphFont"/>
    <w:link w:val="Heading6"/>
    <w:uiPriority w:val="9"/>
    <w:semiHidden/>
    <w:rsid w:val="00371FF8"/>
    <w:rPr>
      <w:rFonts w:asciiTheme="majorHAnsi" w:eastAsiaTheme="majorEastAsia" w:hAnsiTheme="majorHAnsi" w:cstheme="majorBidi"/>
      <w:color w:val="243F60" w:themeColor="accent1" w:themeShade="7F"/>
      <w:lang w:val="en-GB" w:eastAsia="en-GB" w:bidi="en-GB"/>
    </w:rPr>
  </w:style>
  <w:style w:type="table" w:customStyle="1" w:styleId="TableNormal0">
    <w:name w:val="TableNormal"/>
    <w:rsid w:val="00371FF8"/>
    <w:pPr>
      <w:widowControl/>
      <w:autoSpaceDE/>
      <w:autoSpaceDN/>
      <w:spacing w:line="360" w:lineRule="auto"/>
      <w:jc w:val="both"/>
    </w:pPr>
    <w:rPr>
      <w:rFonts w:ascii="Arial" w:eastAsia="Arial" w:hAnsi="Arial" w:cs="Arial"/>
      <w:lang w:val="en-GB" w:eastAsia="en-IN"/>
    </w:rPr>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371FF8"/>
    <w:pPr>
      <w:keepNext/>
      <w:keepLines/>
      <w:widowControl/>
      <w:autoSpaceDE/>
      <w:autoSpaceDN/>
      <w:spacing w:after="60"/>
    </w:pPr>
    <w:rPr>
      <w:rFonts w:eastAsia="Arial"/>
      <w:sz w:val="52"/>
      <w:szCs w:val="52"/>
      <w:lang w:eastAsia="en-IN" w:bidi="ar-SA"/>
    </w:rPr>
  </w:style>
  <w:style w:type="character" w:customStyle="1" w:styleId="TitleChar">
    <w:name w:val="Title Char"/>
    <w:basedOn w:val="DefaultParagraphFont"/>
    <w:link w:val="Title"/>
    <w:uiPriority w:val="10"/>
    <w:rsid w:val="00371FF8"/>
    <w:rPr>
      <w:rFonts w:ascii="Arial" w:eastAsia="Arial" w:hAnsi="Arial" w:cs="Arial"/>
      <w:sz w:val="52"/>
      <w:szCs w:val="52"/>
      <w:lang w:val="en-GB" w:eastAsia="en-IN"/>
    </w:rPr>
  </w:style>
  <w:style w:type="paragraph" w:styleId="Subtitle">
    <w:name w:val="Subtitle"/>
    <w:basedOn w:val="Normal"/>
    <w:next w:val="Normal"/>
    <w:link w:val="SubtitleChar"/>
    <w:uiPriority w:val="11"/>
    <w:qFormat/>
    <w:rsid w:val="00371FF8"/>
    <w:pPr>
      <w:keepNext/>
      <w:keepLines/>
      <w:widowControl/>
      <w:autoSpaceDE/>
      <w:autoSpaceDN/>
      <w:spacing w:after="320"/>
    </w:pPr>
    <w:rPr>
      <w:rFonts w:eastAsia="Arial"/>
      <w:color w:val="666666"/>
      <w:sz w:val="30"/>
      <w:szCs w:val="30"/>
      <w:lang w:eastAsia="en-IN" w:bidi="ar-SA"/>
    </w:rPr>
  </w:style>
  <w:style w:type="character" w:customStyle="1" w:styleId="SubtitleChar">
    <w:name w:val="Subtitle Char"/>
    <w:basedOn w:val="DefaultParagraphFont"/>
    <w:link w:val="Subtitle"/>
    <w:uiPriority w:val="11"/>
    <w:rsid w:val="00371FF8"/>
    <w:rPr>
      <w:rFonts w:ascii="Arial" w:eastAsia="Arial" w:hAnsi="Arial" w:cs="Arial"/>
      <w:color w:val="666666"/>
      <w:sz w:val="30"/>
      <w:szCs w:val="30"/>
      <w:lang w:val="en-GB" w:eastAsia="en-IN"/>
    </w:rPr>
  </w:style>
  <w:style w:type="table" w:customStyle="1" w:styleId="1">
    <w:name w:val="1"/>
    <w:basedOn w:val="TableNormal0"/>
    <w:rsid w:val="00371FF8"/>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371FF8"/>
    <w:rPr>
      <w:sz w:val="16"/>
      <w:szCs w:val="16"/>
    </w:rPr>
  </w:style>
  <w:style w:type="paragraph" w:styleId="CommentText">
    <w:name w:val="annotation text"/>
    <w:basedOn w:val="Normal"/>
    <w:link w:val="CommentTextChar"/>
    <w:uiPriority w:val="99"/>
    <w:unhideWhenUsed/>
    <w:rsid w:val="00371FF8"/>
    <w:pPr>
      <w:widowControl/>
      <w:autoSpaceDE/>
      <w:autoSpaceDN/>
    </w:pPr>
    <w:rPr>
      <w:rFonts w:eastAsia="Arial"/>
      <w:sz w:val="20"/>
      <w:szCs w:val="20"/>
      <w:lang w:eastAsia="en-IN" w:bidi="ar-SA"/>
    </w:rPr>
  </w:style>
  <w:style w:type="character" w:customStyle="1" w:styleId="CommentTextChar">
    <w:name w:val="Comment Text Char"/>
    <w:basedOn w:val="DefaultParagraphFont"/>
    <w:link w:val="CommentText"/>
    <w:uiPriority w:val="99"/>
    <w:rsid w:val="00371FF8"/>
    <w:rPr>
      <w:rFonts w:ascii="Arial" w:eastAsia="Arial" w:hAnsi="Arial" w:cs="Arial"/>
      <w:sz w:val="20"/>
      <w:szCs w:val="20"/>
      <w:lang w:val="en-GB" w:eastAsia="en-IN"/>
    </w:rPr>
  </w:style>
  <w:style w:type="paragraph" w:styleId="CommentSubject">
    <w:name w:val="annotation subject"/>
    <w:basedOn w:val="CommentText"/>
    <w:next w:val="CommentText"/>
    <w:link w:val="CommentSubjectChar"/>
    <w:uiPriority w:val="99"/>
    <w:semiHidden/>
    <w:unhideWhenUsed/>
    <w:rsid w:val="00371FF8"/>
    <w:rPr>
      <w:b/>
      <w:bCs/>
    </w:rPr>
  </w:style>
  <w:style w:type="character" w:customStyle="1" w:styleId="CommentSubjectChar">
    <w:name w:val="Comment Subject Char"/>
    <w:basedOn w:val="CommentTextChar"/>
    <w:link w:val="CommentSubject"/>
    <w:uiPriority w:val="99"/>
    <w:semiHidden/>
    <w:rsid w:val="00371FF8"/>
    <w:rPr>
      <w:rFonts w:ascii="Arial" w:eastAsia="Arial" w:hAnsi="Arial" w:cs="Arial"/>
      <w:b/>
      <w:bCs/>
      <w:sz w:val="20"/>
      <w:szCs w:val="20"/>
      <w:lang w:val="en-GB" w:eastAsia="en-IN"/>
    </w:rPr>
  </w:style>
  <w:style w:type="paragraph" w:styleId="TOC3">
    <w:name w:val="toc 3"/>
    <w:basedOn w:val="Normal"/>
    <w:next w:val="Normal"/>
    <w:autoRedefine/>
    <w:uiPriority w:val="39"/>
    <w:unhideWhenUsed/>
    <w:rsid w:val="00371FF8"/>
    <w:pPr>
      <w:widowControl/>
      <w:autoSpaceDE/>
      <w:autoSpaceDN/>
      <w:spacing w:after="100"/>
      <w:ind w:left="440"/>
    </w:pPr>
    <w:rPr>
      <w:rFonts w:eastAsia="Arial"/>
      <w:lang w:eastAsia="en-IN" w:bidi="ar-SA"/>
    </w:rPr>
  </w:style>
  <w:style w:type="paragraph" w:styleId="BalloonText">
    <w:name w:val="Balloon Text"/>
    <w:basedOn w:val="Normal"/>
    <w:link w:val="BalloonTextChar"/>
    <w:uiPriority w:val="99"/>
    <w:semiHidden/>
    <w:unhideWhenUsed/>
    <w:rsid w:val="008C2F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FC6"/>
    <w:rPr>
      <w:rFonts w:ascii="Tahoma" w:eastAsia="Calibri Light" w:hAnsi="Tahoma" w:cs="Tahoma"/>
      <w:sz w:val="16"/>
      <w:szCs w:val="16"/>
      <w:lang w:val="en-GB" w:eastAsia="en-GB" w:bidi="en-GB"/>
    </w:rPr>
  </w:style>
</w:styles>
</file>

<file path=word/webSettings.xml><?xml version="1.0" encoding="utf-8"?>
<w:webSettings xmlns:r="http://schemas.openxmlformats.org/officeDocument/2006/relationships" xmlns:w="http://schemas.openxmlformats.org/wordprocessingml/2006/main">
  <w:divs>
    <w:div w:id="584728630">
      <w:bodyDiv w:val="1"/>
      <w:marLeft w:val="0"/>
      <w:marRight w:val="0"/>
      <w:marTop w:val="0"/>
      <w:marBottom w:val="0"/>
      <w:divBdr>
        <w:top w:val="none" w:sz="0" w:space="0" w:color="auto"/>
        <w:left w:val="none" w:sz="0" w:space="0" w:color="auto"/>
        <w:bottom w:val="none" w:sz="0" w:space="0" w:color="auto"/>
        <w:right w:val="none" w:sz="0" w:space="0" w:color="auto"/>
      </w:divBdr>
    </w:div>
    <w:div w:id="1575315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rontiersin.org/journals/digital-health/articles/10.3389/fdgth.2021.764735/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46809/jpse.v6i6.14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nk.springer.com/chapter/10.1007/978-3-031-04394-9_72"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jmir.org/2020/11/e203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htg.scot/media/5vnd42qv/20250516-updated-report-digital-prevention-programme-for-people-at-risk-of-t2d.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igital.nhs.uk/data-and-information/publications/statistical/statistics-on-public-health/2023"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scholar.google.com/scholar?output=instlink&amp;q=info:GcMqA29JXdcJ:scholar.google.com/&amp;hl=en&amp;as_sdt=0,5&amp;scillfp=445655563755435272&amp;oi=l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1080/2331186X.2025.247164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ECB0E-132E-4FE8-84CC-FD3648F43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22356</Words>
  <Characters>127430</Characters>
  <Application>Microsoft Office Word</Application>
  <DocSecurity>0</DocSecurity>
  <Lines>1061</Lines>
  <Paragraphs>298</Paragraphs>
  <ScaleCrop>false</ScaleCrop>
  <LinksUpToDate>false</LinksUpToDate>
  <CharactersWithSpaces>149488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2026-05-12T23:18:00Z</dcterms:created>
  <dcterms:modified xsi:type="dcterms:W3CDTF">2026-05-12T23:18:00Z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962932e7-4d97-4568-af72-37273b413090</vt:lpwstr>
  </property>
</Properties>
</file>